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4C7A" w14:textId="52683D01" w:rsidR="00376429" w:rsidRPr="008C5253" w:rsidRDefault="00CE31BC">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60288" behindDoc="0" locked="0" layoutInCell="1" allowOverlap="1" wp14:anchorId="03F926BC" wp14:editId="0371F174">
                <wp:simplePos x="0" y="0"/>
                <wp:positionH relativeFrom="margin">
                  <wp:posOffset>133349</wp:posOffset>
                </wp:positionH>
                <wp:positionV relativeFrom="paragraph">
                  <wp:posOffset>333375</wp:posOffset>
                </wp:positionV>
                <wp:extent cx="5972175" cy="4924425"/>
                <wp:effectExtent l="0" t="0" r="28575" b="28575"/>
                <wp:wrapNone/>
                <wp:docPr id="524013236" name="Text Box 2"/>
                <wp:cNvGraphicFramePr/>
                <a:graphic xmlns:a="http://schemas.openxmlformats.org/drawingml/2006/main">
                  <a:graphicData uri="http://schemas.microsoft.com/office/word/2010/wordprocessingShape">
                    <wps:wsp>
                      <wps:cNvSpPr txBox="1"/>
                      <wps:spPr>
                        <a:xfrm>
                          <a:off x="0" y="0"/>
                          <a:ext cx="5972175" cy="4924425"/>
                        </a:xfrm>
                        <a:prstGeom prst="rect">
                          <a:avLst/>
                        </a:prstGeom>
                        <a:solidFill>
                          <a:schemeClr val="lt1"/>
                        </a:solidFill>
                        <a:ln w="6350">
                          <a:solidFill>
                            <a:prstClr val="black"/>
                          </a:solidFill>
                        </a:ln>
                      </wps:spPr>
                      <wps:txbx>
                        <w:txbxContent>
                          <w:p w14:paraId="788B3A48" w14:textId="77777777" w:rsidR="00CE31BC" w:rsidRPr="008C5253" w:rsidRDefault="00CE31BC" w:rsidP="00CE31BC">
                            <w:pPr>
                              <w:jc w:val="center"/>
                              <w:rPr>
                                <w:rFonts w:ascii="Arial" w:hAnsi="Arial" w:cs="Arial"/>
                                <w:b/>
                                <w:bCs/>
                              </w:rPr>
                            </w:pPr>
                            <w:r w:rsidRPr="00CE31BC">
                              <w:rPr>
                                <w:rFonts w:ascii="Arial" w:hAnsi="Arial" w:cs="Arial"/>
                                <w:noProof/>
                                <w:sz w:val="8"/>
                                <w:szCs w:val="8"/>
                              </w:rPr>
                              <w:drawing>
                                <wp:inline distT="0" distB="0" distL="0" distR="0" wp14:anchorId="21C84E87" wp14:editId="69645EA1">
                                  <wp:extent cx="2409825" cy="902872"/>
                                  <wp:effectExtent l="0" t="0" r="0" b="0"/>
                                  <wp:docPr id="1275624857"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24857" name="Picture 1" descr="A close up of a sign&#10;&#10;AI-generated content may be incorrect."/>
                                          <pic:cNvPicPr/>
                                        </pic:nvPicPr>
                                        <pic:blipFill>
                                          <a:blip r:embed="rId8"/>
                                          <a:stretch>
                                            <a:fillRect/>
                                          </a:stretch>
                                        </pic:blipFill>
                                        <pic:spPr>
                                          <a:xfrm>
                                            <a:off x="0" y="0"/>
                                            <a:ext cx="2452150" cy="918729"/>
                                          </a:xfrm>
                                          <a:prstGeom prst="rect">
                                            <a:avLst/>
                                          </a:prstGeom>
                                        </pic:spPr>
                                      </pic:pic>
                                    </a:graphicData>
                                  </a:graphic>
                                </wp:inline>
                              </w:drawing>
                            </w:r>
                          </w:p>
                          <w:p w14:paraId="1047D41F" w14:textId="77777777" w:rsidR="00CE31BC" w:rsidRPr="00CE31BC" w:rsidRDefault="00CE31BC" w:rsidP="00CE31BC">
                            <w:pPr>
                              <w:jc w:val="center"/>
                              <w:rPr>
                                <w:rFonts w:ascii="Arial" w:hAnsi="Arial" w:cs="Arial"/>
                              </w:rPr>
                            </w:pPr>
                            <w:r w:rsidRPr="00CE31BC">
                              <w:rPr>
                                <w:rFonts w:ascii="Arial" w:hAnsi="Arial" w:cs="Arial"/>
                                <w:b/>
                                <w:bCs/>
                              </w:rPr>
                              <w:t>Assessment component:</w:t>
                            </w:r>
                            <w:r w:rsidRPr="00CE31BC">
                              <w:rPr>
                                <w:rFonts w:ascii="Arial" w:hAnsi="Arial" w:cs="Arial"/>
                              </w:rPr>
                              <w:t xml:space="preserve"> Financial performance and management</w:t>
                            </w:r>
                          </w:p>
                          <w:p w14:paraId="2EA15565" w14:textId="77777777" w:rsidR="00CE31BC" w:rsidRPr="00CE31BC" w:rsidRDefault="00CE31BC" w:rsidP="00CE31BC">
                            <w:pPr>
                              <w:jc w:val="both"/>
                              <w:rPr>
                                <w:rFonts w:ascii="Arial" w:hAnsi="Arial" w:cs="Arial"/>
                              </w:rPr>
                            </w:pPr>
                          </w:p>
                          <w:p w14:paraId="7E55DD01" w14:textId="77777777" w:rsidR="00CE31BC" w:rsidRPr="00CE31BC" w:rsidRDefault="00CE31BC" w:rsidP="00CE31BC">
                            <w:pPr>
                              <w:spacing w:before="240" w:after="240"/>
                              <w:jc w:val="both"/>
                              <w:rPr>
                                <w:rFonts w:ascii="Arial" w:hAnsi="Arial" w:cs="Arial"/>
                              </w:rPr>
                            </w:pPr>
                            <w:proofErr w:type="spellStart"/>
                            <w:r w:rsidRPr="00CE31BC">
                              <w:rPr>
                                <w:rFonts w:ascii="Arial" w:hAnsi="Arial" w:cs="Arial"/>
                                <w:b/>
                                <w:bCs/>
                              </w:rPr>
                              <w:t>Programme</w:t>
                            </w:r>
                            <w:proofErr w:type="spellEnd"/>
                            <w:r w:rsidRPr="00CE31BC">
                              <w:rPr>
                                <w:rFonts w:ascii="Arial" w:hAnsi="Arial" w:cs="Arial"/>
                                <w:b/>
                                <w:bCs/>
                              </w:rPr>
                              <w:t xml:space="preserve"> Name</w:t>
                            </w:r>
                            <w:r w:rsidRPr="00CE31BC">
                              <w:rPr>
                                <w:rFonts w:ascii="Arial" w:hAnsi="Arial" w:cs="Arial"/>
                              </w:rPr>
                              <w:t>: Master of Business Administration</w:t>
                            </w:r>
                          </w:p>
                          <w:p w14:paraId="3F0C5CFC" w14:textId="77777777" w:rsidR="00CE31BC" w:rsidRPr="00CE31BC" w:rsidRDefault="00CE31BC" w:rsidP="00CE31BC">
                            <w:pPr>
                              <w:jc w:val="both"/>
                              <w:rPr>
                                <w:rFonts w:ascii="Arial" w:hAnsi="Arial" w:cs="Arial"/>
                              </w:rPr>
                            </w:pPr>
                            <w:r w:rsidRPr="00CE31BC">
                              <w:rPr>
                                <w:rFonts w:ascii="Arial" w:hAnsi="Arial" w:cs="Arial"/>
                                <w:b/>
                                <w:bCs/>
                              </w:rPr>
                              <w:t>Student Name</w:t>
                            </w:r>
                            <w:r w:rsidRPr="00CE31BC">
                              <w:rPr>
                                <w:rFonts w:ascii="Arial" w:hAnsi="Arial" w:cs="Arial"/>
                              </w:rPr>
                              <w:t>: Shahrin Afroz</w:t>
                            </w:r>
                          </w:p>
                          <w:p w14:paraId="5857FF7F" w14:textId="77777777" w:rsidR="00CE31BC" w:rsidRPr="00CE31BC" w:rsidRDefault="00CE31BC" w:rsidP="00CE31BC">
                            <w:pPr>
                              <w:jc w:val="both"/>
                              <w:rPr>
                                <w:rFonts w:ascii="Arial" w:hAnsi="Arial" w:cs="Arial"/>
                              </w:rPr>
                            </w:pPr>
                            <w:r w:rsidRPr="00CE31BC">
                              <w:rPr>
                                <w:rFonts w:ascii="Arial" w:hAnsi="Arial" w:cs="Arial"/>
                                <w:b/>
                                <w:bCs/>
                              </w:rPr>
                              <w:t>Student ID</w:t>
                            </w:r>
                            <w:r w:rsidRPr="00CE31BC">
                              <w:rPr>
                                <w:rFonts w:ascii="Arial" w:hAnsi="Arial" w:cs="Arial"/>
                              </w:rPr>
                              <w:t>: 2504528</w:t>
                            </w:r>
                          </w:p>
                          <w:p w14:paraId="42F17DB5" w14:textId="77777777" w:rsidR="00CE31BC" w:rsidRPr="00CE31BC" w:rsidRDefault="00CE31BC" w:rsidP="00CE31BC">
                            <w:pPr>
                              <w:jc w:val="both"/>
                              <w:rPr>
                                <w:rFonts w:ascii="Arial" w:hAnsi="Arial" w:cs="Arial"/>
                              </w:rPr>
                            </w:pPr>
                            <w:r w:rsidRPr="00CE31BC">
                              <w:rPr>
                                <w:rFonts w:ascii="Arial" w:hAnsi="Arial" w:cs="Arial"/>
                                <w:b/>
                                <w:bCs/>
                              </w:rPr>
                              <w:t>Module Name</w:t>
                            </w:r>
                            <w:r w:rsidRPr="00CE31BC">
                              <w:rPr>
                                <w:rFonts w:ascii="Arial" w:hAnsi="Arial" w:cs="Arial"/>
                              </w:rPr>
                              <w:t>: Financial Management</w:t>
                            </w:r>
                          </w:p>
                          <w:p w14:paraId="45706909" w14:textId="77777777" w:rsidR="00CE31BC" w:rsidRPr="00CE31BC" w:rsidRDefault="00CE31BC" w:rsidP="00CE31BC">
                            <w:pPr>
                              <w:jc w:val="both"/>
                              <w:rPr>
                                <w:rFonts w:ascii="Arial" w:hAnsi="Arial" w:cs="Arial"/>
                              </w:rPr>
                            </w:pPr>
                            <w:r w:rsidRPr="00CE31BC">
                              <w:rPr>
                                <w:rFonts w:ascii="Arial" w:hAnsi="Arial" w:cs="Arial"/>
                                <w:b/>
                                <w:bCs/>
                              </w:rPr>
                              <w:t>Code</w:t>
                            </w:r>
                            <w:r w:rsidRPr="00CE31BC">
                              <w:rPr>
                                <w:rFonts w:ascii="Arial" w:hAnsi="Arial" w:cs="Arial"/>
                              </w:rPr>
                              <w:t>: LCMB7002</w:t>
                            </w:r>
                          </w:p>
                          <w:p w14:paraId="047A67C6" w14:textId="45489D39" w:rsidR="00CE31BC" w:rsidRPr="00CE31BC" w:rsidRDefault="00CE31BC" w:rsidP="00CE31BC">
                            <w:pPr>
                              <w:jc w:val="both"/>
                              <w:rPr>
                                <w:rFonts w:ascii="Arial" w:hAnsi="Arial" w:cs="Arial"/>
                              </w:rPr>
                            </w:pPr>
                            <w:r w:rsidRPr="00CE31BC">
                              <w:rPr>
                                <w:rFonts w:ascii="Arial" w:hAnsi="Arial" w:cs="Arial"/>
                                <w:b/>
                                <w:bCs/>
                              </w:rPr>
                              <w:t xml:space="preserve">Lecturer’s </w:t>
                            </w:r>
                            <w:proofErr w:type="spellStart"/>
                            <w:proofErr w:type="gramStart"/>
                            <w:r w:rsidRPr="00CE31BC">
                              <w:rPr>
                                <w:rFonts w:ascii="Arial" w:hAnsi="Arial" w:cs="Arial"/>
                                <w:b/>
                                <w:bCs/>
                              </w:rPr>
                              <w:t>Name</w:t>
                            </w:r>
                            <w:r w:rsidRPr="00CE31BC">
                              <w:rPr>
                                <w:rFonts w:ascii="Arial" w:hAnsi="Arial" w:cs="Arial"/>
                              </w:rPr>
                              <w:t>:Shengfeng</w:t>
                            </w:r>
                            <w:proofErr w:type="spellEnd"/>
                            <w:proofErr w:type="gramEnd"/>
                            <w:r w:rsidRPr="00CE31BC">
                              <w:rPr>
                                <w:rFonts w:ascii="Arial" w:hAnsi="Arial" w:cs="Arial"/>
                              </w:rPr>
                              <w:t> Mei</w:t>
                            </w:r>
                          </w:p>
                          <w:p w14:paraId="66EBC0D0" w14:textId="77777777" w:rsidR="00CE31BC" w:rsidRDefault="00CE31BC" w:rsidP="00CE31BC">
                            <w:pPr>
                              <w:jc w:val="both"/>
                              <w:rPr>
                                <w:rFonts w:ascii="Arial" w:hAnsi="Arial" w:cs="Arial"/>
                              </w:rPr>
                            </w:pPr>
                            <w:r w:rsidRPr="00CE31BC">
                              <w:rPr>
                                <w:rFonts w:ascii="Arial" w:hAnsi="Arial" w:cs="Arial"/>
                                <w:b/>
                                <w:bCs/>
                              </w:rPr>
                              <w:t>Work Count</w:t>
                            </w:r>
                            <w:r w:rsidRPr="00CE31BC">
                              <w:rPr>
                                <w:rFonts w:ascii="Arial" w:hAnsi="Arial" w:cs="Arial"/>
                              </w:rPr>
                              <w:t>: 5487</w:t>
                            </w:r>
                          </w:p>
                          <w:p w14:paraId="41FF18CD" w14:textId="77777777" w:rsidR="00CE31BC" w:rsidRDefault="00CE31BC" w:rsidP="00CE31BC">
                            <w:pPr>
                              <w:jc w:val="both"/>
                              <w:rPr>
                                <w:rFonts w:ascii="Arial" w:hAnsi="Arial" w:cs="Arial"/>
                              </w:rPr>
                            </w:pPr>
                          </w:p>
                          <w:p w14:paraId="7F92111E" w14:textId="77777777" w:rsidR="00CE31BC" w:rsidRPr="00CE31BC" w:rsidRDefault="00CE31BC" w:rsidP="00CE31BC">
                            <w:pPr>
                              <w:jc w:val="both"/>
                              <w:rPr>
                                <w:rFonts w:ascii="Arial" w:hAnsi="Arial" w:cs="Arial"/>
                              </w:rPr>
                            </w:pPr>
                          </w:p>
                          <w:p w14:paraId="7D50DA01" w14:textId="77777777" w:rsidR="00CE31BC" w:rsidRPr="00CE31BC" w:rsidRDefault="00CE31BC" w:rsidP="00CE31BC">
                            <w:pPr>
                              <w:jc w:val="center"/>
                              <w:rPr>
                                <w:rFonts w:ascii="Arial" w:hAnsi="Arial" w:cs="Arial"/>
                                <w:b/>
                                <w:bCs/>
                              </w:rPr>
                            </w:pPr>
                            <w:r w:rsidRPr="00CE31BC">
                              <w:rPr>
                                <w:rFonts w:ascii="Arial" w:hAnsi="Arial" w:cs="Arial"/>
                                <w:b/>
                                <w:bCs/>
                              </w:rPr>
                              <w:t>Submission Date: 21 December 2025</w:t>
                            </w:r>
                          </w:p>
                          <w:p w14:paraId="64171B0C" w14:textId="77777777" w:rsidR="00CE31BC" w:rsidRDefault="00CE31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F926BC" id="_x0000_t202" coordsize="21600,21600" o:spt="202" path="m,l,21600r21600,l21600,xe">
                <v:stroke joinstyle="miter"/>
                <v:path gradientshapeok="t" o:connecttype="rect"/>
              </v:shapetype>
              <v:shape id="Text Box 2" o:spid="_x0000_s1026" type="#_x0000_t202" style="position:absolute;margin-left:10.5pt;margin-top:26.25pt;width:470.25pt;height:38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" fillcolor="white [3201]" strokeweight=".5pt">
                <v:textbox>
                  <w:txbxContent>
                    <w:p w14:paraId="788B3A48" w14:textId="77777777" w:rsidR="00CE31BC" w:rsidRPr="008C5253" w:rsidRDefault="00CE31BC" w:rsidP="00CE31BC">
                      <w:pPr>
                        <w:jc w:val="center"/>
                        <w:rPr>
                          <w:rFonts w:ascii="Arial" w:hAnsi="Arial" w:cs="Arial"/>
                          <w:b/>
                          <w:bCs/>
                        </w:rPr>
                      </w:pPr>
                      <w:r w:rsidRPr="00CE31BC">
                        <w:rPr>
                          <w:rFonts w:ascii="Arial" w:hAnsi="Arial" w:cs="Arial"/>
                          <w:noProof/>
                          <w:sz w:val="8"/>
                          <w:szCs w:val="8"/>
                        </w:rPr>
                        <w:drawing>
                          <wp:inline distT="0" distB="0" distL="0" distR="0" wp14:anchorId="21C84E87" wp14:editId="69645EA1">
                            <wp:extent cx="2409825" cy="902872"/>
                            <wp:effectExtent l="0" t="0" r="0" b="0"/>
                            <wp:docPr id="1275624857"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24857" name="Picture 1" descr="A close up of a sign&#10;&#10;AI-generated content may be incorrect."/>
                                    <pic:cNvPicPr/>
                                  </pic:nvPicPr>
                                  <pic:blipFill>
                                    <a:blip r:embed="rId8"/>
                                    <a:stretch>
                                      <a:fillRect/>
                                    </a:stretch>
                                  </pic:blipFill>
                                  <pic:spPr>
                                    <a:xfrm>
                                      <a:off x="0" y="0"/>
                                      <a:ext cx="2452150" cy="918729"/>
                                    </a:xfrm>
                                    <a:prstGeom prst="rect">
                                      <a:avLst/>
                                    </a:prstGeom>
                                  </pic:spPr>
                                </pic:pic>
                              </a:graphicData>
                            </a:graphic>
                          </wp:inline>
                        </w:drawing>
                      </w:r>
                    </w:p>
                    <w:p w14:paraId="1047D41F" w14:textId="77777777" w:rsidR="00CE31BC" w:rsidRPr="00CE31BC" w:rsidRDefault="00CE31BC" w:rsidP="00CE31BC">
                      <w:pPr>
                        <w:jc w:val="center"/>
                        <w:rPr>
                          <w:rFonts w:ascii="Arial" w:hAnsi="Arial" w:cs="Arial"/>
                        </w:rPr>
                      </w:pPr>
                      <w:r w:rsidRPr="00CE31BC">
                        <w:rPr>
                          <w:rFonts w:ascii="Arial" w:hAnsi="Arial" w:cs="Arial"/>
                          <w:b/>
                          <w:bCs/>
                        </w:rPr>
                        <w:t>Assessment component:</w:t>
                      </w:r>
                      <w:r w:rsidRPr="00CE31BC">
                        <w:rPr>
                          <w:rFonts w:ascii="Arial" w:hAnsi="Arial" w:cs="Arial"/>
                        </w:rPr>
                        <w:t xml:space="preserve"> Financial performance and management</w:t>
                      </w:r>
                    </w:p>
                    <w:p w14:paraId="2EA15565" w14:textId="77777777" w:rsidR="00CE31BC" w:rsidRPr="00CE31BC" w:rsidRDefault="00CE31BC" w:rsidP="00CE31BC">
                      <w:pPr>
                        <w:jc w:val="both"/>
                        <w:rPr>
                          <w:rFonts w:ascii="Arial" w:hAnsi="Arial" w:cs="Arial"/>
                        </w:rPr>
                      </w:pPr>
                    </w:p>
                    <w:p w14:paraId="7E55DD01" w14:textId="77777777" w:rsidR="00CE31BC" w:rsidRPr="00CE31BC" w:rsidRDefault="00CE31BC" w:rsidP="00CE31BC">
                      <w:pPr>
                        <w:spacing w:before="240" w:after="240"/>
                        <w:jc w:val="both"/>
                        <w:rPr>
                          <w:rFonts w:ascii="Arial" w:hAnsi="Arial" w:cs="Arial"/>
                        </w:rPr>
                      </w:pPr>
                      <w:proofErr w:type="spellStart"/>
                      <w:r w:rsidRPr="00CE31BC">
                        <w:rPr>
                          <w:rFonts w:ascii="Arial" w:hAnsi="Arial" w:cs="Arial"/>
                          <w:b/>
                          <w:bCs/>
                        </w:rPr>
                        <w:t>Programme</w:t>
                      </w:r>
                      <w:proofErr w:type="spellEnd"/>
                      <w:r w:rsidRPr="00CE31BC">
                        <w:rPr>
                          <w:rFonts w:ascii="Arial" w:hAnsi="Arial" w:cs="Arial"/>
                          <w:b/>
                          <w:bCs/>
                        </w:rPr>
                        <w:t xml:space="preserve"> Name</w:t>
                      </w:r>
                      <w:r w:rsidRPr="00CE31BC">
                        <w:rPr>
                          <w:rFonts w:ascii="Arial" w:hAnsi="Arial" w:cs="Arial"/>
                        </w:rPr>
                        <w:t>: Master of Business Administration</w:t>
                      </w:r>
                    </w:p>
                    <w:p w14:paraId="3F0C5CFC" w14:textId="77777777" w:rsidR="00CE31BC" w:rsidRPr="00CE31BC" w:rsidRDefault="00CE31BC" w:rsidP="00CE31BC">
                      <w:pPr>
                        <w:jc w:val="both"/>
                        <w:rPr>
                          <w:rFonts w:ascii="Arial" w:hAnsi="Arial" w:cs="Arial"/>
                        </w:rPr>
                      </w:pPr>
                      <w:r w:rsidRPr="00CE31BC">
                        <w:rPr>
                          <w:rFonts w:ascii="Arial" w:hAnsi="Arial" w:cs="Arial"/>
                          <w:b/>
                          <w:bCs/>
                        </w:rPr>
                        <w:t>Student Name</w:t>
                      </w:r>
                      <w:r w:rsidRPr="00CE31BC">
                        <w:rPr>
                          <w:rFonts w:ascii="Arial" w:hAnsi="Arial" w:cs="Arial"/>
                        </w:rPr>
                        <w:t>: Shahrin Afroz</w:t>
                      </w:r>
                    </w:p>
                    <w:p w14:paraId="5857FF7F" w14:textId="77777777" w:rsidR="00CE31BC" w:rsidRPr="00CE31BC" w:rsidRDefault="00CE31BC" w:rsidP="00CE31BC">
                      <w:pPr>
                        <w:jc w:val="both"/>
                        <w:rPr>
                          <w:rFonts w:ascii="Arial" w:hAnsi="Arial" w:cs="Arial"/>
                        </w:rPr>
                      </w:pPr>
                      <w:r w:rsidRPr="00CE31BC">
                        <w:rPr>
                          <w:rFonts w:ascii="Arial" w:hAnsi="Arial" w:cs="Arial"/>
                          <w:b/>
                          <w:bCs/>
                        </w:rPr>
                        <w:t>Student ID</w:t>
                      </w:r>
                      <w:r w:rsidRPr="00CE31BC">
                        <w:rPr>
                          <w:rFonts w:ascii="Arial" w:hAnsi="Arial" w:cs="Arial"/>
                        </w:rPr>
                        <w:t>: 2504528</w:t>
                      </w:r>
                    </w:p>
                    <w:p w14:paraId="42F17DB5" w14:textId="77777777" w:rsidR="00CE31BC" w:rsidRPr="00CE31BC" w:rsidRDefault="00CE31BC" w:rsidP="00CE31BC">
                      <w:pPr>
                        <w:jc w:val="both"/>
                        <w:rPr>
                          <w:rFonts w:ascii="Arial" w:hAnsi="Arial" w:cs="Arial"/>
                        </w:rPr>
                      </w:pPr>
                      <w:r w:rsidRPr="00CE31BC">
                        <w:rPr>
                          <w:rFonts w:ascii="Arial" w:hAnsi="Arial" w:cs="Arial"/>
                          <w:b/>
                          <w:bCs/>
                        </w:rPr>
                        <w:t>Module Name</w:t>
                      </w:r>
                      <w:r w:rsidRPr="00CE31BC">
                        <w:rPr>
                          <w:rFonts w:ascii="Arial" w:hAnsi="Arial" w:cs="Arial"/>
                        </w:rPr>
                        <w:t>: Financial Management</w:t>
                      </w:r>
                    </w:p>
                    <w:p w14:paraId="45706909" w14:textId="77777777" w:rsidR="00CE31BC" w:rsidRPr="00CE31BC" w:rsidRDefault="00CE31BC" w:rsidP="00CE31BC">
                      <w:pPr>
                        <w:jc w:val="both"/>
                        <w:rPr>
                          <w:rFonts w:ascii="Arial" w:hAnsi="Arial" w:cs="Arial"/>
                        </w:rPr>
                      </w:pPr>
                      <w:r w:rsidRPr="00CE31BC">
                        <w:rPr>
                          <w:rFonts w:ascii="Arial" w:hAnsi="Arial" w:cs="Arial"/>
                          <w:b/>
                          <w:bCs/>
                        </w:rPr>
                        <w:t>Code</w:t>
                      </w:r>
                      <w:r w:rsidRPr="00CE31BC">
                        <w:rPr>
                          <w:rFonts w:ascii="Arial" w:hAnsi="Arial" w:cs="Arial"/>
                        </w:rPr>
                        <w:t>: LCMB7002</w:t>
                      </w:r>
                    </w:p>
                    <w:p w14:paraId="047A67C6" w14:textId="45489D39" w:rsidR="00CE31BC" w:rsidRPr="00CE31BC" w:rsidRDefault="00CE31BC" w:rsidP="00CE31BC">
                      <w:pPr>
                        <w:jc w:val="both"/>
                        <w:rPr>
                          <w:rFonts w:ascii="Arial" w:hAnsi="Arial" w:cs="Arial"/>
                        </w:rPr>
                      </w:pPr>
                      <w:r w:rsidRPr="00CE31BC">
                        <w:rPr>
                          <w:rFonts w:ascii="Arial" w:hAnsi="Arial" w:cs="Arial"/>
                          <w:b/>
                          <w:bCs/>
                        </w:rPr>
                        <w:t xml:space="preserve">Lecturer’s </w:t>
                      </w:r>
                      <w:proofErr w:type="spellStart"/>
                      <w:proofErr w:type="gramStart"/>
                      <w:r w:rsidRPr="00CE31BC">
                        <w:rPr>
                          <w:rFonts w:ascii="Arial" w:hAnsi="Arial" w:cs="Arial"/>
                          <w:b/>
                          <w:bCs/>
                        </w:rPr>
                        <w:t>Name</w:t>
                      </w:r>
                      <w:r w:rsidRPr="00CE31BC">
                        <w:rPr>
                          <w:rFonts w:ascii="Arial" w:hAnsi="Arial" w:cs="Arial"/>
                        </w:rPr>
                        <w:t>:Shengfeng</w:t>
                      </w:r>
                      <w:proofErr w:type="spellEnd"/>
                      <w:proofErr w:type="gramEnd"/>
                      <w:r w:rsidRPr="00CE31BC">
                        <w:rPr>
                          <w:rFonts w:ascii="Arial" w:hAnsi="Arial" w:cs="Arial"/>
                        </w:rPr>
                        <w:t> Mei</w:t>
                      </w:r>
                    </w:p>
                    <w:p w14:paraId="66EBC0D0" w14:textId="77777777" w:rsidR="00CE31BC" w:rsidRDefault="00CE31BC" w:rsidP="00CE31BC">
                      <w:pPr>
                        <w:jc w:val="both"/>
                        <w:rPr>
                          <w:rFonts w:ascii="Arial" w:hAnsi="Arial" w:cs="Arial"/>
                        </w:rPr>
                      </w:pPr>
                      <w:r w:rsidRPr="00CE31BC">
                        <w:rPr>
                          <w:rFonts w:ascii="Arial" w:hAnsi="Arial" w:cs="Arial"/>
                          <w:b/>
                          <w:bCs/>
                        </w:rPr>
                        <w:t>Work Count</w:t>
                      </w:r>
                      <w:r w:rsidRPr="00CE31BC">
                        <w:rPr>
                          <w:rFonts w:ascii="Arial" w:hAnsi="Arial" w:cs="Arial"/>
                        </w:rPr>
                        <w:t>: 5487</w:t>
                      </w:r>
                    </w:p>
                    <w:p w14:paraId="41FF18CD" w14:textId="77777777" w:rsidR="00CE31BC" w:rsidRDefault="00CE31BC" w:rsidP="00CE31BC">
                      <w:pPr>
                        <w:jc w:val="both"/>
                        <w:rPr>
                          <w:rFonts w:ascii="Arial" w:hAnsi="Arial" w:cs="Arial"/>
                        </w:rPr>
                      </w:pPr>
                    </w:p>
                    <w:p w14:paraId="7F92111E" w14:textId="77777777" w:rsidR="00CE31BC" w:rsidRPr="00CE31BC" w:rsidRDefault="00CE31BC" w:rsidP="00CE31BC">
                      <w:pPr>
                        <w:jc w:val="both"/>
                        <w:rPr>
                          <w:rFonts w:ascii="Arial" w:hAnsi="Arial" w:cs="Arial"/>
                        </w:rPr>
                      </w:pPr>
                    </w:p>
                    <w:p w14:paraId="7D50DA01" w14:textId="77777777" w:rsidR="00CE31BC" w:rsidRPr="00CE31BC" w:rsidRDefault="00CE31BC" w:rsidP="00CE31BC">
                      <w:pPr>
                        <w:jc w:val="center"/>
                        <w:rPr>
                          <w:rFonts w:ascii="Arial" w:hAnsi="Arial" w:cs="Arial"/>
                          <w:b/>
                          <w:bCs/>
                        </w:rPr>
                      </w:pPr>
                      <w:r w:rsidRPr="00CE31BC">
                        <w:rPr>
                          <w:rFonts w:ascii="Arial" w:hAnsi="Arial" w:cs="Arial"/>
                          <w:b/>
                          <w:bCs/>
                        </w:rPr>
                        <w:t>Submission Date: 21 December 2025</w:t>
                      </w:r>
                    </w:p>
                    <w:p w14:paraId="64171B0C" w14:textId="77777777" w:rsidR="00CE31BC" w:rsidRDefault="00CE31BC"/>
                  </w:txbxContent>
                </v:textbox>
                <w10:wrap anchorx="margin"/>
              </v:shape>
            </w:pict>
          </mc:Fallback>
        </mc:AlternateContent>
      </w:r>
      <w:r>
        <w:rPr>
          <w:rFonts w:ascii="Arial" w:hAnsi="Arial" w:cs="Arial"/>
          <w:b/>
          <w:bCs/>
          <w:noProof/>
          <w:sz w:val="32"/>
          <w:szCs w:val="32"/>
        </w:rPr>
        <mc:AlternateContent>
          <mc:Choice Requires="wps">
            <w:drawing>
              <wp:anchor distT="0" distB="0" distL="114300" distR="114300" simplePos="0" relativeHeight="251659264" behindDoc="0" locked="0" layoutInCell="1" allowOverlap="1" wp14:anchorId="2678B9CB" wp14:editId="6BA43413">
                <wp:simplePos x="0" y="0"/>
                <wp:positionH relativeFrom="column">
                  <wp:posOffset>57150</wp:posOffset>
                </wp:positionH>
                <wp:positionV relativeFrom="paragraph">
                  <wp:posOffset>266700</wp:posOffset>
                </wp:positionV>
                <wp:extent cx="6124575" cy="5114925"/>
                <wp:effectExtent l="0" t="0" r="28575" b="28575"/>
                <wp:wrapNone/>
                <wp:docPr id="643490159" name="Rectangle 1"/>
                <wp:cNvGraphicFramePr/>
                <a:graphic xmlns:a="http://schemas.openxmlformats.org/drawingml/2006/main">
                  <a:graphicData uri="http://schemas.microsoft.com/office/word/2010/wordprocessingShape">
                    <wps:wsp>
                      <wps:cNvSpPr/>
                      <wps:spPr>
                        <a:xfrm>
                          <a:off x="0" y="0"/>
                          <a:ext cx="6124575" cy="5114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F533E7" id="Rectangle 1" o:spid="_x0000_s1026" style="position:absolute;margin-left:4.5pt;margin-top:21pt;width:482.25pt;height:40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" fillcolor="white [3201]" strokecolor="black [3200]" strokeweight="1.5pt"/>
            </w:pict>
          </mc:Fallback>
        </mc:AlternateContent>
      </w:r>
      <w:r w:rsidR="00376429" w:rsidRPr="008C5253">
        <w:rPr>
          <w:rFonts w:ascii="Arial" w:hAnsi="Arial" w:cs="Arial"/>
          <w:b/>
          <w:bCs/>
          <w:sz w:val="32"/>
          <w:szCs w:val="32"/>
        </w:rPr>
        <w:br w:type="page"/>
      </w:r>
    </w:p>
    <w:sdt>
      <w:sdtPr>
        <w:rPr>
          <w:rFonts w:ascii="Arial" w:eastAsiaTheme="minorHAnsi" w:hAnsi="Arial" w:cs="Arial"/>
          <w:color w:val="auto"/>
          <w:kern w:val="2"/>
          <w:sz w:val="24"/>
          <w:szCs w:val="24"/>
          <w14:ligatures w14:val="standardContextual"/>
        </w:rPr>
        <w:id w:val="1638453400"/>
        <w:docPartObj>
          <w:docPartGallery w:val="Table of Contents"/>
          <w:docPartUnique/>
        </w:docPartObj>
      </w:sdtPr>
      <w:sdtEndPr>
        <w:rPr>
          <w:b/>
          <w:bCs/>
          <w:noProof/>
        </w:rPr>
      </w:sdtEndPr>
      <w:sdtContent>
        <w:p w14:paraId="613460B9" w14:textId="12506237" w:rsidR="00164946" w:rsidRPr="008C5253" w:rsidRDefault="00164946">
          <w:pPr>
            <w:pStyle w:val="TOCHeading"/>
            <w:rPr>
              <w:rFonts w:ascii="Arial" w:hAnsi="Arial" w:cs="Arial"/>
            </w:rPr>
          </w:pPr>
          <w:r w:rsidRPr="008C5253">
            <w:rPr>
              <w:rFonts w:ascii="Arial" w:hAnsi="Arial" w:cs="Arial"/>
            </w:rPr>
            <w:t>Contents</w:t>
          </w:r>
        </w:p>
        <w:p w14:paraId="517607A7" w14:textId="6B51462F" w:rsidR="007C3300" w:rsidRDefault="00164946">
          <w:pPr>
            <w:pStyle w:val="TOC1"/>
            <w:tabs>
              <w:tab w:val="right" w:leader="dot" w:pos="9350"/>
            </w:tabs>
            <w:rPr>
              <w:rFonts w:eastAsiaTheme="minorEastAsia"/>
              <w:noProof/>
            </w:rPr>
          </w:pPr>
          <w:r w:rsidRPr="008C5253">
            <w:rPr>
              <w:rFonts w:ascii="Arial" w:hAnsi="Arial" w:cs="Arial"/>
            </w:rPr>
            <w:fldChar w:fldCharType="begin"/>
          </w:r>
          <w:r w:rsidRPr="008C5253">
            <w:rPr>
              <w:rFonts w:ascii="Arial" w:hAnsi="Arial" w:cs="Arial"/>
            </w:rPr>
            <w:instrText xml:space="preserve"> TOC \o "1-3" \h \z \u </w:instrText>
          </w:r>
          <w:r w:rsidRPr="008C5253">
            <w:rPr>
              <w:rFonts w:ascii="Arial" w:hAnsi="Arial" w:cs="Arial"/>
            </w:rPr>
            <w:fldChar w:fldCharType="separate"/>
          </w:r>
          <w:hyperlink w:anchor="_Toc216698864" w:history="1">
            <w:r w:rsidR="007C3300" w:rsidRPr="0008356B">
              <w:rPr>
                <w:rStyle w:val="Hyperlink"/>
                <w:rFonts w:ascii="Arial" w:hAnsi="Arial" w:cs="Arial"/>
                <w:b/>
                <w:bCs/>
                <w:noProof/>
              </w:rPr>
              <w:t>1. Introduction</w:t>
            </w:r>
            <w:r w:rsidR="007C3300">
              <w:rPr>
                <w:noProof/>
                <w:webHidden/>
              </w:rPr>
              <w:tab/>
            </w:r>
            <w:r w:rsidR="007C3300">
              <w:rPr>
                <w:noProof/>
                <w:webHidden/>
              </w:rPr>
              <w:fldChar w:fldCharType="begin"/>
            </w:r>
            <w:r w:rsidR="007C3300">
              <w:rPr>
                <w:noProof/>
                <w:webHidden/>
              </w:rPr>
              <w:instrText xml:space="preserve"> PAGEREF _Toc216698864 \h </w:instrText>
            </w:r>
            <w:r w:rsidR="007C3300">
              <w:rPr>
                <w:noProof/>
                <w:webHidden/>
              </w:rPr>
            </w:r>
            <w:r w:rsidR="007C3300">
              <w:rPr>
                <w:noProof/>
                <w:webHidden/>
              </w:rPr>
              <w:fldChar w:fldCharType="separate"/>
            </w:r>
            <w:r w:rsidR="007C3300">
              <w:rPr>
                <w:noProof/>
                <w:webHidden/>
              </w:rPr>
              <w:t>5</w:t>
            </w:r>
            <w:r w:rsidR="007C3300">
              <w:rPr>
                <w:noProof/>
                <w:webHidden/>
              </w:rPr>
              <w:fldChar w:fldCharType="end"/>
            </w:r>
          </w:hyperlink>
        </w:p>
        <w:p w14:paraId="381064EA" w14:textId="68E12624" w:rsidR="007C3300" w:rsidRDefault="007C3300">
          <w:pPr>
            <w:pStyle w:val="TOC1"/>
            <w:tabs>
              <w:tab w:val="right" w:leader="dot" w:pos="9350"/>
            </w:tabs>
            <w:rPr>
              <w:rFonts w:eastAsiaTheme="minorEastAsia"/>
              <w:noProof/>
            </w:rPr>
          </w:pPr>
          <w:hyperlink w:anchor="_Toc216698865" w:history="1">
            <w:r w:rsidRPr="0008356B">
              <w:rPr>
                <w:rStyle w:val="Hyperlink"/>
                <w:rFonts w:ascii="Arial" w:hAnsi="Arial" w:cs="Arial"/>
                <w:b/>
                <w:bCs/>
                <w:noProof/>
              </w:rPr>
              <w:t>2. Financial Health Check</w:t>
            </w:r>
            <w:r>
              <w:rPr>
                <w:noProof/>
                <w:webHidden/>
              </w:rPr>
              <w:tab/>
            </w:r>
            <w:r>
              <w:rPr>
                <w:noProof/>
                <w:webHidden/>
              </w:rPr>
              <w:fldChar w:fldCharType="begin"/>
            </w:r>
            <w:r>
              <w:rPr>
                <w:noProof/>
                <w:webHidden/>
              </w:rPr>
              <w:instrText xml:space="preserve"> PAGEREF _Toc216698865 \h </w:instrText>
            </w:r>
            <w:r>
              <w:rPr>
                <w:noProof/>
                <w:webHidden/>
              </w:rPr>
            </w:r>
            <w:r>
              <w:rPr>
                <w:noProof/>
                <w:webHidden/>
              </w:rPr>
              <w:fldChar w:fldCharType="separate"/>
            </w:r>
            <w:r>
              <w:rPr>
                <w:noProof/>
                <w:webHidden/>
              </w:rPr>
              <w:t>6</w:t>
            </w:r>
            <w:r>
              <w:rPr>
                <w:noProof/>
                <w:webHidden/>
              </w:rPr>
              <w:fldChar w:fldCharType="end"/>
            </w:r>
          </w:hyperlink>
        </w:p>
        <w:p w14:paraId="67FC3747" w14:textId="14D322C6" w:rsidR="007C3300" w:rsidRDefault="007C3300">
          <w:pPr>
            <w:pStyle w:val="TOC2"/>
            <w:tabs>
              <w:tab w:val="right" w:leader="dot" w:pos="9350"/>
            </w:tabs>
            <w:rPr>
              <w:rFonts w:eastAsiaTheme="minorEastAsia"/>
              <w:noProof/>
            </w:rPr>
          </w:pPr>
          <w:hyperlink w:anchor="_Toc216698866" w:history="1">
            <w:r w:rsidRPr="0008356B">
              <w:rPr>
                <w:rStyle w:val="Hyperlink"/>
                <w:rFonts w:ascii="Arial" w:hAnsi="Arial" w:cs="Arial"/>
                <w:b/>
                <w:bCs/>
                <w:noProof/>
              </w:rPr>
              <w:t>2.1 Overview of Financial Performance</w:t>
            </w:r>
            <w:r>
              <w:rPr>
                <w:noProof/>
                <w:webHidden/>
              </w:rPr>
              <w:tab/>
            </w:r>
            <w:r>
              <w:rPr>
                <w:noProof/>
                <w:webHidden/>
              </w:rPr>
              <w:fldChar w:fldCharType="begin"/>
            </w:r>
            <w:r>
              <w:rPr>
                <w:noProof/>
                <w:webHidden/>
              </w:rPr>
              <w:instrText xml:space="preserve"> PAGEREF _Toc216698866 \h </w:instrText>
            </w:r>
            <w:r>
              <w:rPr>
                <w:noProof/>
                <w:webHidden/>
              </w:rPr>
            </w:r>
            <w:r>
              <w:rPr>
                <w:noProof/>
                <w:webHidden/>
              </w:rPr>
              <w:fldChar w:fldCharType="separate"/>
            </w:r>
            <w:r>
              <w:rPr>
                <w:noProof/>
                <w:webHidden/>
              </w:rPr>
              <w:t>6</w:t>
            </w:r>
            <w:r>
              <w:rPr>
                <w:noProof/>
                <w:webHidden/>
              </w:rPr>
              <w:fldChar w:fldCharType="end"/>
            </w:r>
          </w:hyperlink>
        </w:p>
        <w:p w14:paraId="51E18991" w14:textId="5E7A19EC" w:rsidR="007C3300" w:rsidRDefault="007C3300">
          <w:pPr>
            <w:pStyle w:val="TOC2"/>
            <w:tabs>
              <w:tab w:val="right" w:leader="dot" w:pos="9350"/>
            </w:tabs>
            <w:rPr>
              <w:rFonts w:eastAsiaTheme="minorEastAsia"/>
              <w:noProof/>
            </w:rPr>
          </w:pPr>
          <w:hyperlink w:anchor="_Toc216698867" w:history="1">
            <w:r w:rsidRPr="0008356B">
              <w:rPr>
                <w:rStyle w:val="Hyperlink"/>
                <w:rFonts w:ascii="Arial" w:hAnsi="Arial" w:cs="Arial"/>
                <w:b/>
                <w:bCs/>
                <w:noProof/>
              </w:rPr>
              <w:t>2.2 Profitability Analysis</w:t>
            </w:r>
            <w:r>
              <w:rPr>
                <w:noProof/>
                <w:webHidden/>
              </w:rPr>
              <w:tab/>
            </w:r>
            <w:r>
              <w:rPr>
                <w:noProof/>
                <w:webHidden/>
              </w:rPr>
              <w:fldChar w:fldCharType="begin"/>
            </w:r>
            <w:r>
              <w:rPr>
                <w:noProof/>
                <w:webHidden/>
              </w:rPr>
              <w:instrText xml:space="preserve"> PAGEREF _Toc216698867 \h </w:instrText>
            </w:r>
            <w:r>
              <w:rPr>
                <w:noProof/>
                <w:webHidden/>
              </w:rPr>
            </w:r>
            <w:r>
              <w:rPr>
                <w:noProof/>
                <w:webHidden/>
              </w:rPr>
              <w:fldChar w:fldCharType="separate"/>
            </w:r>
            <w:r>
              <w:rPr>
                <w:noProof/>
                <w:webHidden/>
              </w:rPr>
              <w:t>6</w:t>
            </w:r>
            <w:r>
              <w:rPr>
                <w:noProof/>
                <w:webHidden/>
              </w:rPr>
              <w:fldChar w:fldCharType="end"/>
            </w:r>
          </w:hyperlink>
        </w:p>
        <w:p w14:paraId="5467534B" w14:textId="1EE6D7C6" w:rsidR="007C3300" w:rsidRDefault="007C3300">
          <w:pPr>
            <w:pStyle w:val="TOC2"/>
            <w:tabs>
              <w:tab w:val="right" w:leader="dot" w:pos="9350"/>
            </w:tabs>
            <w:rPr>
              <w:rFonts w:eastAsiaTheme="minorEastAsia"/>
              <w:noProof/>
            </w:rPr>
          </w:pPr>
          <w:hyperlink w:anchor="_Toc216698868" w:history="1">
            <w:r w:rsidRPr="0008356B">
              <w:rPr>
                <w:rStyle w:val="Hyperlink"/>
                <w:rFonts w:ascii="Arial" w:hAnsi="Arial" w:cs="Arial"/>
                <w:b/>
                <w:bCs/>
                <w:noProof/>
              </w:rPr>
              <w:t>2.3 Liquidity Analysis</w:t>
            </w:r>
            <w:r>
              <w:rPr>
                <w:noProof/>
                <w:webHidden/>
              </w:rPr>
              <w:tab/>
            </w:r>
            <w:r>
              <w:rPr>
                <w:noProof/>
                <w:webHidden/>
              </w:rPr>
              <w:fldChar w:fldCharType="begin"/>
            </w:r>
            <w:r>
              <w:rPr>
                <w:noProof/>
                <w:webHidden/>
              </w:rPr>
              <w:instrText xml:space="preserve"> PAGEREF _Toc216698868 \h </w:instrText>
            </w:r>
            <w:r>
              <w:rPr>
                <w:noProof/>
                <w:webHidden/>
              </w:rPr>
            </w:r>
            <w:r>
              <w:rPr>
                <w:noProof/>
                <w:webHidden/>
              </w:rPr>
              <w:fldChar w:fldCharType="separate"/>
            </w:r>
            <w:r>
              <w:rPr>
                <w:noProof/>
                <w:webHidden/>
              </w:rPr>
              <w:t>7</w:t>
            </w:r>
            <w:r>
              <w:rPr>
                <w:noProof/>
                <w:webHidden/>
              </w:rPr>
              <w:fldChar w:fldCharType="end"/>
            </w:r>
          </w:hyperlink>
        </w:p>
        <w:p w14:paraId="1AF3595D" w14:textId="61ADBEBD" w:rsidR="007C3300" w:rsidRDefault="007C3300">
          <w:pPr>
            <w:pStyle w:val="TOC2"/>
            <w:tabs>
              <w:tab w:val="right" w:leader="dot" w:pos="9350"/>
            </w:tabs>
            <w:rPr>
              <w:rFonts w:eastAsiaTheme="minorEastAsia"/>
              <w:noProof/>
            </w:rPr>
          </w:pPr>
          <w:hyperlink w:anchor="_Toc216698869" w:history="1">
            <w:r w:rsidRPr="0008356B">
              <w:rPr>
                <w:rStyle w:val="Hyperlink"/>
                <w:rFonts w:ascii="Arial" w:hAnsi="Arial" w:cs="Arial"/>
                <w:b/>
                <w:bCs/>
                <w:noProof/>
              </w:rPr>
              <w:t>2.4 Efficiency &amp; Working Capital Ratios.</w:t>
            </w:r>
            <w:r>
              <w:rPr>
                <w:noProof/>
                <w:webHidden/>
              </w:rPr>
              <w:tab/>
            </w:r>
            <w:r>
              <w:rPr>
                <w:noProof/>
                <w:webHidden/>
              </w:rPr>
              <w:fldChar w:fldCharType="begin"/>
            </w:r>
            <w:r>
              <w:rPr>
                <w:noProof/>
                <w:webHidden/>
              </w:rPr>
              <w:instrText xml:space="preserve"> PAGEREF _Toc216698869 \h </w:instrText>
            </w:r>
            <w:r>
              <w:rPr>
                <w:noProof/>
                <w:webHidden/>
              </w:rPr>
            </w:r>
            <w:r>
              <w:rPr>
                <w:noProof/>
                <w:webHidden/>
              </w:rPr>
              <w:fldChar w:fldCharType="separate"/>
            </w:r>
            <w:r>
              <w:rPr>
                <w:noProof/>
                <w:webHidden/>
              </w:rPr>
              <w:t>7</w:t>
            </w:r>
            <w:r>
              <w:rPr>
                <w:noProof/>
                <w:webHidden/>
              </w:rPr>
              <w:fldChar w:fldCharType="end"/>
            </w:r>
          </w:hyperlink>
        </w:p>
        <w:p w14:paraId="04B7F498" w14:textId="4F8F1BB0" w:rsidR="007C3300" w:rsidRDefault="007C3300">
          <w:pPr>
            <w:pStyle w:val="TOC2"/>
            <w:tabs>
              <w:tab w:val="right" w:leader="dot" w:pos="9350"/>
            </w:tabs>
            <w:rPr>
              <w:rFonts w:eastAsiaTheme="minorEastAsia"/>
              <w:noProof/>
            </w:rPr>
          </w:pPr>
          <w:hyperlink w:anchor="_Toc216698870" w:history="1">
            <w:r w:rsidRPr="0008356B">
              <w:rPr>
                <w:rStyle w:val="Hyperlink"/>
                <w:rFonts w:ascii="Arial" w:hAnsi="Arial" w:cs="Arial"/>
                <w:b/>
                <w:bCs/>
                <w:noProof/>
              </w:rPr>
              <w:t>2.5 Gearing &amp; Solvency Analysis</w:t>
            </w:r>
            <w:r>
              <w:rPr>
                <w:noProof/>
                <w:webHidden/>
              </w:rPr>
              <w:tab/>
            </w:r>
            <w:r>
              <w:rPr>
                <w:noProof/>
                <w:webHidden/>
              </w:rPr>
              <w:fldChar w:fldCharType="begin"/>
            </w:r>
            <w:r>
              <w:rPr>
                <w:noProof/>
                <w:webHidden/>
              </w:rPr>
              <w:instrText xml:space="preserve"> PAGEREF _Toc216698870 \h </w:instrText>
            </w:r>
            <w:r>
              <w:rPr>
                <w:noProof/>
                <w:webHidden/>
              </w:rPr>
            </w:r>
            <w:r>
              <w:rPr>
                <w:noProof/>
                <w:webHidden/>
              </w:rPr>
              <w:fldChar w:fldCharType="separate"/>
            </w:r>
            <w:r>
              <w:rPr>
                <w:noProof/>
                <w:webHidden/>
              </w:rPr>
              <w:t>7</w:t>
            </w:r>
            <w:r>
              <w:rPr>
                <w:noProof/>
                <w:webHidden/>
              </w:rPr>
              <w:fldChar w:fldCharType="end"/>
            </w:r>
          </w:hyperlink>
        </w:p>
        <w:p w14:paraId="202F1A5A" w14:textId="0DEC4ED0" w:rsidR="007C3300" w:rsidRDefault="007C3300">
          <w:pPr>
            <w:pStyle w:val="TOC2"/>
            <w:tabs>
              <w:tab w:val="right" w:leader="dot" w:pos="9350"/>
            </w:tabs>
            <w:rPr>
              <w:rFonts w:eastAsiaTheme="minorEastAsia"/>
              <w:noProof/>
            </w:rPr>
          </w:pPr>
          <w:hyperlink w:anchor="_Toc216698871" w:history="1">
            <w:r w:rsidRPr="0008356B">
              <w:rPr>
                <w:rStyle w:val="Hyperlink"/>
                <w:rFonts w:ascii="Arial" w:hAnsi="Arial" w:cs="Arial"/>
                <w:b/>
                <w:bCs/>
                <w:noProof/>
              </w:rPr>
              <w:t>2.6 Investment and Shareholder Ratios.</w:t>
            </w:r>
            <w:r>
              <w:rPr>
                <w:noProof/>
                <w:webHidden/>
              </w:rPr>
              <w:tab/>
            </w:r>
            <w:r>
              <w:rPr>
                <w:noProof/>
                <w:webHidden/>
              </w:rPr>
              <w:fldChar w:fldCharType="begin"/>
            </w:r>
            <w:r>
              <w:rPr>
                <w:noProof/>
                <w:webHidden/>
              </w:rPr>
              <w:instrText xml:space="preserve"> PAGEREF _Toc216698871 \h </w:instrText>
            </w:r>
            <w:r>
              <w:rPr>
                <w:noProof/>
                <w:webHidden/>
              </w:rPr>
            </w:r>
            <w:r>
              <w:rPr>
                <w:noProof/>
                <w:webHidden/>
              </w:rPr>
              <w:fldChar w:fldCharType="separate"/>
            </w:r>
            <w:r>
              <w:rPr>
                <w:noProof/>
                <w:webHidden/>
              </w:rPr>
              <w:t>8</w:t>
            </w:r>
            <w:r>
              <w:rPr>
                <w:noProof/>
                <w:webHidden/>
              </w:rPr>
              <w:fldChar w:fldCharType="end"/>
            </w:r>
          </w:hyperlink>
        </w:p>
        <w:p w14:paraId="4A12ABD6" w14:textId="153CFB07" w:rsidR="007C3300" w:rsidRDefault="007C3300">
          <w:pPr>
            <w:pStyle w:val="TOC2"/>
            <w:tabs>
              <w:tab w:val="right" w:leader="dot" w:pos="9350"/>
            </w:tabs>
            <w:rPr>
              <w:rFonts w:eastAsiaTheme="minorEastAsia"/>
              <w:noProof/>
            </w:rPr>
          </w:pPr>
          <w:hyperlink w:anchor="_Toc216698872" w:history="1">
            <w:r w:rsidRPr="0008356B">
              <w:rPr>
                <w:rStyle w:val="Hyperlink"/>
                <w:rFonts w:ascii="Arial" w:hAnsi="Arial" w:cs="Arial"/>
                <w:b/>
                <w:bCs/>
                <w:noProof/>
              </w:rPr>
              <w:t>2.7 Cash Flow Analysis</w:t>
            </w:r>
            <w:r>
              <w:rPr>
                <w:noProof/>
                <w:webHidden/>
              </w:rPr>
              <w:tab/>
            </w:r>
            <w:r>
              <w:rPr>
                <w:noProof/>
                <w:webHidden/>
              </w:rPr>
              <w:fldChar w:fldCharType="begin"/>
            </w:r>
            <w:r>
              <w:rPr>
                <w:noProof/>
                <w:webHidden/>
              </w:rPr>
              <w:instrText xml:space="preserve"> PAGEREF _Toc216698872 \h </w:instrText>
            </w:r>
            <w:r>
              <w:rPr>
                <w:noProof/>
                <w:webHidden/>
              </w:rPr>
            </w:r>
            <w:r>
              <w:rPr>
                <w:noProof/>
                <w:webHidden/>
              </w:rPr>
              <w:fldChar w:fldCharType="separate"/>
            </w:r>
            <w:r>
              <w:rPr>
                <w:noProof/>
                <w:webHidden/>
              </w:rPr>
              <w:t>8</w:t>
            </w:r>
            <w:r>
              <w:rPr>
                <w:noProof/>
                <w:webHidden/>
              </w:rPr>
              <w:fldChar w:fldCharType="end"/>
            </w:r>
          </w:hyperlink>
        </w:p>
        <w:p w14:paraId="495712F9" w14:textId="747C794A" w:rsidR="007C3300" w:rsidRDefault="007C3300">
          <w:pPr>
            <w:pStyle w:val="TOC2"/>
            <w:tabs>
              <w:tab w:val="right" w:leader="dot" w:pos="9350"/>
            </w:tabs>
            <w:rPr>
              <w:rFonts w:eastAsiaTheme="minorEastAsia"/>
              <w:noProof/>
            </w:rPr>
          </w:pPr>
          <w:hyperlink w:anchor="_Toc216698873" w:history="1">
            <w:r w:rsidRPr="0008356B">
              <w:rPr>
                <w:rStyle w:val="Hyperlink"/>
                <w:rFonts w:ascii="Arial" w:hAnsi="Arial" w:cs="Arial"/>
                <w:b/>
                <w:bCs/>
                <w:noProof/>
              </w:rPr>
              <w:t>2.8 Altman Z-Score &amp; Failure Risk</w:t>
            </w:r>
            <w:r>
              <w:rPr>
                <w:noProof/>
                <w:webHidden/>
              </w:rPr>
              <w:tab/>
            </w:r>
            <w:r>
              <w:rPr>
                <w:noProof/>
                <w:webHidden/>
              </w:rPr>
              <w:fldChar w:fldCharType="begin"/>
            </w:r>
            <w:r>
              <w:rPr>
                <w:noProof/>
                <w:webHidden/>
              </w:rPr>
              <w:instrText xml:space="preserve"> PAGEREF _Toc216698873 \h </w:instrText>
            </w:r>
            <w:r>
              <w:rPr>
                <w:noProof/>
                <w:webHidden/>
              </w:rPr>
            </w:r>
            <w:r>
              <w:rPr>
                <w:noProof/>
                <w:webHidden/>
              </w:rPr>
              <w:fldChar w:fldCharType="separate"/>
            </w:r>
            <w:r>
              <w:rPr>
                <w:noProof/>
                <w:webHidden/>
              </w:rPr>
              <w:t>9</w:t>
            </w:r>
            <w:r>
              <w:rPr>
                <w:noProof/>
                <w:webHidden/>
              </w:rPr>
              <w:fldChar w:fldCharType="end"/>
            </w:r>
          </w:hyperlink>
        </w:p>
        <w:p w14:paraId="2C7FB951" w14:textId="28EB7280" w:rsidR="007C3300" w:rsidRDefault="007C3300">
          <w:pPr>
            <w:pStyle w:val="TOC2"/>
            <w:tabs>
              <w:tab w:val="right" w:leader="dot" w:pos="9350"/>
            </w:tabs>
            <w:rPr>
              <w:rFonts w:eastAsiaTheme="minorEastAsia"/>
              <w:noProof/>
            </w:rPr>
          </w:pPr>
          <w:hyperlink w:anchor="_Toc216698874" w:history="1">
            <w:r w:rsidRPr="0008356B">
              <w:rPr>
                <w:rStyle w:val="Hyperlink"/>
                <w:rFonts w:ascii="Arial" w:hAnsi="Arial" w:cs="Arial"/>
                <w:b/>
                <w:bCs/>
                <w:noProof/>
              </w:rPr>
              <w:t>2.9 Financial Weaknesses in a Nutshell.</w:t>
            </w:r>
            <w:r>
              <w:rPr>
                <w:noProof/>
                <w:webHidden/>
              </w:rPr>
              <w:tab/>
            </w:r>
            <w:r>
              <w:rPr>
                <w:noProof/>
                <w:webHidden/>
              </w:rPr>
              <w:fldChar w:fldCharType="begin"/>
            </w:r>
            <w:r>
              <w:rPr>
                <w:noProof/>
                <w:webHidden/>
              </w:rPr>
              <w:instrText xml:space="preserve"> PAGEREF _Toc216698874 \h </w:instrText>
            </w:r>
            <w:r>
              <w:rPr>
                <w:noProof/>
                <w:webHidden/>
              </w:rPr>
            </w:r>
            <w:r>
              <w:rPr>
                <w:noProof/>
                <w:webHidden/>
              </w:rPr>
              <w:fldChar w:fldCharType="separate"/>
            </w:r>
            <w:r>
              <w:rPr>
                <w:noProof/>
                <w:webHidden/>
              </w:rPr>
              <w:t>9</w:t>
            </w:r>
            <w:r>
              <w:rPr>
                <w:noProof/>
                <w:webHidden/>
              </w:rPr>
              <w:fldChar w:fldCharType="end"/>
            </w:r>
          </w:hyperlink>
        </w:p>
        <w:p w14:paraId="3AF5309E" w14:textId="34169D47" w:rsidR="007C3300" w:rsidRDefault="007C3300">
          <w:pPr>
            <w:pStyle w:val="TOC1"/>
            <w:tabs>
              <w:tab w:val="right" w:leader="dot" w:pos="9350"/>
            </w:tabs>
            <w:rPr>
              <w:rFonts w:eastAsiaTheme="minorEastAsia"/>
              <w:noProof/>
            </w:rPr>
          </w:pPr>
          <w:hyperlink w:anchor="_Toc216698875" w:history="1">
            <w:r w:rsidRPr="0008356B">
              <w:rPr>
                <w:rStyle w:val="Hyperlink"/>
                <w:rFonts w:ascii="Arial" w:hAnsi="Arial" w:cs="Arial"/>
                <w:b/>
                <w:bCs/>
                <w:noProof/>
              </w:rPr>
              <w:t>3. Working Capital Management Analysis.</w:t>
            </w:r>
            <w:r>
              <w:rPr>
                <w:noProof/>
                <w:webHidden/>
              </w:rPr>
              <w:tab/>
            </w:r>
            <w:r>
              <w:rPr>
                <w:noProof/>
                <w:webHidden/>
              </w:rPr>
              <w:fldChar w:fldCharType="begin"/>
            </w:r>
            <w:r>
              <w:rPr>
                <w:noProof/>
                <w:webHidden/>
              </w:rPr>
              <w:instrText xml:space="preserve"> PAGEREF _Toc216698875 \h </w:instrText>
            </w:r>
            <w:r>
              <w:rPr>
                <w:noProof/>
                <w:webHidden/>
              </w:rPr>
            </w:r>
            <w:r>
              <w:rPr>
                <w:noProof/>
                <w:webHidden/>
              </w:rPr>
              <w:fldChar w:fldCharType="separate"/>
            </w:r>
            <w:r>
              <w:rPr>
                <w:noProof/>
                <w:webHidden/>
              </w:rPr>
              <w:t>9</w:t>
            </w:r>
            <w:r>
              <w:rPr>
                <w:noProof/>
                <w:webHidden/>
              </w:rPr>
              <w:fldChar w:fldCharType="end"/>
            </w:r>
          </w:hyperlink>
        </w:p>
        <w:p w14:paraId="6B56EF38" w14:textId="270BA760" w:rsidR="007C3300" w:rsidRDefault="007C3300">
          <w:pPr>
            <w:pStyle w:val="TOC2"/>
            <w:tabs>
              <w:tab w:val="right" w:leader="dot" w:pos="9350"/>
            </w:tabs>
            <w:rPr>
              <w:rFonts w:eastAsiaTheme="minorEastAsia"/>
              <w:noProof/>
            </w:rPr>
          </w:pPr>
          <w:hyperlink w:anchor="_Toc216698876" w:history="1">
            <w:r w:rsidRPr="0008356B">
              <w:rPr>
                <w:rStyle w:val="Hyperlink"/>
                <w:rFonts w:ascii="Arial" w:hAnsi="Arial" w:cs="Arial"/>
                <w:b/>
                <w:bCs/>
                <w:noProof/>
              </w:rPr>
              <w:t>3.1 Cash Operating Cycle Analysis</w:t>
            </w:r>
            <w:r>
              <w:rPr>
                <w:noProof/>
                <w:webHidden/>
              </w:rPr>
              <w:tab/>
            </w:r>
            <w:r>
              <w:rPr>
                <w:noProof/>
                <w:webHidden/>
              </w:rPr>
              <w:fldChar w:fldCharType="begin"/>
            </w:r>
            <w:r>
              <w:rPr>
                <w:noProof/>
                <w:webHidden/>
              </w:rPr>
              <w:instrText xml:space="preserve"> PAGEREF _Toc216698876 \h </w:instrText>
            </w:r>
            <w:r>
              <w:rPr>
                <w:noProof/>
                <w:webHidden/>
              </w:rPr>
            </w:r>
            <w:r>
              <w:rPr>
                <w:noProof/>
                <w:webHidden/>
              </w:rPr>
              <w:fldChar w:fldCharType="separate"/>
            </w:r>
            <w:r>
              <w:rPr>
                <w:noProof/>
                <w:webHidden/>
              </w:rPr>
              <w:t>9</w:t>
            </w:r>
            <w:r>
              <w:rPr>
                <w:noProof/>
                <w:webHidden/>
              </w:rPr>
              <w:fldChar w:fldCharType="end"/>
            </w:r>
          </w:hyperlink>
        </w:p>
        <w:p w14:paraId="01241EAD" w14:textId="5638D943" w:rsidR="007C3300" w:rsidRDefault="007C3300">
          <w:pPr>
            <w:pStyle w:val="TOC2"/>
            <w:tabs>
              <w:tab w:val="right" w:leader="dot" w:pos="9350"/>
            </w:tabs>
            <w:rPr>
              <w:rFonts w:eastAsiaTheme="minorEastAsia"/>
              <w:noProof/>
            </w:rPr>
          </w:pPr>
          <w:hyperlink w:anchor="_Toc216698877" w:history="1">
            <w:r w:rsidRPr="0008356B">
              <w:rPr>
                <w:rStyle w:val="Hyperlink"/>
                <w:rFonts w:ascii="Arial" w:hAnsi="Arial" w:cs="Arial"/>
                <w:b/>
                <w:bCs/>
                <w:noProof/>
              </w:rPr>
              <w:t>3.2 Liquidity Challenges</w:t>
            </w:r>
            <w:r>
              <w:rPr>
                <w:noProof/>
                <w:webHidden/>
              </w:rPr>
              <w:tab/>
            </w:r>
            <w:r>
              <w:rPr>
                <w:noProof/>
                <w:webHidden/>
              </w:rPr>
              <w:fldChar w:fldCharType="begin"/>
            </w:r>
            <w:r>
              <w:rPr>
                <w:noProof/>
                <w:webHidden/>
              </w:rPr>
              <w:instrText xml:space="preserve"> PAGEREF _Toc216698877 \h </w:instrText>
            </w:r>
            <w:r>
              <w:rPr>
                <w:noProof/>
                <w:webHidden/>
              </w:rPr>
            </w:r>
            <w:r>
              <w:rPr>
                <w:noProof/>
                <w:webHidden/>
              </w:rPr>
              <w:fldChar w:fldCharType="separate"/>
            </w:r>
            <w:r>
              <w:rPr>
                <w:noProof/>
                <w:webHidden/>
              </w:rPr>
              <w:t>10</w:t>
            </w:r>
            <w:r>
              <w:rPr>
                <w:noProof/>
                <w:webHidden/>
              </w:rPr>
              <w:fldChar w:fldCharType="end"/>
            </w:r>
          </w:hyperlink>
        </w:p>
        <w:p w14:paraId="61B9728A" w14:textId="69C92EBE" w:rsidR="007C3300" w:rsidRDefault="007C3300">
          <w:pPr>
            <w:pStyle w:val="TOC2"/>
            <w:tabs>
              <w:tab w:val="right" w:leader="dot" w:pos="9350"/>
            </w:tabs>
            <w:rPr>
              <w:rFonts w:eastAsiaTheme="minorEastAsia"/>
              <w:noProof/>
            </w:rPr>
          </w:pPr>
          <w:hyperlink w:anchor="_Toc216698878" w:history="1">
            <w:r w:rsidRPr="0008356B">
              <w:rPr>
                <w:rStyle w:val="Hyperlink"/>
                <w:rFonts w:ascii="Arial" w:hAnsi="Arial" w:cs="Arial"/>
                <w:b/>
                <w:bCs/>
                <w:noProof/>
              </w:rPr>
              <w:t>3.3 Working Capital Improvement Strategies</w:t>
            </w:r>
            <w:r>
              <w:rPr>
                <w:noProof/>
                <w:webHidden/>
              </w:rPr>
              <w:tab/>
            </w:r>
            <w:r>
              <w:rPr>
                <w:noProof/>
                <w:webHidden/>
              </w:rPr>
              <w:fldChar w:fldCharType="begin"/>
            </w:r>
            <w:r>
              <w:rPr>
                <w:noProof/>
                <w:webHidden/>
              </w:rPr>
              <w:instrText xml:space="preserve"> PAGEREF _Toc216698878 \h </w:instrText>
            </w:r>
            <w:r>
              <w:rPr>
                <w:noProof/>
                <w:webHidden/>
              </w:rPr>
            </w:r>
            <w:r>
              <w:rPr>
                <w:noProof/>
                <w:webHidden/>
              </w:rPr>
              <w:fldChar w:fldCharType="separate"/>
            </w:r>
            <w:r>
              <w:rPr>
                <w:noProof/>
                <w:webHidden/>
              </w:rPr>
              <w:t>11</w:t>
            </w:r>
            <w:r>
              <w:rPr>
                <w:noProof/>
                <w:webHidden/>
              </w:rPr>
              <w:fldChar w:fldCharType="end"/>
            </w:r>
          </w:hyperlink>
        </w:p>
        <w:p w14:paraId="226C11F8" w14:textId="07C5A43B" w:rsidR="007C3300" w:rsidRDefault="007C3300">
          <w:pPr>
            <w:pStyle w:val="TOC2"/>
            <w:tabs>
              <w:tab w:val="right" w:leader="dot" w:pos="9350"/>
            </w:tabs>
            <w:rPr>
              <w:rFonts w:eastAsiaTheme="minorEastAsia"/>
              <w:noProof/>
            </w:rPr>
          </w:pPr>
          <w:hyperlink w:anchor="_Toc216698879" w:history="1">
            <w:r w:rsidRPr="0008356B">
              <w:rPr>
                <w:rStyle w:val="Hyperlink"/>
                <w:rFonts w:ascii="Arial" w:hAnsi="Arial" w:cs="Arial"/>
                <w:b/>
                <w:bCs/>
                <w:noProof/>
              </w:rPr>
              <w:t>3.4 Decision between Short-term and Long-term Financing.</w:t>
            </w:r>
            <w:r>
              <w:rPr>
                <w:noProof/>
                <w:webHidden/>
              </w:rPr>
              <w:tab/>
            </w:r>
            <w:r>
              <w:rPr>
                <w:noProof/>
                <w:webHidden/>
              </w:rPr>
              <w:fldChar w:fldCharType="begin"/>
            </w:r>
            <w:r>
              <w:rPr>
                <w:noProof/>
                <w:webHidden/>
              </w:rPr>
              <w:instrText xml:space="preserve"> PAGEREF _Toc216698879 \h </w:instrText>
            </w:r>
            <w:r>
              <w:rPr>
                <w:noProof/>
                <w:webHidden/>
              </w:rPr>
            </w:r>
            <w:r>
              <w:rPr>
                <w:noProof/>
                <w:webHidden/>
              </w:rPr>
              <w:fldChar w:fldCharType="separate"/>
            </w:r>
            <w:r>
              <w:rPr>
                <w:noProof/>
                <w:webHidden/>
              </w:rPr>
              <w:t>11</w:t>
            </w:r>
            <w:r>
              <w:rPr>
                <w:noProof/>
                <w:webHidden/>
              </w:rPr>
              <w:fldChar w:fldCharType="end"/>
            </w:r>
          </w:hyperlink>
        </w:p>
        <w:p w14:paraId="26FA235F" w14:textId="04DD6107" w:rsidR="007C3300" w:rsidRDefault="007C3300">
          <w:pPr>
            <w:pStyle w:val="TOC1"/>
            <w:tabs>
              <w:tab w:val="right" w:leader="dot" w:pos="9350"/>
            </w:tabs>
            <w:rPr>
              <w:rFonts w:eastAsiaTheme="minorEastAsia"/>
              <w:noProof/>
            </w:rPr>
          </w:pPr>
          <w:hyperlink w:anchor="_Toc216698880" w:history="1">
            <w:r w:rsidRPr="0008356B">
              <w:rPr>
                <w:rStyle w:val="Hyperlink"/>
                <w:rFonts w:ascii="Arial" w:hAnsi="Arial" w:cs="Arial"/>
                <w:b/>
                <w:bCs/>
                <w:noProof/>
              </w:rPr>
              <w:t>4. Strategic Financial Restructuring Plan.</w:t>
            </w:r>
            <w:r>
              <w:rPr>
                <w:noProof/>
                <w:webHidden/>
              </w:rPr>
              <w:tab/>
            </w:r>
            <w:r>
              <w:rPr>
                <w:noProof/>
                <w:webHidden/>
              </w:rPr>
              <w:fldChar w:fldCharType="begin"/>
            </w:r>
            <w:r>
              <w:rPr>
                <w:noProof/>
                <w:webHidden/>
              </w:rPr>
              <w:instrText xml:space="preserve"> PAGEREF _Toc216698880 \h </w:instrText>
            </w:r>
            <w:r>
              <w:rPr>
                <w:noProof/>
                <w:webHidden/>
              </w:rPr>
            </w:r>
            <w:r>
              <w:rPr>
                <w:noProof/>
                <w:webHidden/>
              </w:rPr>
              <w:fldChar w:fldCharType="separate"/>
            </w:r>
            <w:r>
              <w:rPr>
                <w:noProof/>
                <w:webHidden/>
              </w:rPr>
              <w:t>12</w:t>
            </w:r>
            <w:r>
              <w:rPr>
                <w:noProof/>
                <w:webHidden/>
              </w:rPr>
              <w:fldChar w:fldCharType="end"/>
            </w:r>
          </w:hyperlink>
        </w:p>
        <w:p w14:paraId="652BC9E7" w14:textId="1A7C002E" w:rsidR="007C3300" w:rsidRDefault="007C3300">
          <w:pPr>
            <w:pStyle w:val="TOC2"/>
            <w:tabs>
              <w:tab w:val="right" w:leader="dot" w:pos="9350"/>
            </w:tabs>
            <w:rPr>
              <w:rFonts w:eastAsiaTheme="minorEastAsia"/>
              <w:noProof/>
            </w:rPr>
          </w:pPr>
          <w:hyperlink w:anchor="_Toc216698881" w:history="1">
            <w:r w:rsidRPr="0008356B">
              <w:rPr>
                <w:rStyle w:val="Hyperlink"/>
                <w:rFonts w:ascii="Arial" w:hAnsi="Arial" w:cs="Arial"/>
                <w:b/>
                <w:bCs/>
                <w:noProof/>
              </w:rPr>
              <w:t>4.1 Financial Restructuring is required.</w:t>
            </w:r>
            <w:r>
              <w:rPr>
                <w:noProof/>
                <w:webHidden/>
              </w:rPr>
              <w:tab/>
            </w:r>
            <w:r>
              <w:rPr>
                <w:noProof/>
                <w:webHidden/>
              </w:rPr>
              <w:fldChar w:fldCharType="begin"/>
            </w:r>
            <w:r>
              <w:rPr>
                <w:noProof/>
                <w:webHidden/>
              </w:rPr>
              <w:instrText xml:space="preserve"> PAGEREF _Toc216698881 \h </w:instrText>
            </w:r>
            <w:r>
              <w:rPr>
                <w:noProof/>
                <w:webHidden/>
              </w:rPr>
            </w:r>
            <w:r>
              <w:rPr>
                <w:noProof/>
                <w:webHidden/>
              </w:rPr>
              <w:fldChar w:fldCharType="separate"/>
            </w:r>
            <w:r>
              <w:rPr>
                <w:noProof/>
                <w:webHidden/>
              </w:rPr>
              <w:t>12</w:t>
            </w:r>
            <w:r>
              <w:rPr>
                <w:noProof/>
                <w:webHidden/>
              </w:rPr>
              <w:fldChar w:fldCharType="end"/>
            </w:r>
          </w:hyperlink>
        </w:p>
        <w:p w14:paraId="5BED8D51" w14:textId="353A4BC7" w:rsidR="007C3300" w:rsidRDefault="007C3300">
          <w:pPr>
            <w:pStyle w:val="TOC2"/>
            <w:tabs>
              <w:tab w:val="right" w:leader="dot" w:pos="9350"/>
            </w:tabs>
            <w:rPr>
              <w:rFonts w:eastAsiaTheme="minorEastAsia"/>
              <w:noProof/>
            </w:rPr>
          </w:pPr>
          <w:hyperlink w:anchor="_Toc216698882" w:history="1">
            <w:r w:rsidRPr="0008356B">
              <w:rPr>
                <w:rStyle w:val="Hyperlink"/>
                <w:rFonts w:ascii="Arial" w:hAnsi="Arial" w:cs="Arial"/>
                <w:b/>
                <w:bCs/>
                <w:noProof/>
              </w:rPr>
              <w:t>4.2 Proposed Restructuring Alternatives.</w:t>
            </w:r>
            <w:r>
              <w:rPr>
                <w:noProof/>
                <w:webHidden/>
              </w:rPr>
              <w:tab/>
            </w:r>
            <w:r>
              <w:rPr>
                <w:noProof/>
                <w:webHidden/>
              </w:rPr>
              <w:fldChar w:fldCharType="begin"/>
            </w:r>
            <w:r>
              <w:rPr>
                <w:noProof/>
                <w:webHidden/>
              </w:rPr>
              <w:instrText xml:space="preserve"> PAGEREF _Toc216698882 \h </w:instrText>
            </w:r>
            <w:r>
              <w:rPr>
                <w:noProof/>
                <w:webHidden/>
              </w:rPr>
            </w:r>
            <w:r>
              <w:rPr>
                <w:noProof/>
                <w:webHidden/>
              </w:rPr>
              <w:fldChar w:fldCharType="separate"/>
            </w:r>
            <w:r>
              <w:rPr>
                <w:noProof/>
                <w:webHidden/>
              </w:rPr>
              <w:t>13</w:t>
            </w:r>
            <w:r>
              <w:rPr>
                <w:noProof/>
                <w:webHidden/>
              </w:rPr>
              <w:fldChar w:fldCharType="end"/>
            </w:r>
          </w:hyperlink>
        </w:p>
        <w:p w14:paraId="43533391" w14:textId="165B5EC1" w:rsidR="007C3300" w:rsidRDefault="007C3300">
          <w:pPr>
            <w:pStyle w:val="TOC2"/>
            <w:tabs>
              <w:tab w:val="right" w:leader="dot" w:pos="9350"/>
            </w:tabs>
            <w:rPr>
              <w:rFonts w:eastAsiaTheme="minorEastAsia"/>
              <w:noProof/>
            </w:rPr>
          </w:pPr>
          <w:hyperlink w:anchor="_Toc216698883" w:history="1">
            <w:r w:rsidRPr="0008356B">
              <w:rPr>
                <w:rStyle w:val="Hyperlink"/>
                <w:rFonts w:ascii="Arial" w:hAnsi="Arial" w:cs="Arial"/>
                <w:b/>
                <w:bCs/>
                <w:noProof/>
              </w:rPr>
              <w:t>4.3. Restructuring of Finances</w:t>
            </w:r>
            <w:r>
              <w:rPr>
                <w:noProof/>
                <w:webHidden/>
              </w:rPr>
              <w:tab/>
            </w:r>
            <w:r>
              <w:rPr>
                <w:noProof/>
                <w:webHidden/>
              </w:rPr>
              <w:fldChar w:fldCharType="begin"/>
            </w:r>
            <w:r>
              <w:rPr>
                <w:noProof/>
                <w:webHidden/>
              </w:rPr>
              <w:instrText xml:space="preserve"> PAGEREF _Toc216698883 \h </w:instrText>
            </w:r>
            <w:r>
              <w:rPr>
                <w:noProof/>
                <w:webHidden/>
              </w:rPr>
            </w:r>
            <w:r>
              <w:rPr>
                <w:noProof/>
                <w:webHidden/>
              </w:rPr>
              <w:fldChar w:fldCharType="separate"/>
            </w:r>
            <w:r>
              <w:rPr>
                <w:noProof/>
                <w:webHidden/>
              </w:rPr>
              <w:t>14</w:t>
            </w:r>
            <w:r>
              <w:rPr>
                <w:noProof/>
                <w:webHidden/>
              </w:rPr>
              <w:fldChar w:fldCharType="end"/>
            </w:r>
          </w:hyperlink>
        </w:p>
        <w:p w14:paraId="69EE2507" w14:textId="4B32C133" w:rsidR="007C3300" w:rsidRDefault="007C3300">
          <w:pPr>
            <w:pStyle w:val="TOC2"/>
            <w:tabs>
              <w:tab w:val="right" w:leader="dot" w:pos="9350"/>
            </w:tabs>
            <w:rPr>
              <w:rFonts w:eastAsiaTheme="minorEastAsia"/>
              <w:noProof/>
            </w:rPr>
          </w:pPr>
          <w:hyperlink w:anchor="_Toc216698884" w:history="1">
            <w:r w:rsidRPr="0008356B">
              <w:rPr>
                <w:rStyle w:val="Hyperlink"/>
                <w:rFonts w:ascii="Arial" w:hAnsi="Arial" w:cs="Arial"/>
                <w:b/>
                <w:bCs/>
                <w:noProof/>
              </w:rPr>
              <w:t>4.4 International and Ethical considerations.</w:t>
            </w:r>
            <w:r>
              <w:rPr>
                <w:noProof/>
                <w:webHidden/>
              </w:rPr>
              <w:tab/>
            </w:r>
            <w:r>
              <w:rPr>
                <w:noProof/>
                <w:webHidden/>
              </w:rPr>
              <w:fldChar w:fldCharType="begin"/>
            </w:r>
            <w:r>
              <w:rPr>
                <w:noProof/>
                <w:webHidden/>
              </w:rPr>
              <w:instrText xml:space="preserve"> PAGEREF _Toc216698884 \h </w:instrText>
            </w:r>
            <w:r>
              <w:rPr>
                <w:noProof/>
                <w:webHidden/>
              </w:rPr>
            </w:r>
            <w:r>
              <w:rPr>
                <w:noProof/>
                <w:webHidden/>
              </w:rPr>
              <w:fldChar w:fldCharType="separate"/>
            </w:r>
            <w:r>
              <w:rPr>
                <w:noProof/>
                <w:webHidden/>
              </w:rPr>
              <w:t>15</w:t>
            </w:r>
            <w:r>
              <w:rPr>
                <w:noProof/>
                <w:webHidden/>
              </w:rPr>
              <w:fldChar w:fldCharType="end"/>
            </w:r>
          </w:hyperlink>
        </w:p>
        <w:p w14:paraId="700F7833" w14:textId="7EE7B332" w:rsidR="007C3300" w:rsidRDefault="007C3300">
          <w:pPr>
            <w:pStyle w:val="TOC2"/>
            <w:tabs>
              <w:tab w:val="right" w:leader="dot" w:pos="9350"/>
            </w:tabs>
            <w:rPr>
              <w:rFonts w:eastAsiaTheme="minorEastAsia"/>
              <w:noProof/>
            </w:rPr>
          </w:pPr>
          <w:hyperlink w:anchor="_Toc216698885" w:history="1">
            <w:r w:rsidRPr="0008356B">
              <w:rPr>
                <w:rStyle w:val="Hyperlink"/>
                <w:rFonts w:ascii="Arial" w:hAnsi="Arial" w:cs="Arial"/>
                <w:b/>
                <w:bCs/>
                <w:noProof/>
              </w:rPr>
              <w:t>4.5 Feasibility and Risk Assessment.</w:t>
            </w:r>
            <w:r>
              <w:rPr>
                <w:noProof/>
                <w:webHidden/>
              </w:rPr>
              <w:tab/>
            </w:r>
            <w:r>
              <w:rPr>
                <w:noProof/>
                <w:webHidden/>
              </w:rPr>
              <w:fldChar w:fldCharType="begin"/>
            </w:r>
            <w:r>
              <w:rPr>
                <w:noProof/>
                <w:webHidden/>
              </w:rPr>
              <w:instrText xml:space="preserve"> PAGEREF _Toc216698885 \h </w:instrText>
            </w:r>
            <w:r>
              <w:rPr>
                <w:noProof/>
                <w:webHidden/>
              </w:rPr>
            </w:r>
            <w:r>
              <w:rPr>
                <w:noProof/>
                <w:webHidden/>
              </w:rPr>
              <w:fldChar w:fldCharType="separate"/>
            </w:r>
            <w:r>
              <w:rPr>
                <w:noProof/>
                <w:webHidden/>
              </w:rPr>
              <w:t>15</w:t>
            </w:r>
            <w:r>
              <w:rPr>
                <w:noProof/>
                <w:webHidden/>
              </w:rPr>
              <w:fldChar w:fldCharType="end"/>
            </w:r>
          </w:hyperlink>
        </w:p>
        <w:p w14:paraId="1C8323A2" w14:textId="3C3C39EE" w:rsidR="007C3300" w:rsidRDefault="007C3300">
          <w:pPr>
            <w:pStyle w:val="TOC1"/>
            <w:tabs>
              <w:tab w:val="right" w:leader="dot" w:pos="9350"/>
            </w:tabs>
            <w:rPr>
              <w:rFonts w:eastAsiaTheme="minorEastAsia"/>
              <w:noProof/>
            </w:rPr>
          </w:pPr>
          <w:hyperlink w:anchor="_Toc216698886" w:history="1">
            <w:r w:rsidRPr="0008356B">
              <w:rPr>
                <w:rStyle w:val="Hyperlink"/>
                <w:rFonts w:ascii="Arial" w:hAnsi="Arial" w:cs="Arial"/>
                <w:b/>
                <w:bCs/>
                <w:noProof/>
              </w:rPr>
              <w:t>5. Investment Appraisal Capital Budgeting.</w:t>
            </w:r>
            <w:r>
              <w:rPr>
                <w:noProof/>
                <w:webHidden/>
              </w:rPr>
              <w:tab/>
            </w:r>
            <w:r>
              <w:rPr>
                <w:noProof/>
                <w:webHidden/>
              </w:rPr>
              <w:fldChar w:fldCharType="begin"/>
            </w:r>
            <w:r>
              <w:rPr>
                <w:noProof/>
                <w:webHidden/>
              </w:rPr>
              <w:instrText xml:space="preserve"> PAGEREF _Toc216698886 \h </w:instrText>
            </w:r>
            <w:r>
              <w:rPr>
                <w:noProof/>
                <w:webHidden/>
              </w:rPr>
            </w:r>
            <w:r>
              <w:rPr>
                <w:noProof/>
                <w:webHidden/>
              </w:rPr>
              <w:fldChar w:fldCharType="separate"/>
            </w:r>
            <w:r>
              <w:rPr>
                <w:noProof/>
                <w:webHidden/>
              </w:rPr>
              <w:t>16</w:t>
            </w:r>
            <w:r>
              <w:rPr>
                <w:noProof/>
                <w:webHidden/>
              </w:rPr>
              <w:fldChar w:fldCharType="end"/>
            </w:r>
          </w:hyperlink>
        </w:p>
        <w:p w14:paraId="6DFAAEED" w14:textId="77D92EB4" w:rsidR="007C3300" w:rsidRDefault="007C3300">
          <w:pPr>
            <w:pStyle w:val="TOC2"/>
            <w:tabs>
              <w:tab w:val="right" w:leader="dot" w:pos="9350"/>
            </w:tabs>
            <w:rPr>
              <w:rFonts w:eastAsiaTheme="minorEastAsia"/>
              <w:noProof/>
            </w:rPr>
          </w:pPr>
          <w:hyperlink w:anchor="_Toc216698887" w:history="1">
            <w:r w:rsidRPr="0008356B">
              <w:rPr>
                <w:rStyle w:val="Hyperlink"/>
                <w:rFonts w:ascii="Arial" w:hAnsi="Arial" w:cs="Arial"/>
                <w:b/>
                <w:bCs/>
                <w:noProof/>
              </w:rPr>
              <w:t>5.1.1 Introduction to Proposed projects.</w:t>
            </w:r>
            <w:r>
              <w:rPr>
                <w:noProof/>
                <w:webHidden/>
              </w:rPr>
              <w:tab/>
            </w:r>
            <w:r>
              <w:rPr>
                <w:noProof/>
                <w:webHidden/>
              </w:rPr>
              <w:fldChar w:fldCharType="begin"/>
            </w:r>
            <w:r>
              <w:rPr>
                <w:noProof/>
                <w:webHidden/>
              </w:rPr>
              <w:instrText xml:space="preserve"> PAGEREF _Toc216698887 \h </w:instrText>
            </w:r>
            <w:r>
              <w:rPr>
                <w:noProof/>
                <w:webHidden/>
              </w:rPr>
            </w:r>
            <w:r>
              <w:rPr>
                <w:noProof/>
                <w:webHidden/>
              </w:rPr>
              <w:fldChar w:fldCharType="separate"/>
            </w:r>
            <w:r>
              <w:rPr>
                <w:noProof/>
                <w:webHidden/>
              </w:rPr>
              <w:t>16</w:t>
            </w:r>
            <w:r>
              <w:rPr>
                <w:noProof/>
                <w:webHidden/>
              </w:rPr>
              <w:fldChar w:fldCharType="end"/>
            </w:r>
          </w:hyperlink>
        </w:p>
        <w:p w14:paraId="4515B953" w14:textId="26881518" w:rsidR="007C3300" w:rsidRDefault="007C3300">
          <w:pPr>
            <w:pStyle w:val="TOC2"/>
            <w:tabs>
              <w:tab w:val="right" w:leader="dot" w:pos="9350"/>
            </w:tabs>
            <w:rPr>
              <w:rFonts w:eastAsiaTheme="minorEastAsia"/>
              <w:noProof/>
            </w:rPr>
          </w:pPr>
          <w:hyperlink w:anchor="_Toc216698888" w:history="1">
            <w:r w:rsidRPr="0008356B">
              <w:rPr>
                <w:rStyle w:val="Hyperlink"/>
                <w:rFonts w:ascii="Arial" w:hAnsi="Arial" w:cs="Arial"/>
                <w:b/>
                <w:bCs/>
                <w:noProof/>
              </w:rPr>
              <w:t>5.2 Payback &amp; ARR Results</w:t>
            </w:r>
            <w:r>
              <w:rPr>
                <w:noProof/>
                <w:webHidden/>
              </w:rPr>
              <w:tab/>
            </w:r>
            <w:r>
              <w:rPr>
                <w:noProof/>
                <w:webHidden/>
              </w:rPr>
              <w:fldChar w:fldCharType="begin"/>
            </w:r>
            <w:r>
              <w:rPr>
                <w:noProof/>
                <w:webHidden/>
              </w:rPr>
              <w:instrText xml:space="preserve"> PAGEREF _Toc216698888 \h </w:instrText>
            </w:r>
            <w:r>
              <w:rPr>
                <w:noProof/>
                <w:webHidden/>
              </w:rPr>
            </w:r>
            <w:r>
              <w:rPr>
                <w:noProof/>
                <w:webHidden/>
              </w:rPr>
              <w:fldChar w:fldCharType="separate"/>
            </w:r>
            <w:r>
              <w:rPr>
                <w:noProof/>
                <w:webHidden/>
              </w:rPr>
              <w:t>17</w:t>
            </w:r>
            <w:r>
              <w:rPr>
                <w:noProof/>
                <w:webHidden/>
              </w:rPr>
              <w:fldChar w:fldCharType="end"/>
            </w:r>
          </w:hyperlink>
        </w:p>
        <w:p w14:paraId="6D738F79" w14:textId="408732FB" w:rsidR="007C3300" w:rsidRDefault="007C3300">
          <w:pPr>
            <w:pStyle w:val="TOC2"/>
            <w:tabs>
              <w:tab w:val="right" w:leader="dot" w:pos="9350"/>
            </w:tabs>
            <w:rPr>
              <w:rFonts w:eastAsiaTheme="minorEastAsia"/>
              <w:noProof/>
            </w:rPr>
          </w:pPr>
          <w:hyperlink w:anchor="_Toc216698889" w:history="1">
            <w:r w:rsidRPr="0008356B">
              <w:rPr>
                <w:rStyle w:val="Hyperlink"/>
                <w:rFonts w:ascii="Arial" w:hAnsi="Arial" w:cs="Arial"/>
                <w:b/>
                <w:bCs/>
                <w:noProof/>
              </w:rPr>
              <w:t>5.3 NPV, IRR &amp; PI Analysis</w:t>
            </w:r>
            <w:r>
              <w:rPr>
                <w:noProof/>
                <w:webHidden/>
              </w:rPr>
              <w:tab/>
            </w:r>
            <w:r>
              <w:rPr>
                <w:noProof/>
                <w:webHidden/>
              </w:rPr>
              <w:fldChar w:fldCharType="begin"/>
            </w:r>
            <w:r>
              <w:rPr>
                <w:noProof/>
                <w:webHidden/>
              </w:rPr>
              <w:instrText xml:space="preserve"> PAGEREF _Toc216698889 \h </w:instrText>
            </w:r>
            <w:r>
              <w:rPr>
                <w:noProof/>
                <w:webHidden/>
              </w:rPr>
            </w:r>
            <w:r>
              <w:rPr>
                <w:noProof/>
                <w:webHidden/>
              </w:rPr>
              <w:fldChar w:fldCharType="separate"/>
            </w:r>
            <w:r>
              <w:rPr>
                <w:noProof/>
                <w:webHidden/>
              </w:rPr>
              <w:t>17</w:t>
            </w:r>
            <w:r>
              <w:rPr>
                <w:noProof/>
                <w:webHidden/>
              </w:rPr>
              <w:fldChar w:fldCharType="end"/>
            </w:r>
          </w:hyperlink>
        </w:p>
        <w:p w14:paraId="05540B7F" w14:textId="4128DFD8" w:rsidR="007C3300" w:rsidRDefault="007C3300">
          <w:pPr>
            <w:pStyle w:val="TOC2"/>
            <w:tabs>
              <w:tab w:val="right" w:leader="dot" w:pos="9350"/>
            </w:tabs>
            <w:rPr>
              <w:rFonts w:eastAsiaTheme="minorEastAsia"/>
              <w:noProof/>
            </w:rPr>
          </w:pPr>
          <w:hyperlink w:anchor="_Toc216698890" w:history="1">
            <w:r w:rsidRPr="0008356B">
              <w:rPr>
                <w:rStyle w:val="Hyperlink"/>
                <w:rFonts w:ascii="Arial" w:hAnsi="Arial" w:cs="Arial"/>
                <w:b/>
                <w:bCs/>
                <w:noProof/>
              </w:rPr>
              <w:t>5.4 Capital Rationing Decision</w:t>
            </w:r>
            <w:r>
              <w:rPr>
                <w:noProof/>
                <w:webHidden/>
              </w:rPr>
              <w:tab/>
            </w:r>
            <w:r>
              <w:rPr>
                <w:noProof/>
                <w:webHidden/>
              </w:rPr>
              <w:fldChar w:fldCharType="begin"/>
            </w:r>
            <w:r>
              <w:rPr>
                <w:noProof/>
                <w:webHidden/>
              </w:rPr>
              <w:instrText xml:space="preserve"> PAGEREF _Toc216698890 \h </w:instrText>
            </w:r>
            <w:r>
              <w:rPr>
                <w:noProof/>
                <w:webHidden/>
              </w:rPr>
            </w:r>
            <w:r>
              <w:rPr>
                <w:noProof/>
                <w:webHidden/>
              </w:rPr>
              <w:fldChar w:fldCharType="separate"/>
            </w:r>
            <w:r>
              <w:rPr>
                <w:noProof/>
                <w:webHidden/>
              </w:rPr>
              <w:t>19</w:t>
            </w:r>
            <w:r>
              <w:rPr>
                <w:noProof/>
                <w:webHidden/>
              </w:rPr>
              <w:fldChar w:fldCharType="end"/>
            </w:r>
          </w:hyperlink>
        </w:p>
        <w:p w14:paraId="0449C867" w14:textId="683F6F7B" w:rsidR="007C3300" w:rsidRDefault="007C3300">
          <w:pPr>
            <w:pStyle w:val="TOC1"/>
            <w:tabs>
              <w:tab w:val="right" w:leader="dot" w:pos="9350"/>
            </w:tabs>
            <w:rPr>
              <w:rFonts w:eastAsiaTheme="minorEastAsia"/>
              <w:noProof/>
            </w:rPr>
          </w:pPr>
          <w:hyperlink w:anchor="_Toc216698891" w:history="1">
            <w:r w:rsidRPr="0008356B">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_Toc216698891 \h </w:instrText>
            </w:r>
            <w:r>
              <w:rPr>
                <w:noProof/>
                <w:webHidden/>
              </w:rPr>
            </w:r>
            <w:r>
              <w:rPr>
                <w:noProof/>
                <w:webHidden/>
              </w:rPr>
              <w:fldChar w:fldCharType="separate"/>
            </w:r>
            <w:r>
              <w:rPr>
                <w:noProof/>
                <w:webHidden/>
              </w:rPr>
              <w:t>20</w:t>
            </w:r>
            <w:r>
              <w:rPr>
                <w:noProof/>
                <w:webHidden/>
              </w:rPr>
              <w:fldChar w:fldCharType="end"/>
            </w:r>
          </w:hyperlink>
        </w:p>
        <w:p w14:paraId="1D99D2EA" w14:textId="1C703884" w:rsidR="007C3300" w:rsidRDefault="007C3300">
          <w:pPr>
            <w:pStyle w:val="TOC1"/>
            <w:tabs>
              <w:tab w:val="right" w:leader="dot" w:pos="9350"/>
            </w:tabs>
            <w:rPr>
              <w:rFonts w:eastAsiaTheme="minorEastAsia"/>
              <w:noProof/>
            </w:rPr>
          </w:pPr>
          <w:hyperlink w:anchor="_Toc216698892" w:history="1">
            <w:r w:rsidRPr="0008356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_Toc216698892 \h </w:instrText>
            </w:r>
            <w:r>
              <w:rPr>
                <w:noProof/>
                <w:webHidden/>
              </w:rPr>
            </w:r>
            <w:r>
              <w:rPr>
                <w:noProof/>
                <w:webHidden/>
              </w:rPr>
              <w:fldChar w:fldCharType="separate"/>
            </w:r>
            <w:r>
              <w:rPr>
                <w:noProof/>
                <w:webHidden/>
              </w:rPr>
              <w:t>22</w:t>
            </w:r>
            <w:r>
              <w:rPr>
                <w:noProof/>
                <w:webHidden/>
              </w:rPr>
              <w:fldChar w:fldCharType="end"/>
            </w:r>
          </w:hyperlink>
        </w:p>
        <w:p w14:paraId="313D1707" w14:textId="3DD0D26F" w:rsidR="007C3300" w:rsidRDefault="007C3300">
          <w:pPr>
            <w:pStyle w:val="TOC1"/>
            <w:tabs>
              <w:tab w:val="right" w:leader="dot" w:pos="9350"/>
            </w:tabs>
            <w:rPr>
              <w:rFonts w:eastAsiaTheme="minorEastAsia"/>
              <w:noProof/>
            </w:rPr>
          </w:pPr>
          <w:hyperlink w:anchor="_Toc216698893" w:history="1">
            <w:r w:rsidRPr="0008356B">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_Toc216698893 \h </w:instrText>
            </w:r>
            <w:r>
              <w:rPr>
                <w:noProof/>
                <w:webHidden/>
              </w:rPr>
            </w:r>
            <w:r>
              <w:rPr>
                <w:noProof/>
                <w:webHidden/>
              </w:rPr>
              <w:fldChar w:fldCharType="separate"/>
            </w:r>
            <w:r>
              <w:rPr>
                <w:noProof/>
                <w:webHidden/>
              </w:rPr>
              <w:t>24</w:t>
            </w:r>
            <w:r>
              <w:rPr>
                <w:noProof/>
                <w:webHidden/>
              </w:rPr>
              <w:fldChar w:fldCharType="end"/>
            </w:r>
          </w:hyperlink>
        </w:p>
        <w:p w14:paraId="0FA92DFB" w14:textId="381EA032" w:rsidR="007C3300" w:rsidRDefault="007C3300">
          <w:pPr>
            <w:pStyle w:val="TOC2"/>
            <w:tabs>
              <w:tab w:val="right" w:leader="dot" w:pos="9350"/>
            </w:tabs>
            <w:rPr>
              <w:rFonts w:eastAsiaTheme="minorEastAsia"/>
              <w:noProof/>
            </w:rPr>
          </w:pPr>
          <w:hyperlink w:anchor="_Toc216698894" w:history="1">
            <w:r w:rsidRPr="0008356B">
              <w:rPr>
                <w:rStyle w:val="Hyperlink"/>
                <w:rFonts w:ascii="Arial" w:hAnsi="Arial" w:cs="Arial"/>
                <w:b/>
                <w:bCs/>
                <w:noProof/>
              </w:rPr>
              <w:t>APPENDIX A: FINANCIAL RATIO CALCULATIONS (2020–2024)</w:t>
            </w:r>
            <w:r>
              <w:rPr>
                <w:noProof/>
                <w:webHidden/>
              </w:rPr>
              <w:tab/>
            </w:r>
            <w:r>
              <w:rPr>
                <w:noProof/>
                <w:webHidden/>
              </w:rPr>
              <w:fldChar w:fldCharType="begin"/>
            </w:r>
            <w:r>
              <w:rPr>
                <w:noProof/>
                <w:webHidden/>
              </w:rPr>
              <w:instrText xml:space="preserve"> PAGEREF _Toc216698894 \h </w:instrText>
            </w:r>
            <w:r>
              <w:rPr>
                <w:noProof/>
                <w:webHidden/>
              </w:rPr>
            </w:r>
            <w:r>
              <w:rPr>
                <w:noProof/>
                <w:webHidden/>
              </w:rPr>
              <w:fldChar w:fldCharType="separate"/>
            </w:r>
            <w:r>
              <w:rPr>
                <w:noProof/>
                <w:webHidden/>
              </w:rPr>
              <w:t>24</w:t>
            </w:r>
            <w:r>
              <w:rPr>
                <w:noProof/>
                <w:webHidden/>
              </w:rPr>
              <w:fldChar w:fldCharType="end"/>
            </w:r>
          </w:hyperlink>
        </w:p>
        <w:p w14:paraId="68559FC4" w14:textId="0316EB41" w:rsidR="007C3300" w:rsidRDefault="007C3300">
          <w:pPr>
            <w:pStyle w:val="TOC3"/>
            <w:tabs>
              <w:tab w:val="right" w:leader="dot" w:pos="9350"/>
            </w:tabs>
            <w:rPr>
              <w:rFonts w:eastAsiaTheme="minorEastAsia"/>
              <w:noProof/>
            </w:rPr>
          </w:pPr>
          <w:hyperlink w:anchor="_Toc216698895" w:history="1">
            <w:r w:rsidRPr="0008356B">
              <w:rPr>
                <w:rStyle w:val="Hyperlink"/>
                <w:rFonts w:ascii="Arial" w:hAnsi="Arial" w:cs="Arial"/>
                <w:b/>
                <w:bCs/>
                <w:noProof/>
              </w:rPr>
              <w:t>A1. Profitability Ratios</w:t>
            </w:r>
            <w:r>
              <w:rPr>
                <w:noProof/>
                <w:webHidden/>
              </w:rPr>
              <w:tab/>
            </w:r>
            <w:r>
              <w:rPr>
                <w:noProof/>
                <w:webHidden/>
              </w:rPr>
              <w:fldChar w:fldCharType="begin"/>
            </w:r>
            <w:r>
              <w:rPr>
                <w:noProof/>
                <w:webHidden/>
              </w:rPr>
              <w:instrText xml:space="preserve"> PAGEREF _Toc216698895 \h </w:instrText>
            </w:r>
            <w:r>
              <w:rPr>
                <w:noProof/>
                <w:webHidden/>
              </w:rPr>
            </w:r>
            <w:r>
              <w:rPr>
                <w:noProof/>
                <w:webHidden/>
              </w:rPr>
              <w:fldChar w:fldCharType="separate"/>
            </w:r>
            <w:r>
              <w:rPr>
                <w:noProof/>
                <w:webHidden/>
              </w:rPr>
              <w:t>24</w:t>
            </w:r>
            <w:r>
              <w:rPr>
                <w:noProof/>
                <w:webHidden/>
              </w:rPr>
              <w:fldChar w:fldCharType="end"/>
            </w:r>
          </w:hyperlink>
        </w:p>
        <w:p w14:paraId="37DF1B23" w14:textId="748EF31F" w:rsidR="007C3300" w:rsidRDefault="007C3300">
          <w:pPr>
            <w:pStyle w:val="TOC3"/>
            <w:tabs>
              <w:tab w:val="right" w:leader="dot" w:pos="9350"/>
            </w:tabs>
            <w:rPr>
              <w:rFonts w:eastAsiaTheme="minorEastAsia"/>
              <w:noProof/>
            </w:rPr>
          </w:pPr>
          <w:hyperlink w:anchor="_Toc216698896" w:history="1">
            <w:r w:rsidRPr="0008356B">
              <w:rPr>
                <w:rStyle w:val="Hyperlink"/>
                <w:rFonts w:ascii="Arial" w:hAnsi="Arial" w:cs="Arial"/>
                <w:b/>
                <w:bCs/>
                <w:noProof/>
              </w:rPr>
              <w:t>A2. Liquidity Ratios</w:t>
            </w:r>
            <w:r>
              <w:rPr>
                <w:noProof/>
                <w:webHidden/>
              </w:rPr>
              <w:tab/>
            </w:r>
            <w:r>
              <w:rPr>
                <w:noProof/>
                <w:webHidden/>
              </w:rPr>
              <w:fldChar w:fldCharType="begin"/>
            </w:r>
            <w:r>
              <w:rPr>
                <w:noProof/>
                <w:webHidden/>
              </w:rPr>
              <w:instrText xml:space="preserve"> PAGEREF _Toc216698896 \h </w:instrText>
            </w:r>
            <w:r>
              <w:rPr>
                <w:noProof/>
                <w:webHidden/>
              </w:rPr>
            </w:r>
            <w:r>
              <w:rPr>
                <w:noProof/>
                <w:webHidden/>
              </w:rPr>
              <w:fldChar w:fldCharType="separate"/>
            </w:r>
            <w:r>
              <w:rPr>
                <w:noProof/>
                <w:webHidden/>
              </w:rPr>
              <w:t>25</w:t>
            </w:r>
            <w:r>
              <w:rPr>
                <w:noProof/>
                <w:webHidden/>
              </w:rPr>
              <w:fldChar w:fldCharType="end"/>
            </w:r>
          </w:hyperlink>
        </w:p>
        <w:p w14:paraId="0520EE00" w14:textId="68B7EDD7" w:rsidR="007C3300" w:rsidRDefault="007C3300">
          <w:pPr>
            <w:pStyle w:val="TOC3"/>
            <w:tabs>
              <w:tab w:val="right" w:leader="dot" w:pos="9350"/>
            </w:tabs>
            <w:rPr>
              <w:rFonts w:eastAsiaTheme="minorEastAsia"/>
              <w:noProof/>
            </w:rPr>
          </w:pPr>
          <w:hyperlink w:anchor="_Toc216698897" w:history="1">
            <w:r w:rsidRPr="0008356B">
              <w:rPr>
                <w:rStyle w:val="Hyperlink"/>
                <w:rFonts w:ascii="Arial" w:hAnsi="Arial" w:cs="Arial"/>
                <w:b/>
                <w:bCs/>
                <w:noProof/>
              </w:rPr>
              <w:t>A3. Efficiency &amp; Working Capital Ratios</w:t>
            </w:r>
            <w:r>
              <w:rPr>
                <w:noProof/>
                <w:webHidden/>
              </w:rPr>
              <w:tab/>
            </w:r>
            <w:r>
              <w:rPr>
                <w:noProof/>
                <w:webHidden/>
              </w:rPr>
              <w:fldChar w:fldCharType="begin"/>
            </w:r>
            <w:r>
              <w:rPr>
                <w:noProof/>
                <w:webHidden/>
              </w:rPr>
              <w:instrText xml:space="preserve"> PAGEREF _Toc216698897 \h </w:instrText>
            </w:r>
            <w:r>
              <w:rPr>
                <w:noProof/>
                <w:webHidden/>
              </w:rPr>
            </w:r>
            <w:r>
              <w:rPr>
                <w:noProof/>
                <w:webHidden/>
              </w:rPr>
              <w:fldChar w:fldCharType="separate"/>
            </w:r>
            <w:r>
              <w:rPr>
                <w:noProof/>
                <w:webHidden/>
              </w:rPr>
              <w:t>26</w:t>
            </w:r>
            <w:r>
              <w:rPr>
                <w:noProof/>
                <w:webHidden/>
              </w:rPr>
              <w:fldChar w:fldCharType="end"/>
            </w:r>
          </w:hyperlink>
        </w:p>
        <w:p w14:paraId="5B573922" w14:textId="0194EAC9" w:rsidR="007C3300" w:rsidRDefault="007C3300">
          <w:pPr>
            <w:pStyle w:val="TOC3"/>
            <w:tabs>
              <w:tab w:val="right" w:leader="dot" w:pos="9350"/>
            </w:tabs>
            <w:rPr>
              <w:rFonts w:eastAsiaTheme="minorEastAsia"/>
              <w:noProof/>
            </w:rPr>
          </w:pPr>
          <w:hyperlink w:anchor="_Toc216698898" w:history="1">
            <w:r w:rsidRPr="0008356B">
              <w:rPr>
                <w:rStyle w:val="Hyperlink"/>
                <w:rFonts w:ascii="Arial" w:hAnsi="Arial" w:cs="Arial"/>
                <w:b/>
                <w:bCs/>
                <w:noProof/>
              </w:rPr>
              <w:t>A4. Gearing &amp; Solvency Ratios</w:t>
            </w:r>
            <w:r>
              <w:rPr>
                <w:noProof/>
                <w:webHidden/>
              </w:rPr>
              <w:tab/>
            </w:r>
            <w:r>
              <w:rPr>
                <w:noProof/>
                <w:webHidden/>
              </w:rPr>
              <w:fldChar w:fldCharType="begin"/>
            </w:r>
            <w:r>
              <w:rPr>
                <w:noProof/>
                <w:webHidden/>
              </w:rPr>
              <w:instrText xml:space="preserve"> PAGEREF _Toc216698898 \h </w:instrText>
            </w:r>
            <w:r>
              <w:rPr>
                <w:noProof/>
                <w:webHidden/>
              </w:rPr>
            </w:r>
            <w:r>
              <w:rPr>
                <w:noProof/>
                <w:webHidden/>
              </w:rPr>
              <w:fldChar w:fldCharType="separate"/>
            </w:r>
            <w:r>
              <w:rPr>
                <w:noProof/>
                <w:webHidden/>
              </w:rPr>
              <w:t>28</w:t>
            </w:r>
            <w:r>
              <w:rPr>
                <w:noProof/>
                <w:webHidden/>
              </w:rPr>
              <w:fldChar w:fldCharType="end"/>
            </w:r>
          </w:hyperlink>
        </w:p>
        <w:p w14:paraId="3C37C3F7" w14:textId="1B930646" w:rsidR="007C3300" w:rsidRDefault="007C3300">
          <w:pPr>
            <w:pStyle w:val="TOC3"/>
            <w:tabs>
              <w:tab w:val="right" w:leader="dot" w:pos="9350"/>
            </w:tabs>
            <w:rPr>
              <w:rFonts w:eastAsiaTheme="minorEastAsia"/>
              <w:noProof/>
            </w:rPr>
          </w:pPr>
          <w:hyperlink w:anchor="_Toc216698899" w:history="1">
            <w:r w:rsidRPr="0008356B">
              <w:rPr>
                <w:rStyle w:val="Hyperlink"/>
                <w:rFonts w:ascii="Arial" w:hAnsi="Arial" w:cs="Arial"/>
                <w:b/>
                <w:bCs/>
                <w:noProof/>
              </w:rPr>
              <w:t>A5. Investment &amp; Shareholder Ratios</w:t>
            </w:r>
            <w:r>
              <w:rPr>
                <w:noProof/>
                <w:webHidden/>
              </w:rPr>
              <w:tab/>
            </w:r>
            <w:r>
              <w:rPr>
                <w:noProof/>
                <w:webHidden/>
              </w:rPr>
              <w:fldChar w:fldCharType="begin"/>
            </w:r>
            <w:r>
              <w:rPr>
                <w:noProof/>
                <w:webHidden/>
              </w:rPr>
              <w:instrText xml:space="preserve"> PAGEREF _Toc216698899 \h </w:instrText>
            </w:r>
            <w:r>
              <w:rPr>
                <w:noProof/>
                <w:webHidden/>
              </w:rPr>
            </w:r>
            <w:r>
              <w:rPr>
                <w:noProof/>
                <w:webHidden/>
              </w:rPr>
              <w:fldChar w:fldCharType="separate"/>
            </w:r>
            <w:r>
              <w:rPr>
                <w:noProof/>
                <w:webHidden/>
              </w:rPr>
              <w:t>29</w:t>
            </w:r>
            <w:r>
              <w:rPr>
                <w:noProof/>
                <w:webHidden/>
              </w:rPr>
              <w:fldChar w:fldCharType="end"/>
            </w:r>
          </w:hyperlink>
        </w:p>
        <w:p w14:paraId="4265A2D0" w14:textId="13D56B33" w:rsidR="007C3300" w:rsidRDefault="007C3300">
          <w:pPr>
            <w:pStyle w:val="TOC3"/>
            <w:tabs>
              <w:tab w:val="right" w:leader="dot" w:pos="9350"/>
            </w:tabs>
            <w:rPr>
              <w:rFonts w:eastAsiaTheme="minorEastAsia"/>
              <w:noProof/>
            </w:rPr>
          </w:pPr>
          <w:hyperlink w:anchor="_Toc216698900" w:history="1">
            <w:r w:rsidRPr="0008356B">
              <w:rPr>
                <w:rStyle w:val="Hyperlink"/>
                <w:rFonts w:ascii="Arial" w:hAnsi="Arial" w:cs="Arial"/>
                <w:b/>
                <w:bCs/>
                <w:noProof/>
              </w:rPr>
              <w:t>A6. Cash Flow Ratios</w:t>
            </w:r>
            <w:r>
              <w:rPr>
                <w:noProof/>
                <w:webHidden/>
              </w:rPr>
              <w:tab/>
            </w:r>
            <w:r>
              <w:rPr>
                <w:noProof/>
                <w:webHidden/>
              </w:rPr>
              <w:fldChar w:fldCharType="begin"/>
            </w:r>
            <w:r>
              <w:rPr>
                <w:noProof/>
                <w:webHidden/>
              </w:rPr>
              <w:instrText xml:space="preserve"> PAGEREF _Toc216698900 \h </w:instrText>
            </w:r>
            <w:r>
              <w:rPr>
                <w:noProof/>
                <w:webHidden/>
              </w:rPr>
            </w:r>
            <w:r>
              <w:rPr>
                <w:noProof/>
                <w:webHidden/>
              </w:rPr>
              <w:fldChar w:fldCharType="separate"/>
            </w:r>
            <w:r>
              <w:rPr>
                <w:noProof/>
                <w:webHidden/>
              </w:rPr>
              <w:t>30</w:t>
            </w:r>
            <w:r>
              <w:rPr>
                <w:noProof/>
                <w:webHidden/>
              </w:rPr>
              <w:fldChar w:fldCharType="end"/>
            </w:r>
          </w:hyperlink>
        </w:p>
        <w:p w14:paraId="5023D55C" w14:textId="70E55271" w:rsidR="007C3300" w:rsidRDefault="007C3300">
          <w:pPr>
            <w:pStyle w:val="TOC3"/>
            <w:tabs>
              <w:tab w:val="right" w:leader="dot" w:pos="9350"/>
            </w:tabs>
            <w:rPr>
              <w:rFonts w:eastAsiaTheme="minorEastAsia"/>
              <w:noProof/>
            </w:rPr>
          </w:pPr>
          <w:hyperlink w:anchor="_Toc216698901" w:history="1">
            <w:r w:rsidRPr="0008356B">
              <w:rPr>
                <w:rStyle w:val="Hyperlink"/>
                <w:rFonts w:ascii="Arial" w:hAnsi="Arial" w:cs="Arial"/>
                <w:b/>
                <w:bCs/>
                <w:noProof/>
              </w:rPr>
              <w:t>A7: ALTMAN Z-SCORE CALCULATIONS (2024–2020)</w:t>
            </w:r>
            <w:r>
              <w:rPr>
                <w:noProof/>
                <w:webHidden/>
              </w:rPr>
              <w:tab/>
            </w:r>
            <w:r>
              <w:rPr>
                <w:noProof/>
                <w:webHidden/>
              </w:rPr>
              <w:fldChar w:fldCharType="begin"/>
            </w:r>
            <w:r>
              <w:rPr>
                <w:noProof/>
                <w:webHidden/>
              </w:rPr>
              <w:instrText xml:space="preserve"> PAGEREF _Toc216698901 \h </w:instrText>
            </w:r>
            <w:r>
              <w:rPr>
                <w:noProof/>
                <w:webHidden/>
              </w:rPr>
            </w:r>
            <w:r>
              <w:rPr>
                <w:noProof/>
                <w:webHidden/>
              </w:rPr>
              <w:fldChar w:fldCharType="separate"/>
            </w:r>
            <w:r>
              <w:rPr>
                <w:noProof/>
                <w:webHidden/>
              </w:rPr>
              <w:t>30</w:t>
            </w:r>
            <w:r>
              <w:rPr>
                <w:noProof/>
                <w:webHidden/>
              </w:rPr>
              <w:fldChar w:fldCharType="end"/>
            </w:r>
          </w:hyperlink>
        </w:p>
        <w:p w14:paraId="09BD156C" w14:textId="0594C989" w:rsidR="007C3300" w:rsidRDefault="007C3300">
          <w:pPr>
            <w:pStyle w:val="TOC2"/>
            <w:tabs>
              <w:tab w:val="right" w:leader="dot" w:pos="9350"/>
            </w:tabs>
            <w:rPr>
              <w:rFonts w:eastAsiaTheme="minorEastAsia"/>
              <w:noProof/>
            </w:rPr>
          </w:pPr>
          <w:hyperlink w:anchor="_Toc216698902" w:history="1">
            <w:r w:rsidRPr="0008356B">
              <w:rPr>
                <w:rStyle w:val="Hyperlink"/>
                <w:rFonts w:ascii="Arial" w:hAnsi="Arial" w:cs="Arial"/>
                <w:b/>
                <w:bCs/>
                <w:noProof/>
              </w:rPr>
              <w:t>APPENDIX B: WORKING CAPITAL CALCULATIONS</w:t>
            </w:r>
            <w:r>
              <w:rPr>
                <w:noProof/>
                <w:webHidden/>
              </w:rPr>
              <w:tab/>
            </w:r>
            <w:r>
              <w:rPr>
                <w:noProof/>
                <w:webHidden/>
              </w:rPr>
              <w:fldChar w:fldCharType="begin"/>
            </w:r>
            <w:r>
              <w:rPr>
                <w:noProof/>
                <w:webHidden/>
              </w:rPr>
              <w:instrText xml:space="preserve"> PAGEREF _Toc216698902 \h </w:instrText>
            </w:r>
            <w:r>
              <w:rPr>
                <w:noProof/>
                <w:webHidden/>
              </w:rPr>
            </w:r>
            <w:r>
              <w:rPr>
                <w:noProof/>
                <w:webHidden/>
              </w:rPr>
              <w:fldChar w:fldCharType="separate"/>
            </w:r>
            <w:r>
              <w:rPr>
                <w:noProof/>
                <w:webHidden/>
              </w:rPr>
              <w:t>37</w:t>
            </w:r>
            <w:r>
              <w:rPr>
                <w:noProof/>
                <w:webHidden/>
              </w:rPr>
              <w:fldChar w:fldCharType="end"/>
            </w:r>
          </w:hyperlink>
        </w:p>
        <w:p w14:paraId="35EB9266" w14:textId="18D083A7" w:rsidR="007C3300" w:rsidRDefault="007C3300">
          <w:pPr>
            <w:pStyle w:val="TOC3"/>
            <w:tabs>
              <w:tab w:val="right" w:leader="dot" w:pos="9350"/>
            </w:tabs>
            <w:rPr>
              <w:rFonts w:eastAsiaTheme="minorEastAsia"/>
              <w:noProof/>
            </w:rPr>
          </w:pPr>
          <w:hyperlink w:anchor="_Toc216698903" w:history="1">
            <w:r w:rsidRPr="0008356B">
              <w:rPr>
                <w:rStyle w:val="Hyperlink"/>
                <w:rFonts w:ascii="Arial" w:hAnsi="Arial" w:cs="Arial"/>
                <w:b/>
                <w:bCs/>
                <w:noProof/>
              </w:rPr>
              <w:t>B1. Cash Operating Cycle Calculations</w:t>
            </w:r>
            <w:r>
              <w:rPr>
                <w:noProof/>
                <w:webHidden/>
              </w:rPr>
              <w:tab/>
            </w:r>
            <w:r>
              <w:rPr>
                <w:noProof/>
                <w:webHidden/>
              </w:rPr>
              <w:fldChar w:fldCharType="begin"/>
            </w:r>
            <w:r>
              <w:rPr>
                <w:noProof/>
                <w:webHidden/>
              </w:rPr>
              <w:instrText xml:space="preserve"> PAGEREF _Toc216698903 \h </w:instrText>
            </w:r>
            <w:r>
              <w:rPr>
                <w:noProof/>
                <w:webHidden/>
              </w:rPr>
            </w:r>
            <w:r>
              <w:rPr>
                <w:noProof/>
                <w:webHidden/>
              </w:rPr>
              <w:fldChar w:fldCharType="separate"/>
            </w:r>
            <w:r>
              <w:rPr>
                <w:noProof/>
                <w:webHidden/>
              </w:rPr>
              <w:t>37</w:t>
            </w:r>
            <w:r>
              <w:rPr>
                <w:noProof/>
                <w:webHidden/>
              </w:rPr>
              <w:fldChar w:fldCharType="end"/>
            </w:r>
          </w:hyperlink>
        </w:p>
        <w:p w14:paraId="295C1571" w14:textId="3C9F954B" w:rsidR="007C3300" w:rsidRDefault="007C3300">
          <w:pPr>
            <w:pStyle w:val="TOC3"/>
            <w:tabs>
              <w:tab w:val="right" w:leader="dot" w:pos="9350"/>
            </w:tabs>
            <w:rPr>
              <w:rFonts w:eastAsiaTheme="minorEastAsia"/>
              <w:noProof/>
            </w:rPr>
          </w:pPr>
          <w:hyperlink w:anchor="_Toc216698904" w:history="1">
            <w:r w:rsidRPr="0008356B">
              <w:rPr>
                <w:rStyle w:val="Hyperlink"/>
                <w:rFonts w:ascii="Arial" w:hAnsi="Arial" w:cs="Arial"/>
                <w:b/>
                <w:bCs/>
                <w:noProof/>
              </w:rPr>
              <w:t>B2. Operating Cash Flow Coverage Ratio</w:t>
            </w:r>
            <w:r>
              <w:rPr>
                <w:noProof/>
                <w:webHidden/>
              </w:rPr>
              <w:tab/>
            </w:r>
            <w:r>
              <w:rPr>
                <w:noProof/>
                <w:webHidden/>
              </w:rPr>
              <w:fldChar w:fldCharType="begin"/>
            </w:r>
            <w:r>
              <w:rPr>
                <w:noProof/>
                <w:webHidden/>
              </w:rPr>
              <w:instrText xml:space="preserve"> PAGEREF _Toc216698904 \h </w:instrText>
            </w:r>
            <w:r>
              <w:rPr>
                <w:noProof/>
                <w:webHidden/>
              </w:rPr>
            </w:r>
            <w:r>
              <w:rPr>
                <w:noProof/>
                <w:webHidden/>
              </w:rPr>
              <w:fldChar w:fldCharType="separate"/>
            </w:r>
            <w:r>
              <w:rPr>
                <w:noProof/>
                <w:webHidden/>
              </w:rPr>
              <w:t>37</w:t>
            </w:r>
            <w:r>
              <w:rPr>
                <w:noProof/>
                <w:webHidden/>
              </w:rPr>
              <w:fldChar w:fldCharType="end"/>
            </w:r>
          </w:hyperlink>
        </w:p>
        <w:p w14:paraId="4CAF6757" w14:textId="19C429F9" w:rsidR="007C3300" w:rsidRDefault="007C3300">
          <w:pPr>
            <w:pStyle w:val="TOC3"/>
            <w:tabs>
              <w:tab w:val="right" w:leader="dot" w:pos="9350"/>
            </w:tabs>
            <w:rPr>
              <w:rFonts w:eastAsiaTheme="minorEastAsia"/>
              <w:noProof/>
            </w:rPr>
          </w:pPr>
          <w:hyperlink w:anchor="_Toc216698905" w:history="1">
            <w:r w:rsidRPr="0008356B">
              <w:rPr>
                <w:rStyle w:val="Hyperlink"/>
                <w:rFonts w:ascii="Arial" w:hAnsi="Arial" w:cs="Arial"/>
                <w:b/>
                <w:bCs/>
                <w:noProof/>
              </w:rPr>
              <w:t>B3. Short-Term Financing Dependency</w:t>
            </w:r>
            <w:r>
              <w:rPr>
                <w:noProof/>
                <w:webHidden/>
              </w:rPr>
              <w:tab/>
            </w:r>
            <w:r>
              <w:rPr>
                <w:noProof/>
                <w:webHidden/>
              </w:rPr>
              <w:fldChar w:fldCharType="begin"/>
            </w:r>
            <w:r>
              <w:rPr>
                <w:noProof/>
                <w:webHidden/>
              </w:rPr>
              <w:instrText xml:space="preserve"> PAGEREF _Toc216698905 \h </w:instrText>
            </w:r>
            <w:r>
              <w:rPr>
                <w:noProof/>
                <w:webHidden/>
              </w:rPr>
            </w:r>
            <w:r>
              <w:rPr>
                <w:noProof/>
                <w:webHidden/>
              </w:rPr>
              <w:fldChar w:fldCharType="separate"/>
            </w:r>
            <w:r>
              <w:rPr>
                <w:noProof/>
                <w:webHidden/>
              </w:rPr>
              <w:t>38</w:t>
            </w:r>
            <w:r>
              <w:rPr>
                <w:noProof/>
                <w:webHidden/>
              </w:rPr>
              <w:fldChar w:fldCharType="end"/>
            </w:r>
          </w:hyperlink>
        </w:p>
        <w:p w14:paraId="001C65E7" w14:textId="0C3F5433" w:rsidR="007C3300" w:rsidRDefault="007C3300">
          <w:pPr>
            <w:pStyle w:val="TOC2"/>
            <w:tabs>
              <w:tab w:val="right" w:leader="dot" w:pos="9350"/>
            </w:tabs>
            <w:rPr>
              <w:rFonts w:eastAsiaTheme="minorEastAsia"/>
              <w:noProof/>
            </w:rPr>
          </w:pPr>
          <w:hyperlink w:anchor="_Toc216698906" w:history="1">
            <w:r w:rsidRPr="0008356B">
              <w:rPr>
                <w:rStyle w:val="Hyperlink"/>
                <w:rFonts w:ascii="Arial" w:hAnsi="Arial" w:cs="Arial"/>
                <w:b/>
                <w:bCs/>
                <w:noProof/>
              </w:rPr>
              <w:t>APPENDIX C: DETAILED FINANCIAL RESTRUCTURING SCENARIO ANALYSIS</w:t>
            </w:r>
            <w:r>
              <w:rPr>
                <w:noProof/>
                <w:webHidden/>
              </w:rPr>
              <w:tab/>
            </w:r>
            <w:r>
              <w:rPr>
                <w:noProof/>
                <w:webHidden/>
              </w:rPr>
              <w:fldChar w:fldCharType="begin"/>
            </w:r>
            <w:r>
              <w:rPr>
                <w:noProof/>
                <w:webHidden/>
              </w:rPr>
              <w:instrText xml:space="preserve"> PAGEREF _Toc216698906 \h </w:instrText>
            </w:r>
            <w:r>
              <w:rPr>
                <w:noProof/>
                <w:webHidden/>
              </w:rPr>
            </w:r>
            <w:r>
              <w:rPr>
                <w:noProof/>
                <w:webHidden/>
              </w:rPr>
              <w:fldChar w:fldCharType="separate"/>
            </w:r>
            <w:r>
              <w:rPr>
                <w:noProof/>
                <w:webHidden/>
              </w:rPr>
              <w:t>39</w:t>
            </w:r>
            <w:r>
              <w:rPr>
                <w:noProof/>
                <w:webHidden/>
              </w:rPr>
              <w:fldChar w:fldCharType="end"/>
            </w:r>
          </w:hyperlink>
        </w:p>
        <w:p w14:paraId="5C7DF49B" w14:textId="01800111" w:rsidR="007C3300" w:rsidRDefault="007C3300">
          <w:pPr>
            <w:pStyle w:val="TOC3"/>
            <w:tabs>
              <w:tab w:val="right" w:leader="dot" w:pos="9350"/>
            </w:tabs>
            <w:rPr>
              <w:rFonts w:eastAsiaTheme="minorEastAsia"/>
              <w:noProof/>
            </w:rPr>
          </w:pPr>
          <w:hyperlink w:anchor="_Toc216698907" w:history="1">
            <w:r w:rsidRPr="0008356B">
              <w:rPr>
                <w:rStyle w:val="Hyperlink"/>
                <w:rFonts w:ascii="Arial" w:hAnsi="Arial" w:cs="Arial"/>
                <w:b/>
                <w:bCs/>
                <w:noProof/>
              </w:rPr>
              <w:t>C0. Base Financial Position (2024 – Pre-Restructuring)</w:t>
            </w:r>
            <w:r>
              <w:rPr>
                <w:noProof/>
                <w:webHidden/>
              </w:rPr>
              <w:tab/>
            </w:r>
            <w:r>
              <w:rPr>
                <w:noProof/>
                <w:webHidden/>
              </w:rPr>
              <w:fldChar w:fldCharType="begin"/>
            </w:r>
            <w:r>
              <w:rPr>
                <w:noProof/>
                <w:webHidden/>
              </w:rPr>
              <w:instrText xml:space="preserve"> PAGEREF _Toc216698907 \h </w:instrText>
            </w:r>
            <w:r>
              <w:rPr>
                <w:noProof/>
                <w:webHidden/>
              </w:rPr>
            </w:r>
            <w:r>
              <w:rPr>
                <w:noProof/>
                <w:webHidden/>
              </w:rPr>
              <w:fldChar w:fldCharType="separate"/>
            </w:r>
            <w:r>
              <w:rPr>
                <w:noProof/>
                <w:webHidden/>
              </w:rPr>
              <w:t>39</w:t>
            </w:r>
            <w:r>
              <w:rPr>
                <w:noProof/>
                <w:webHidden/>
              </w:rPr>
              <w:fldChar w:fldCharType="end"/>
            </w:r>
          </w:hyperlink>
        </w:p>
        <w:p w14:paraId="671DC629" w14:textId="1D846428" w:rsidR="007C3300" w:rsidRDefault="007C3300">
          <w:pPr>
            <w:pStyle w:val="TOC3"/>
            <w:tabs>
              <w:tab w:val="right" w:leader="dot" w:pos="9350"/>
            </w:tabs>
            <w:rPr>
              <w:rFonts w:eastAsiaTheme="minorEastAsia"/>
              <w:noProof/>
            </w:rPr>
          </w:pPr>
          <w:hyperlink w:anchor="_Toc216698908" w:history="1">
            <w:r w:rsidRPr="0008356B">
              <w:rPr>
                <w:rStyle w:val="Hyperlink"/>
                <w:rFonts w:ascii="Arial" w:hAnsi="Arial" w:cs="Arial"/>
                <w:b/>
                <w:bCs/>
                <w:noProof/>
              </w:rPr>
              <w:t>C1. Debt Restructuring Scenario (Maturity Extension &amp; Interest Reduction)</w:t>
            </w:r>
            <w:r>
              <w:rPr>
                <w:noProof/>
                <w:webHidden/>
              </w:rPr>
              <w:tab/>
            </w:r>
            <w:r>
              <w:rPr>
                <w:noProof/>
                <w:webHidden/>
              </w:rPr>
              <w:fldChar w:fldCharType="begin"/>
            </w:r>
            <w:r>
              <w:rPr>
                <w:noProof/>
                <w:webHidden/>
              </w:rPr>
              <w:instrText xml:space="preserve"> PAGEREF _Toc216698908 \h </w:instrText>
            </w:r>
            <w:r>
              <w:rPr>
                <w:noProof/>
                <w:webHidden/>
              </w:rPr>
            </w:r>
            <w:r>
              <w:rPr>
                <w:noProof/>
                <w:webHidden/>
              </w:rPr>
              <w:fldChar w:fldCharType="separate"/>
            </w:r>
            <w:r>
              <w:rPr>
                <w:noProof/>
                <w:webHidden/>
              </w:rPr>
              <w:t>39</w:t>
            </w:r>
            <w:r>
              <w:rPr>
                <w:noProof/>
                <w:webHidden/>
              </w:rPr>
              <w:fldChar w:fldCharType="end"/>
            </w:r>
          </w:hyperlink>
        </w:p>
        <w:p w14:paraId="7C47F1AD" w14:textId="4224ED21" w:rsidR="007C3300" w:rsidRDefault="007C3300">
          <w:pPr>
            <w:pStyle w:val="TOC3"/>
            <w:tabs>
              <w:tab w:val="right" w:leader="dot" w:pos="9350"/>
            </w:tabs>
            <w:rPr>
              <w:rFonts w:eastAsiaTheme="minorEastAsia"/>
              <w:noProof/>
            </w:rPr>
          </w:pPr>
          <w:hyperlink w:anchor="_Toc216698909" w:history="1">
            <w:r w:rsidRPr="0008356B">
              <w:rPr>
                <w:rStyle w:val="Hyperlink"/>
                <w:rFonts w:ascii="Arial" w:hAnsi="Arial" w:cs="Arial"/>
                <w:b/>
                <w:bCs/>
                <w:noProof/>
              </w:rPr>
              <w:t>C2. Debt-to-Equity Conversion Scenario</w:t>
            </w:r>
            <w:r>
              <w:rPr>
                <w:noProof/>
                <w:webHidden/>
              </w:rPr>
              <w:tab/>
            </w:r>
            <w:r>
              <w:rPr>
                <w:noProof/>
                <w:webHidden/>
              </w:rPr>
              <w:fldChar w:fldCharType="begin"/>
            </w:r>
            <w:r>
              <w:rPr>
                <w:noProof/>
                <w:webHidden/>
              </w:rPr>
              <w:instrText xml:space="preserve"> PAGEREF _Toc216698909 \h </w:instrText>
            </w:r>
            <w:r>
              <w:rPr>
                <w:noProof/>
                <w:webHidden/>
              </w:rPr>
            </w:r>
            <w:r>
              <w:rPr>
                <w:noProof/>
                <w:webHidden/>
              </w:rPr>
              <w:fldChar w:fldCharType="separate"/>
            </w:r>
            <w:r>
              <w:rPr>
                <w:noProof/>
                <w:webHidden/>
              </w:rPr>
              <w:t>40</w:t>
            </w:r>
            <w:r>
              <w:rPr>
                <w:noProof/>
                <w:webHidden/>
              </w:rPr>
              <w:fldChar w:fldCharType="end"/>
            </w:r>
          </w:hyperlink>
        </w:p>
        <w:p w14:paraId="6F0F716E" w14:textId="1B09DBB0" w:rsidR="007C3300" w:rsidRDefault="007C3300">
          <w:pPr>
            <w:pStyle w:val="TOC3"/>
            <w:tabs>
              <w:tab w:val="right" w:leader="dot" w:pos="9350"/>
            </w:tabs>
            <w:rPr>
              <w:rFonts w:eastAsiaTheme="minorEastAsia"/>
              <w:noProof/>
            </w:rPr>
          </w:pPr>
          <w:hyperlink w:anchor="_Toc216698910" w:history="1">
            <w:r w:rsidRPr="0008356B">
              <w:rPr>
                <w:rStyle w:val="Hyperlink"/>
                <w:rFonts w:ascii="Arial" w:hAnsi="Arial" w:cs="Arial"/>
                <w:b/>
                <w:bCs/>
                <w:noProof/>
              </w:rPr>
              <w:t>C3. Equity Injection Scenario (Rights Issue / Strategic Investor)</w:t>
            </w:r>
            <w:r>
              <w:rPr>
                <w:noProof/>
                <w:webHidden/>
              </w:rPr>
              <w:tab/>
            </w:r>
            <w:r>
              <w:rPr>
                <w:noProof/>
                <w:webHidden/>
              </w:rPr>
              <w:fldChar w:fldCharType="begin"/>
            </w:r>
            <w:r>
              <w:rPr>
                <w:noProof/>
                <w:webHidden/>
              </w:rPr>
              <w:instrText xml:space="preserve"> PAGEREF _Toc216698910 \h </w:instrText>
            </w:r>
            <w:r>
              <w:rPr>
                <w:noProof/>
                <w:webHidden/>
              </w:rPr>
            </w:r>
            <w:r>
              <w:rPr>
                <w:noProof/>
                <w:webHidden/>
              </w:rPr>
              <w:fldChar w:fldCharType="separate"/>
            </w:r>
            <w:r>
              <w:rPr>
                <w:noProof/>
                <w:webHidden/>
              </w:rPr>
              <w:t>41</w:t>
            </w:r>
            <w:r>
              <w:rPr>
                <w:noProof/>
                <w:webHidden/>
              </w:rPr>
              <w:fldChar w:fldCharType="end"/>
            </w:r>
          </w:hyperlink>
        </w:p>
        <w:p w14:paraId="3E7F8544" w14:textId="2E94AB43" w:rsidR="007C3300" w:rsidRDefault="007C3300">
          <w:pPr>
            <w:pStyle w:val="TOC3"/>
            <w:tabs>
              <w:tab w:val="right" w:leader="dot" w:pos="9350"/>
            </w:tabs>
            <w:rPr>
              <w:rFonts w:eastAsiaTheme="minorEastAsia"/>
              <w:noProof/>
            </w:rPr>
          </w:pPr>
          <w:hyperlink w:anchor="_Toc216698911" w:history="1">
            <w:r w:rsidRPr="0008356B">
              <w:rPr>
                <w:rStyle w:val="Hyperlink"/>
                <w:rFonts w:ascii="Arial" w:hAnsi="Arial" w:cs="Arial"/>
                <w:b/>
                <w:bCs/>
                <w:noProof/>
              </w:rPr>
              <w:t>C4. Asset Divestment Scenario (Non-Core Assets)</w:t>
            </w:r>
            <w:r>
              <w:rPr>
                <w:noProof/>
                <w:webHidden/>
              </w:rPr>
              <w:tab/>
            </w:r>
            <w:r>
              <w:rPr>
                <w:noProof/>
                <w:webHidden/>
              </w:rPr>
              <w:fldChar w:fldCharType="begin"/>
            </w:r>
            <w:r>
              <w:rPr>
                <w:noProof/>
                <w:webHidden/>
              </w:rPr>
              <w:instrText xml:space="preserve"> PAGEREF _Toc216698911 \h </w:instrText>
            </w:r>
            <w:r>
              <w:rPr>
                <w:noProof/>
                <w:webHidden/>
              </w:rPr>
            </w:r>
            <w:r>
              <w:rPr>
                <w:noProof/>
                <w:webHidden/>
              </w:rPr>
              <w:fldChar w:fldCharType="separate"/>
            </w:r>
            <w:r>
              <w:rPr>
                <w:noProof/>
                <w:webHidden/>
              </w:rPr>
              <w:t>41</w:t>
            </w:r>
            <w:r>
              <w:rPr>
                <w:noProof/>
                <w:webHidden/>
              </w:rPr>
              <w:fldChar w:fldCharType="end"/>
            </w:r>
          </w:hyperlink>
        </w:p>
        <w:p w14:paraId="3D2868BB" w14:textId="421ECE6B" w:rsidR="007C3300" w:rsidRDefault="007C3300">
          <w:pPr>
            <w:pStyle w:val="TOC3"/>
            <w:tabs>
              <w:tab w:val="right" w:leader="dot" w:pos="9350"/>
            </w:tabs>
            <w:rPr>
              <w:rFonts w:eastAsiaTheme="minorEastAsia"/>
              <w:noProof/>
            </w:rPr>
          </w:pPr>
          <w:hyperlink w:anchor="_Toc216698912" w:history="1">
            <w:r w:rsidRPr="0008356B">
              <w:rPr>
                <w:rStyle w:val="Hyperlink"/>
                <w:rFonts w:ascii="Arial" w:hAnsi="Arial" w:cs="Arial"/>
                <w:b/>
                <w:bCs/>
                <w:noProof/>
              </w:rPr>
              <w:t>C5. Combined Restructuring Scenario (Integrated Strategy)</w:t>
            </w:r>
            <w:r>
              <w:rPr>
                <w:noProof/>
                <w:webHidden/>
              </w:rPr>
              <w:tab/>
            </w:r>
            <w:r>
              <w:rPr>
                <w:noProof/>
                <w:webHidden/>
              </w:rPr>
              <w:fldChar w:fldCharType="begin"/>
            </w:r>
            <w:r>
              <w:rPr>
                <w:noProof/>
                <w:webHidden/>
              </w:rPr>
              <w:instrText xml:space="preserve"> PAGEREF _Toc216698912 \h </w:instrText>
            </w:r>
            <w:r>
              <w:rPr>
                <w:noProof/>
                <w:webHidden/>
              </w:rPr>
            </w:r>
            <w:r>
              <w:rPr>
                <w:noProof/>
                <w:webHidden/>
              </w:rPr>
              <w:fldChar w:fldCharType="separate"/>
            </w:r>
            <w:r>
              <w:rPr>
                <w:noProof/>
                <w:webHidden/>
              </w:rPr>
              <w:t>42</w:t>
            </w:r>
            <w:r>
              <w:rPr>
                <w:noProof/>
                <w:webHidden/>
              </w:rPr>
              <w:fldChar w:fldCharType="end"/>
            </w:r>
          </w:hyperlink>
        </w:p>
        <w:p w14:paraId="52469E68" w14:textId="1797B9E1" w:rsidR="007C3300" w:rsidRDefault="007C3300">
          <w:pPr>
            <w:pStyle w:val="TOC3"/>
            <w:tabs>
              <w:tab w:val="right" w:leader="dot" w:pos="9350"/>
            </w:tabs>
            <w:rPr>
              <w:rFonts w:eastAsiaTheme="minorEastAsia"/>
              <w:noProof/>
            </w:rPr>
          </w:pPr>
          <w:hyperlink w:anchor="_Toc216698913" w:history="1">
            <w:r w:rsidRPr="0008356B">
              <w:rPr>
                <w:rStyle w:val="Hyperlink"/>
                <w:rFonts w:ascii="Arial" w:hAnsi="Arial" w:cs="Arial"/>
                <w:b/>
                <w:bCs/>
                <w:noProof/>
              </w:rPr>
              <w:t>C6. Altman Z-Score Impact (Post-Restructuring Projection)</w:t>
            </w:r>
            <w:r>
              <w:rPr>
                <w:noProof/>
                <w:webHidden/>
              </w:rPr>
              <w:tab/>
            </w:r>
            <w:r>
              <w:rPr>
                <w:noProof/>
                <w:webHidden/>
              </w:rPr>
              <w:fldChar w:fldCharType="begin"/>
            </w:r>
            <w:r>
              <w:rPr>
                <w:noProof/>
                <w:webHidden/>
              </w:rPr>
              <w:instrText xml:space="preserve"> PAGEREF _Toc216698913 \h </w:instrText>
            </w:r>
            <w:r>
              <w:rPr>
                <w:noProof/>
                <w:webHidden/>
              </w:rPr>
            </w:r>
            <w:r>
              <w:rPr>
                <w:noProof/>
                <w:webHidden/>
              </w:rPr>
              <w:fldChar w:fldCharType="separate"/>
            </w:r>
            <w:r>
              <w:rPr>
                <w:noProof/>
                <w:webHidden/>
              </w:rPr>
              <w:t>42</w:t>
            </w:r>
            <w:r>
              <w:rPr>
                <w:noProof/>
                <w:webHidden/>
              </w:rPr>
              <w:fldChar w:fldCharType="end"/>
            </w:r>
          </w:hyperlink>
        </w:p>
        <w:p w14:paraId="7A37D8C4" w14:textId="71A59756" w:rsidR="007C3300" w:rsidRDefault="007C3300">
          <w:pPr>
            <w:pStyle w:val="TOC3"/>
            <w:tabs>
              <w:tab w:val="right" w:leader="dot" w:pos="9350"/>
            </w:tabs>
            <w:rPr>
              <w:rFonts w:eastAsiaTheme="minorEastAsia"/>
              <w:noProof/>
            </w:rPr>
          </w:pPr>
          <w:hyperlink w:anchor="_Toc216698914" w:history="1">
            <w:r w:rsidRPr="0008356B">
              <w:rPr>
                <w:rStyle w:val="Hyperlink"/>
                <w:rFonts w:ascii="Arial" w:hAnsi="Arial" w:cs="Arial"/>
                <w:b/>
                <w:bCs/>
                <w:noProof/>
              </w:rPr>
              <w:t>C7. Risk Sensitivity Commentary</w:t>
            </w:r>
            <w:r>
              <w:rPr>
                <w:noProof/>
                <w:webHidden/>
              </w:rPr>
              <w:tab/>
            </w:r>
            <w:r>
              <w:rPr>
                <w:noProof/>
                <w:webHidden/>
              </w:rPr>
              <w:fldChar w:fldCharType="begin"/>
            </w:r>
            <w:r>
              <w:rPr>
                <w:noProof/>
                <w:webHidden/>
              </w:rPr>
              <w:instrText xml:space="preserve"> PAGEREF _Toc216698914 \h </w:instrText>
            </w:r>
            <w:r>
              <w:rPr>
                <w:noProof/>
                <w:webHidden/>
              </w:rPr>
            </w:r>
            <w:r>
              <w:rPr>
                <w:noProof/>
                <w:webHidden/>
              </w:rPr>
              <w:fldChar w:fldCharType="separate"/>
            </w:r>
            <w:r>
              <w:rPr>
                <w:noProof/>
                <w:webHidden/>
              </w:rPr>
              <w:t>43</w:t>
            </w:r>
            <w:r>
              <w:rPr>
                <w:noProof/>
                <w:webHidden/>
              </w:rPr>
              <w:fldChar w:fldCharType="end"/>
            </w:r>
          </w:hyperlink>
        </w:p>
        <w:p w14:paraId="4B83C100" w14:textId="6E853ADE" w:rsidR="007C3300" w:rsidRDefault="007C3300">
          <w:pPr>
            <w:pStyle w:val="TOC2"/>
            <w:tabs>
              <w:tab w:val="right" w:leader="dot" w:pos="9350"/>
            </w:tabs>
            <w:rPr>
              <w:rFonts w:eastAsiaTheme="minorEastAsia"/>
              <w:noProof/>
            </w:rPr>
          </w:pPr>
          <w:hyperlink w:anchor="_Toc216698915" w:history="1">
            <w:r w:rsidRPr="0008356B">
              <w:rPr>
                <w:rStyle w:val="Hyperlink"/>
                <w:rFonts w:ascii="Arial" w:hAnsi="Arial" w:cs="Arial"/>
                <w:b/>
                <w:bCs/>
                <w:noProof/>
              </w:rPr>
              <w:t>APPENDIX D: INVESTMENT APPRAISAL CALCULATIONS</w:t>
            </w:r>
            <w:r>
              <w:rPr>
                <w:noProof/>
                <w:webHidden/>
              </w:rPr>
              <w:tab/>
            </w:r>
            <w:r>
              <w:rPr>
                <w:noProof/>
                <w:webHidden/>
              </w:rPr>
              <w:fldChar w:fldCharType="begin"/>
            </w:r>
            <w:r>
              <w:rPr>
                <w:noProof/>
                <w:webHidden/>
              </w:rPr>
              <w:instrText xml:space="preserve"> PAGEREF _Toc216698915 \h </w:instrText>
            </w:r>
            <w:r>
              <w:rPr>
                <w:noProof/>
                <w:webHidden/>
              </w:rPr>
            </w:r>
            <w:r>
              <w:rPr>
                <w:noProof/>
                <w:webHidden/>
              </w:rPr>
              <w:fldChar w:fldCharType="separate"/>
            </w:r>
            <w:r>
              <w:rPr>
                <w:noProof/>
                <w:webHidden/>
              </w:rPr>
              <w:t>44</w:t>
            </w:r>
            <w:r>
              <w:rPr>
                <w:noProof/>
                <w:webHidden/>
              </w:rPr>
              <w:fldChar w:fldCharType="end"/>
            </w:r>
          </w:hyperlink>
        </w:p>
        <w:p w14:paraId="18900920" w14:textId="3EF7182C" w:rsidR="007C3300" w:rsidRDefault="007C3300">
          <w:pPr>
            <w:pStyle w:val="TOC3"/>
            <w:tabs>
              <w:tab w:val="right" w:leader="dot" w:pos="9350"/>
            </w:tabs>
            <w:rPr>
              <w:rFonts w:eastAsiaTheme="minorEastAsia"/>
              <w:noProof/>
            </w:rPr>
          </w:pPr>
          <w:hyperlink w:anchor="_Toc216698916" w:history="1">
            <w:r w:rsidRPr="0008356B">
              <w:rPr>
                <w:rStyle w:val="Hyperlink"/>
                <w:rFonts w:ascii="Arial" w:hAnsi="Arial" w:cs="Arial"/>
                <w:b/>
                <w:bCs/>
                <w:noProof/>
              </w:rPr>
              <w:t>Appendix D1: Project Cash Flow Summary</w:t>
            </w:r>
            <w:r>
              <w:rPr>
                <w:noProof/>
                <w:webHidden/>
              </w:rPr>
              <w:tab/>
            </w:r>
            <w:r>
              <w:rPr>
                <w:noProof/>
                <w:webHidden/>
              </w:rPr>
              <w:fldChar w:fldCharType="begin"/>
            </w:r>
            <w:r>
              <w:rPr>
                <w:noProof/>
                <w:webHidden/>
              </w:rPr>
              <w:instrText xml:space="preserve"> PAGEREF _Toc216698916 \h </w:instrText>
            </w:r>
            <w:r>
              <w:rPr>
                <w:noProof/>
                <w:webHidden/>
              </w:rPr>
            </w:r>
            <w:r>
              <w:rPr>
                <w:noProof/>
                <w:webHidden/>
              </w:rPr>
              <w:fldChar w:fldCharType="separate"/>
            </w:r>
            <w:r>
              <w:rPr>
                <w:noProof/>
                <w:webHidden/>
              </w:rPr>
              <w:t>44</w:t>
            </w:r>
            <w:r>
              <w:rPr>
                <w:noProof/>
                <w:webHidden/>
              </w:rPr>
              <w:fldChar w:fldCharType="end"/>
            </w:r>
          </w:hyperlink>
        </w:p>
        <w:p w14:paraId="68BAC838" w14:textId="158ED9ED" w:rsidR="007C3300" w:rsidRDefault="007C3300">
          <w:pPr>
            <w:pStyle w:val="TOC3"/>
            <w:tabs>
              <w:tab w:val="right" w:leader="dot" w:pos="9350"/>
            </w:tabs>
            <w:rPr>
              <w:rFonts w:eastAsiaTheme="minorEastAsia"/>
              <w:noProof/>
            </w:rPr>
          </w:pPr>
          <w:hyperlink w:anchor="_Toc216698917" w:history="1">
            <w:r w:rsidRPr="0008356B">
              <w:rPr>
                <w:rStyle w:val="Hyperlink"/>
                <w:rFonts w:ascii="Arial" w:hAnsi="Arial" w:cs="Arial"/>
                <w:b/>
                <w:bCs/>
                <w:noProof/>
              </w:rPr>
              <w:t>Appendix D2: Payback Period Calculations</w:t>
            </w:r>
            <w:r>
              <w:rPr>
                <w:noProof/>
                <w:webHidden/>
              </w:rPr>
              <w:tab/>
            </w:r>
            <w:r>
              <w:rPr>
                <w:noProof/>
                <w:webHidden/>
              </w:rPr>
              <w:fldChar w:fldCharType="begin"/>
            </w:r>
            <w:r>
              <w:rPr>
                <w:noProof/>
                <w:webHidden/>
              </w:rPr>
              <w:instrText xml:space="preserve"> PAGEREF _Toc216698917 \h </w:instrText>
            </w:r>
            <w:r>
              <w:rPr>
                <w:noProof/>
                <w:webHidden/>
              </w:rPr>
            </w:r>
            <w:r>
              <w:rPr>
                <w:noProof/>
                <w:webHidden/>
              </w:rPr>
              <w:fldChar w:fldCharType="separate"/>
            </w:r>
            <w:r>
              <w:rPr>
                <w:noProof/>
                <w:webHidden/>
              </w:rPr>
              <w:t>45</w:t>
            </w:r>
            <w:r>
              <w:rPr>
                <w:noProof/>
                <w:webHidden/>
              </w:rPr>
              <w:fldChar w:fldCharType="end"/>
            </w:r>
          </w:hyperlink>
        </w:p>
        <w:p w14:paraId="60A00401" w14:textId="706A3B56" w:rsidR="007C3300" w:rsidRDefault="007C3300">
          <w:pPr>
            <w:pStyle w:val="TOC3"/>
            <w:tabs>
              <w:tab w:val="right" w:leader="dot" w:pos="9350"/>
            </w:tabs>
            <w:rPr>
              <w:rFonts w:eastAsiaTheme="minorEastAsia"/>
              <w:noProof/>
            </w:rPr>
          </w:pPr>
          <w:hyperlink w:anchor="_Toc216698918" w:history="1">
            <w:r w:rsidRPr="0008356B">
              <w:rPr>
                <w:rStyle w:val="Hyperlink"/>
                <w:rFonts w:ascii="Arial" w:hAnsi="Arial" w:cs="Arial"/>
                <w:b/>
                <w:bCs/>
                <w:noProof/>
              </w:rPr>
              <w:t>Appendix D3: Accounting Rate of Return (ARR)</w:t>
            </w:r>
            <w:r>
              <w:rPr>
                <w:noProof/>
                <w:webHidden/>
              </w:rPr>
              <w:tab/>
            </w:r>
            <w:r>
              <w:rPr>
                <w:noProof/>
                <w:webHidden/>
              </w:rPr>
              <w:fldChar w:fldCharType="begin"/>
            </w:r>
            <w:r>
              <w:rPr>
                <w:noProof/>
                <w:webHidden/>
              </w:rPr>
              <w:instrText xml:space="preserve"> PAGEREF _Toc216698918 \h </w:instrText>
            </w:r>
            <w:r>
              <w:rPr>
                <w:noProof/>
                <w:webHidden/>
              </w:rPr>
            </w:r>
            <w:r>
              <w:rPr>
                <w:noProof/>
                <w:webHidden/>
              </w:rPr>
              <w:fldChar w:fldCharType="separate"/>
            </w:r>
            <w:r>
              <w:rPr>
                <w:noProof/>
                <w:webHidden/>
              </w:rPr>
              <w:t>46</w:t>
            </w:r>
            <w:r>
              <w:rPr>
                <w:noProof/>
                <w:webHidden/>
              </w:rPr>
              <w:fldChar w:fldCharType="end"/>
            </w:r>
          </w:hyperlink>
        </w:p>
        <w:p w14:paraId="75C67745" w14:textId="7EF2AAD1" w:rsidR="007C3300" w:rsidRDefault="007C3300">
          <w:pPr>
            <w:pStyle w:val="TOC3"/>
            <w:tabs>
              <w:tab w:val="right" w:leader="dot" w:pos="9350"/>
            </w:tabs>
            <w:rPr>
              <w:rFonts w:eastAsiaTheme="minorEastAsia"/>
              <w:noProof/>
            </w:rPr>
          </w:pPr>
          <w:hyperlink w:anchor="_Toc216698919" w:history="1">
            <w:r w:rsidRPr="0008356B">
              <w:rPr>
                <w:rStyle w:val="Hyperlink"/>
                <w:rFonts w:ascii="Arial" w:hAnsi="Arial" w:cs="Arial"/>
                <w:b/>
                <w:bCs/>
                <w:noProof/>
              </w:rPr>
              <w:t>Appendix D4: Net Present Value (NPV)</w:t>
            </w:r>
            <w:r>
              <w:rPr>
                <w:noProof/>
                <w:webHidden/>
              </w:rPr>
              <w:tab/>
            </w:r>
            <w:r>
              <w:rPr>
                <w:noProof/>
                <w:webHidden/>
              </w:rPr>
              <w:fldChar w:fldCharType="begin"/>
            </w:r>
            <w:r>
              <w:rPr>
                <w:noProof/>
                <w:webHidden/>
              </w:rPr>
              <w:instrText xml:space="preserve"> PAGEREF _Toc216698919 \h </w:instrText>
            </w:r>
            <w:r>
              <w:rPr>
                <w:noProof/>
                <w:webHidden/>
              </w:rPr>
            </w:r>
            <w:r>
              <w:rPr>
                <w:noProof/>
                <w:webHidden/>
              </w:rPr>
              <w:fldChar w:fldCharType="separate"/>
            </w:r>
            <w:r>
              <w:rPr>
                <w:noProof/>
                <w:webHidden/>
              </w:rPr>
              <w:t>47</w:t>
            </w:r>
            <w:r>
              <w:rPr>
                <w:noProof/>
                <w:webHidden/>
              </w:rPr>
              <w:fldChar w:fldCharType="end"/>
            </w:r>
          </w:hyperlink>
        </w:p>
        <w:p w14:paraId="59DA9B42" w14:textId="3A7A8FA0" w:rsidR="007C3300" w:rsidRDefault="007C3300">
          <w:pPr>
            <w:pStyle w:val="TOC3"/>
            <w:tabs>
              <w:tab w:val="right" w:leader="dot" w:pos="9350"/>
            </w:tabs>
            <w:rPr>
              <w:rFonts w:eastAsiaTheme="minorEastAsia"/>
              <w:noProof/>
            </w:rPr>
          </w:pPr>
          <w:hyperlink w:anchor="_Toc216698920" w:history="1">
            <w:r w:rsidRPr="0008356B">
              <w:rPr>
                <w:rStyle w:val="Hyperlink"/>
                <w:rFonts w:ascii="Arial" w:hAnsi="Arial" w:cs="Arial"/>
                <w:b/>
                <w:bCs/>
                <w:noProof/>
              </w:rPr>
              <w:t>Appendix D5: Profitability Index (PI)</w:t>
            </w:r>
            <w:r>
              <w:rPr>
                <w:noProof/>
                <w:webHidden/>
              </w:rPr>
              <w:tab/>
            </w:r>
            <w:r>
              <w:rPr>
                <w:noProof/>
                <w:webHidden/>
              </w:rPr>
              <w:fldChar w:fldCharType="begin"/>
            </w:r>
            <w:r>
              <w:rPr>
                <w:noProof/>
                <w:webHidden/>
              </w:rPr>
              <w:instrText xml:space="preserve"> PAGEREF _Toc216698920 \h </w:instrText>
            </w:r>
            <w:r>
              <w:rPr>
                <w:noProof/>
                <w:webHidden/>
              </w:rPr>
            </w:r>
            <w:r>
              <w:rPr>
                <w:noProof/>
                <w:webHidden/>
              </w:rPr>
              <w:fldChar w:fldCharType="separate"/>
            </w:r>
            <w:r>
              <w:rPr>
                <w:noProof/>
                <w:webHidden/>
              </w:rPr>
              <w:t>48</w:t>
            </w:r>
            <w:r>
              <w:rPr>
                <w:noProof/>
                <w:webHidden/>
              </w:rPr>
              <w:fldChar w:fldCharType="end"/>
            </w:r>
          </w:hyperlink>
        </w:p>
        <w:p w14:paraId="3283234C" w14:textId="0735D1F2" w:rsidR="007C3300" w:rsidRDefault="007C3300">
          <w:pPr>
            <w:pStyle w:val="TOC3"/>
            <w:tabs>
              <w:tab w:val="right" w:leader="dot" w:pos="9350"/>
            </w:tabs>
            <w:rPr>
              <w:rFonts w:eastAsiaTheme="minorEastAsia"/>
              <w:noProof/>
            </w:rPr>
          </w:pPr>
          <w:hyperlink w:anchor="_Toc216698921" w:history="1">
            <w:r w:rsidRPr="0008356B">
              <w:rPr>
                <w:rStyle w:val="Hyperlink"/>
                <w:rFonts w:ascii="Arial" w:hAnsi="Arial" w:cs="Arial"/>
                <w:b/>
                <w:bCs/>
                <w:noProof/>
              </w:rPr>
              <w:t>Appendix D6: Internal Rate of Return (IRR)</w:t>
            </w:r>
            <w:r>
              <w:rPr>
                <w:noProof/>
                <w:webHidden/>
              </w:rPr>
              <w:tab/>
            </w:r>
            <w:r>
              <w:rPr>
                <w:noProof/>
                <w:webHidden/>
              </w:rPr>
              <w:fldChar w:fldCharType="begin"/>
            </w:r>
            <w:r>
              <w:rPr>
                <w:noProof/>
                <w:webHidden/>
              </w:rPr>
              <w:instrText xml:space="preserve"> PAGEREF _Toc216698921 \h </w:instrText>
            </w:r>
            <w:r>
              <w:rPr>
                <w:noProof/>
                <w:webHidden/>
              </w:rPr>
            </w:r>
            <w:r>
              <w:rPr>
                <w:noProof/>
                <w:webHidden/>
              </w:rPr>
              <w:fldChar w:fldCharType="separate"/>
            </w:r>
            <w:r>
              <w:rPr>
                <w:noProof/>
                <w:webHidden/>
              </w:rPr>
              <w:t>48</w:t>
            </w:r>
            <w:r>
              <w:rPr>
                <w:noProof/>
                <w:webHidden/>
              </w:rPr>
              <w:fldChar w:fldCharType="end"/>
            </w:r>
          </w:hyperlink>
        </w:p>
        <w:p w14:paraId="6BEDD8CC" w14:textId="16E961CD" w:rsidR="007C3300" w:rsidRDefault="007C3300">
          <w:pPr>
            <w:pStyle w:val="TOC3"/>
            <w:tabs>
              <w:tab w:val="right" w:leader="dot" w:pos="9350"/>
            </w:tabs>
            <w:rPr>
              <w:rFonts w:eastAsiaTheme="minorEastAsia"/>
              <w:noProof/>
            </w:rPr>
          </w:pPr>
          <w:hyperlink w:anchor="_Toc216698922" w:history="1">
            <w:r w:rsidRPr="0008356B">
              <w:rPr>
                <w:rStyle w:val="Hyperlink"/>
                <w:rFonts w:ascii="Arial" w:hAnsi="Arial" w:cs="Arial"/>
                <w:b/>
                <w:bCs/>
                <w:noProof/>
              </w:rPr>
              <w:t>Appendix D7: Capital Rationing Summary</w:t>
            </w:r>
            <w:r>
              <w:rPr>
                <w:noProof/>
                <w:webHidden/>
              </w:rPr>
              <w:tab/>
            </w:r>
            <w:r>
              <w:rPr>
                <w:noProof/>
                <w:webHidden/>
              </w:rPr>
              <w:fldChar w:fldCharType="begin"/>
            </w:r>
            <w:r>
              <w:rPr>
                <w:noProof/>
                <w:webHidden/>
              </w:rPr>
              <w:instrText xml:space="preserve"> PAGEREF _Toc216698922 \h </w:instrText>
            </w:r>
            <w:r>
              <w:rPr>
                <w:noProof/>
                <w:webHidden/>
              </w:rPr>
            </w:r>
            <w:r>
              <w:rPr>
                <w:noProof/>
                <w:webHidden/>
              </w:rPr>
              <w:fldChar w:fldCharType="separate"/>
            </w:r>
            <w:r>
              <w:rPr>
                <w:noProof/>
                <w:webHidden/>
              </w:rPr>
              <w:t>52</w:t>
            </w:r>
            <w:r>
              <w:rPr>
                <w:noProof/>
                <w:webHidden/>
              </w:rPr>
              <w:fldChar w:fldCharType="end"/>
            </w:r>
          </w:hyperlink>
        </w:p>
        <w:p w14:paraId="316F8FAB" w14:textId="1EA3012C" w:rsidR="00164946" w:rsidRPr="008C5253" w:rsidRDefault="00164946">
          <w:pPr>
            <w:rPr>
              <w:rFonts w:ascii="Arial" w:hAnsi="Arial" w:cs="Arial"/>
            </w:rPr>
          </w:pPr>
          <w:r w:rsidRPr="008C5253">
            <w:rPr>
              <w:rFonts w:ascii="Arial" w:hAnsi="Arial" w:cs="Arial"/>
              <w:b/>
              <w:bCs/>
              <w:noProof/>
            </w:rPr>
            <w:fldChar w:fldCharType="end"/>
          </w:r>
        </w:p>
      </w:sdtContent>
    </w:sdt>
    <w:p w14:paraId="1B33BCDA" w14:textId="245C34E7" w:rsidR="00376429" w:rsidRPr="008C5253" w:rsidRDefault="00376429">
      <w:pPr>
        <w:rPr>
          <w:rFonts w:ascii="Arial" w:eastAsiaTheme="majorEastAsia" w:hAnsi="Arial" w:cs="Arial"/>
          <w:b/>
          <w:bCs/>
          <w:sz w:val="32"/>
          <w:szCs w:val="32"/>
        </w:rPr>
      </w:pPr>
      <w:r w:rsidRPr="008C5253">
        <w:rPr>
          <w:rFonts w:ascii="Arial" w:hAnsi="Arial" w:cs="Arial"/>
          <w:b/>
          <w:bCs/>
          <w:sz w:val="32"/>
          <w:szCs w:val="32"/>
        </w:rPr>
        <w:br w:type="page"/>
      </w:r>
    </w:p>
    <w:p w14:paraId="5E474378" w14:textId="33067E9B" w:rsidR="00FD4783" w:rsidRPr="008C5253" w:rsidRDefault="00FD4783" w:rsidP="0084190B">
      <w:pPr>
        <w:pStyle w:val="Heading1"/>
        <w:rPr>
          <w:rFonts w:ascii="Arial" w:hAnsi="Arial" w:cs="Arial"/>
          <w:b/>
          <w:bCs/>
          <w:color w:val="auto"/>
          <w:sz w:val="32"/>
          <w:szCs w:val="32"/>
        </w:rPr>
      </w:pPr>
      <w:bookmarkStart w:id="0" w:name="_Toc216698864"/>
      <w:r w:rsidRPr="008C5253">
        <w:rPr>
          <w:rFonts w:ascii="Arial" w:hAnsi="Arial" w:cs="Arial"/>
          <w:b/>
          <w:bCs/>
          <w:color w:val="auto"/>
          <w:sz w:val="32"/>
          <w:szCs w:val="32"/>
        </w:rPr>
        <w:lastRenderedPageBreak/>
        <w:t>1. Introduction</w:t>
      </w:r>
      <w:bookmarkEnd w:id="0"/>
    </w:p>
    <w:p w14:paraId="3C8925DD" w14:textId="6475F50E" w:rsidR="007C3300" w:rsidRPr="007C3300" w:rsidRDefault="007C3300" w:rsidP="007C3300">
      <w:pPr>
        <w:spacing w:after="0" w:line="360" w:lineRule="auto"/>
        <w:jc w:val="both"/>
        <w:rPr>
          <w:rFonts w:ascii="Arial" w:hAnsi="Arial" w:cs="Arial"/>
        </w:rPr>
      </w:pPr>
      <w:r w:rsidRPr="007C3300">
        <w:rPr>
          <w:rFonts w:ascii="Arial" w:hAnsi="Arial" w:cs="Arial"/>
        </w:rPr>
        <w:t xml:space="preserve">General Electronics is a company that deals with consumer electronics, which is very competitive in the global market and is typified by high rate of technological innovation, strong competition, high level of capital investment, and low product life cycles. Companies in this industry are always under pressure to be innovative, cost-effective, and financially strong in dynamic markets across the globe. Consumer tastes change rapidly and hence, poor financial management can cause </w:t>
      </w:r>
      <w:proofErr w:type="gramStart"/>
      <w:r w:rsidRPr="007C3300">
        <w:rPr>
          <w:rFonts w:ascii="Arial" w:hAnsi="Arial" w:cs="Arial"/>
        </w:rPr>
        <w:t>the profitability</w:t>
      </w:r>
      <w:proofErr w:type="gramEnd"/>
      <w:r w:rsidRPr="007C3300">
        <w:rPr>
          <w:rFonts w:ascii="Arial" w:hAnsi="Arial" w:cs="Arial"/>
        </w:rPr>
        <w:t xml:space="preserve"> and financial stability to reduce dramatically (Porter, 2008).</w:t>
      </w:r>
    </w:p>
    <w:p w14:paraId="324B8E83" w14:textId="1C470250" w:rsidR="007C3300" w:rsidRPr="007C3300" w:rsidRDefault="007C3300" w:rsidP="007C3300">
      <w:pPr>
        <w:spacing w:after="0" w:line="360" w:lineRule="auto"/>
        <w:jc w:val="both"/>
        <w:rPr>
          <w:rFonts w:ascii="Arial" w:hAnsi="Arial" w:cs="Arial"/>
        </w:rPr>
      </w:pPr>
      <w:r w:rsidRPr="007C3300">
        <w:rPr>
          <w:rFonts w:ascii="Arial" w:hAnsi="Arial" w:cs="Arial"/>
        </w:rPr>
        <w:t xml:space="preserve">General Electronics has been performing dismally in the past years with a negative financial performance </w:t>
      </w:r>
      <w:proofErr w:type="spellStart"/>
      <w:r w:rsidRPr="007C3300">
        <w:rPr>
          <w:rFonts w:ascii="Arial" w:hAnsi="Arial" w:cs="Arial"/>
        </w:rPr>
        <w:t>characterised</w:t>
      </w:r>
      <w:proofErr w:type="spellEnd"/>
      <w:r w:rsidRPr="007C3300">
        <w:rPr>
          <w:rFonts w:ascii="Arial" w:hAnsi="Arial" w:cs="Arial"/>
        </w:rPr>
        <w:t xml:space="preserve"> by decreasing revenues, operating losses, liquidity problems, and decreasing </w:t>
      </w:r>
      <w:proofErr w:type="gramStart"/>
      <w:r w:rsidRPr="007C3300">
        <w:rPr>
          <w:rFonts w:ascii="Arial" w:hAnsi="Arial" w:cs="Arial"/>
        </w:rPr>
        <w:t>shareholders</w:t>
      </w:r>
      <w:proofErr w:type="gramEnd"/>
      <w:r w:rsidRPr="007C3300">
        <w:rPr>
          <w:rFonts w:ascii="Arial" w:hAnsi="Arial" w:cs="Arial"/>
        </w:rPr>
        <w:t xml:space="preserve"> value. These tendencies are typical of the multinational companies where the strategic </w:t>
      </w:r>
      <w:proofErr w:type="gramStart"/>
      <w:r w:rsidRPr="007C3300">
        <w:rPr>
          <w:rFonts w:ascii="Arial" w:hAnsi="Arial" w:cs="Arial"/>
        </w:rPr>
        <w:t>decision making</w:t>
      </w:r>
      <w:proofErr w:type="gramEnd"/>
      <w:r w:rsidRPr="007C3300">
        <w:rPr>
          <w:rFonts w:ascii="Arial" w:hAnsi="Arial" w:cs="Arial"/>
        </w:rPr>
        <w:t xml:space="preserve"> process does not have </w:t>
      </w:r>
      <w:proofErr w:type="gramStart"/>
      <w:r w:rsidRPr="007C3300">
        <w:rPr>
          <w:rFonts w:ascii="Arial" w:hAnsi="Arial" w:cs="Arial"/>
        </w:rPr>
        <w:t>the effective</w:t>
      </w:r>
      <w:proofErr w:type="gramEnd"/>
      <w:r w:rsidRPr="007C3300">
        <w:rPr>
          <w:rFonts w:ascii="Arial" w:hAnsi="Arial" w:cs="Arial"/>
        </w:rPr>
        <w:t xml:space="preserve"> financial control and disciplined investment planning. According to Brealey, Myers and Allen (2020), long-term financial decline can be a precursor to internal flaws in capital allocation, working capital control, and cost management in addition to </w:t>
      </w:r>
      <w:proofErr w:type="spellStart"/>
      <w:r w:rsidRPr="007C3300">
        <w:rPr>
          <w:rFonts w:ascii="Arial" w:hAnsi="Arial" w:cs="Arial"/>
        </w:rPr>
        <w:t>unfavourable</w:t>
      </w:r>
      <w:proofErr w:type="spellEnd"/>
      <w:r w:rsidRPr="007C3300">
        <w:rPr>
          <w:rFonts w:ascii="Arial" w:hAnsi="Arial" w:cs="Arial"/>
        </w:rPr>
        <w:t xml:space="preserve"> market conditions.</w:t>
      </w:r>
    </w:p>
    <w:p w14:paraId="7CC5181E" w14:textId="6B3083F0" w:rsidR="007C3300" w:rsidRPr="007C3300" w:rsidRDefault="007C3300" w:rsidP="007C3300">
      <w:pPr>
        <w:spacing w:after="0" w:line="360" w:lineRule="auto"/>
        <w:jc w:val="both"/>
        <w:rPr>
          <w:rFonts w:ascii="Arial" w:hAnsi="Arial" w:cs="Arial"/>
        </w:rPr>
      </w:pPr>
      <w:r w:rsidRPr="007C3300">
        <w:rPr>
          <w:rFonts w:ascii="Arial" w:hAnsi="Arial" w:cs="Arial"/>
        </w:rPr>
        <w:t xml:space="preserve">The Chief Financial Officer (CFO) is at the </w:t>
      </w:r>
      <w:proofErr w:type="spellStart"/>
      <w:r w:rsidRPr="007C3300">
        <w:rPr>
          <w:rFonts w:ascii="Arial" w:hAnsi="Arial" w:cs="Arial"/>
        </w:rPr>
        <w:t>centre</w:t>
      </w:r>
      <w:proofErr w:type="spellEnd"/>
      <w:r w:rsidRPr="007C3300">
        <w:rPr>
          <w:rFonts w:ascii="Arial" w:hAnsi="Arial" w:cs="Arial"/>
        </w:rPr>
        <w:t xml:space="preserve"> of dealing with such challenges. In addition to financial reporting and compliance, the CFO has the role of strategic financial planning, risk management and investment appraisal. Financial management in the modern world demands that CFOs adopt the role of being strategic partners, which means that they should be able to translate financial data into informed decisions that preserve liquidity and create value on the long-term firm (Arnold, 2019). Sound financial analysis helps the management to </w:t>
      </w:r>
      <w:proofErr w:type="spellStart"/>
      <w:r w:rsidRPr="007C3300">
        <w:rPr>
          <w:rFonts w:ascii="Arial" w:hAnsi="Arial" w:cs="Arial"/>
        </w:rPr>
        <w:t>recognise</w:t>
      </w:r>
      <w:proofErr w:type="spellEnd"/>
      <w:r w:rsidRPr="007C3300">
        <w:rPr>
          <w:rFonts w:ascii="Arial" w:hAnsi="Arial" w:cs="Arial"/>
        </w:rPr>
        <w:t xml:space="preserve"> the underlying financial risks and develop successful turnaround plans (</w:t>
      </w:r>
      <w:proofErr w:type="spellStart"/>
      <w:r w:rsidRPr="007C3300">
        <w:rPr>
          <w:rFonts w:ascii="Arial" w:hAnsi="Arial" w:cs="Arial"/>
        </w:rPr>
        <w:t>Atrill</w:t>
      </w:r>
      <w:proofErr w:type="spellEnd"/>
      <w:r w:rsidRPr="007C3300">
        <w:rPr>
          <w:rFonts w:ascii="Arial" w:hAnsi="Arial" w:cs="Arial"/>
        </w:rPr>
        <w:t xml:space="preserve"> and McLaney, 2023).</w:t>
      </w:r>
    </w:p>
    <w:p w14:paraId="08FA19D9" w14:textId="77777777" w:rsidR="007C3300" w:rsidRPr="007C3300" w:rsidRDefault="007C3300" w:rsidP="007C3300">
      <w:pPr>
        <w:spacing w:after="0" w:line="360" w:lineRule="auto"/>
        <w:jc w:val="both"/>
        <w:rPr>
          <w:rFonts w:ascii="Arial" w:hAnsi="Arial" w:cs="Arial"/>
        </w:rPr>
      </w:pPr>
      <w:r w:rsidRPr="007C3300">
        <w:rPr>
          <w:rFonts w:ascii="Arial" w:hAnsi="Arial" w:cs="Arial"/>
        </w:rPr>
        <w:t xml:space="preserve">The financial performance of General Electronics has been assessed in this report based on income statement, balance sheet, and cash flow </w:t>
      </w:r>
      <w:proofErr w:type="gramStart"/>
      <w:r w:rsidRPr="007C3300">
        <w:rPr>
          <w:rFonts w:ascii="Arial" w:hAnsi="Arial" w:cs="Arial"/>
        </w:rPr>
        <w:t>( 1</w:t>
      </w:r>
      <w:proofErr w:type="gramEnd"/>
      <w:r w:rsidRPr="007C3300">
        <w:rPr>
          <w:rFonts w:ascii="Arial" w:hAnsi="Arial" w:cs="Arial"/>
        </w:rPr>
        <w:t xml:space="preserve"> ) data. It includes four analytical sections that include financial health and failure risk assessment, working capital evaluation, financial restructuring proposals, and investment appraisal under capital rationing, which result in pragmatic suggestions to </w:t>
      </w:r>
      <w:proofErr w:type="gramStart"/>
      <w:r w:rsidRPr="007C3300">
        <w:rPr>
          <w:rFonts w:ascii="Arial" w:hAnsi="Arial" w:cs="Arial"/>
        </w:rPr>
        <w:t>recovery</w:t>
      </w:r>
      <w:proofErr w:type="gramEnd"/>
      <w:r w:rsidRPr="007C3300">
        <w:rPr>
          <w:rFonts w:ascii="Arial" w:hAnsi="Arial" w:cs="Arial"/>
        </w:rPr>
        <w:t xml:space="preserve"> and sustainability.</w:t>
      </w:r>
    </w:p>
    <w:p w14:paraId="321B0AAA" w14:textId="4BE41B5A" w:rsidR="00FD4783" w:rsidRPr="008C5253" w:rsidRDefault="00FD4783" w:rsidP="007C3300">
      <w:pPr>
        <w:pStyle w:val="Heading1"/>
        <w:rPr>
          <w:rFonts w:ascii="Arial" w:hAnsi="Arial" w:cs="Arial"/>
          <w:b/>
          <w:bCs/>
          <w:color w:val="auto"/>
          <w:sz w:val="32"/>
          <w:szCs w:val="32"/>
        </w:rPr>
      </w:pPr>
      <w:bookmarkStart w:id="1" w:name="_Toc216698865"/>
      <w:r w:rsidRPr="008C5253">
        <w:rPr>
          <w:rFonts w:ascii="Arial" w:hAnsi="Arial" w:cs="Arial"/>
          <w:b/>
          <w:bCs/>
          <w:color w:val="auto"/>
          <w:sz w:val="32"/>
          <w:szCs w:val="32"/>
        </w:rPr>
        <w:lastRenderedPageBreak/>
        <w:t>2. Financial Health Check</w:t>
      </w:r>
      <w:bookmarkEnd w:id="1"/>
    </w:p>
    <w:p w14:paraId="3D4C6C0C" w14:textId="77777777" w:rsidR="0084190B" w:rsidRPr="008C5253" w:rsidRDefault="0084190B" w:rsidP="0084190B">
      <w:pPr>
        <w:pStyle w:val="Heading2"/>
        <w:rPr>
          <w:rFonts w:ascii="Arial" w:hAnsi="Arial" w:cs="Arial"/>
          <w:b/>
          <w:bCs/>
          <w:color w:val="auto"/>
          <w:sz w:val="28"/>
          <w:szCs w:val="28"/>
        </w:rPr>
      </w:pPr>
      <w:bookmarkStart w:id="2" w:name="_Toc216698866"/>
      <w:r w:rsidRPr="008C5253">
        <w:rPr>
          <w:rFonts w:ascii="Arial" w:hAnsi="Arial" w:cs="Arial"/>
          <w:b/>
          <w:bCs/>
          <w:color w:val="auto"/>
          <w:sz w:val="28"/>
          <w:szCs w:val="28"/>
        </w:rPr>
        <w:t>2.1 Overview of Financial Performance</w:t>
      </w:r>
      <w:bookmarkEnd w:id="2"/>
    </w:p>
    <w:p w14:paraId="4086A985" w14:textId="7859EBB7" w:rsidR="007C3300" w:rsidRPr="007C3300" w:rsidRDefault="007C3300" w:rsidP="007C3300">
      <w:pPr>
        <w:spacing w:after="0" w:line="360" w:lineRule="auto"/>
        <w:jc w:val="both"/>
        <w:rPr>
          <w:rFonts w:ascii="Arial" w:hAnsi="Arial" w:cs="Arial"/>
        </w:rPr>
      </w:pPr>
      <w:r w:rsidRPr="007C3300">
        <w:rPr>
          <w:rFonts w:ascii="Arial" w:hAnsi="Arial" w:cs="Arial"/>
        </w:rPr>
        <w:t xml:space="preserve">The financial performance of General Electronics is evaluated in terms of 2020 to 2024 results. In the analysis, it is evident that the financial health of the company had a steady decline over the five years. Even though the company still made a lot of revenue, net sales plummeted, reducing by some 36 percent since 2020 (when it was 614,680m) to 2024 (when it stood at 394,879m). This is a sign of a reduced competitive edge in the international consumer electronics industry where speed in innovation and </w:t>
      </w:r>
      <w:proofErr w:type="gramStart"/>
      <w:r w:rsidRPr="007C3300">
        <w:rPr>
          <w:rFonts w:ascii="Arial" w:hAnsi="Arial" w:cs="Arial"/>
        </w:rPr>
        <w:t>low cost</w:t>
      </w:r>
      <w:proofErr w:type="gramEnd"/>
      <w:r w:rsidRPr="007C3300">
        <w:rPr>
          <w:rFonts w:ascii="Arial" w:hAnsi="Arial" w:cs="Arial"/>
        </w:rPr>
        <w:t xml:space="preserve"> leadership is the only way to survive (Porter, 2008).</w:t>
      </w:r>
    </w:p>
    <w:p w14:paraId="230B5C8C" w14:textId="77777777" w:rsidR="007C3300" w:rsidRPr="007C3300" w:rsidRDefault="007C3300" w:rsidP="007C3300">
      <w:pPr>
        <w:spacing w:after="0" w:line="360" w:lineRule="auto"/>
        <w:jc w:val="both"/>
        <w:rPr>
          <w:rFonts w:ascii="Arial" w:hAnsi="Arial" w:cs="Arial"/>
        </w:rPr>
      </w:pPr>
      <w:r w:rsidRPr="007C3300">
        <w:rPr>
          <w:rFonts w:ascii="Arial" w:hAnsi="Arial" w:cs="Arial"/>
        </w:rPr>
        <w:t>The drop in revenues was accompanied by a deteriorating profitability, decreasing asset values, and shareholder equity loss. The total assets declined, as well as retained earnings as the company has experienced losses in the last two years (2023 and 2024). Even though operating cash flows were positive, their steep decline indicates a reduction in operating efficiency and is an indicator of impending financial distress, as opposed to a short-term decline (</w:t>
      </w:r>
      <w:proofErr w:type="spellStart"/>
      <w:r w:rsidRPr="007C3300">
        <w:rPr>
          <w:rFonts w:ascii="Arial" w:hAnsi="Arial" w:cs="Arial"/>
        </w:rPr>
        <w:t>Atrill</w:t>
      </w:r>
      <w:proofErr w:type="spellEnd"/>
      <w:r w:rsidRPr="007C3300">
        <w:rPr>
          <w:rFonts w:ascii="Arial" w:hAnsi="Arial" w:cs="Arial"/>
        </w:rPr>
        <w:t xml:space="preserve"> and McLaney, 2023).</w:t>
      </w:r>
    </w:p>
    <w:p w14:paraId="27C4DC79" w14:textId="14EEAA63" w:rsidR="00FD4783" w:rsidRPr="008C5253" w:rsidRDefault="00FD4783" w:rsidP="007C3300">
      <w:pPr>
        <w:pStyle w:val="Heading2"/>
        <w:rPr>
          <w:rFonts w:ascii="Arial" w:hAnsi="Arial" w:cs="Arial"/>
          <w:b/>
          <w:bCs/>
          <w:color w:val="auto"/>
          <w:sz w:val="28"/>
          <w:szCs w:val="28"/>
        </w:rPr>
      </w:pPr>
      <w:bookmarkStart w:id="3" w:name="_Toc216698867"/>
      <w:r w:rsidRPr="008C5253">
        <w:rPr>
          <w:rFonts w:ascii="Arial" w:hAnsi="Arial" w:cs="Arial"/>
          <w:b/>
          <w:bCs/>
          <w:color w:val="auto"/>
          <w:sz w:val="28"/>
          <w:szCs w:val="28"/>
        </w:rPr>
        <w:t>2.2 Profitability Analysis</w:t>
      </w:r>
      <w:bookmarkEnd w:id="3"/>
    </w:p>
    <w:p w14:paraId="464AE878"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Profitability ratios show that there was a significant decrease in earnings performance during the period under analysis (see Appendix A1). The gross profit margins have been relatively consistent at around 28 per cent in most </w:t>
      </w:r>
      <w:proofErr w:type="gramStart"/>
      <w:r w:rsidRPr="008C5253">
        <w:rPr>
          <w:rFonts w:ascii="Arial" w:hAnsi="Arial" w:cs="Arial"/>
        </w:rPr>
        <w:t>years</w:t>
      </w:r>
      <w:proofErr w:type="gramEnd"/>
      <w:r w:rsidRPr="008C5253">
        <w:rPr>
          <w:rFonts w:ascii="Arial" w:hAnsi="Arial" w:cs="Arial"/>
        </w:rPr>
        <w:t xml:space="preserve"> indicating that </w:t>
      </w:r>
      <w:proofErr w:type="gramStart"/>
      <w:r w:rsidRPr="008C5253">
        <w:rPr>
          <w:rFonts w:ascii="Arial" w:hAnsi="Arial" w:cs="Arial"/>
        </w:rPr>
        <w:t>the production</w:t>
      </w:r>
      <w:proofErr w:type="gramEnd"/>
      <w:r w:rsidRPr="008C5253">
        <w:rPr>
          <w:rFonts w:ascii="Arial" w:hAnsi="Arial" w:cs="Arial"/>
        </w:rPr>
        <w:t xml:space="preserve"> efficiency and the price at the gross level were retained fairly. Nevertheless, this seemingly stable situation conceals more fundamental issues in the organization of operating costs.</w:t>
      </w:r>
    </w:p>
    <w:p w14:paraId="42C52D9E"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Operating profit margin has dropped since 6.06% in 2020 to a negative margin of -3.87% in 2024 and the lowest extreme was -20.29% in 2023. This steep decline is an indication of increasing operating costs, </w:t>
      </w:r>
      <w:proofErr w:type="spellStart"/>
      <w:r w:rsidRPr="008C5253">
        <w:rPr>
          <w:rFonts w:ascii="Arial" w:hAnsi="Arial" w:cs="Arial"/>
        </w:rPr>
        <w:t>reorganisation</w:t>
      </w:r>
      <w:proofErr w:type="spellEnd"/>
      <w:r w:rsidRPr="008C5253">
        <w:rPr>
          <w:rFonts w:ascii="Arial" w:hAnsi="Arial" w:cs="Arial"/>
        </w:rPr>
        <w:t xml:space="preserve"> costs, and impairment costs. The same pattern was observed in net profit margin because it dropped to 6.28% in 2020 and to -6.09% in 2024. The continuous negative net margins show that General Electronics has failed to transform revenues into sustainable value to shareholders.</w:t>
      </w:r>
    </w:p>
    <w:p w14:paraId="2173E110" w14:textId="77777777" w:rsidR="00FD4783" w:rsidRPr="008C5253" w:rsidRDefault="00FD4783" w:rsidP="00BD7BD6">
      <w:pPr>
        <w:spacing w:line="360" w:lineRule="auto"/>
        <w:jc w:val="both"/>
        <w:rPr>
          <w:rFonts w:ascii="Arial" w:hAnsi="Arial" w:cs="Arial"/>
        </w:rPr>
      </w:pPr>
      <w:r w:rsidRPr="008C5253">
        <w:rPr>
          <w:rFonts w:ascii="Arial" w:hAnsi="Arial" w:cs="Arial"/>
        </w:rPr>
        <w:lastRenderedPageBreak/>
        <w:t>Brealey, Myers and Allen (2020) claim that a long-term negative profitability is a good indicator of strategic misalignment, which is usually connected with poor capital allocation and poor cost control. In case of General Electronics, falling margins indicate that size of operations is no longer becoming a source of financial benefit.</w:t>
      </w:r>
    </w:p>
    <w:p w14:paraId="758DF468" w14:textId="77777777" w:rsidR="00FD4783" w:rsidRPr="008C5253" w:rsidRDefault="00FD4783" w:rsidP="0084190B">
      <w:pPr>
        <w:pStyle w:val="Heading2"/>
        <w:rPr>
          <w:rFonts w:ascii="Arial" w:hAnsi="Arial" w:cs="Arial"/>
          <w:b/>
          <w:bCs/>
          <w:color w:val="auto"/>
          <w:sz w:val="28"/>
          <w:szCs w:val="28"/>
        </w:rPr>
      </w:pPr>
      <w:bookmarkStart w:id="4" w:name="_Toc216698868"/>
      <w:r w:rsidRPr="008C5253">
        <w:rPr>
          <w:rFonts w:ascii="Arial" w:hAnsi="Arial" w:cs="Arial"/>
          <w:b/>
          <w:bCs/>
          <w:color w:val="auto"/>
          <w:sz w:val="28"/>
          <w:szCs w:val="28"/>
        </w:rPr>
        <w:t>2.3 Liquidity Analysis</w:t>
      </w:r>
      <w:bookmarkEnd w:id="4"/>
    </w:p>
    <w:p w14:paraId="61E63290" w14:textId="77777777" w:rsidR="00FD4783" w:rsidRPr="008C5253" w:rsidRDefault="00FD4783" w:rsidP="00BD7BD6">
      <w:pPr>
        <w:spacing w:line="360" w:lineRule="auto"/>
        <w:jc w:val="both"/>
        <w:rPr>
          <w:rFonts w:ascii="Arial" w:hAnsi="Arial" w:cs="Arial"/>
        </w:rPr>
      </w:pPr>
      <w:r w:rsidRPr="008C5253">
        <w:rPr>
          <w:rFonts w:ascii="Arial" w:hAnsi="Arial" w:cs="Arial"/>
        </w:rPr>
        <w:t>Liquidity analysis indicates the growing pressure on short-term finances, although the ratios are slightly above the standard ones (Appendix A2). The current ratio fell to 1.53 in 2024, which is a gradual loss of the capacity of the company to meet short-term liabilities through current assets as compared to 1.82 in 2020.</w:t>
      </w:r>
    </w:p>
    <w:p w14:paraId="572EB705"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quick ratio shows a more worrying </w:t>
      </w:r>
      <w:proofErr w:type="gramStart"/>
      <w:r w:rsidRPr="008C5253">
        <w:rPr>
          <w:rFonts w:ascii="Arial" w:hAnsi="Arial" w:cs="Arial"/>
        </w:rPr>
        <w:t>trend</w:t>
      </w:r>
      <w:proofErr w:type="gramEnd"/>
      <w:r w:rsidRPr="008C5253">
        <w:rPr>
          <w:rFonts w:ascii="Arial" w:hAnsi="Arial" w:cs="Arial"/>
        </w:rPr>
        <w:t xml:space="preserve"> and it declined to less than 1.0 in </w:t>
      </w:r>
      <w:proofErr w:type="gramStart"/>
      <w:r w:rsidRPr="008C5253">
        <w:rPr>
          <w:rFonts w:ascii="Arial" w:hAnsi="Arial" w:cs="Arial"/>
        </w:rPr>
        <w:t>a number of</w:t>
      </w:r>
      <w:proofErr w:type="gramEnd"/>
      <w:r w:rsidRPr="008C5253">
        <w:rPr>
          <w:rFonts w:ascii="Arial" w:hAnsi="Arial" w:cs="Arial"/>
        </w:rPr>
        <w:t xml:space="preserve"> years, before it slightly recovered to 1.03 in 2024. This indicates that they are relying more on inventory to cover short-term obligations, which decreases the quality of liquidity. Arnold (2019) asserts that a reduction in the liquidity ratios along with the decrease in the cash balances is usually followed by more serious solvency issues without the implementation of corrective measures.</w:t>
      </w:r>
    </w:p>
    <w:p w14:paraId="36302C8F" w14:textId="77777777" w:rsidR="00FD4783" w:rsidRPr="008C5253" w:rsidRDefault="00FD4783" w:rsidP="0084190B">
      <w:pPr>
        <w:pStyle w:val="Heading2"/>
        <w:rPr>
          <w:rFonts w:ascii="Arial" w:hAnsi="Arial" w:cs="Arial"/>
          <w:b/>
          <w:bCs/>
        </w:rPr>
      </w:pPr>
      <w:bookmarkStart w:id="5" w:name="_Toc216698869"/>
      <w:r w:rsidRPr="008C5253">
        <w:rPr>
          <w:rFonts w:ascii="Arial" w:hAnsi="Arial" w:cs="Arial"/>
          <w:b/>
          <w:bCs/>
          <w:color w:val="auto"/>
          <w:sz w:val="28"/>
          <w:szCs w:val="28"/>
        </w:rPr>
        <w:t>2.4 Efficiency &amp; Working Capital Ratios.</w:t>
      </w:r>
      <w:bookmarkEnd w:id="5"/>
    </w:p>
    <w:p w14:paraId="712A3972"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weak internal financial management is disclosed by the efficiency and working capital ratios (Appendix A3). The inventory turnover became decreasing, but reached the lowest point in 2022, which suggests the excess in the stocks and low demand forecasting. Inventory turnover improved later in the </w:t>
      </w:r>
      <w:proofErr w:type="gramStart"/>
      <w:r w:rsidRPr="008C5253">
        <w:rPr>
          <w:rFonts w:ascii="Arial" w:hAnsi="Arial" w:cs="Arial"/>
        </w:rPr>
        <w:t>years</w:t>
      </w:r>
      <w:proofErr w:type="gramEnd"/>
      <w:r w:rsidRPr="008C5253">
        <w:rPr>
          <w:rFonts w:ascii="Arial" w:hAnsi="Arial" w:cs="Arial"/>
        </w:rPr>
        <w:t xml:space="preserve"> but this seems to be a reactive move as opposed to a strategic one because of aggressive inventory reduction.</w:t>
      </w:r>
    </w:p>
    <w:p w14:paraId="7BEABFE6"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Receivables turnover also decreased significantly, 4.75 times in 2020 to 3.46 times in 2024, which means that the company is slower in collecting its cash. This ineffectiveness extended the cash conversion cycle as well as dependence on outside funding. According to </w:t>
      </w:r>
      <w:proofErr w:type="spellStart"/>
      <w:r w:rsidRPr="008C5253">
        <w:rPr>
          <w:rFonts w:ascii="Arial" w:hAnsi="Arial" w:cs="Arial"/>
        </w:rPr>
        <w:t>Atrill</w:t>
      </w:r>
      <w:proofErr w:type="spellEnd"/>
      <w:r w:rsidRPr="008C5253">
        <w:rPr>
          <w:rFonts w:ascii="Arial" w:hAnsi="Arial" w:cs="Arial"/>
        </w:rPr>
        <w:t xml:space="preserve"> and McLaney (2023), poor working capital management can make liquidity risk worse, especially in companies with a decreasing profitability.</w:t>
      </w:r>
    </w:p>
    <w:p w14:paraId="77D0D390" w14:textId="77777777" w:rsidR="00FD4783" w:rsidRPr="008C5253" w:rsidRDefault="00FD4783" w:rsidP="0084190B">
      <w:pPr>
        <w:pStyle w:val="Heading2"/>
        <w:rPr>
          <w:rFonts w:ascii="Arial" w:hAnsi="Arial" w:cs="Arial"/>
          <w:b/>
          <w:bCs/>
          <w:color w:val="auto"/>
          <w:sz w:val="28"/>
          <w:szCs w:val="28"/>
        </w:rPr>
      </w:pPr>
      <w:bookmarkStart w:id="6" w:name="_Toc216698870"/>
      <w:r w:rsidRPr="008C5253">
        <w:rPr>
          <w:rFonts w:ascii="Arial" w:hAnsi="Arial" w:cs="Arial"/>
          <w:b/>
          <w:bCs/>
          <w:color w:val="auto"/>
          <w:sz w:val="28"/>
          <w:szCs w:val="28"/>
        </w:rPr>
        <w:t>2.5 Gearing &amp; Solvency Analysis</w:t>
      </w:r>
      <w:bookmarkEnd w:id="6"/>
    </w:p>
    <w:p w14:paraId="215122A4"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solvency ratios show that the financial risk has increased significantly (Blessing and </w:t>
      </w:r>
      <w:proofErr w:type="spellStart"/>
      <w:r w:rsidRPr="008C5253">
        <w:rPr>
          <w:rFonts w:ascii="Arial" w:hAnsi="Arial" w:cs="Arial"/>
        </w:rPr>
        <w:t>Sakouvogui</w:t>
      </w:r>
      <w:proofErr w:type="spellEnd"/>
      <w:r w:rsidRPr="008C5253">
        <w:rPr>
          <w:rFonts w:ascii="Arial" w:hAnsi="Arial" w:cs="Arial"/>
        </w:rPr>
        <w:t xml:space="preserve">, </w:t>
      </w:r>
      <w:proofErr w:type="gramStart"/>
      <w:r w:rsidRPr="008C5253">
        <w:rPr>
          <w:rFonts w:ascii="Arial" w:hAnsi="Arial" w:cs="Arial"/>
        </w:rPr>
        <w:t>2023)(</w:t>
      </w:r>
      <w:proofErr w:type="gramEnd"/>
      <w:r w:rsidRPr="008C5253">
        <w:rPr>
          <w:rFonts w:ascii="Arial" w:hAnsi="Arial" w:cs="Arial"/>
        </w:rPr>
        <w:t xml:space="preserve">Appendix A4). Debt-to-equity ratio increased to 1.11 in 2024 as </w:t>
      </w:r>
      <w:r w:rsidRPr="008C5253">
        <w:rPr>
          <w:rFonts w:ascii="Arial" w:hAnsi="Arial" w:cs="Arial"/>
        </w:rPr>
        <w:lastRenderedPageBreak/>
        <w:t>compared to 0.63 in 2020, which means that the company is now using larger amounts of debt financing than equity. This growth is fueled by a decline in retained earnings and borrowing by maintaining credit facilities.</w:t>
      </w:r>
    </w:p>
    <w:p w14:paraId="40C83F4D" w14:textId="40AAB3A3" w:rsidR="00790B58" w:rsidRPr="008C5253" w:rsidRDefault="00FD4783" w:rsidP="00BD7BD6">
      <w:pPr>
        <w:spacing w:line="360" w:lineRule="auto"/>
        <w:jc w:val="both"/>
        <w:rPr>
          <w:rFonts w:ascii="Arial" w:hAnsi="Arial" w:cs="Arial"/>
        </w:rPr>
      </w:pPr>
      <w:r w:rsidRPr="008C5253">
        <w:rPr>
          <w:rFonts w:ascii="Arial" w:hAnsi="Arial" w:cs="Arial"/>
        </w:rPr>
        <w:t xml:space="preserve">Capital </w:t>
      </w:r>
      <w:proofErr w:type="gramStart"/>
      <w:r w:rsidRPr="008C5253">
        <w:rPr>
          <w:rFonts w:ascii="Arial" w:hAnsi="Arial" w:cs="Arial"/>
        </w:rPr>
        <w:t>providers</w:t>
      </w:r>
      <w:proofErr w:type="gramEnd"/>
      <w:r w:rsidRPr="008C5253">
        <w:rPr>
          <w:rFonts w:ascii="Arial" w:hAnsi="Arial" w:cs="Arial"/>
        </w:rPr>
        <w:t xml:space="preserve"> returns were drastically reduced. The return on assets decreased to -7.43% in 2024 compared to 7.56% in 2020, and the same thing happened to the return on equity which dropped to -15.69 compared to 12.31. A negative ROE will reflect </w:t>
      </w:r>
      <w:r w:rsidRPr="008C5253">
        <w:rPr>
          <w:rStyle w:val="Heading2Char"/>
          <w:rFonts w:ascii="Arial" w:hAnsi="Arial" w:cs="Arial"/>
          <w:b/>
          <w:bCs/>
          <w:color w:val="auto"/>
          <w:sz w:val="28"/>
          <w:szCs w:val="28"/>
        </w:rPr>
        <w:t>a</w:t>
      </w:r>
      <w:r w:rsidRPr="008C5253">
        <w:rPr>
          <w:rFonts w:ascii="Arial" w:hAnsi="Arial" w:cs="Arial"/>
          <w:sz w:val="22"/>
          <w:szCs w:val="22"/>
        </w:rPr>
        <w:t xml:space="preserve"> </w:t>
      </w:r>
      <w:r w:rsidRPr="008C5253">
        <w:rPr>
          <w:rFonts w:ascii="Arial" w:hAnsi="Arial" w:cs="Arial"/>
        </w:rPr>
        <w:t>shareholder value destruction and a decrease in investor confidence. According to Brealey, Myers and Allen (2020), these trends limit the flexibility of financing in the future greatly.</w:t>
      </w:r>
    </w:p>
    <w:p w14:paraId="6CC0D7E6" w14:textId="77777777" w:rsidR="00FD4783" w:rsidRPr="008C5253" w:rsidRDefault="00FD4783" w:rsidP="0084190B">
      <w:pPr>
        <w:pStyle w:val="Heading2"/>
        <w:rPr>
          <w:rFonts w:ascii="Arial" w:hAnsi="Arial" w:cs="Arial"/>
          <w:b/>
          <w:bCs/>
          <w:color w:val="auto"/>
          <w:sz w:val="28"/>
          <w:szCs w:val="28"/>
        </w:rPr>
      </w:pPr>
      <w:bookmarkStart w:id="7" w:name="_Toc216698871"/>
      <w:r w:rsidRPr="008C5253">
        <w:rPr>
          <w:rFonts w:ascii="Arial" w:hAnsi="Arial" w:cs="Arial"/>
          <w:b/>
          <w:bCs/>
          <w:color w:val="auto"/>
          <w:sz w:val="28"/>
          <w:szCs w:val="28"/>
        </w:rPr>
        <w:t>2.6 Investment and Shareholder Ratios.</w:t>
      </w:r>
      <w:bookmarkEnd w:id="7"/>
    </w:p>
    <w:p w14:paraId="3D279408"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indicators of investment and shareholders also prove the fact that the firm is losing its financial </w:t>
      </w:r>
      <w:proofErr w:type="gramStart"/>
      <w:r w:rsidRPr="008C5253">
        <w:rPr>
          <w:rFonts w:ascii="Arial" w:hAnsi="Arial" w:cs="Arial"/>
        </w:rPr>
        <w:t>positions</w:t>
      </w:r>
      <w:proofErr w:type="gramEnd"/>
      <w:r w:rsidRPr="008C5253">
        <w:rPr>
          <w:rFonts w:ascii="Arial" w:hAnsi="Arial" w:cs="Arial"/>
        </w:rPr>
        <w:t xml:space="preserve"> (Appendix A5). The end of year earnings per share decreased by a significant margin in 2024 compared to 2020, as they dropped to -1.85, indicating deteriorating profitability and the adverse effects of further share buybacks.</w:t>
      </w:r>
    </w:p>
    <w:p w14:paraId="3266CBF3"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extension of </w:t>
      </w:r>
      <w:proofErr w:type="spellStart"/>
      <w:r w:rsidRPr="008C5253">
        <w:rPr>
          <w:rFonts w:ascii="Arial" w:hAnsi="Arial" w:cs="Arial"/>
        </w:rPr>
        <w:t>purchasement</w:t>
      </w:r>
      <w:proofErr w:type="spellEnd"/>
      <w:r w:rsidRPr="008C5253">
        <w:rPr>
          <w:rFonts w:ascii="Arial" w:hAnsi="Arial" w:cs="Arial"/>
        </w:rPr>
        <w:t xml:space="preserve"> of treasury stock at a time when earnings are declining and liquidity is deteriorating is a dubious financial policy (</w:t>
      </w:r>
      <w:proofErr w:type="spellStart"/>
      <w:r w:rsidRPr="008C5253">
        <w:rPr>
          <w:rFonts w:ascii="Arial" w:hAnsi="Arial" w:cs="Arial"/>
        </w:rPr>
        <w:t>Amihud</w:t>
      </w:r>
      <w:proofErr w:type="spellEnd"/>
      <w:r w:rsidRPr="008C5253">
        <w:rPr>
          <w:rFonts w:ascii="Arial" w:hAnsi="Arial" w:cs="Arial"/>
        </w:rPr>
        <w:t xml:space="preserve"> and Mendelson, 1991). Arnold (2019) recommends that capital distributions are put on hold where firms are under pressure in terms of liquidity and they have dwindling internal financing potential since this act undermines financial resilience in the long-term.</w:t>
      </w:r>
    </w:p>
    <w:p w14:paraId="2CAB0956" w14:textId="77777777" w:rsidR="00FD4783" w:rsidRPr="008C5253" w:rsidRDefault="00FD4783" w:rsidP="0084190B">
      <w:pPr>
        <w:pStyle w:val="Heading2"/>
        <w:rPr>
          <w:rFonts w:ascii="Arial" w:hAnsi="Arial" w:cs="Arial"/>
          <w:b/>
          <w:bCs/>
          <w:color w:val="auto"/>
          <w:sz w:val="28"/>
          <w:szCs w:val="28"/>
        </w:rPr>
      </w:pPr>
      <w:bookmarkStart w:id="8" w:name="_Toc216698872"/>
      <w:r w:rsidRPr="008C5253">
        <w:rPr>
          <w:rFonts w:ascii="Arial" w:hAnsi="Arial" w:cs="Arial"/>
          <w:b/>
          <w:bCs/>
          <w:color w:val="auto"/>
          <w:sz w:val="28"/>
          <w:szCs w:val="28"/>
        </w:rPr>
        <w:t>2.7 Cash Flow Analysis</w:t>
      </w:r>
      <w:bookmarkEnd w:id="8"/>
    </w:p>
    <w:p w14:paraId="3891FCD6"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cash flow analysis also gives </w:t>
      </w:r>
      <w:proofErr w:type="gramStart"/>
      <w:r w:rsidRPr="008C5253">
        <w:rPr>
          <w:rFonts w:ascii="Arial" w:hAnsi="Arial" w:cs="Arial"/>
        </w:rPr>
        <w:t>the essential</w:t>
      </w:r>
      <w:proofErr w:type="gramEnd"/>
      <w:r w:rsidRPr="008C5253">
        <w:rPr>
          <w:rFonts w:ascii="Arial" w:hAnsi="Arial" w:cs="Arial"/>
        </w:rPr>
        <w:t xml:space="preserve"> information on the </w:t>
      </w:r>
      <w:proofErr w:type="gramStart"/>
      <w:r w:rsidRPr="008C5253">
        <w:rPr>
          <w:rFonts w:ascii="Arial" w:hAnsi="Arial" w:cs="Arial"/>
        </w:rPr>
        <w:t>short term</w:t>
      </w:r>
      <w:proofErr w:type="gramEnd"/>
      <w:r w:rsidRPr="008C5253">
        <w:rPr>
          <w:rFonts w:ascii="Arial" w:hAnsi="Arial" w:cs="Arial"/>
        </w:rPr>
        <w:t xml:space="preserve"> survival ability of the firm (Appendix A6). Although there was a positive operating cash flow within the period, the operating cash flow has reduced drastically between 2020 and 2024, as it was at 73,392m down to 14,822m. This is a downwards trend reflecting the decrease in operating profitability and indicates poor operational efficiency.</w:t>
      </w:r>
    </w:p>
    <w:p w14:paraId="539D7A5A" w14:textId="77777777" w:rsidR="00FD4783" w:rsidRPr="008C5253" w:rsidRDefault="00FD4783" w:rsidP="00BD7BD6">
      <w:pPr>
        <w:spacing w:line="360" w:lineRule="auto"/>
        <w:jc w:val="both"/>
        <w:rPr>
          <w:rFonts w:ascii="Arial" w:hAnsi="Arial" w:cs="Arial"/>
        </w:rPr>
      </w:pPr>
      <w:r w:rsidRPr="008C5253">
        <w:rPr>
          <w:rFonts w:ascii="Arial" w:hAnsi="Arial" w:cs="Arial"/>
        </w:rPr>
        <w:t>Huge impairment expenses and incurred capital expenditure also limited free cash flow. Short-term credit facilities began to play a more significant role in the financing of the firm, and it could be regarded as the indicator of structural cash flow weakness and not temporary fluctuations (</w:t>
      </w:r>
      <w:proofErr w:type="spellStart"/>
      <w:r w:rsidRPr="008C5253">
        <w:rPr>
          <w:rFonts w:ascii="Arial" w:hAnsi="Arial" w:cs="Arial"/>
        </w:rPr>
        <w:t>Atrill</w:t>
      </w:r>
      <w:proofErr w:type="spellEnd"/>
      <w:r w:rsidRPr="008C5253">
        <w:rPr>
          <w:rFonts w:ascii="Arial" w:hAnsi="Arial" w:cs="Arial"/>
        </w:rPr>
        <w:t xml:space="preserve"> and McLaney, 2023).</w:t>
      </w:r>
    </w:p>
    <w:p w14:paraId="5B6BBC04" w14:textId="77777777" w:rsidR="00FD4783" w:rsidRPr="008C5253" w:rsidRDefault="00FD4783" w:rsidP="0084190B">
      <w:pPr>
        <w:pStyle w:val="Heading2"/>
        <w:rPr>
          <w:rFonts w:ascii="Arial" w:hAnsi="Arial" w:cs="Arial"/>
          <w:b/>
          <w:bCs/>
          <w:color w:val="auto"/>
          <w:sz w:val="28"/>
          <w:szCs w:val="28"/>
        </w:rPr>
      </w:pPr>
      <w:bookmarkStart w:id="9" w:name="_Toc216698873"/>
      <w:r w:rsidRPr="008C5253">
        <w:rPr>
          <w:rFonts w:ascii="Arial" w:hAnsi="Arial" w:cs="Arial"/>
          <w:b/>
          <w:bCs/>
          <w:color w:val="auto"/>
          <w:sz w:val="28"/>
          <w:szCs w:val="28"/>
        </w:rPr>
        <w:lastRenderedPageBreak/>
        <w:t>2.8 Altman Z-Score &amp; Failure Risk</w:t>
      </w:r>
      <w:bookmarkEnd w:id="9"/>
    </w:p>
    <w:p w14:paraId="6F0AACCB" w14:textId="77777777" w:rsidR="00DE31DB" w:rsidRPr="00DE31DB" w:rsidRDefault="00DE31DB" w:rsidP="00DE31DB">
      <w:pPr>
        <w:spacing w:line="360" w:lineRule="auto"/>
        <w:jc w:val="both"/>
        <w:rPr>
          <w:rFonts w:ascii="Arial" w:hAnsi="Arial" w:cs="Arial"/>
        </w:rPr>
      </w:pPr>
      <w:r w:rsidRPr="00DE31DB">
        <w:rPr>
          <w:rFonts w:ascii="Arial" w:hAnsi="Arial" w:cs="Arial"/>
        </w:rPr>
        <w:t xml:space="preserve">Altman Z-Score analysis shows that the financial stability of General Electronics has worsened significantly in 2020-24. In 2020, the company was solidly placed in the safe zone (Z =3.34), as there were good levels of profitability, retained earnings, and high equity base. Nonetheless, since 2021, the Z-Score has been decreasing in the grey zone, indicating the growing financial vulnerability due to the deterioration of operating performance and the increase in leverage. This situation deteriorated dramatically in 2023, as the Z-Score was 1.79, which put the company in the distress zone because of significant operating losses and depletion of retained earnings. </w:t>
      </w:r>
      <w:proofErr w:type="gramStart"/>
      <w:r w:rsidRPr="00DE31DB">
        <w:rPr>
          <w:rFonts w:ascii="Arial" w:hAnsi="Arial" w:cs="Arial"/>
        </w:rPr>
        <w:t>In spite of</w:t>
      </w:r>
      <w:proofErr w:type="gramEnd"/>
      <w:r w:rsidRPr="00DE31DB">
        <w:rPr>
          <w:rFonts w:ascii="Arial" w:hAnsi="Arial" w:cs="Arial"/>
        </w:rPr>
        <w:t xml:space="preserve"> the partial recovery in 2024 (Z = 2.82) the company is still in the upper grey zone, which is a sign that it is still in financial distress, but the level of financial distress is </w:t>
      </w:r>
      <w:proofErr w:type="spellStart"/>
      <w:r w:rsidRPr="00DE31DB">
        <w:rPr>
          <w:rFonts w:ascii="Arial" w:hAnsi="Arial" w:cs="Arial"/>
        </w:rPr>
        <w:t>minimised</w:t>
      </w:r>
      <w:proofErr w:type="spellEnd"/>
      <w:r w:rsidRPr="00DE31DB">
        <w:rPr>
          <w:rFonts w:ascii="Arial" w:hAnsi="Arial" w:cs="Arial"/>
        </w:rPr>
        <w:t>.</w:t>
      </w:r>
    </w:p>
    <w:p w14:paraId="03839104" w14:textId="78765793" w:rsidR="00FD4783" w:rsidRPr="008C5253" w:rsidRDefault="00FD4783" w:rsidP="0084190B">
      <w:pPr>
        <w:pStyle w:val="Heading2"/>
        <w:rPr>
          <w:rFonts w:ascii="Arial" w:hAnsi="Arial" w:cs="Arial"/>
          <w:b/>
          <w:bCs/>
          <w:color w:val="auto"/>
          <w:sz w:val="28"/>
          <w:szCs w:val="28"/>
        </w:rPr>
      </w:pPr>
      <w:bookmarkStart w:id="10" w:name="_Toc216698874"/>
      <w:r w:rsidRPr="008C5253">
        <w:rPr>
          <w:rFonts w:ascii="Arial" w:hAnsi="Arial" w:cs="Arial"/>
          <w:b/>
          <w:bCs/>
          <w:color w:val="auto"/>
          <w:sz w:val="28"/>
          <w:szCs w:val="28"/>
        </w:rPr>
        <w:t>2.9 Financial Weaknesses in a Nutshell.</w:t>
      </w:r>
      <w:bookmarkEnd w:id="10"/>
    </w:p>
    <w:p w14:paraId="695F02FE" w14:textId="77777777" w:rsidR="00FD4783" w:rsidRPr="008C5253" w:rsidRDefault="00FD4783" w:rsidP="00BD7BD6">
      <w:pPr>
        <w:spacing w:line="360" w:lineRule="auto"/>
        <w:jc w:val="both"/>
        <w:rPr>
          <w:rFonts w:ascii="Arial" w:hAnsi="Arial" w:cs="Arial"/>
        </w:rPr>
      </w:pPr>
      <w:r w:rsidRPr="008C5253">
        <w:rPr>
          <w:rFonts w:ascii="Arial" w:hAnsi="Arial" w:cs="Arial"/>
        </w:rPr>
        <w:t>To conclude, the financial health analysis shows that the company has systemic weaknesses in profitability, liquidity, efficiency, and solvency levels. Reduced margins, deteriorating quality of liquidity, ineffective management of working capital and increased leverage as well as the increasing risk of failure is a clear indication that General Electronics is functioning in an unsustainable financial state. Although positive operating cash flows have postponed the risk of crisis, the current trend of the firm is subject to immediate strategic and financial actions to enable the firm to regain its long-term viability.</w:t>
      </w:r>
    </w:p>
    <w:p w14:paraId="7D02C17B" w14:textId="77777777" w:rsidR="00FD4783" w:rsidRPr="008C5253" w:rsidRDefault="00FD4783" w:rsidP="0084190B">
      <w:pPr>
        <w:pStyle w:val="Heading1"/>
        <w:rPr>
          <w:rFonts w:ascii="Arial" w:hAnsi="Arial" w:cs="Arial"/>
          <w:b/>
          <w:bCs/>
          <w:color w:val="auto"/>
          <w:sz w:val="32"/>
          <w:szCs w:val="32"/>
        </w:rPr>
      </w:pPr>
      <w:bookmarkStart w:id="11" w:name="_Toc216698875"/>
      <w:r w:rsidRPr="008C5253">
        <w:rPr>
          <w:rFonts w:ascii="Arial" w:hAnsi="Arial" w:cs="Arial"/>
          <w:b/>
          <w:bCs/>
          <w:color w:val="auto"/>
          <w:sz w:val="32"/>
          <w:szCs w:val="32"/>
        </w:rPr>
        <w:t>3. Working Capital Management Analysis.</w:t>
      </w:r>
      <w:bookmarkEnd w:id="11"/>
    </w:p>
    <w:p w14:paraId="26F76473" w14:textId="77777777" w:rsidR="0084190B" w:rsidRPr="008C5253" w:rsidRDefault="0084190B" w:rsidP="008D3F9D">
      <w:pPr>
        <w:pStyle w:val="Heading2"/>
        <w:rPr>
          <w:rFonts w:ascii="Arial" w:hAnsi="Arial" w:cs="Arial"/>
          <w:b/>
          <w:bCs/>
          <w:color w:val="auto"/>
          <w:sz w:val="28"/>
          <w:szCs w:val="28"/>
        </w:rPr>
      </w:pPr>
      <w:bookmarkStart w:id="12" w:name="_Toc216698876"/>
      <w:r w:rsidRPr="008C5253">
        <w:rPr>
          <w:rFonts w:ascii="Arial" w:hAnsi="Arial" w:cs="Arial"/>
          <w:b/>
          <w:bCs/>
          <w:color w:val="auto"/>
          <w:sz w:val="28"/>
          <w:szCs w:val="28"/>
        </w:rPr>
        <w:t>3.1 Cash Operating Cycle Analysis</w:t>
      </w:r>
      <w:bookmarkEnd w:id="12"/>
    </w:p>
    <w:p w14:paraId="4E85F5EF"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Cash operating cycle (also called cash conversion cycle) is a metric that is used to determine the efficiency with which a company </w:t>
      </w:r>
      <w:proofErr w:type="spellStart"/>
      <w:r w:rsidRPr="008C5253">
        <w:rPr>
          <w:rFonts w:ascii="Arial" w:hAnsi="Arial" w:cs="Arial"/>
        </w:rPr>
        <w:t>utilises</w:t>
      </w:r>
      <w:proofErr w:type="spellEnd"/>
      <w:r w:rsidRPr="008C5253">
        <w:rPr>
          <w:rFonts w:ascii="Arial" w:hAnsi="Arial" w:cs="Arial"/>
        </w:rPr>
        <w:t xml:space="preserve"> its short-term assets and liabilities as it captures the duration it takes to turn purchases of inventory into cash </w:t>
      </w:r>
      <w:proofErr w:type="gramStart"/>
      <w:r w:rsidRPr="008C5253">
        <w:rPr>
          <w:rFonts w:ascii="Arial" w:hAnsi="Arial" w:cs="Arial"/>
        </w:rPr>
        <w:t>inflows(</w:t>
      </w:r>
      <w:proofErr w:type="gramEnd"/>
      <w:r w:rsidRPr="008C5253">
        <w:rPr>
          <w:rFonts w:ascii="Arial" w:hAnsi="Arial" w:cs="Arial"/>
        </w:rPr>
        <w:t xml:space="preserve">Raheem </w:t>
      </w:r>
      <w:proofErr w:type="spellStart"/>
      <w:r w:rsidRPr="008C5253">
        <w:rPr>
          <w:rFonts w:ascii="Arial" w:hAnsi="Arial" w:cs="Arial"/>
        </w:rPr>
        <w:t>Anser</w:t>
      </w:r>
      <w:proofErr w:type="spellEnd"/>
      <w:r w:rsidRPr="008C5253">
        <w:rPr>
          <w:rFonts w:ascii="Arial" w:hAnsi="Arial" w:cs="Arial"/>
        </w:rPr>
        <w:t xml:space="preserve">, 2013). It is determined by adding inventory days and receivables days with the </w:t>
      </w:r>
      <w:proofErr w:type="gramStart"/>
      <w:r w:rsidRPr="008C5253">
        <w:rPr>
          <w:rFonts w:ascii="Arial" w:hAnsi="Arial" w:cs="Arial"/>
        </w:rPr>
        <w:t>payables</w:t>
      </w:r>
      <w:proofErr w:type="gramEnd"/>
      <w:r w:rsidRPr="008C5253">
        <w:rPr>
          <w:rFonts w:ascii="Arial" w:hAnsi="Arial" w:cs="Arial"/>
        </w:rPr>
        <w:t xml:space="preserve"> days (</w:t>
      </w:r>
      <w:proofErr w:type="spellStart"/>
      <w:r w:rsidRPr="008C5253">
        <w:rPr>
          <w:rFonts w:ascii="Arial" w:hAnsi="Arial" w:cs="Arial"/>
        </w:rPr>
        <w:t>Atrill</w:t>
      </w:r>
      <w:proofErr w:type="spellEnd"/>
      <w:r w:rsidRPr="008C5253">
        <w:rPr>
          <w:rFonts w:ascii="Arial" w:hAnsi="Arial" w:cs="Arial"/>
        </w:rPr>
        <w:t xml:space="preserve"> and McLaney, 2023). A longer cash operating cycle would lead to a higher liquidity risk as it would hold cash in working capital.</w:t>
      </w:r>
    </w:p>
    <w:p w14:paraId="0438A779"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In the case of General Electronics, the cash operating cycle was calculated as too long and fluctuated throughout the years 20202024 (see Appendix B1). The inventory days </w:t>
      </w:r>
      <w:r w:rsidRPr="008C5253">
        <w:rPr>
          <w:rFonts w:ascii="Arial" w:hAnsi="Arial" w:cs="Arial"/>
        </w:rPr>
        <w:lastRenderedPageBreak/>
        <w:t xml:space="preserve">have gone very high to the year 2022 as they indicate overstocking and poor demand forecasting. Inventory days have increased in the later </w:t>
      </w:r>
      <w:proofErr w:type="gramStart"/>
      <w:r w:rsidRPr="008C5253">
        <w:rPr>
          <w:rFonts w:ascii="Arial" w:hAnsi="Arial" w:cs="Arial"/>
        </w:rPr>
        <w:t>years</w:t>
      </w:r>
      <w:proofErr w:type="gramEnd"/>
      <w:r w:rsidRPr="008C5253">
        <w:rPr>
          <w:rFonts w:ascii="Arial" w:hAnsi="Arial" w:cs="Arial"/>
        </w:rPr>
        <w:t xml:space="preserve"> but this improvement also seems to be a reactionary one and not strategic.</w:t>
      </w:r>
    </w:p>
    <w:p w14:paraId="0C7D71AD"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number of days outstanding continued to rise throughout the period, which shows slower payments of customers and ineffective credit management. Though the days to payable also went up, which partially </w:t>
      </w:r>
      <w:proofErr w:type="spellStart"/>
      <w:r w:rsidRPr="008C5253">
        <w:rPr>
          <w:rFonts w:ascii="Arial" w:hAnsi="Arial" w:cs="Arial"/>
        </w:rPr>
        <w:t>neutralised</w:t>
      </w:r>
      <w:proofErr w:type="spellEnd"/>
      <w:r w:rsidRPr="008C5253">
        <w:rPr>
          <w:rFonts w:ascii="Arial" w:hAnsi="Arial" w:cs="Arial"/>
        </w:rPr>
        <w:t xml:space="preserve"> liquidity pressure, this approach has the risk of causing negative relations with suppliers. As Brealey, Myers and Allen (2020) note, the dependency on slow supplier payments is an unsustainable liquidity management method </w:t>
      </w:r>
      <w:proofErr w:type="gramStart"/>
      <w:r w:rsidRPr="008C5253">
        <w:rPr>
          <w:rFonts w:ascii="Arial" w:hAnsi="Arial" w:cs="Arial"/>
        </w:rPr>
        <w:t>and in most cases,</w:t>
      </w:r>
      <w:proofErr w:type="gramEnd"/>
      <w:r w:rsidRPr="008C5253">
        <w:rPr>
          <w:rFonts w:ascii="Arial" w:hAnsi="Arial" w:cs="Arial"/>
        </w:rPr>
        <w:t xml:space="preserve"> it is an indicator of liquidity stress in the cash flows.</w:t>
      </w:r>
    </w:p>
    <w:p w14:paraId="437EAD79"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In general, cash operating cycle was structurally inefficient in the firm, which had led to greater dependence on the </w:t>
      </w:r>
      <w:proofErr w:type="gramStart"/>
      <w:r w:rsidRPr="008C5253">
        <w:rPr>
          <w:rFonts w:ascii="Arial" w:hAnsi="Arial" w:cs="Arial"/>
        </w:rPr>
        <w:t>short term</w:t>
      </w:r>
      <w:proofErr w:type="gramEnd"/>
      <w:r w:rsidRPr="008C5253">
        <w:rPr>
          <w:rFonts w:ascii="Arial" w:hAnsi="Arial" w:cs="Arial"/>
        </w:rPr>
        <w:t xml:space="preserve"> borrowing and less financial flexibility.</w:t>
      </w:r>
    </w:p>
    <w:p w14:paraId="6DD1DA90" w14:textId="77777777" w:rsidR="00FD4783" w:rsidRPr="008C5253" w:rsidRDefault="00FD4783" w:rsidP="008D3F9D">
      <w:pPr>
        <w:pStyle w:val="Heading2"/>
        <w:rPr>
          <w:rFonts w:ascii="Arial" w:hAnsi="Arial" w:cs="Arial"/>
          <w:b/>
          <w:bCs/>
          <w:color w:val="auto"/>
          <w:sz w:val="28"/>
          <w:szCs w:val="28"/>
        </w:rPr>
      </w:pPr>
      <w:bookmarkStart w:id="13" w:name="_Toc216698877"/>
      <w:r w:rsidRPr="008C5253">
        <w:rPr>
          <w:rFonts w:ascii="Arial" w:hAnsi="Arial" w:cs="Arial"/>
          <w:b/>
          <w:bCs/>
          <w:color w:val="auto"/>
          <w:sz w:val="28"/>
          <w:szCs w:val="28"/>
        </w:rPr>
        <w:t>3.2 Liquidity Challenges</w:t>
      </w:r>
      <w:bookmarkEnd w:id="13"/>
    </w:p>
    <w:p w14:paraId="26BABDD3" w14:textId="77777777" w:rsidR="00FD4783" w:rsidRPr="008C5253" w:rsidRDefault="00FD4783" w:rsidP="00BD7BD6">
      <w:pPr>
        <w:spacing w:line="360" w:lineRule="auto"/>
        <w:jc w:val="both"/>
        <w:rPr>
          <w:rFonts w:ascii="Arial" w:hAnsi="Arial" w:cs="Arial"/>
        </w:rPr>
      </w:pPr>
      <w:r w:rsidRPr="008C5253">
        <w:rPr>
          <w:rFonts w:ascii="Arial" w:hAnsi="Arial" w:cs="Arial"/>
        </w:rPr>
        <w:t>Although General Electronics has been sustaining the current ratios slightly higher than the conventional levels, the company has serious qualitative liquidity problems. The negative trends in the cash balances and in the operating cash flows and the huge reliance on inventory to maintain the liquidity are indicative of the fact that the short-term financial status is weak in the firm.</w:t>
      </w:r>
    </w:p>
    <w:p w14:paraId="651116B3"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The decrease in the current ratio is a pointer </w:t>
      </w:r>
      <w:proofErr w:type="gramStart"/>
      <w:r w:rsidRPr="008C5253">
        <w:rPr>
          <w:rFonts w:ascii="Arial" w:hAnsi="Arial" w:cs="Arial"/>
        </w:rPr>
        <w:t>of</w:t>
      </w:r>
      <w:proofErr w:type="gramEnd"/>
      <w:r w:rsidRPr="008C5253">
        <w:rPr>
          <w:rFonts w:ascii="Arial" w:hAnsi="Arial" w:cs="Arial"/>
        </w:rPr>
        <w:t xml:space="preserve"> the decreasing quality of current assets. Cash and cash equivalents reduced drastically as in 2022, it </w:t>
      </w:r>
      <w:proofErr w:type="gramStart"/>
      <w:r w:rsidRPr="008C5253">
        <w:rPr>
          <w:rFonts w:ascii="Arial" w:hAnsi="Arial" w:cs="Arial"/>
        </w:rPr>
        <w:t>was at</w:t>
      </w:r>
      <w:proofErr w:type="gramEnd"/>
      <w:r w:rsidRPr="008C5253">
        <w:rPr>
          <w:rFonts w:ascii="Arial" w:hAnsi="Arial" w:cs="Arial"/>
        </w:rPr>
        <w:t xml:space="preserve"> £66,740m, and in 2024, it is at 26,783m with receivables being high. Such imbalance exposes it to default of customers and slowing down of cash collection.</w:t>
      </w:r>
    </w:p>
    <w:p w14:paraId="5BA0C311" w14:textId="77777777" w:rsidR="00FD4783" w:rsidRPr="008C5253" w:rsidRDefault="00FD4783" w:rsidP="00BD7BD6">
      <w:pPr>
        <w:spacing w:line="360" w:lineRule="auto"/>
        <w:jc w:val="both"/>
        <w:rPr>
          <w:rFonts w:ascii="Arial" w:hAnsi="Arial" w:cs="Arial"/>
        </w:rPr>
      </w:pPr>
      <w:r w:rsidRPr="008C5253">
        <w:rPr>
          <w:rFonts w:ascii="Arial" w:hAnsi="Arial" w:cs="Arial"/>
        </w:rPr>
        <w:t>In addition, the current liabilities operating cash flow coverage deteriorated significantly (Appendix B2). Arnold (2019) notes that companies that are experiencing a deteriorating operating cash flow in comparison to short-term liabilities tend to experience refinancing pressures, especially when interest rates are on the increase and credit is tight. Such liquidity constraints greatly increase financial risk to a global consumer electronics company that is operating in a volatile market.</w:t>
      </w:r>
    </w:p>
    <w:p w14:paraId="3AD4BC5B" w14:textId="77777777" w:rsidR="008D3F9D" w:rsidRPr="008C5253" w:rsidRDefault="00FD4783" w:rsidP="00BD7BD6">
      <w:pPr>
        <w:spacing w:line="360" w:lineRule="auto"/>
        <w:jc w:val="both"/>
        <w:rPr>
          <w:rFonts w:ascii="Arial" w:hAnsi="Arial" w:cs="Arial"/>
        </w:rPr>
      </w:pPr>
      <w:r w:rsidRPr="008C5253">
        <w:rPr>
          <w:rFonts w:ascii="Arial" w:hAnsi="Arial" w:cs="Arial"/>
        </w:rPr>
        <w:t>The working capital improvement strategy involves the company employing a range of strategies to enhance its working capital status.</w:t>
      </w:r>
    </w:p>
    <w:p w14:paraId="6291B930" w14:textId="77777777" w:rsidR="008D3F9D" w:rsidRPr="008C5253" w:rsidRDefault="00FD4783" w:rsidP="00BD7BD6">
      <w:pPr>
        <w:spacing w:line="360" w:lineRule="auto"/>
        <w:jc w:val="both"/>
        <w:rPr>
          <w:rStyle w:val="Heading2Char"/>
          <w:rFonts w:ascii="Arial" w:hAnsi="Arial" w:cs="Arial"/>
          <w:b/>
          <w:bCs/>
          <w:color w:val="auto"/>
          <w:sz w:val="28"/>
          <w:szCs w:val="28"/>
        </w:rPr>
      </w:pPr>
      <w:bookmarkStart w:id="14" w:name="_Toc216698878"/>
      <w:r w:rsidRPr="008C5253">
        <w:rPr>
          <w:rStyle w:val="Heading2Char"/>
          <w:rFonts w:ascii="Arial" w:hAnsi="Arial" w:cs="Arial"/>
          <w:b/>
          <w:bCs/>
          <w:color w:val="auto"/>
          <w:sz w:val="28"/>
          <w:szCs w:val="28"/>
        </w:rPr>
        <w:lastRenderedPageBreak/>
        <w:t>3.3 Working Capital Improvement Strategies</w:t>
      </w:r>
      <w:bookmarkEnd w:id="14"/>
      <w:r w:rsidRPr="008C5253">
        <w:rPr>
          <w:rStyle w:val="Heading2Char"/>
          <w:rFonts w:ascii="Arial" w:hAnsi="Arial" w:cs="Arial"/>
          <w:b/>
          <w:bCs/>
          <w:color w:val="auto"/>
          <w:sz w:val="28"/>
          <w:szCs w:val="28"/>
        </w:rPr>
        <w:t xml:space="preserve"> </w:t>
      </w:r>
    </w:p>
    <w:p w14:paraId="41684E8C" w14:textId="0E4AB1C0" w:rsidR="00FD4783" w:rsidRPr="008C5253" w:rsidRDefault="00FD4783" w:rsidP="00BD7BD6">
      <w:pPr>
        <w:spacing w:line="360" w:lineRule="auto"/>
        <w:jc w:val="both"/>
        <w:rPr>
          <w:rFonts w:ascii="Arial" w:hAnsi="Arial" w:cs="Arial"/>
        </w:rPr>
      </w:pPr>
      <w:r w:rsidRPr="008C5253">
        <w:rPr>
          <w:rFonts w:ascii="Arial" w:hAnsi="Arial" w:cs="Arial"/>
        </w:rPr>
        <w:t>The working capital improvement strategy entails the company using various methods to improve its working capital position.</w:t>
      </w:r>
    </w:p>
    <w:p w14:paraId="599A35DD" w14:textId="77777777" w:rsidR="00FD4783" w:rsidRPr="008C5253" w:rsidRDefault="00FD4783" w:rsidP="00BD7BD6">
      <w:pPr>
        <w:spacing w:line="360" w:lineRule="auto"/>
        <w:jc w:val="both"/>
        <w:rPr>
          <w:rFonts w:ascii="Arial" w:hAnsi="Arial" w:cs="Arial"/>
        </w:rPr>
      </w:pPr>
      <w:r w:rsidRPr="008C5253">
        <w:rPr>
          <w:rFonts w:ascii="Arial" w:hAnsi="Arial" w:cs="Arial"/>
        </w:rPr>
        <w:t>General Electronics needs to implement structural working capital reforms instead of corrective actions on short-term basis to overcome these issues.</w:t>
      </w:r>
    </w:p>
    <w:p w14:paraId="0C11336F"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To begin with, </w:t>
      </w:r>
      <w:proofErr w:type="gramStart"/>
      <w:r w:rsidRPr="008C5253">
        <w:rPr>
          <w:rFonts w:ascii="Arial" w:hAnsi="Arial" w:cs="Arial"/>
        </w:rPr>
        <w:t>the inventory</w:t>
      </w:r>
      <w:proofErr w:type="gramEnd"/>
      <w:r w:rsidRPr="008C5253">
        <w:rPr>
          <w:rFonts w:ascii="Arial" w:hAnsi="Arial" w:cs="Arial"/>
        </w:rPr>
        <w:t xml:space="preserve"> control must become demand-based planning, which is facilitated by better forecasting and stock control. </w:t>
      </w:r>
      <w:proofErr w:type="gramStart"/>
      <w:r w:rsidRPr="008C5253">
        <w:rPr>
          <w:rFonts w:ascii="Arial" w:hAnsi="Arial" w:cs="Arial"/>
        </w:rPr>
        <w:t>The overstocking</w:t>
      </w:r>
      <w:proofErr w:type="gramEnd"/>
      <w:r w:rsidRPr="008C5253">
        <w:rPr>
          <w:rFonts w:ascii="Arial" w:hAnsi="Arial" w:cs="Arial"/>
        </w:rPr>
        <w:t xml:space="preserve"> does not only tie up the capital but also raises the risk of obsolescence in the technology-based industries (Porter, 2008). Applying the principles of just-in-time and </w:t>
      </w:r>
      <w:proofErr w:type="spellStart"/>
      <w:r w:rsidRPr="008C5253">
        <w:rPr>
          <w:rFonts w:ascii="Arial" w:hAnsi="Arial" w:cs="Arial"/>
        </w:rPr>
        <w:t>rationalisation</w:t>
      </w:r>
      <w:proofErr w:type="spellEnd"/>
      <w:r w:rsidRPr="008C5253">
        <w:rPr>
          <w:rFonts w:ascii="Arial" w:hAnsi="Arial" w:cs="Arial"/>
        </w:rPr>
        <w:t xml:space="preserve"> of product lines would lower the inventory holding rates and free cash.</w:t>
      </w:r>
    </w:p>
    <w:p w14:paraId="0AEEDC21" w14:textId="77777777" w:rsidR="00FD4783" w:rsidRPr="008C5253" w:rsidRDefault="00FD4783" w:rsidP="00BD7BD6">
      <w:pPr>
        <w:spacing w:line="360" w:lineRule="auto"/>
        <w:jc w:val="both"/>
        <w:rPr>
          <w:rFonts w:ascii="Arial" w:hAnsi="Arial" w:cs="Arial"/>
        </w:rPr>
      </w:pPr>
      <w:r w:rsidRPr="008C5253">
        <w:rPr>
          <w:rFonts w:ascii="Arial" w:hAnsi="Arial" w:cs="Arial"/>
        </w:rPr>
        <w:t>Second, receivables management should be tightened by having tighter credit policy, improved customer screening and early payment incentives (</w:t>
      </w:r>
      <w:proofErr w:type="spellStart"/>
      <w:r w:rsidRPr="008C5253">
        <w:rPr>
          <w:rFonts w:ascii="Arial" w:hAnsi="Arial" w:cs="Arial"/>
        </w:rPr>
        <w:t>Bessonova</w:t>
      </w:r>
      <w:proofErr w:type="spellEnd"/>
      <w:r w:rsidRPr="008C5253">
        <w:rPr>
          <w:rFonts w:ascii="Arial" w:hAnsi="Arial" w:cs="Arial"/>
        </w:rPr>
        <w:t xml:space="preserve">, </w:t>
      </w:r>
      <w:proofErr w:type="spellStart"/>
      <w:r w:rsidRPr="008C5253">
        <w:rPr>
          <w:rFonts w:ascii="Arial" w:hAnsi="Arial" w:cs="Arial"/>
        </w:rPr>
        <w:t>Bessonova</w:t>
      </w:r>
      <w:proofErr w:type="spellEnd"/>
      <w:r w:rsidRPr="008C5253">
        <w:rPr>
          <w:rFonts w:ascii="Arial" w:hAnsi="Arial" w:cs="Arial"/>
        </w:rPr>
        <w:t xml:space="preserve"> and Shevchenko, 2025). The decrease in the number of days outstanding would have the direct effect of decreasing the cash operating cycle and enhancing the quality of liquidity. </w:t>
      </w:r>
      <w:proofErr w:type="spellStart"/>
      <w:r w:rsidRPr="008C5253">
        <w:rPr>
          <w:rFonts w:ascii="Arial" w:hAnsi="Arial" w:cs="Arial"/>
        </w:rPr>
        <w:t>Atrill</w:t>
      </w:r>
      <w:proofErr w:type="spellEnd"/>
      <w:r w:rsidRPr="008C5253">
        <w:rPr>
          <w:rFonts w:ascii="Arial" w:hAnsi="Arial" w:cs="Arial"/>
        </w:rPr>
        <w:t xml:space="preserve"> and McLaney (2023) point out that receiving discipline is essential to companies with waning margins because collections slow down cash flow volatility.</w:t>
      </w:r>
    </w:p>
    <w:p w14:paraId="087F9750"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Third, although payable extension offers short-term relief it must be done with caution </w:t>
      </w:r>
      <w:proofErr w:type="gramStart"/>
      <w:r w:rsidRPr="008C5253">
        <w:rPr>
          <w:rFonts w:ascii="Arial" w:hAnsi="Arial" w:cs="Arial"/>
        </w:rPr>
        <w:t>so as to</w:t>
      </w:r>
      <w:proofErr w:type="gramEnd"/>
      <w:r w:rsidRPr="008C5253">
        <w:rPr>
          <w:rFonts w:ascii="Arial" w:hAnsi="Arial" w:cs="Arial"/>
        </w:rPr>
        <w:t xml:space="preserve"> not ruin relationships with suppliers. It would be better to negotiate longer-term supplier agreements or </w:t>
      </w:r>
      <w:proofErr w:type="gramStart"/>
      <w:r w:rsidRPr="008C5253">
        <w:rPr>
          <w:rFonts w:ascii="Arial" w:hAnsi="Arial" w:cs="Arial"/>
        </w:rPr>
        <w:t>volume-discounts</w:t>
      </w:r>
      <w:proofErr w:type="gramEnd"/>
      <w:r w:rsidRPr="008C5253">
        <w:rPr>
          <w:rFonts w:ascii="Arial" w:hAnsi="Arial" w:cs="Arial"/>
        </w:rPr>
        <w:t xml:space="preserve"> that would enhance the liquidity without compromising the operational stability.</w:t>
      </w:r>
    </w:p>
    <w:p w14:paraId="7773A9C1" w14:textId="21DC89D1" w:rsidR="00FC5FC8" w:rsidRPr="008C5253" w:rsidRDefault="00FD4783" w:rsidP="00BD7BD6">
      <w:pPr>
        <w:spacing w:line="360" w:lineRule="auto"/>
        <w:jc w:val="both"/>
        <w:rPr>
          <w:rFonts w:ascii="Arial" w:hAnsi="Arial" w:cs="Arial"/>
        </w:rPr>
      </w:pPr>
      <w:r w:rsidRPr="008C5253">
        <w:rPr>
          <w:rFonts w:ascii="Arial" w:hAnsi="Arial" w:cs="Arial"/>
        </w:rPr>
        <w:t>All these would decrease the use of external financing and increase internal cash generation.</w:t>
      </w:r>
    </w:p>
    <w:p w14:paraId="56C44FBE" w14:textId="77777777" w:rsidR="00FD4783" w:rsidRPr="008C5253" w:rsidRDefault="00FD4783" w:rsidP="008D3F9D">
      <w:pPr>
        <w:pStyle w:val="Heading2"/>
        <w:rPr>
          <w:rFonts w:ascii="Arial" w:hAnsi="Arial" w:cs="Arial"/>
          <w:b/>
          <w:bCs/>
          <w:color w:val="auto"/>
          <w:sz w:val="28"/>
          <w:szCs w:val="28"/>
        </w:rPr>
      </w:pPr>
      <w:bookmarkStart w:id="15" w:name="_Toc216698879"/>
      <w:r w:rsidRPr="008C5253">
        <w:rPr>
          <w:rFonts w:ascii="Arial" w:hAnsi="Arial" w:cs="Arial"/>
          <w:b/>
          <w:bCs/>
          <w:color w:val="auto"/>
          <w:sz w:val="28"/>
          <w:szCs w:val="28"/>
        </w:rPr>
        <w:t>3.4 Decision between Short-term and Long-term Financing.</w:t>
      </w:r>
      <w:bookmarkEnd w:id="15"/>
    </w:p>
    <w:p w14:paraId="44340D3E"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General Electronics has been using short-term credit facilities </w:t>
      </w:r>
      <w:proofErr w:type="gramStart"/>
      <w:r w:rsidRPr="008C5253">
        <w:rPr>
          <w:rFonts w:ascii="Arial" w:hAnsi="Arial" w:cs="Arial"/>
        </w:rPr>
        <w:t>to a large extent</w:t>
      </w:r>
      <w:proofErr w:type="gramEnd"/>
      <w:r w:rsidRPr="008C5253">
        <w:rPr>
          <w:rFonts w:ascii="Arial" w:hAnsi="Arial" w:cs="Arial"/>
        </w:rPr>
        <w:t xml:space="preserve"> as reflected by varying lines of credit </w:t>
      </w:r>
      <w:proofErr w:type="spellStart"/>
      <w:r w:rsidRPr="008C5253">
        <w:rPr>
          <w:rFonts w:ascii="Arial" w:hAnsi="Arial" w:cs="Arial"/>
        </w:rPr>
        <w:t>utilisation</w:t>
      </w:r>
      <w:proofErr w:type="spellEnd"/>
      <w:r w:rsidRPr="008C5253">
        <w:rPr>
          <w:rFonts w:ascii="Arial" w:hAnsi="Arial" w:cs="Arial"/>
        </w:rPr>
        <w:t xml:space="preserve"> (Appendix B3). Although short-term financing provides flexibility and reduces start-up </w:t>
      </w:r>
      <w:proofErr w:type="gramStart"/>
      <w:r w:rsidRPr="008C5253">
        <w:rPr>
          <w:rFonts w:ascii="Arial" w:hAnsi="Arial" w:cs="Arial"/>
        </w:rPr>
        <w:t>cost</w:t>
      </w:r>
      <w:proofErr w:type="gramEnd"/>
      <w:r w:rsidRPr="008C5253">
        <w:rPr>
          <w:rFonts w:ascii="Arial" w:hAnsi="Arial" w:cs="Arial"/>
        </w:rPr>
        <w:t>, overreliance enhances the refinancing risk and as well, the company is exposed to fluctuating interest rates.</w:t>
      </w:r>
    </w:p>
    <w:p w14:paraId="1BECE42F" w14:textId="77777777" w:rsidR="00FD4783" w:rsidRPr="008C5253" w:rsidRDefault="00FD4783" w:rsidP="00BD7BD6">
      <w:pPr>
        <w:spacing w:line="360" w:lineRule="auto"/>
        <w:jc w:val="both"/>
        <w:rPr>
          <w:rFonts w:ascii="Arial" w:hAnsi="Arial" w:cs="Arial"/>
        </w:rPr>
      </w:pPr>
      <w:r w:rsidRPr="008C5253">
        <w:rPr>
          <w:rFonts w:ascii="Arial" w:hAnsi="Arial" w:cs="Arial"/>
        </w:rPr>
        <w:lastRenderedPageBreak/>
        <w:t xml:space="preserve">Considering the decreasing profitability and high financial risk of the firm, the partial transition to </w:t>
      </w:r>
      <w:proofErr w:type="gramStart"/>
      <w:r w:rsidRPr="008C5253">
        <w:rPr>
          <w:rFonts w:ascii="Arial" w:hAnsi="Arial" w:cs="Arial"/>
        </w:rPr>
        <w:t>the long</w:t>
      </w:r>
      <w:proofErr w:type="gramEnd"/>
      <w:r w:rsidRPr="008C5253">
        <w:rPr>
          <w:rFonts w:ascii="Arial" w:hAnsi="Arial" w:cs="Arial"/>
        </w:rPr>
        <w:t xml:space="preserve">-term financing is more suitable. The capital structure would be </w:t>
      </w:r>
      <w:proofErr w:type="spellStart"/>
      <w:r w:rsidRPr="008C5253">
        <w:rPr>
          <w:rFonts w:ascii="Arial" w:hAnsi="Arial" w:cs="Arial"/>
        </w:rPr>
        <w:t>stabilised</w:t>
      </w:r>
      <w:proofErr w:type="spellEnd"/>
      <w:r w:rsidRPr="008C5253">
        <w:rPr>
          <w:rFonts w:ascii="Arial" w:hAnsi="Arial" w:cs="Arial"/>
        </w:rPr>
        <w:t xml:space="preserve"> by long-term debt or equity injection, rollover risk would be </w:t>
      </w:r>
      <w:proofErr w:type="spellStart"/>
      <w:r w:rsidRPr="008C5253">
        <w:rPr>
          <w:rFonts w:ascii="Arial" w:hAnsi="Arial" w:cs="Arial"/>
        </w:rPr>
        <w:t>minimised</w:t>
      </w:r>
      <w:proofErr w:type="spellEnd"/>
      <w:r w:rsidRPr="008C5253">
        <w:rPr>
          <w:rFonts w:ascii="Arial" w:hAnsi="Arial" w:cs="Arial"/>
        </w:rPr>
        <w:t>, and the maturity of the financing would be in line with the life of the asset. Brealey, Myers and Allen (2020) hold that during the restructuring process, firms should match maturity because it will alleviate the stress of liquidity in periods of recovery.</w:t>
      </w:r>
    </w:p>
    <w:p w14:paraId="69FA9EB0" w14:textId="77777777" w:rsidR="00FD4783" w:rsidRPr="008C5253" w:rsidRDefault="00FD4783" w:rsidP="00BD7BD6">
      <w:pPr>
        <w:spacing w:line="360" w:lineRule="auto"/>
        <w:jc w:val="both"/>
        <w:rPr>
          <w:rFonts w:ascii="Arial" w:hAnsi="Arial" w:cs="Arial"/>
        </w:rPr>
      </w:pPr>
      <w:r w:rsidRPr="008C5253">
        <w:rPr>
          <w:rFonts w:ascii="Arial" w:hAnsi="Arial" w:cs="Arial"/>
        </w:rPr>
        <w:t>Long-term financing, however, can dilute the current shareholders or raise the cost of financing. Thus, it is advisable to take a middle way: to introduce selective long-term financing, as well as better working capital management to recover financial stability.</w:t>
      </w:r>
    </w:p>
    <w:p w14:paraId="4EA6A7F1" w14:textId="77777777" w:rsidR="00FD4783" w:rsidRPr="008C5253" w:rsidRDefault="00FD4783" w:rsidP="00BD7BD6">
      <w:pPr>
        <w:pStyle w:val="Heading1"/>
        <w:rPr>
          <w:rFonts w:ascii="Arial" w:hAnsi="Arial" w:cs="Arial"/>
          <w:b/>
          <w:bCs/>
          <w:color w:val="auto"/>
          <w:sz w:val="32"/>
          <w:szCs w:val="32"/>
        </w:rPr>
      </w:pPr>
      <w:bookmarkStart w:id="16" w:name="_Toc216698880"/>
      <w:r w:rsidRPr="008C5253">
        <w:rPr>
          <w:rFonts w:ascii="Arial" w:hAnsi="Arial" w:cs="Arial"/>
          <w:b/>
          <w:bCs/>
          <w:color w:val="auto"/>
          <w:sz w:val="32"/>
          <w:szCs w:val="32"/>
        </w:rPr>
        <w:t>4. Strategic Financial Restructuring Plan.</w:t>
      </w:r>
      <w:bookmarkEnd w:id="16"/>
    </w:p>
    <w:p w14:paraId="6A85B8DE" w14:textId="77777777" w:rsidR="00FD4783" w:rsidRPr="008C5253" w:rsidRDefault="00FD4783" w:rsidP="008D3F9D">
      <w:pPr>
        <w:pStyle w:val="Heading2"/>
        <w:rPr>
          <w:rFonts w:ascii="Arial" w:hAnsi="Arial" w:cs="Arial"/>
          <w:b/>
          <w:bCs/>
          <w:color w:val="auto"/>
          <w:sz w:val="28"/>
          <w:szCs w:val="28"/>
        </w:rPr>
      </w:pPr>
      <w:bookmarkStart w:id="17" w:name="_Toc216698881"/>
      <w:r w:rsidRPr="008C5253">
        <w:rPr>
          <w:rFonts w:ascii="Arial" w:hAnsi="Arial" w:cs="Arial"/>
          <w:b/>
          <w:bCs/>
          <w:color w:val="auto"/>
          <w:sz w:val="28"/>
          <w:szCs w:val="28"/>
        </w:rPr>
        <w:t>4.1 Financial Restructuring is required.</w:t>
      </w:r>
      <w:bookmarkEnd w:id="17"/>
    </w:p>
    <w:p w14:paraId="27120134" w14:textId="77777777" w:rsidR="00FD4783" w:rsidRPr="008C5253" w:rsidRDefault="00FD4783" w:rsidP="00BD7BD6">
      <w:pPr>
        <w:spacing w:line="360" w:lineRule="auto"/>
        <w:jc w:val="both"/>
        <w:rPr>
          <w:rFonts w:ascii="Arial" w:hAnsi="Arial" w:cs="Arial"/>
        </w:rPr>
      </w:pPr>
      <w:r w:rsidRPr="008C5253">
        <w:rPr>
          <w:rFonts w:ascii="Arial" w:hAnsi="Arial" w:cs="Arial"/>
        </w:rPr>
        <w:t>General Electronics is in structural financial distress not short-term cyclical pressure as shown in the financial analysis in Section 2 and 3. Constant operating losses and decreasing operating cash flows, increasing leverage, and an Altman Z-Score in the Grey Zone all indicate that the current financial structure of the firm is not sustainable. Altman (1968) found that companies that have a long history of poor profitability and high leverage have a significantly higher likelihood of financial failure when the remedial action is not taken in time.</w:t>
      </w:r>
    </w:p>
    <w:p w14:paraId="78C4F896" w14:textId="77777777" w:rsidR="00FD4783" w:rsidRPr="008C5253" w:rsidRDefault="00FD4783" w:rsidP="00BD7BD6">
      <w:pPr>
        <w:spacing w:line="360" w:lineRule="auto"/>
        <w:jc w:val="both"/>
        <w:rPr>
          <w:rFonts w:ascii="Arial" w:hAnsi="Arial" w:cs="Arial"/>
        </w:rPr>
      </w:pPr>
      <w:r w:rsidRPr="008C5253">
        <w:rPr>
          <w:rFonts w:ascii="Arial" w:hAnsi="Arial" w:cs="Arial"/>
        </w:rPr>
        <w:t>In 2024, the liabilities to equity ratio of General Electronics stood at 1.11 which indicates a high dependence on external funding. Meanwhile, asset and equity returns became negative with a high margin, which means that the capital used is not efficient in creating the required economic returns. Even though its operating cash flow continued to be positive, it failed to cover current liabilities as much, which increased refinancing and liquidity risk. Brealey, Myers and Allen (2020) maintain that in the case of weak internal financing capacity and leverage growth, the financial restructuring is required to maintain solvency and rebuild investor confidence.</w:t>
      </w:r>
    </w:p>
    <w:p w14:paraId="37818462" w14:textId="5F3622CD" w:rsidR="00FD4783" w:rsidRPr="008C5253" w:rsidRDefault="00FD4783" w:rsidP="00BD7BD6">
      <w:pPr>
        <w:spacing w:line="360" w:lineRule="auto"/>
        <w:jc w:val="both"/>
        <w:rPr>
          <w:rFonts w:ascii="Arial" w:hAnsi="Arial" w:cs="Arial"/>
        </w:rPr>
      </w:pPr>
      <w:r w:rsidRPr="008C5253">
        <w:rPr>
          <w:rFonts w:ascii="Arial" w:hAnsi="Arial" w:cs="Arial"/>
        </w:rPr>
        <w:t>This diagnosis is also supported by the Altman Z-Score of 2.</w:t>
      </w:r>
      <w:r w:rsidR="00AC698F" w:rsidRPr="008C5253">
        <w:rPr>
          <w:rFonts w:ascii="Arial" w:hAnsi="Arial" w:cs="Arial"/>
        </w:rPr>
        <w:t>82</w:t>
      </w:r>
      <w:r w:rsidRPr="008C5253">
        <w:rPr>
          <w:rFonts w:ascii="Arial" w:hAnsi="Arial" w:cs="Arial"/>
        </w:rPr>
        <w:t xml:space="preserve"> of the firm. Although the classification does not suggest </w:t>
      </w:r>
      <w:proofErr w:type="gramStart"/>
      <w:r w:rsidRPr="008C5253">
        <w:rPr>
          <w:rFonts w:ascii="Arial" w:hAnsi="Arial" w:cs="Arial"/>
        </w:rPr>
        <w:t>the imminent</w:t>
      </w:r>
      <w:proofErr w:type="gramEnd"/>
      <w:r w:rsidRPr="008C5253">
        <w:rPr>
          <w:rFonts w:ascii="Arial" w:hAnsi="Arial" w:cs="Arial"/>
        </w:rPr>
        <w:t xml:space="preserve"> bankruptcy, the Grey Zone is used to denote financial vulnerability and low capacity to withstand negative economic or market shocks. </w:t>
      </w:r>
      <w:r w:rsidRPr="008C5253">
        <w:rPr>
          <w:rFonts w:ascii="Arial" w:hAnsi="Arial" w:cs="Arial"/>
        </w:rPr>
        <w:lastRenderedPageBreak/>
        <w:t xml:space="preserve">The lack of decisive restructuring will cause General Electronics to lose more of its equity value, limited access to credit markets, and lose the trust of its suppliers and investors. The financial restructuring is thus needed to </w:t>
      </w:r>
      <w:proofErr w:type="spellStart"/>
      <w:r w:rsidRPr="008C5253">
        <w:rPr>
          <w:rFonts w:ascii="Arial" w:hAnsi="Arial" w:cs="Arial"/>
        </w:rPr>
        <w:t>stabilise</w:t>
      </w:r>
      <w:proofErr w:type="spellEnd"/>
      <w:r w:rsidRPr="008C5253">
        <w:rPr>
          <w:rFonts w:ascii="Arial" w:hAnsi="Arial" w:cs="Arial"/>
        </w:rPr>
        <w:t xml:space="preserve"> </w:t>
      </w:r>
      <w:proofErr w:type="gramStart"/>
      <w:r w:rsidRPr="008C5253">
        <w:rPr>
          <w:rFonts w:ascii="Arial" w:hAnsi="Arial" w:cs="Arial"/>
        </w:rPr>
        <w:t>the short</w:t>
      </w:r>
      <w:proofErr w:type="gramEnd"/>
      <w:r w:rsidRPr="008C5253">
        <w:rPr>
          <w:rFonts w:ascii="Arial" w:hAnsi="Arial" w:cs="Arial"/>
        </w:rPr>
        <w:t xml:space="preserve">-term liquidity as well as to </w:t>
      </w:r>
      <w:proofErr w:type="spellStart"/>
      <w:r w:rsidRPr="008C5253">
        <w:rPr>
          <w:rFonts w:ascii="Arial" w:hAnsi="Arial" w:cs="Arial"/>
        </w:rPr>
        <w:t>reinstill</w:t>
      </w:r>
      <w:proofErr w:type="spellEnd"/>
      <w:r w:rsidRPr="008C5253">
        <w:rPr>
          <w:rFonts w:ascii="Arial" w:hAnsi="Arial" w:cs="Arial"/>
        </w:rPr>
        <w:t xml:space="preserve"> </w:t>
      </w:r>
      <w:proofErr w:type="gramStart"/>
      <w:r w:rsidRPr="008C5253">
        <w:rPr>
          <w:rFonts w:ascii="Arial" w:hAnsi="Arial" w:cs="Arial"/>
        </w:rPr>
        <w:t>the financial</w:t>
      </w:r>
      <w:proofErr w:type="gramEnd"/>
      <w:r w:rsidRPr="008C5253">
        <w:rPr>
          <w:rFonts w:ascii="Arial" w:hAnsi="Arial" w:cs="Arial"/>
        </w:rPr>
        <w:t xml:space="preserve"> flexibility and aid long-term strategic recovery.</w:t>
      </w:r>
    </w:p>
    <w:p w14:paraId="3A232384" w14:textId="77777777" w:rsidR="00FD4783" w:rsidRPr="008C5253" w:rsidRDefault="00FD4783" w:rsidP="008D3F9D">
      <w:pPr>
        <w:pStyle w:val="Heading2"/>
        <w:rPr>
          <w:rFonts w:ascii="Arial" w:hAnsi="Arial" w:cs="Arial"/>
          <w:b/>
          <w:bCs/>
          <w:color w:val="auto"/>
          <w:sz w:val="28"/>
          <w:szCs w:val="28"/>
        </w:rPr>
      </w:pPr>
      <w:bookmarkStart w:id="18" w:name="_Toc216698882"/>
      <w:r w:rsidRPr="008C5253">
        <w:rPr>
          <w:rFonts w:ascii="Arial" w:hAnsi="Arial" w:cs="Arial"/>
          <w:b/>
          <w:bCs/>
          <w:color w:val="auto"/>
          <w:sz w:val="28"/>
          <w:szCs w:val="28"/>
        </w:rPr>
        <w:t>4.2 Proposed Restructuring Alternatives.</w:t>
      </w:r>
      <w:bookmarkEnd w:id="18"/>
    </w:p>
    <w:p w14:paraId="7116527F"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An approach to multi-layered financial restructuring is being suggested, that is a combination of managing liabilities, rebalancing of capital structure, and </w:t>
      </w:r>
      <w:proofErr w:type="spellStart"/>
      <w:r w:rsidRPr="008C5253">
        <w:rPr>
          <w:rFonts w:ascii="Arial" w:hAnsi="Arial" w:cs="Arial"/>
        </w:rPr>
        <w:t>rationalisation</w:t>
      </w:r>
      <w:proofErr w:type="spellEnd"/>
      <w:r w:rsidRPr="008C5253">
        <w:rPr>
          <w:rFonts w:ascii="Arial" w:hAnsi="Arial" w:cs="Arial"/>
        </w:rPr>
        <w:t xml:space="preserve"> of assets. The financial consideration of each alternative is calculated in Appendix C, and all the values are in the form of the £ </w:t>
      </w:r>
      <w:proofErr w:type="gramStart"/>
      <w:r w:rsidRPr="008C5253">
        <w:rPr>
          <w:rFonts w:ascii="Arial" w:hAnsi="Arial" w:cs="Arial"/>
        </w:rPr>
        <w:t>millions</w:t>
      </w:r>
      <w:proofErr w:type="gramEnd"/>
      <w:r w:rsidRPr="008C5253">
        <w:rPr>
          <w:rFonts w:ascii="Arial" w:hAnsi="Arial" w:cs="Arial"/>
        </w:rPr>
        <w:t>.</w:t>
      </w:r>
    </w:p>
    <w:p w14:paraId="0067C049" w14:textId="77777777" w:rsidR="00FD4783" w:rsidRPr="008C5253" w:rsidRDefault="00FD4783" w:rsidP="00BD7BD6">
      <w:pPr>
        <w:spacing w:line="360" w:lineRule="auto"/>
        <w:jc w:val="both"/>
        <w:rPr>
          <w:rFonts w:ascii="Arial" w:hAnsi="Arial" w:cs="Arial"/>
          <w:b/>
          <w:bCs/>
        </w:rPr>
      </w:pPr>
      <w:r w:rsidRPr="008C5253">
        <w:rPr>
          <w:rFonts w:ascii="Arial" w:hAnsi="Arial" w:cs="Arial"/>
          <w:b/>
          <w:bCs/>
        </w:rPr>
        <w:t>Debt Restructuring</w:t>
      </w:r>
    </w:p>
    <w:p w14:paraId="27486499"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To ease the liquidity strain in the short term, the company ought to refinance a part of its short-term debts into the long-term instruments with a lower interest rate. </w:t>
      </w:r>
      <w:proofErr w:type="gramStart"/>
      <w:r w:rsidRPr="008C5253">
        <w:rPr>
          <w:rFonts w:ascii="Arial" w:hAnsi="Arial" w:cs="Arial"/>
        </w:rPr>
        <w:t>Refinancing of</w:t>
      </w:r>
      <w:proofErr w:type="gramEnd"/>
      <w:r w:rsidRPr="008C5253">
        <w:rPr>
          <w:rFonts w:ascii="Arial" w:hAnsi="Arial" w:cs="Arial"/>
        </w:rPr>
        <w:t xml:space="preserve"> short-term debt of 30m and lowering interest rate of the short-term debt by 6.2 to 4.5 per cent as shown in Appendix C1 would result in </w:t>
      </w:r>
      <w:proofErr w:type="gramStart"/>
      <w:r w:rsidRPr="008C5253">
        <w:rPr>
          <w:rFonts w:ascii="Arial" w:hAnsi="Arial" w:cs="Arial"/>
        </w:rPr>
        <w:t>saving of</w:t>
      </w:r>
      <w:proofErr w:type="gramEnd"/>
      <w:r w:rsidRPr="008C5253">
        <w:rPr>
          <w:rFonts w:ascii="Arial" w:hAnsi="Arial" w:cs="Arial"/>
        </w:rPr>
        <w:t xml:space="preserve"> around 0.51m per annum in interest which would be subject to lender approval. This will enhance cash flow in the operations, lower refinancing risk, and increase the short-term debt service ability of the firm but not total leverage.</w:t>
      </w:r>
    </w:p>
    <w:p w14:paraId="1F47FE47" w14:textId="77777777" w:rsidR="00FD4783" w:rsidRPr="008C5253" w:rsidRDefault="00FD4783" w:rsidP="00BD7BD6">
      <w:pPr>
        <w:spacing w:line="360" w:lineRule="auto"/>
        <w:jc w:val="both"/>
        <w:rPr>
          <w:rFonts w:ascii="Arial" w:hAnsi="Arial" w:cs="Arial"/>
          <w:b/>
          <w:bCs/>
        </w:rPr>
      </w:pPr>
      <w:r w:rsidRPr="008C5253">
        <w:rPr>
          <w:rFonts w:ascii="Arial" w:hAnsi="Arial" w:cs="Arial"/>
          <w:b/>
          <w:bCs/>
        </w:rPr>
        <w:t>Debt-to-Equity Conversion</w:t>
      </w:r>
    </w:p>
    <w:p w14:paraId="27F2B09A"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One of the possible mechanisms that can be used to build the balance sheet and </w:t>
      </w:r>
      <w:proofErr w:type="spellStart"/>
      <w:r w:rsidRPr="008C5253">
        <w:rPr>
          <w:rFonts w:ascii="Arial" w:hAnsi="Arial" w:cs="Arial"/>
        </w:rPr>
        <w:t>minimise</w:t>
      </w:r>
      <w:proofErr w:type="spellEnd"/>
      <w:r w:rsidRPr="008C5253">
        <w:rPr>
          <w:rFonts w:ascii="Arial" w:hAnsi="Arial" w:cs="Arial"/>
        </w:rPr>
        <w:t xml:space="preserve"> financial risk is a partial debt-to-equity conversion. According to Appendix C2, the transformation of the long-term debt (20m) into equity will decrease the liabilities-to-equity ratio that is currently 1.11 to 0.87, which will significantly increase solvency and reduce the risk of bankruptcy. Even though this plan leads to shareholder dilution, it also leads to </w:t>
      </w:r>
      <w:proofErr w:type="gramStart"/>
      <w:r w:rsidRPr="008C5253">
        <w:rPr>
          <w:rFonts w:ascii="Arial" w:hAnsi="Arial" w:cs="Arial"/>
        </w:rPr>
        <w:t>a better</w:t>
      </w:r>
      <w:proofErr w:type="gramEnd"/>
      <w:r w:rsidRPr="008C5253">
        <w:rPr>
          <w:rFonts w:ascii="Arial" w:hAnsi="Arial" w:cs="Arial"/>
        </w:rPr>
        <w:t xml:space="preserve"> financial stability in the long term and lowers the fixed financial burdens, as it is especially significant </w:t>
      </w:r>
      <w:proofErr w:type="gramStart"/>
      <w:r w:rsidRPr="008C5253">
        <w:rPr>
          <w:rFonts w:ascii="Arial" w:hAnsi="Arial" w:cs="Arial"/>
        </w:rPr>
        <w:t>taking into account</w:t>
      </w:r>
      <w:proofErr w:type="gramEnd"/>
      <w:r w:rsidRPr="008C5253">
        <w:rPr>
          <w:rFonts w:ascii="Arial" w:hAnsi="Arial" w:cs="Arial"/>
        </w:rPr>
        <w:t xml:space="preserve"> the poor profitability standing of this firm.</w:t>
      </w:r>
    </w:p>
    <w:p w14:paraId="246DD060" w14:textId="77777777" w:rsidR="00FD4783" w:rsidRPr="008C5253" w:rsidRDefault="00FD4783" w:rsidP="00BD7BD6">
      <w:pPr>
        <w:spacing w:line="360" w:lineRule="auto"/>
        <w:jc w:val="both"/>
        <w:rPr>
          <w:rFonts w:ascii="Arial" w:hAnsi="Arial" w:cs="Arial"/>
          <w:b/>
          <w:bCs/>
        </w:rPr>
      </w:pPr>
      <w:r w:rsidRPr="008C5253">
        <w:rPr>
          <w:rFonts w:ascii="Arial" w:hAnsi="Arial" w:cs="Arial"/>
          <w:b/>
          <w:bCs/>
        </w:rPr>
        <w:t>Equity Injection</w:t>
      </w:r>
    </w:p>
    <w:p w14:paraId="23DFB0D8"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Equity rights issue or strategic equity placement may also strengthen the capital base of the firm. As demonstrated in Appendix C3, a 25m equity injection enhances the equity of </w:t>
      </w:r>
      <w:r w:rsidRPr="008C5253">
        <w:rPr>
          <w:rFonts w:ascii="Arial" w:hAnsi="Arial" w:cs="Arial"/>
        </w:rPr>
        <w:lastRenderedPageBreak/>
        <w:t xml:space="preserve">the shareholders and enhances the leverage </w:t>
      </w:r>
      <w:proofErr w:type="gramStart"/>
      <w:r w:rsidRPr="008C5253">
        <w:rPr>
          <w:rFonts w:ascii="Arial" w:hAnsi="Arial" w:cs="Arial"/>
        </w:rPr>
        <w:t>ratios, and</w:t>
      </w:r>
      <w:proofErr w:type="gramEnd"/>
      <w:r w:rsidRPr="008C5253">
        <w:rPr>
          <w:rFonts w:ascii="Arial" w:hAnsi="Arial" w:cs="Arial"/>
        </w:rPr>
        <w:t xml:space="preserve"> also enhances liquidity by increasing cash balances. Arnold (2019) notes that equity financing is also </w:t>
      </w:r>
      <w:proofErr w:type="gramStart"/>
      <w:r w:rsidRPr="008C5253">
        <w:rPr>
          <w:rFonts w:ascii="Arial" w:hAnsi="Arial" w:cs="Arial"/>
        </w:rPr>
        <w:t>expensive</w:t>
      </w:r>
      <w:proofErr w:type="gramEnd"/>
      <w:r w:rsidRPr="008C5253">
        <w:rPr>
          <w:rFonts w:ascii="Arial" w:hAnsi="Arial" w:cs="Arial"/>
        </w:rPr>
        <w:t xml:space="preserve"> but it offers permanent </w:t>
      </w:r>
      <w:proofErr w:type="gramStart"/>
      <w:r w:rsidRPr="008C5253">
        <w:rPr>
          <w:rFonts w:ascii="Arial" w:hAnsi="Arial" w:cs="Arial"/>
        </w:rPr>
        <w:t>capital</w:t>
      </w:r>
      <w:proofErr w:type="gramEnd"/>
      <w:r w:rsidRPr="008C5253">
        <w:rPr>
          <w:rFonts w:ascii="Arial" w:hAnsi="Arial" w:cs="Arial"/>
        </w:rPr>
        <w:t xml:space="preserve"> especially at times of restructuring when </w:t>
      </w:r>
      <w:proofErr w:type="gramStart"/>
      <w:r w:rsidRPr="008C5253">
        <w:rPr>
          <w:rFonts w:ascii="Arial" w:hAnsi="Arial" w:cs="Arial"/>
        </w:rPr>
        <w:t>the financial</w:t>
      </w:r>
      <w:proofErr w:type="gramEnd"/>
      <w:r w:rsidRPr="008C5253">
        <w:rPr>
          <w:rFonts w:ascii="Arial" w:hAnsi="Arial" w:cs="Arial"/>
        </w:rPr>
        <w:t xml:space="preserve"> flexibility is limited. Such an issue is, however, dependent on the market conditions and investor confidence in the turnaround strategy of the firm.</w:t>
      </w:r>
    </w:p>
    <w:p w14:paraId="57900A43" w14:textId="77777777" w:rsidR="00FD4783" w:rsidRPr="008C5253" w:rsidRDefault="00FD4783" w:rsidP="00BD7BD6">
      <w:pPr>
        <w:spacing w:line="360" w:lineRule="auto"/>
        <w:jc w:val="both"/>
        <w:rPr>
          <w:rFonts w:ascii="Arial" w:hAnsi="Arial" w:cs="Arial"/>
          <w:b/>
          <w:bCs/>
        </w:rPr>
      </w:pPr>
      <w:r w:rsidRPr="008C5253">
        <w:rPr>
          <w:rFonts w:ascii="Arial" w:hAnsi="Arial" w:cs="Arial"/>
          <w:b/>
          <w:bCs/>
        </w:rPr>
        <w:t>Asset Divestment</w:t>
      </w:r>
    </w:p>
    <w:p w14:paraId="656BA7BE" w14:textId="5810A056" w:rsidR="00FD4783" w:rsidRPr="008C5253" w:rsidRDefault="00FD4783" w:rsidP="00BD7BD6">
      <w:pPr>
        <w:spacing w:line="360" w:lineRule="auto"/>
        <w:jc w:val="both"/>
        <w:rPr>
          <w:rFonts w:ascii="Arial" w:hAnsi="Arial" w:cs="Arial"/>
        </w:rPr>
      </w:pPr>
      <w:r w:rsidRPr="008C5253">
        <w:rPr>
          <w:rFonts w:ascii="Arial" w:hAnsi="Arial" w:cs="Arial"/>
        </w:rPr>
        <w:t xml:space="preserve">Sale of non-core or </w:t>
      </w:r>
      <w:proofErr w:type="spellStart"/>
      <w:proofErr w:type="gramStart"/>
      <w:r w:rsidRPr="008C5253">
        <w:rPr>
          <w:rFonts w:ascii="Arial" w:hAnsi="Arial" w:cs="Arial"/>
        </w:rPr>
        <w:t>non performing</w:t>
      </w:r>
      <w:proofErr w:type="spellEnd"/>
      <w:proofErr w:type="gramEnd"/>
      <w:r w:rsidRPr="008C5253">
        <w:rPr>
          <w:rFonts w:ascii="Arial" w:hAnsi="Arial" w:cs="Arial"/>
        </w:rPr>
        <w:t xml:space="preserve"> assets can create liquidity and ease the working capital strain. Appendix C4 shows that selling off the non-core assets of £18m and the funds are spent </w:t>
      </w:r>
      <w:proofErr w:type="gramStart"/>
      <w:r w:rsidRPr="008C5253">
        <w:rPr>
          <w:rFonts w:ascii="Arial" w:hAnsi="Arial" w:cs="Arial"/>
        </w:rPr>
        <w:t>in</w:t>
      </w:r>
      <w:proofErr w:type="gramEnd"/>
      <w:r w:rsidRPr="008C5253">
        <w:rPr>
          <w:rFonts w:ascii="Arial" w:hAnsi="Arial" w:cs="Arial"/>
        </w:rPr>
        <w:t xml:space="preserve"> settling current liabilities would enhance the current ratio of the firm and help decrease the short-term borrowing. The approach enables the management to shift resources to the main operations and enhance financial resilience in the short-term </w:t>
      </w:r>
      <w:proofErr w:type="gramStart"/>
      <w:r w:rsidRPr="008C5253">
        <w:rPr>
          <w:rFonts w:ascii="Arial" w:hAnsi="Arial" w:cs="Arial"/>
        </w:rPr>
        <w:t>as long as</w:t>
      </w:r>
      <w:proofErr w:type="gramEnd"/>
      <w:r w:rsidRPr="008C5253">
        <w:rPr>
          <w:rFonts w:ascii="Arial" w:hAnsi="Arial" w:cs="Arial"/>
        </w:rPr>
        <w:t xml:space="preserve"> the disposals are made at or close to book value.</w:t>
      </w:r>
    </w:p>
    <w:p w14:paraId="12294ED8" w14:textId="77777777" w:rsidR="0084190B" w:rsidRPr="008C5253" w:rsidRDefault="00FD4783" w:rsidP="00BD7BD6">
      <w:pPr>
        <w:spacing w:line="360" w:lineRule="auto"/>
        <w:jc w:val="both"/>
        <w:rPr>
          <w:rFonts w:ascii="Arial" w:hAnsi="Arial" w:cs="Arial"/>
        </w:rPr>
      </w:pPr>
      <w:r w:rsidRPr="008C5253">
        <w:rPr>
          <w:rFonts w:ascii="Arial" w:hAnsi="Arial" w:cs="Arial"/>
        </w:rPr>
        <w:t xml:space="preserve">The effect on shareholders and debt is </w:t>
      </w:r>
    </w:p>
    <w:p w14:paraId="3C40D2A8" w14:textId="79F84A3B" w:rsidR="0084190B" w:rsidRPr="008C5253" w:rsidRDefault="00FD4783" w:rsidP="008D3F9D">
      <w:pPr>
        <w:pStyle w:val="Heading2"/>
        <w:rPr>
          <w:rFonts w:ascii="Arial" w:hAnsi="Arial" w:cs="Arial"/>
          <w:b/>
          <w:bCs/>
          <w:color w:val="auto"/>
          <w:sz w:val="28"/>
          <w:szCs w:val="28"/>
        </w:rPr>
      </w:pPr>
      <w:bookmarkStart w:id="19" w:name="_Toc216698883"/>
      <w:r w:rsidRPr="008C5253">
        <w:rPr>
          <w:rFonts w:ascii="Arial" w:hAnsi="Arial" w:cs="Arial"/>
          <w:b/>
          <w:bCs/>
          <w:color w:val="auto"/>
          <w:sz w:val="28"/>
          <w:szCs w:val="28"/>
        </w:rPr>
        <w:t>4.</w:t>
      </w:r>
      <w:r w:rsidR="0084190B" w:rsidRPr="008C5253">
        <w:rPr>
          <w:rFonts w:ascii="Arial" w:hAnsi="Arial" w:cs="Arial"/>
          <w:b/>
          <w:bCs/>
          <w:color w:val="auto"/>
          <w:sz w:val="28"/>
          <w:szCs w:val="28"/>
        </w:rPr>
        <w:t xml:space="preserve">3. </w:t>
      </w:r>
      <w:proofErr w:type="gramStart"/>
      <w:r w:rsidR="0084190B" w:rsidRPr="008C5253">
        <w:rPr>
          <w:rFonts w:ascii="Arial" w:hAnsi="Arial" w:cs="Arial"/>
          <w:b/>
          <w:bCs/>
          <w:color w:val="auto"/>
          <w:sz w:val="28"/>
          <w:szCs w:val="28"/>
        </w:rPr>
        <w:t>Restructuring</w:t>
      </w:r>
      <w:r w:rsidRPr="008C5253">
        <w:rPr>
          <w:rFonts w:ascii="Arial" w:hAnsi="Arial" w:cs="Arial"/>
          <w:b/>
          <w:bCs/>
          <w:color w:val="auto"/>
          <w:sz w:val="28"/>
          <w:szCs w:val="28"/>
        </w:rPr>
        <w:t xml:space="preserve"> of</w:t>
      </w:r>
      <w:proofErr w:type="gramEnd"/>
      <w:r w:rsidRPr="008C5253">
        <w:rPr>
          <w:rFonts w:ascii="Arial" w:hAnsi="Arial" w:cs="Arial"/>
          <w:b/>
          <w:bCs/>
          <w:color w:val="auto"/>
          <w:sz w:val="28"/>
          <w:szCs w:val="28"/>
        </w:rPr>
        <w:t xml:space="preserve"> </w:t>
      </w:r>
      <w:r w:rsidR="0084190B" w:rsidRPr="008C5253">
        <w:rPr>
          <w:rFonts w:ascii="Arial" w:hAnsi="Arial" w:cs="Arial"/>
          <w:b/>
          <w:bCs/>
          <w:color w:val="auto"/>
          <w:sz w:val="28"/>
          <w:szCs w:val="28"/>
        </w:rPr>
        <w:t>F</w:t>
      </w:r>
      <w:r w:rsidRPr="008C5253">
        <w:rPr>
          <w:rFonts w:ascii="Arial" w:hAnsi="Arial" w:cs="Arial"/>
          <w:b/>
          <w:bCs/>
          <w:color w:val="auto"/>
          <w:sz w:val="28"/>
          <w:szCs w:val="28"/>
        </w:rPr>
        <w:t>inances</w:t>
      </w:r>
      <w:bookmarkEnd w:id="19"/>
      <w:r w:rsidRPr="008C5253">
        <w:rPr>
          <w:rFonts w:ascii="Arial" w:hAnsi="Arial" w:cs="Arial"/>
          <w:b/>
          <w:bCs/>
          <w:color w:val="auto"/>
          <w:sz w:val="28"/>
          <w:szCs w:val="28"/>
        </w:rPr>
        <w:t xml:space="preserve"> </w:t>
      </w:r>
    </w:p>
    <w:p w14:paraId="54ABA53A" w14:textId="0A9EFBC0" w:rsidR="00FD4783" w:rsidRPr="008C5253" w:rsidRDefault="0084190B" w:rsidP="00BD7BD6">
      <w:pPr>
        <w:spacing w:line="360" w:lineRule="auto"/>
        <w:jc w:val="both"/>
        <w:rPr>
          <w:rFonts w:ascii="Arial" w:hAnsi="Arial" w:cs="Arial"/>
        </w:rPr>
      </w:pPr>
      <w:r w:rsidRPr="008C5253">
        <w:rPr>
          <w:rFonts w:ascii="Arial" w:hAnsi="Arial" w:cs="Arial"/>
        </w:rPr>
        <w:t xml:space="preserve">It </w:t>
      </w:r>
      <w:r w:rsidR="00FD4783" w:rsidRPr="008C5253">
        <w:rPr>
          <w:rFonts w:ascii="Arial" w:hAnsi="Arial" w:cs="Arial"/>
        </w:rPr>
        <w:t>is bound to redistribute financial risk among the shareholders and creditors (</w:t>
      </w:r>
      <w:proofErr w:type="spellStart"/>
      <w:r w:rsidR="00FD4783" w:rsidRPr="008C5253">
        <w:rPr>
          <w:rFonts w:ascii="Arial" w:hAnsi="Arial" w:cs="Arial"/>
        </w:rPr>
        <w:t>Renneboog</w:t>
      </w:r>
      <w:proofErr w:type="spellEnd"/>
      <w:r w:rsidR="00FD4783" w:rsidRPr="008C5253">
        <w:rPr>
          <w:rFonts w:ascii="Arial" w:hAnsi="Arial" w:cs="Arial"/>
        </w:rPr>
        <w:t xml:space="preserve"> and Szilagyi, 2008). The current shareholders are diluted during equity issuance and debt-equity conversion </w:t>
      </w:r>
      <w:proofErr w:type="gramStart"/>
      <w:r w:rsidR="00FD4783" w:rsidRPr="008C5253">
        <w:rPr>
          <w:rFonts w:ascii="Arial" w:hAnsi="Arial" w:cs="Arial"/>
        </w:rPr>
        <w:t>cases</w:t>
      </w:r>
      <w:proofErr w:type="gramEnd"/>
      <w:r w:rsidR="00FD4783" w:rsidRPr="008C5253">
        <w:rPr>
          <w:rFonts w:ascii="Arial" w:hAnsi="Arial" w:cs="Arial"/>
        </w:rPr>
        <w:t xml:space="preserve"> but the post restructuring financial position presented in Appendix C5 reflects great enhancement in leverage, liquidity and interest burden. These enhancements </w:t>
      </w:r>
      <w:proofErr w:type="spellStart"/>
      <w:r w:rsidR="00FD4783" w:rsidRPr="008C5253">
        <w:rPr>
          <w:rFonts w:ascii="Arial" w:hAnsi="Arial" w:cs="Arial"/>
        </w:rPr>
        <w:t>minimise</w:t>
      </w:r>
      <w:proofErr w:type="spellEnd"/>
      <w:r w:rsidR="00FD4783" w:rsidRPr="008C5253">
        <w:rPr>
          <w:rFonts w:ascii="Arial" w:hAnsi="Arial" w:cs="Arial"/>
        </w:rPr>
        <w:t xml:space="preserve"> the chances of insolvency and guard shareholders against the destruction of all value in the event of financial failure.</w:t>
      </w:r>
    </w:p>
    <w:p w14:paraId="57EE7CCF" w14:textId="77777777" w:rsidR="00FD4783" w:rsidRPr="008C5253" w:rsidRDefault="00FD4783" w:rsidP="00BD7BD6">
      <w:pPr>
        <w:spacing w:line="360" w:lineRule="auto"/>
        <w:jc w:val="both"/>
        <w:rPr>
          <w:rFonts w:ascii="Arial" w:hAnsi="Arial" w:cs="Arial"/>
        </w:rPr>
      </w:pPr>
      <w:r w:rsidRPr="008C5253">
        <w:rPr>
          <w:rFonts w:ascii="Arial" w:hAnsi="Arial" w:cs="Arial"/>
        </w:rPr>
        <w:t xml:space="preserve">To debt holders, restructuring can be in terms of long maturities, low interest rates, or conversion to equity partially. Although the measures can mitigate the short-term returns, they have a high probability of recovery and repayment in the long term. According to Arnold (2019), cooperative restructuring usually produces better results </w:t>
      </w:r>
      <w:proofErr w:type="gramStart"/>
      <w:r w:rsidRPr="008C5253">
        <w:rPr>
          <w:rFonts w:ascii="Arial" w:hAnsi="Arial" w:cs="Arial"/>
        </w:rPr>
        <w:t>to</w:t>
      </w:r>
      <w:proofErr w:type="gramEnd"/>
      <w:r w:rsidRPr="008C5253">
        <w:rPr>
          <w:rFonts w:ascii="Arial" w:hAnsi="Arial" w:cs="Arial"/>
        </w:rPr>
        <w:t xml:space="preserve"> creditors than liquidation, especially when companies have viable core operations.</w:t>
      </w:r>
    </w:p>
    <w:p w14:paraId="338B3931" w14:textId="1CB2D281" w:rsidR="00BB23B0" w:rsidRPr="008C5253" w:rsidRDefault="00FD4783" w:rsidP="00BD7BD6">
      <w:pPr>
        <w:spacing w:line="360" w:lineRule="auto"/>
        <w:jc w:val="both"/>
        <w:rPr>
          <w:rFonts w:ascii="Arial" w:hAnsi="Arial" w:cs="Arial"/>
        </w:rPr>
      </w:pPr>
      <w:r w:rsidRPr="008C5253">
        <w:rPr>
          <w:rFonts w:ascii="Arial" w:hAnsi="Arial" w:cs="Arial"/>
        </w:rPr>
        <w:t xml:space="preserve">Open communication with the shareholders as well as the lenders is thus necessary. The estimated restructuring scenarios in Appendix C increase </w:t>
      </w:r>
      <w:proofErr w:type="gramStart"/>
      <w:r w:rsidRPr="008C5253">
        <w:rPr>
          <w:rFonts w:ascii="Arial" w:hAnsi="Arial" w:cs="Arial"/>
        </w:rPr>
        <w:t>the credibility</w:t>
      </w:r>
      <w:proofErr w:type="gramEnd"/>
      <w:r w:rsidRPr="008C5253">
        <w:rPr>
          <w:rFonts w:ascii="Arial" w:hAnsi="Arial" w:cs="Arial"/>
        </w:rPr>
        <w:t xml:space="preserve"> as they prove that the actions offered are financially viable, internally coherent, and value-preserving.</w:t>
      </w:r>
    </w:p>
    <w:p w14:paraId="13B409BF" w14:textId="77777777" w:rsidR="00BD7BD6" w:rsidRPr="008C5253" w:rsidRDefault="00BD7BD6" w:rsidP="008D3F9D">
      <w:pPr>
        <w:pStyle w:val="Heading2"/>
        <w:rPr>
          <w:rFonts w:ascii="Arial" w:hAnsi="Arial" w:cs="Arial"/>
          <w:b/>
          <w:bCs/>
          <w:color w:val="auto"/>
          <w:sz w:val="28"/>
          <w:szCs w:val="28"/>
        </w:rPr>
      </w:pPr>
      <w:bookmarkStart w:id="20" w:name="_Toc216698884"/>
      <w:r w:rsidRPr="008C5253">
        <w:rPr>
          <w:rFonts w:ascii="Arial" w:hAnsi="Arial" w:cs="Arial"/>
          <w:b/>
          <w:bCs/>
          <w:color w:val="auto"/>
          <w:sz w:val="28"/>
          <w:szCs w:val="28"/>
        </w:rPr>
        <w:lastRenderedPageBreak/>
        <w:t>4.4 International and Ethical considerations.</w:t>
      </w:r>
      <w:bookmarkEnd w:id="20"/>
    </w:p>
    <w:p w14:paraId="7CE6A259"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General Electronics as a multinational corporation </w:t>
      </w:r>
      <w:proofErr w:type="gramStart"/>
      <w:r w:rsidRPr="008C5253">
        <w:rPr>
          <w:rFonts w:ascii="Arial" w:hAnsi="Arial" w:cs="Arial"/>
        </w:rPr>
        <w:t>has to</w:t>
      </w:r>
      <w:proofErr w:type="gramEnd"/>
      <w:r w:rsidRPr="008C5253">
        <w:rPr>
          <w:rFonts w:ascii="Arial" w:hAnsi="Arial" w:cs="Arial"/>
        </w:rPr>
        <w:t xml:space="preserve"> </w:t>
      </w:r>
      <w:proofErr w:type="gramStart"/>
      <w:r w:rsidRPr="008C5253">
        <w:rPr>
          <w:rFonts w:ascii="Arial" w:hAnsi="Arial" w:cs="Arial"/>
        </w:rPr>
        <w:t>take into account</w:t>
      </w:r>
      <w:proofErr w:type="gramEnd"/>
      <w:r w:rsidRPr="008C5253">
        <w:rPr>
          <w:rFonts w:ascii="Arial" w:hAnsi="Arial" w:cs="Arial"/>
        </w:rPr>
        <w:t xml:space="preserve"> international regulatory diversity and ethical obligations in taking restructuring steps. The allocation of workforce, renegotiation with suppliers or disposal of assets in several jurisdictions should </w:t>
      </w:r>
      <w:proofErr w:type="gramStart"/>
      <w:r w:rsidRPr="008C5253">
        <w:rPr>
          <w:rFonts w:ascii="Arial" w:hAnsi="Arial" w:cs="Arial"/>
        </w:rPr>
        <w:t>be in compliance with</w:t>
      </w:r>
      <w:proofErr w:type="gramEnd"/>
      <w:r w:rsidRPr="008C5253">
        <w:rPr>
          <w:rFonts w:ascii="Arial" w:hAnsi="Arial" w:cs="Arial"/>
        </w:rPr>
        <w:t xml:space="preserve"> local </w:t>
      </w:r>
      <w:proofErr w:type="spellStart"/>
      <w:r w:rsidRPr="008C5253">
        <w:rPr>
          <w:rFonts w:ascii="Arial" w:hAnsi="Arial" w:cs="Arial"/>
        </w:rPr>
        <w:t>labour</w:t>
      </w:r>
      <w:proofErr w:type="spellEnd"/>
      <w:r w:rsidRPr="008C5253">
        <w:rPr>
          <w:rFonts w:ascii="Arial" w:hAnsi="Arial" w:cs="Arial"/>
        </w:rPr>
        <w:t xml:space="preserve"> regulations, insolvency, and disclosures (Kapur, 2025).</w:t>
      </w:r>
    </w:p>
    <w:p w14:paraId="36EF38DA"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Ethically, the management is left to juggle between financial survival and its responsibility towards the employees, suppliers and local communities. According to Freeman (1984), </w:t>
      </w:r>
      <w:proofErr w:type="gramStart"/>
      <w:r w:rsidRPr="008C5253">
        <w:rPr>
          <w:rFonts w:ascii="Arial" w:hAnsi="Arial" w:cs="Arial"/>
        </w:rPr>
        <w:t>the stakeholder</w:t>
      </w:r>
      <w:proofErr w:type="gramEnd"/>
      <w:r w:rsidRPr="008C5253">
        <w:rPr>
          <w:rFonts w:ascii="Arial" w:hAnsi="Arial" w:cs="Arial"/>
        </w:rPr>
        <w:t xml:space="preserve">-based restructuring increases long term sustainability, in that it safeguards </w:t>
      </w:r>
      <w:proofErr w:type="spellStart"/>
      <w:r w:rsidRPr="008C5253">
        <w:rPr>
          <w:rFonts w:ascii="Arial" w:hAnsi="Arial" w:cs="Arial"/>
        </w:rPr>
        <w:t>organisational</w:t>
      </w:r>
      <w:proofErr w:type="spellEnd"/>
      <w:r w:rsidRPr="008C5253">
        <w:rPr>
          <w:rFonts w:ascii="Arial" w:hAnsi="Arial" w:cs="Arial"/>
        </w:rPr>
        <w:t xml:space="preserve"> legitimacy and reputation. Unreasonable cost-reduction or slowing down of payments to suppliers could provide improved liquidity in the </w:t>
      </w:r>
      <w:proofErr w:type="gramStart"/>
      <w:r w:rsidRPr="008C5253">
        <w:rPr>
          <w:rFonts w:ascii="Arial" w:hAnsi="Arial" w:cs="Arial"/>
        </w:rPr>
        <w:t>short-term</w:t>
      </w:r>
      <w:proofErr w:type="gramEnd"/>
      <w:r w:rsidRPr="008C5253">
        <w:rPr>
          <w:rFonts w:ascii="Arial" w:hAnsi="Arial" w:cs="Arial"/>
        </w:rPr>
        <w:t xml:space="preserve"> but entail reputational loss and </w:t>
      </w:r>
      <w:proofErr w:type="gramStart"/>
      <w:r w:rsidRPr="008C5253">
        <w:rPr>
          <w:rFonts w:ascii="Arial" w:hAnsi="Arial" w:cs="Arial"/>
        </w:rPr>
        <w:t>long term</w:t>
      </w:r>
      <w:proofErr w:type="gramEnd"/>
      <w:r w:rsidRPr="008C5253">
        <w:rPr>
          <w:rFonts w:ascii="Arial" w:hAnsi="Arial" w:cs="Arial"/>
        </w:rPr>
        <w:t xml:space="preserve"> competitive losses.</w:t>
      </w:r>
    </w:p>
    <w:p w14:paraId="1264DB3D" w14:textId="77777777" w:rsidR="00BD7BD6" w:rsidRPr="008C5253" w:rsidRDefault="00BD7BD6" w:rsidP="00BD7BD6">
      <w:pPr>
        <w:spacing w:line="360" w:lineRule="auto"/>
        <w:jc w:val="both"/>
        <w:rPr>
          <w:rFonts w:ascii="Arial" w:hAnsi="Arial" w:cs="Arial"/>
        </w:rPr>
      </w:pPr>
      <w:r w:rsidRPr="008C5253">
        <w:rPr>
          <w:rFonts w:ascii="Arial" w:hAnsi="Arial" w:cs="Arial"/>
        </w:rPr>
        <w:t>It is also essential to ensure uniformity of governance and ethical decision-making processes in all the areas of operation to maintain investor confidence and corporate credibility (OECD, 2023).</w:t>
      </w:r>
    </w:p>
    <w:p w14:paraId="7E52D090" w14:textId="77777777" w:rsidR="00BD7BD6" w:rsidRPr="008C5253" w:rsidRDefault="00BD7BD6" w:rsidP="008D3F9D">
      <w:pPr>
        <w:pStyle w:val="Heading2"/>
        <w:rPr>
          <w:rFonts w:ascii="Arial" w:hAnsi="Arial" w:cs="Arial"/>
          <w:b/>
          <w:bCs/>
          <w:sz w:val="28"/>
          <w:szCs w:val="28"/>
        </w:rPr>
      </w:pPr>
      <w:bookmarkStart w:id="21" w:name="_Toc216698885"/>
      <w:r w:rsidRPr="008C5253">
        <w:rPr>
          <w:rFonts w:ascii="Arial" w:hAnsi="Arial" w:cs="Arial"/>
          <w:b/>
          <w:bCs/>
          <w:color w:val="auto"/>
          <w:sz w:val="28"/>
          <w:szCs w:val="28"/>
        </w:rPr>
        <w:t>4.5 Feasibility and Risk Assessment.</w:t>
      </w:r>
      <w:bookmarkEnd w:id="21"/>
    </w:p>
    <w:p w14:paraId="4A180FE9"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Although the restructuring strategy proposed has significant financial rewards, it is prone to execution, market and stakeholder risks. Shareholder, lender or employee resistance can slow down implementation and </w:t>
      </w:r>
      <w:proofErr w:type="spellStart"/>
      <w:r w:rsidRPr="008C5253">
        <w:rPr>
          <w:rFonts w:ascii="Arial" w:hAnsi="Arial" w:cs="Arial"/>
        </w:rPr>
        <w:t>unfavourable</w:t>
      </w:r>
      <w:proofErr w:type="spellEnd"/>
      <w:r w:rsidRPr="008C5253">
        <w:rPr>
          <w:rFonts w:ascii="Arial" w:hAnsi="Arial" w:cs="Arial"/>
        </w:rPr>
        <w:t xml:space="preserve"> market situations may limit access to equity or debt markets (</w:t>
      </w:r>
      <w:proofErr w:type="spellStart"/>
      <w:r w:rsidRPr="008C5253">
        <w:rPr>
          <w:rFonts w:ascii="Arial" w:hAnsi="Arial" w:cs="Arial"/>
        </w:rPr>
        <w:t>Hoskisson</w:t>
      </w:r>
      <w:proofErr w:type="spellEnd"/>
      <w:r w:rsidRPr="008C5253">
        <w:rPr>
          <w:rFonts w:ascii="Arial" w:hAnsi="Arial" w:cs="Arial"/>
        </w:rPr>
        <w:t xml:space="preserve"> and Turk, 1990).</w:t>
      </w:r>
    </w:p>
    <w:p w14:paraId="18273131" w14:textId="77777777" w:rsidR="00BD7BD6" w:rsidRPr="008C5253" w:rsidRDefault="00BD7BD6" w:rsidP="00BD7BD6">
      <w:pPr>
        <w:spacing w:line="360" w:lineRule="auto"/>
        <w:jc w:val="both"/>
        <w:rPr>
          <w:rFonts w:ascii="Arial" w:hAnsi="Arial" w:cs="Arial"/>
        </w:rPr>
      </w:pPr>
      <w:r w:rsidRPr="008C5253">
        <w:rPr>
          <w:rFonts w:ascii="Arial" w:hAnsi="Arial" w:cs="Arial"/>
        </w:rPr>
        <w:t>However, the restructuring scenario combined as in Appendix C5 illustrates material enhancement in leverage, liquidity, interest coverage and financial resilience in general. It is also projected that these changes will lead to an improvement in the Altman Z-Score to bring the firm closer to the Safe Zone. According to Altman (1968), early and extensive restructuring should be seen as a much better way to enhance survival chances of the corporation compared to late intervention.</w:t>
      </w:r>
    </w:p>
    <w:p w14:paraId="3296EC95" w14:textId="77777777" w:rsidR="00BD7BD6" w:rsidRPr="008C5253" w:rsidRDefault="00BD7BD6" w:rsidP="00BD7BD6">
      <w:pPr>
        <w:spacing w:line="360" w:lineRule="auto"/>
        <w:jc w:val="both"/>
        <w:rPr>
          <w:rFonts w:ascii="Arial" w:hAnsi="Arial" w:cs="Arial"/>
        </w:rPr>
      </w:pPr>
      <w:r w:rsidRPr="008C5253">
        <w:rPr>
          <w:rFonts w:ascii="Arial" w:hAnsi="Arial" w:cs="Arial"/>
        </w:rPr>
        <w:t>Based on the current financial trend of General Electronics, the inaction risks are significantly higher than the restructuring risks. It is hence timely and strategically important to implement the proposed measures as the measures will bring about financial stability and long-term viability.</w:t>
      </w:r>
    </w:p>
    <w:p w14:paraId="62FEEA6A" w14:textId="77777777" w:rsidR="00BD7BD6" w:rsidRPr="008C5253" w:rsidRDefault="00BD7BD6" w:rsidP="00BD7BD6">
      <w:pPr>
        <w:pStyle w:val="Heading1"/>
        <w:rPr>
          <w:rFonts w:ascii="Arial" w:hAnsi="Arial" w:cs="Arial"/>
          <w:b/>
          <w:bCs/>
        </w:rPr>
      </w:pPr>
      <w:bookmarkStart w:id="22" w:name="_Toc216698886"/>
      <w:r w:rsidRPr="008C5253">
        <w:rPr>
          <w:rFonts w:ascii="Arial" w:hAnsi="Arial" w:cs="Arial"/>
          <w:b/>
          <w:bCs/>
          <w:color w:val="auto"/>
          <w:sz w:val="32"/>
          <w:szCs w:val="32"/>
        </w:rPr>
        <w:lastRenderedPageBreak/>
        <w:t>5. Investment Appraisal Capital Budgeting.</w:t>
      </w:r>
      <w:bookmarkEnd w:id="22"/>
    </w:p>
    <w:p w14:paraId="6873DFFD" w14:textId="77777777" w:rsidR="00BD7BD6" w:rsidRPr="008C5253" w:rsidRDefault="00BD7BD6" w:rsidP="008D3F9D">
      <w:pPr>
        <w:pStyle w:val="Heading2"/>
        <w:rPr>
          <w:rFonts w:ascii="Arial" w:hAnsi="Arial" w:cs="Arial"/>
          <w:b/>
          <w:bCs/>
          <w:color w:val="auto"/>
          <w:sz w:val="28"/>
          <w:szCs w:val="28"/>
        </w:rPr>
      </w:pPr>
      <w:bookmarkStart w:id="23" w:name="_Toc216698887"/>
      <w:r w:rsidRPr="008C5253">
        <w:rPr>
          <w:rFonts w:ascii="Arial" w:hAnsi="Arial" w:cs="Arial"/>
          <w:b/>
          <w:bCs/>
          <w:color w:val="auto"/>
          <w:sz w:val="28"/>
          <w:szCs w:val="28"/>
        </w:rPr>
        <w:t>5.1.1 Introduction to Proposed projects.</w:t>
      </w:r>
      <w:bookmarkEnd w:id="23"/>
    </w:p>
    <w:p w14:paraId="4064D3F0"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General Electronics will be forced to work </w:t>
      </w:r>
      <w:proofErr w:type="gramStart"/>
      <w:r w:rsidRPr="008C5253">
        <w:rPr>
          <w:rFonts w:ascii="Arial" w:hAnsi="Arial" w:cs="Arial"/>
        </w:rPr>
        <w:t>within</w:t>
      </w:r>
      <w:proofErr w:type="gramEnd"/>
      <w:r w:rsidRPr="008C5253">
        <w:rPr>
          <w:rFonts w:ascii="Arial" w:hAnsi="Arial" w:cs="Arial"/>
        </w:rPr>
        <w:t xml:space="preserve"> a limited resource base and high financial risk in the post financial restructuring era. Capital allocation is very important, since every investment choice has a great impact on </w:t>
      </w:r>
      <w:proofErr w:type="gramStart"/>
      <w:r w:rsidRPr="008C5253">
        <w:rPr>
          <w:rFonts w:ascii="Arial" w:hAnsi="Arial" w:cs="Arial"/>
        </w:rPr>
        <w:t>the liquidity</w:t>
      </w:r>
      <w:proofErr w:type="gramEnd"/>
      <w:r w:rsidRPr="008C5253">
        <w:rPr>
          <w:rFonts w:ascii="Arial" w:hAnsi="Arial" w:cs="Arial"/>
        </w:rPr>
        <w:t xml:space="preserve">, positioning, and shareholder value in the long run. The company is run on a capital rationing, which restricts the </w:t>
      </w:r>
      <w:proofErr w:type="gramStart"/>
      <w:r w:rsidRPr="008C5253">
        <w:rPr>
          <w:rFonts w:ascii="Arial" w:hAnsi="Arial" w:cs="Arial"/>
        </w:rPr>
        <w:t>amount</w:t>
      </w:r>
      <w:proofErr w:type="gramEnd"/>
      <w:r w:rsidRPr="008C5253">
        <w:rPr>
          <w:rFonts w:ascii="Arial" w:hAnsi="Arial" w:cs="Arial"/>
        </w:rPr>
        <w:t xml:space="preserve"> of projects that can be pursued </w:t>
      </w:r>
      <w:proofErr w:type="gramStart"/>
      <w:r w:rsidRPr="008C5253">
        <w:rPr>
          <w:rFonts w:ascii="Arial" w:hAnsi="Arial" w:cs="Arial"/>
        </w:rPr>
        <w:t>in spite of</w:t>
      </w:r>
      <w:proofErr w:type="gramEnd"/>
      <w:r w:rsidRPr="008C5253">
        <w:rPr>
          <w:rFonts w:ascii="Arial" w:hAnsi="Arial" w:cs="Arial"/>
        </w:rPr>
        <w:t xml:space="preserve"> the existence of potentially value-enhancing opportunities (Brealey, Myers and Allen, 2020). This limitation demands the management to put their focus on projects that have the highest financial payback, mitigation of risks, and strategic fit.</w:t>
      </w:r>
    </w:p>
    <w:p w14:paraId="77236EA8"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The management has identified three independent projects whose operational objectives were different. Project A - Advanced Manufacturing Automation is aimed at increasing the efficiency of production, lowering the unit cost, and enhancing the consistency of products with the help of automation technologies. It is a significant investment of capital but with average initial cash flows, which fits the goal of operational </w:t>
      </w:r>
      <w:proofErr w:type="spellStart"/>
      <w:r w:rsidRPr="008C5253">
        <w:rPr>
          <w:rFonts w:ascii="Arial" w:hAnsi="Arial" w:cs="Arial"/>
        </w:rPr>
        <w:t>optimisation</w:t>
      </w:r>
      <w:proofErr w:type="spellEnd"/>
      <w:r w:rsidRPr="008C5253">
        <w:rPr>
          <w:rFonts w:ascii="Arial" w:hAnsi="Arial" w:cs="Arial"/>
        </w:rPr>
        <w:t>.</w:t>
      </w:r>
    </w:p>
    <w:p w14:paraId="25592662"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Project B Product Innovation and R&amp;D Platform is aimed at enhancing the innovative potential of the firm, by putting in place a specific research and development platform. Although the project has a lower initial investment, the returns are stable but relatively low, which reminds </w:t>
      </w:r>
      <w:proofErr w:type="gramStart"/>
      <w:r w:rsidRPr="008C5253">
        <w:rPr>
          <w:rFonts w:ascii="Arial" w:hAnsi="Arial" w:cs="Arial"/>
        </w:rPr>
        <w:t>the</w:t>
      </w:r>
      <w:proofErr w:type="gramEnd"/>
      <w:r w:rsidRPr="008C5253">
        <w:rPr>
          <w:rFonts w:ascii="Arial" w:hAnsi="Arial" w:cs="Arial"/>
        </w:rPr>
        <w:t xml:space="preserve"> trade-off between the size of investment and the predictability of returns.</w:t>
      </w:r>
    </w:p>
    <w:p w14:paraId="6822411C"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Project C Digital Supply Chain Transformation is a strategic project to </w:t>
      </w:r>
      <w:proofErr w:type="spellStart"/>
      <w:r w:rsidRPr="008C5253">
        <w:rPr>
          <w:rFonts w:ascii="Arial" w:hAnsi="Arial" w:cs="Arial"/>
        </w:rPr>
        <w:t>digitalise</w:t>
      </w:r>
      <w:proofErr w:type="spellEnd"/>
      <w:r w:rsidRPr="008C5253">
        <w:rPr>
          <w:rFonts w:ascii="Arial" w:hAnsi="Arial" w:cs="Arial"/>
        </w:rPr>
        <w:t xml:space="preserve"> the procurement process, logistics and inventory management processes. The initial outlay is the highest in this </w:t>
      </w:r>
      <w:proofErr w:type="gramStart"/>
      <w:r w:rsidRPr="008C5253">
        <w:rPr>
          <w:rFonts w:ascii="Arial" w:hAnsi="Arial" w:cs="Arial"/>
        </w:rPr>
        <w:t>project</w:t>
      </w:r>
      <w:proofErr w:type="gramEnd"/>
      <w:r w:rsidRPr="008C5253">
        <w:rPr>
          <w:rFonts w:ascii="Arial" w:hAnsi="Arial" w:cs="Arial"/>
        </w:rPr>
        <w:t xml:space="preserve"> and the cash </w:t>
      </w:r>
      <w:proofErr w:type="gramStart"/>
      <w:r w:rsidRPr="008C5253">
        <w:rPr>
          <w:rFonts w:ascii="Arial" w:hAnsi="Arial" w:cs="Arial"/>
        </w:rPr>
        <w:t>flows are</w:t>
      </w:r>
      <w:proofErr w:type="gramEnd"/>
      <w:r w:rsidRPr="008C5253">
        <w:rPr>
          <w:rFonts w:ascii="Arial" w:hAnsi="Arial" w:cs="Arial"/>
        </w:rPr>
        <w:t xml:space="preserve"> concentrated towards </w:t>
      </w:r>
      <w:proofErr w:type="gramStart"/>
      <w:r w:rsidRPr="008C5253">
        <w:rPr>
          <w:rFonts w:ascii="Arial" w:hAnsi="Arial" w:cs="Arial"/>
        </w:rPr>
        <w:t>the later</w:t>
      </w:r>
      <w:proofErr w:type="gramEnd"/>
      <w:r w:rsidRPr="008C5253">
        <w:rPr>
          <w:rFonts w:ascii="Arial" w:hAnsi="Arial" w:cs="Arial"/>
        </w:rPr>
        <w:t xml:space="preserve"> years as the system implementation and the benefits of the operations will take time to be </w:t>
      </w:r>
      <w:proofErr w:type="spellStart"/>
      <w:r w:rsidRPr="008C5253">
        <w:rPr>
          <w:rFonts w:ascii="Arial" w:hAnsi="Arial" w:cs="Arial"/>
        </w:rPr>
        <w:t>realised</w:t>
      </w:r>
      <w:proofErr w:type="spellEnd"/>
      <w:r w:rsidRPr="008C5253">
        <w:rPr>
          <w:rFonts w:ascii="Arial" w:hAnsi="Arial" w:cs="Arial"/>
        </w:rPr>
        <w:t>. The project can create a lot of value in terms of efficiency, responsiveness, and resilience even though the initial risk is also high.</w:t>
      </w:r>
    </w:p>
    <w:p w14:paraId="07B15E2F" w14:textId="4D913E52" w:rsidR="00BD7BD6" w:rsidRPr="008C5253" w:rsidRDefault="00BD7BD6" w:rsidP="00BD7BD6">
      <w:pPr>
        <w:spacing w:line="360" w:lineRule="auto"/>
        <w:jc w:val="both"/>
        <w:rPr>
          <w:rFonts w:ascii="Arial" w:hAnsi="Arial" w:cs="Arial"/>
        </w:rPr>
      </w:pPr>
      <w:r w:rsidRPr="008C5253">
        <w:rPr>
          <w:rFonts w:ascii="Arial" w:hAnsi="Arial" w:cs="Arial"/>
        </w:rPr>
        <w:t xml:space="preserve">These projects are independent and can thus be assessed separately. The existence of a strict capital </w:t>
      </w:r>
      <w:proofErr w:type="gramStart"/>
      <w:r w:rsidRPr="008C5253">
        <w:rPr>
          <w:rFonts w:ascii="Arial" w:hAnsi="Arial" w:cs="Arial"/>
        </w:rPr>
        <w:t>budget however</w:t>
      </w:r>
      <w:proofErr w:type="gramEnd"/>
      <w:r w:rsidRPr="008C5253">
        <w:rPr>
          <w:rFonts w:ascii="Arial" w:hAnsi="Arial" w:cs="Arial"/>
        </w:rPr>
        <w:t xml:space="preserve"> requires </w:t>
      </w:r>
      <w:proofErr w:type="gramStart"/>
      <w:r w:rsidRPr="008C5253">
        <w:rPr>
          <w:rFonts w:ascii="Arial" w:hAnsi="Arial" w:cs="Arial"/>
        </w:rPr>
        <w:t>a strict</w:t>
      </w:r>
      <w:proofErr w:type="gramEnd"/>
      <w:r w:rsidRPr="008C5253">
        <w:rPr>
          <w:rFonts w:ascii="Arial" w:hAnsi="Arial" w:cs="Arial"/>
        </w:rPr>
        <w:t xml:space="preserve"> appraisal to make sure that the limited </w:t>
      </w:r>
      <w:r w:rsidRPr="008C5253">
        <w:rPr>
          <w:rFonts w:ascii="Arial" w:hAnsi="Arial" w:cs="Arial"/>
        </w:rPr>
        <w:lastRenderedPageBreak/>
        <w:t>finances are directed towards projects that will provide maximum short-term financial benefits as well as long-term strategic benefits.</w:t>
      </w:r>
    </w:p>
    <w:p w14:paraId="3A76DC62" w14:textId="77777777" w:rsidR="00BD7BD6" w:rsidRPr="008C5253" w:rsidRDefault="00BD7BD6" w:rsidP="008D3F9D">
      <w:pPr>
        <w:pStyle w:val="Heading2"/>
        <w:rPr>
          <w:rFonts w:ascii="Arial" w:hAnsi="Arial" w:cs="Arial"/>
          <w:b/>
          <w:bCs/>
          <w:color w:val="auto"/>
          <w:sz w:val="28"/>
          <w:szCs w:val="28"/>
        </w:rPr>
      </w:pPr>
      <w:bookmarkStart w:id="24" w:name="_Toc216698888"/>
      <w:r w:rsidRPr="008C5253">
        <w:rPr>
          <w:rFonts w:ascii="Arial" w:hAnsi="Arial" w:cs="Arial"/>
          <w:b/>
          <w:bCs/>
          <w:color w:val="auto"/>
          <w:sz w:val="28"/>
          <w:szCs w:val="28"/>
        </w:rPr>
        <w:t>5.2 Payback &amp; ARR Results</w:t>
      </w:r>
      <w:bookmarkEnd w:id="24"/>
    </w:p>
    <w:p w14:paraId="7CF174FD"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Payback Period (PBP) is a metric that is liquidity-based and is used to determine the time it takes to break even on initial investment. It is especially applicable in the case of capital limitation or financial insecurity when payback can be considered much shorter to </w:t>
      </w:r>
      <w:proofErr w:type="spellStart"/>
      <w:r w:rsidRPr="008C5253">
        <w:rPr>
          <w:rFonts w:ascii="Arial" w:hAnsi="Arial" w:cs="Arial"/>
        </w:rPr>
        <w:t>minimise</w:t>
      </w:r>
      <w:proofErr w:type="spellEnd"/>
      <w:r w:rsidRPr="008C5253">
        <w:rPr>
          <w:rFonts w:ascii="Arial" w:hAnsi="Arial" w:cs="Arial"/>
        </w:rPr>
        <w:t xml:space="preserve"> the </w:t>
      </w:r>
      <w:proofErr w:type="spellStart"/>
      <w:r w:rsidRPr="008C5253">
        <w:rPr>
          <w:rFonts w:ascii="Arial" w:hAnsi="Arial" w:cs="Arial"/>
        </w:rPr>
        <w:t>risky</w:t>
      </w:r>
      <w:proofErr w:type="spellEnd"/>
      <w:r w:rsidRPr="008C5253">
        <w:rPr>
          <w:rFonts w:ascii="Arial" w:hAnsi="Arial" w:cs="Arial"/>
        </w:rPr>
        <w:t xml:space="preserve"> exposure and increase flexibility (Arnold, 2019).</w:t>
      </w:r>
    </w:p>
    <w:p w14:paraId="5622027F"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The payback period of project A is the shortest and therefore funds are recovered quickly and the </w:t>
      </w:r>
      <w:proofErr w:type="gramStart"/>
      <w:r w:rsidRPr="008C5253">
        <w:rPr>
          <w:rFonts w:ascii="Arial" w:hAnsi="Arial" w:cs="Arial"/>
        </w:rPr>
        <w:t>short term</w:t>
      </w:r>
      <w:proofErr w:type="gramEnd"/>
      <w:r w:rsidRPr="008C5253">
        <w:rPr>
          <w:rFonts w:ascii="Arial" w:hAnsi="Arial" w:cs="Arial"/>
        </w:rPr>
        <w:t xml:space="preserve"> liquidity risk is also </w:t>
      </w:r>
      <w:proofErr w:type="spellStart"/>
      <w:r w:rsidRPr="008C5253">
        <w:rPr>
          <w:rFonts w:ascii="Arial" w:hAnsi="Arial" w:cs="Arial"/>
        </w:rPr>
        <w:t>minimised</w:t>
      </w:r>
      <w:proofErr w:type="spellEnd"/>
      <w:r w:rsidRPr="008C5253">
        <w:rPr>
          <w:rFonts w:ascii="Arial" w:hAnsi="Arial" w:cs="Arial"/>
        </w:rPr>
        <w:t xml:space="preserve">. Project C requires more time to break even, but provides greater cash flows in the later years, an aspect of a trade-off between liquidity and value creation in the </w:t>
      </w:r>
      <w:proofErr w:type="gramStart"/>
      <w:r w:rsidRPr="008C5253">
        <w:rPr>
          <w:rFonts w:ascii="Arial" w:hAnsi="Arial" w:cs="Arial"/>
        </w:rPr>
        <w:t>long-term</w:t>
      </w:r>
      <w:proofErr w:type="gramEnd"/>
      <w:r w:rsidRPr="008C5253">
        <w:rPr>
          <w:rFonts w:ascii="Arial" w:hAnsi="Arial" w:cs="Arial"/>
        </w:rPr>
        <w:t xml:space="preserve">. Project B, having a complete payback of five years, offers </w:t>
      </w:r>
      <w:proofErr w:type="gramStart"/>
      <w:r w:rsidRPr="008C5253">
        <w:rPr>
          <w:rFonts w:ascii="Arial" w:hAnsi="Arial" w:cs="Arial"/>
        </w:rPr>
        <w:t>a limited</w:t>
      </w:r>
      <w:proofErr w:type="gramEnd"/>
      <w:r w:rsidRPr="008C5253">
        <w:rPr>
          <w:rFonts w:ascii="Arial" w:hAnsi="Arial" w:cs="Arial"/>
        </w:rPr>
        <w:t xml:space="preserve"> flexibility which can be an issue within a limited financial situation.</w:t>
      </w:r>
    </w:p>
    <w:p w14:paraId="71C6B440" w14:textId="77777777" w:rsidR="00BD7BD6" w:rsidRPr="008C5253" w:rsidRDefault="00BD7BD6" w:rsidP="00BD7BD6">
      <w:pPr>
        <w:spacing w:line="360" w:lineRule="auto"/>
        <w:jc w:val="both"/>
        <w:rPr>
          <w:rFonts w:ascii="Arial" w:hAnsi="Arial" w:cs="Arial"/>
        </w:rPr>
      </w:pPr>
      <w:r w:rsidRPr="008C5253">
        <w:rPr>
          <w:rFonts w:ascii="Arial" w:hAnsi="Arial" w:cs="Arial"/>
        </w:rPr>
        <w:t>Although PBP is easy to use in understanding cash recovery, the most significant shortcoming of the method is that it ignores post-payback cash flows as well as the time value of money. In this respect, PBP dependence would lead to sub-optimal allocation, especially where the project is unequally timed or scaled in terms of cash flow.</w:t>
      </w:r>
    </w:p>
    <w:p w14:paraId="6EFDED97" w14:textId="77777777" w:rsidR="00BD7BD6" w:rsidRPr="008C5253" w:rsidRDefault="00BD7BD6" w:rsidP="00BD7BD6">
      <w:pPr>
        <w:spacing w:line="360" w:lineRule="auto"/>
        <w:jc w:val="both"/>
        <w:rPr>
          <w:rFonts w:ascii="Arial" w:hAnsi="Arial" w:cs="Arial"/>
        </w:rPr>
      </w:pPr>
      <w:r w:rsidRPr="008C5253">
        <w:rPr>
          <w:rFonts w:ascii="Arial" w:hAnsi="Arial" w:cs="Arial"/>
        </w:rPr>
        <w:t>The Accounting Rate of Return (ARR) is an accounting measure of profitability using a ratio of accounting profit to investment that is used to complement payback analysis (</w:t>
      </w:r>
      <w:proofErr w:type="spellStart"/>
      <w:r w:rsidRPr="008C5253">
        <w:rPr>
          <w:rFonts w:ascii="Arial" w:hAnsi="Arial" w:cs="Arial"/>
        </w:rPr>
        <w:t>Atrill</w:t>
      </w:r>
      <w:proofErr w:type="spellEnd"/>
      <w:r w:rsidRPr="008C5253">
        <w:rPr>
          <w:rFonts w:ascii="Arial" w:hAnsi="Arial" w:cs="Arial"/>
        </w:rPr>
        <w:t xml:space="preserve"> and McLaney, 2023). ARR allows evaluation of projects based on managerial accounting, which is consistent with the reported financial performance.</w:t>
      </w:r>
    </w:p>
    <w:p w14:paraId="71FB1653" w14:textId="2C92D8FF" w:rsidR="002B688C" w:rsidRPr="008C5253" w:rsidRDefault="00BD7BD6" w:rsidP="00BD7BD6">
      <w:pPr>
        <w:spacing w:line="360" w:lineRule="auto"/>
        <w:jc w:val="both"/>
        <w:rPr>
          <w:rFonts w:ascii="Arial" w:hAnsi="Arial" w:cs="Arial"/>
        </w:rPr>
      </w:pPr>
      <w:r w:rsidRPr="008C5253">
        <w:rPr>
          <w:rFonts w:ascii="Arial" w:hAnsi="Arial" w:cs="Arial"/>
        </w:rPr>
        <w:t xml:space="preserve">Projects A and B show similar ARR in this analysis and Project C shows slightly lower. ARR, however, does not reflect the timing and risk of cash flows and is misleading in comparing projects </w:t>
      </w:r>
      <w:proofErr w:type="gramStart"/>
      <w:r w:rsidRPr="008C5253">
        <w:rPr>
          <w:rFonts w:ascii="Arial" w:hAnsi="Arial" w:cs="Arial"/>
        </w:rPr>
        <w:t>of</w:t>
      </w:r>
      <w:proofErr w:type="gramEnd"/>
      <w:r w:rsidRPr="008C5253">
        <w:rPr>
          <w:rFonts w:ascii="Arial" w:hAnsi="Arial" w:cs="Arial"/>
        </w:rPr>
        <w:t xml:space="preserve"> different investment profiles. In turn, ARR is to be seen as an indicator, but not a determinant, with the emphasis on the significance of discounted cash flow procedures in terms of effective decision-making.</w:t>
      </w:r>
    </w:p>
    <w:p w14:paraId="3AFBB357" w14:textId="77777777" w:rsidR="00BD7BD6" w:rsidRPr="008C5253" w:rsidRDefault="00BD7BD6" w:rsidP="008D3F9D">
      <w:pPr>
        <w:pStyle w:val="Heading2"/>
        <w:rPr>
          <w:rFonts w:ascii="Arial" w:hAnsi="Arial" w:cs="Arial"/>
          <w:b/>
          <w:bCs/>
          <w:color w:val="auto"/>
          <w:sz w:val="28"/>
          <w:szCs w:val="28"/>
        </w:rPr>
      </w:pPr>
      <w:bookmarkStart w:id="25" w:name="_Toc216698889"/>
      <w:r w:rsidRPr="008C5253">
        <w:rPr>
          <w:rFonts w:ascii="Arial" w:hAnsi="Arial" w:cs="Arial"/>
          <w:b/>
          <w:bCs/>
          <w:color w:val="auto"/>
          <w:sz w:val="28"/>
          <w:szCs w:val="28"/>
        </w:rPr>
        <w:t>5.3 NPV, IRR &amp; PI Analysis</w:t>
      </w:r>
      <w:bookmarkEnd w:id="25"/>
    </w:p>
    <w:p w14:paraId="651BDD55"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Discounted Cash Flow (DCF) methods </w:t>
      </w:r>
      <w:proofErr w:type="gramStart"/>
      <w:r w:rsidRPr="008C5253">
        <w:rPr>
          <w:rFonts w:ascii="Arial" w:hAnsi="Arial" w:cs="Arial"/>
        </w:rPr>
        <w:t>are considered to be</w:t>
      </w:r>
      <w:proofErr w:type="gramEnd"/>
      <w:r w:rsidRPr="008C5253">
        <w:rPr>
          <w:rFonts w:ascii="Arial" w:hAnsi="Arial" w:cs="Arial"/>
        </w:rPr>
        <w:t xml:space="preserve"> the most trusted methods of investment appraisal as it takes specific considerations to the time value of money and the risk-adjusted returns. Of them, the Net Present Value (NPV) is the most popular </w:t>
      </w:r>
      <w:r w:rsidRPr="008C5253">
        <w:rPr>
          <w:rFonts w:ascii="Arial" w:hAnsi="Arial" w:cs="Arial"/>
        </w:rPr>
        <w:lastRenderedPageBreak/>
        <w:t>criterion, which is used to assess the absolute value that a project contributes to the company.</w:t>
      </w:r>
    </w:p>
    <w:p w14:paraId="7906DFB7"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In the NPV analysis, </w:t>
      </w:r>
      <w:proofErr w:type="gramStart"/>
      <w:r w:rsidRPr="008C5253">
        <w:rPr>
          <w:rFonts w:ascii="Arial" w:hAnsi="Arial" w:cs="Arial"/>
        </w:rPr>
        <w:t>it is clear that Project</w:t>
      </w:r>
      <w:proofErr w:type="gramEnd"/>
      <w:r w:rsidRPr="008C5253">
        <w:rPr>
          <w:rFonts w:ascii="Arial" w:hAnsi="Arial" w:cs="Arial"/>
        </w:rPr>
        <w:t xml:space="preserve"> C is the most value-adding project and the returns expected to be high despite the increased initial investment. Project A, in turn, also provides positive NPV, but </w:t>
      </w:r>
      <w:proofErr w:type="gramStart"/>
      <w:r w:rsidRPr="008C5253">
        <w:rPr>
          <w:rFonts w:ascii="Arial" w:hAnsi="Arial" w:cs="Arial"/>
        </w:rPr>
        <w:t>at</w:t>
      </w:r>
      <w:proofErr w:type="gramEnd"/>
      <w:r w:rsidRPr="008C5253">
        <w:rPr>
          <w:rFonts w:ascii="Arial" w:hAnsi="Arial" w:cs="Arial"/>
        </w:rPr>
        <w:t xml:space="preserve"> a smaller scale, whereas Project B cannot create enough value in comparison to its cost, which is why it will give negative NPV with the specified discount rate. The findings demonstrate how bigger </w:t>
      </w:r>
      <w:proofErr w:type="gramStart"/>
      <w:r w:rsidRPr="008C5253">
        <w:rPr>
          <w:rFonts w:ascii="Arial" w:hAnsi="Arial" w:cs="Arial"/>
        </w:rPr>
        <w:t>investments</w:t>
      </w:r>
      <w:proofErr w:type="gramEnd"/>
      <w:r w:rsidRPr="008C5253">
        <w:rPr>
          <w:rFonts w:ascii="Arial" w:hAnsi="Arial" w:cs="Arial"/>
        </w:rPr>
        <w:t xml:space="preserve"> when strategically positioned and transformative in terms of </w:t>
      </w:r>
      <w:proofErr w:type="gramStart"/>
      <w:r w:rsidRPr="008C5253">
        <w:rPr>
          <w:rFonts w:ascii="Arial" w:hAnsi="Arial" w:cs="Arial"/>
        </w:rPr>
        <w:t>operation</w:t>
      </w:r>
      <w:proofErr w:type="gramEnd"/>
      <w:r w:rsidRPr="008C5253">
        <w:rPr>
          <w:rFonts w:ascii="Arial" w:hAnsi="Arial" w:cs="Arial"/>
        </w:rPr>
        <w:t xml:space="preserve"> can provide high shareholder wealth albeit with initial liquidity constraints.</w:t>
      </w:r>
    </w:p>
    <w:p w14:paraId="17C16785"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Internal Rate of Return (IRR) provides an additional viewpoint, which is the anticipated </w:t>
      </w:r>
      <w:proofErr w:type="spellStart"/>
      <w:r w:rsidRPr="008C5253">
        <w:rPr>
          <w:rFonts w:ascii="Arial" w:hAnsi="Arial" w:cs="Arial"/>
        </w:rPr>
        <w:t>annualised</w:t>
      </w:r>
      <w:proofErr w:type="spellEnd"/>
      <w:r w:rsidRPr="008C5253">
        <w:rPr>
          <w:rFonts w:ascii="Arial" w:hAnsi="Arial" w:cs="Arial"/>
        </w:rPr>
        <w:t xml:space="preserve"> rate of return. Project C has the highest </w:t>
      </w:r>
      <w:proofErr w:type="gramStart"/>
      <w:r w:rsidRPr="008C5253">
        <w:rPr>
          <w:rFonts w:ascii="Arial" w:hAnsi="Arial" w:cs="Arial"/>
        </w:rPr>
        <w:t>cost of capital that is above the cost</w:t>
      </w:r>
      <w:proofErr w:type="gramEnd"/>
      <w:r w:rsidRPr="008C5253">
        <w:rPr>
          <w:rFonts w:ascii="Arial" w:hAnsi="Arial" w:cs="Arial"/>
        </w:rPr>
        <w:t xml:space="preserve"> of capital, which further supports its appeal, and Project B performs poorly. IRR should however be used with caution especially where the projects are of different </w:t>
      </w:r>
      <w:proofErr w:type="gramStart"/>
      <w:r w:rsidRPr="008C5253">
        <w:rPr>
          <w:rFonts w:ascii="Arial" w:hAnsi="Arial" w:cs="Arial"/>
        </w:rPr>
        <w:t>magnitude</w:t>
      </w:r>
      <w:proofErr w:type="gramEnd"/>
      <w:r w:rsidRPr="008C5253">
        <w:rPr>
          <w:rFonts w:ascii="Arial" w:hAnsi="Arial" w:cs="Arial"/>
        </w:rPr>
        <w:t xml:space="preserve"> or cash flow distributions as it would exaggerate or dilute the relative attractiveness.</w:t>
      </w:r>
    </w:p>
    <w:p w14:paraId="71AD0C7D"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The Profitability Index (PI) is an important ranking key under capital rationing. It also quantifies value creation per unit of investment thus allowing </w:t>
      </w:r>
      <w:proofErr w:type="spellStart"/>
      <w:r w:rsidRPr="008C5253">
        <w:rPr>
          <w:rFonts w:ascii="Arial" w:hAnsi="Arial" w:cs="Arial"/>
        </w:rPr>
        <w:t>prioritisation</w:t>
      </w:r>
      <w:proofErr w:type="spellEnd"/>
      <w:r w:rsidRPr="008C5253">
        <w:rPr>
          <w:rFonts w:ascii="Arial" w:hAnsi="Arial" w:cs="Arial"/>
        </w:rPr>
        <w:t xml:space="preserve"> of projects where funds are scarce. The PI of Project C is greatest, which demonstrates its efficient use of capital whereas the PI of Project B is less than unity and it is an indication of poor </w:t>
      </w:r>
      <w:proofErr w:type="spellStart"/>
      <w:r w:rsidRPr="008C5253">
        <w:rPr>
          <w:rFonts w:ascii="Arial" w:hAnsi="Arial" w:cs="Arial"/>
        </w:rPr>
        <w:t>utilisation</w:t>
      </w:r>
      <w:proofErr w:type="spellEnd"/>
      <w:r w:rsidRPr="008C5253">
        <w:rPr>
          <w:rFonts w:ascii="Arial" w:hAnsi="Arial" w:cs="Arial"/>
        </w:rPr>
        <w:t xml:space="preserve"> of limited resources. Project A has </w:t>
      </w:r>
      <w:proofErr w:type="gramStart"/>
      <w:r w:rsidRPr="008C5253">
        <w:rPr>
          <w:rFonts w:ascii="Arial" w:hAnsi="Arial" w:cs="Arial"/>
        </w:rPr>
        <w:t>a moderate</w:t>
      </w:r>
      <w:proofErr w:type="gramEnd"/>
      <w:r w:rsidRPr="008C5253">
        <w:rPr>
          <w:rFonts w:ascii="Arial" w:hAnsi="Arial" w:cs="Arial"/>
        </w:rPr>
        <w:t xml:space="preserve"> efficiency but is still poorer compared to Project C. PI offers a strict framework of project selection in the environment of scarce capital </w:t>
      </w:r>
      <w:proofErr w:type="gramStart"/>
      <w:r w:rsidRPr="008C5253">
        <w:rPr>
          <w:rFonts w:ascii="Arial" w:hAnsi="Arial" w:cs="Arial"/>
        </w:rPr>
        <w:t>in order to</w:t>
      </w:r>
      <w:proofErr w:type="gramEnd"/>
      <w:r w:rsidRPr="008C5253">
        <w:rPr>
          <w:rFonts w:ascii="Arial" w:hAnsi="Arial" w:cs="Arial"/>
        </w:rPr>
        <w:t xml:space="preserve"> achieve the highest value per investment.</w:t>
      </w:r>
    </w:p>
    <w:p w14:paraId="16C519F0"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Importantly, the outcomes of DCF indicate that financial appraisal </w:t>
      </w:r>
      <w:proofErr w:type="gramStart"/>
      <w:r w:rsidRPr="008C5253">
        <w:rPr>
          <w:rFonts w:ascii="Arial" w:hAnsi="Arial" w:cs="Arial"/>
        </w:rPr>
        <w:t>has to</w:t>
      </w:r>
      <w:proofErr w:type="gramEnd"/>
      <w:r w:rsidRPr="008C5253">
        <w:rPr>
          <w:rFonts w:ascii="Arial" w:hAnsi="Arial" w:cs="Arial"/>
        </w:rPr>
        <w:t xml:space="preserve"> be balanced between absolute returns, efficiency, and strategic alignment. Projects that result in early cash flows can look good under the PBP yet will be sub-optimal when measured in terms of NPV or PI. On the other hand, projects whose benefits are delayed like Project C can have a greater overall value even though they have a longer payback period, representing the value of a holistic assessment framework.</w:t>
      </w:r>
    </w:p>
    <w:p w14:paraId="42B2927F" w14:textId="77777777" w:rsidR="00BD7BD6" w:rsidRPr="008C5253" w:rsidRDefault="00BD7BD6" w:rsidP="008D3F9D">
      <w:pPr>
        <w:pStyle w:val="Heading2"/>
        <w:rPr>
          <w:rFonts w:ascii="Arial" w:hAnsi="Arial" w:cs="Arial"/>
          <w:b/>
          <w:bCs/>
          <w:color w:val="auto"/>
          <w:sz w:val="28"/>
          <w:szCs w:val="28"/>
        </w:rPr>
      </w:pPr>
      <w:bookmarkStart w:id="26" w:name="_Toc216698890"/>
      <w:r w:rsidRPr="008C5253">
        <w:rPr>
          <w:rFonts w:ascii="Arial" w:hAnsi="Arial" w:cs="Arial"/>
          <w:b/>
          <w:bCs/>
          <w:color w:val="auto"/>
          <w:sz w:val="28"/>
          <w:szCs w:val="28"/>
        </w:rPr>
        <w:lastRenderedPageBreak/>
        <w:t>5.4 Capital Rationing Decision</w:t>
      </w:r>
      <w:bookmarkEnd w:id="26"/>
    </w:p>
    <w:p w14:paraId="57AAE3BC"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Capital rationing is a binding constraint on the choice of </w:t>
      </w:r>
      <w:proofErr w:type="gramStart"/>
      <w:r w:rsidRPr="008C5253">
        <w:rPr>
          <w:rFonts w:ascii="Arial" w:hAnsi="Arial" w:cs="Arial"/>
        </w:rPr>
        <w:t>project</w:t>
      </w:r>
      <w:proofErr w:type="gramEnd"/>
      <w:r w:rsidRPr="008C5253">
        <w:rPr>
          <w:rFonts w:ascii="Arial" w:hAnsi="Arial" w:cs="Arial"/>
        </w:rPr>
        <w:t xml:space="preserve"> and it mandates </w:t>
      </w:r>
      <w:proofErr w:type="gramStart"/>
      <w:r w:rsidRPr="008C5253">
        <w:rPr>
          <w:rFonts w:ascii="Arial" w:hAnsi="Arial" w:cs="Arial"/>
        </w:rPr>
        <w:t xml:space="preserve">a </w:t>
      </w:r>
      <w:proofErr w:type="spellStart"/>
      <w:r w:rsidRPr="008C5253">
        <w:rPr>
          <w:rFonts w:ascii="Arial" w:hAnsi="Arial" w:cs="Arial"/>
        </w:rPr>
        <w:t>prioritisation</w:t>
      </w:r>
      <w:proofErr w:type="spellEnd"/>
      <w:proofErr w:type="gramEnd"/>
      <w:r w:rsidRPr="008C5253">
        <w:rPr>
          <w:rFonts w:ascii="Arial" w:hAnsi="Arial" w:cs="Arial"/>
        </w:rPr>
        <w:t xml:space="preserve"> on projects that </w:t>
      </w:r>
      <w:proofErr w:type="spellStart"/>
      <w:r w:rsidRPr="008C5253">
        <w:rPr>
          <w:rFonts w:ascii="Arial" w:hAnsi="Arial" w:cs="Arial"/>
        </w:rPr>
        <w:t>maximise</w:t>
      </w:r>
      <w:proofErr w:type="spellEnd"/>
      <w:r w:rsidRPr="008C5253">
        <w:rPr>
          <w:rFonts w:ascii="Arial" w:hAnsi="Arial" w:cs="Arial"/>
        </w:rPr>
        <w:t xml:space="preserve"> total NPV within the budget constraint. General Electronics is constrained by a 60 million </w:t>
      </w:r>
      <w:proofErr w:type="gramStart"/>
      <w:r w:rsidRPr="008C5253">
        <w:rPr>
          <w:rFonts w:ascii="Arial" w:hAnsi="Arial" w:cs="Arial"/>
        </w:rPr>
        <w:t>limit</w:t>
      </w:r>
      <w:proofErr w:type="gramEnd"/>
      <w:r w:rsidRPr="008C5253">
        <w:rPr>
          <w:rFonts w:ascii="Arial" w:hAnsi="Arial" w:cs="Arial"/>
        </w:rPr>
        <w:t xml:space="preserve"> and this makes it impossible to undertake all projects at the same time.</w:t>
      </w:r>
    </w:p>
    <w:p w14:paraId="51EF75B8" w14:textId="77777777" w:rsidR="00BD7BD6" w:rsidRPr="008C5253" w:rsidRDefault="00BD7BD6" w:rsidP="00BD7BD6">
      <w:pPr>
        <w:spacing w:line="360" w:lineRule="auto"/>
        <w:jc w:val="both"/>
        <w:rPr>
          <w:rFonts w:ascii="Arial" w:hAnsi="Arial" w:cs="Arial"/>
        </w:rPr>
      </w:pPr>
      <w:r w:rsidRPr="008C5253">
        <w:rPr>
          <w:rFonts w:ascii="Arial" w:hAnsi="Arial" w:cs="Arial"/>
        </w:rPr>
        <w:t>The analysis of viable combinations reveals that the selection of single projects is the only viable one. The best option is Project C, which is a project that will cost us 50M and is the best in terms of NPV and PI. Project A is feasible (£40 million) but has less absolute and relative returns. Project B, which requires less capital (£30 million), does not perform well on all the discounted measures, and has little strategic or financial advantage.</w:t>
      </w:r>
    </w:p>
    <w:p w14:paraId="6A83E630"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The given analysis shows that it is crucial to combine capital efficiency (PI) and value creation (NPV) in case of limited resources. Payback or ARR alone would have caused </w:t>
      </w:r>
      <w:proofErr w:type="spellStart"/>
      <w:r w:rsidRPr="008C5253">
        <w:rPr>
          <w:rFonts w:ascii="Arial" w:hAnsi="Arial" w:cs="Arial"/>
        </w:rPr>
        <w:t>prioritisation</w:t>
      </w:r>
      <w:proofErr w:type="spellEnd"/>
      <w:r w:rsidRPr="008C5253">
        <w:rPr>
          <w:rFonts w:ascii="Arial" w:hAnsi="Arial" w:cs="Arial"/>
        </w:rPr>
        <w:t xml:space="preserve"> of Project A which would have yielded sub-optimal shareholder wealth. The capital rationing model also focuses on the importance of strategic foresight: the investments must be chosen not only </w:t>
      </w:r>
      <w:proofErr w:type="gramStart"/>
      <w:r w:rsidRPr="008C5253">
        <w:rPr>
          <w:rFonts w:ascii="Arial" w:hAnsi="Arial" w:cs="Arial"/>
        </w:rPr>
        <w:t>with regard to</w:t>
      </w:r>
      <w:proofErr w:type="gramEnd"/>
      <w:r w:rsidRPr="008C5253">
        <w:rPr>
          <w:rFonts w:ascii="Arial" w:hAnsi="Arial" w:cs="Arial"/>
        </w:rPr>
        <w:t xml:space="preserve"> the short-term returns but also </w:t>
      </w:r>
      <w:proofErr w:type="gramStart"/>
      <w:r w:rsidRPr="008C5253">
        <w:rPr>
          <w:rFonts w:ascii="Arial" w:hAnsi="Arial" w:cs="Arial"/>
        </w:rPr>
        <w:t>with regard to</w:t>
      </w:r>
      <w:proofErr w:type="gramEnd"/>
      <w:r w:rsidRPr="008C5253">
        <w:rPr>
          <w:rFonts w:ascii="Arial" w:hAnsi="Arial" w:cs="Arial"/>
        </w:rPr>
        <w:t xml:space="preserve"> the long-term operational and competitive goals (</w:t>
      </w:r>
      <w:proofErr w:type="spellStart"/>
      <w:r w:rsidRPr="008C5253">
        <w:rPr>
          <w:rFonts w:ascii="Arial" w:hAnsi="Arial" w:cs="Arial"/>
        </w:rPr>
        <w:t>Chorafas</w:t>
      </w:r>
      <w:proofErr w:type="spellEnd"/>
      <w:r w:rsidRPr="008C5253">
        <w:rPr>
          <w:rFonts w:ascii="Arial" w:hAnsi="Arial" w:cs="Arial"/>
        </w:rPr>
        <w:t>, 2002).</w:t>
      </w:r>
    </w:p>
    <w:p w14:paraId="6122B12D"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The point of criticism is that optimal allocation in constraints needs a rigorous multi-criteria analysis, which </w:t>
      </w:r>
      <w:proofErr w:type="gramStart"/>
      <w:r w:rsidRPr="008C5253">
        <w:rPr>
          <w:rFonts w:ascii="Arial" w:hAnsi="Arial" w:cs="Arial"/>
        </w:rPr>
        <w:t>takes into account</w:t>
      </w:r>
      <w:proofErr w:type="gramEnd"/>
      <w:r w:rsidRPr="008C5253">
        <w:rPr>
          <w:rFonts w:ascii="Arial" w:hAnsi="Arial" w:cs="Arial"/>
        </w:rPr>
        <w:t xml:space="preserve"> absolute value, relative efficiency, timing of cash flows, and strategic </w:t>
      </w:r>
      <w:proofErr w:type="gramStart"/>
      <w:r w:rsidRPr="008C5253">
        <w:rPr>
          <w:rFonts w:ascii="Arial" w:hAnsi="Arial" w:cs="Arial"/>
        </w:rPr>
        <w:t>fit</w:t>
      </w:r>
      <w:proofErr w:type="gramEnd"/>
      <w:r w:rsidRPr="008C5253">
        <w:rPr>
          <w:rFonts w:ascii="Arial" w:hAnsi="Arial" w:cs="Arial"/>
        </w:rPr>
        <w:t xml:space="preserve">. Project C is an example of a project that strikes a balance between these </w:t>
      </w:r>
      <w:proofErr w:type="gramStart"/>
      <w:r w:rsidRPr="008C5253">
        <w:rPr>
          <w:rFonts w:ascii="Arial" w:hAnsi="Arial" w:cs="Arial"/>
        </w:rPr>
        <w:t>dimensions</w:t>
      </w:r>
      <w:proofErr w:type="gramEnd"/>
      <w:r w:rsidRPr="008C5253">
        <w:rPr>
          <w:rFonts w:ascii="Arial" w:hAnsi="Arial" w:cs="Arial"/>
        </w:rPr>
        <w:t xml:space="preserve"> </w:t>
      </w:r>
      <w:proofErr w:type="spellStart"/>
      <w:r w:rsidRPr="008C5253">
        <w:rPr>
          <w:rFonts w:ascii="Arial" w:hAnsi="Arial" w:cs="Arial"/>
        </w:rPr>
        <w:t>maximising</w:t>
      </w:r>
      <w:proofErr w:type="spellEnd"/>
      <w:r w:rsidRPr="008C5253">
        <w:rPr>
          <w:rFonts w:ascii="Arial" w:hAnsi="Arial" w:cs="Arial"/>
        </w:rPr>
        <w:t xml:space="preserve"> the total corporate value and is viable within its available resources.</w:t>
      </w:r>
    </w:p>
    <w:p w14:paraId="0936A2AC" w14:textId="77777777" w:rsidR="00BD7BD6" w:rsidRPr="008C5253" w:rsidRDefault="00BD7BD6" w:rsidP="00BD7BD6">
      <w:pPr>
        <w:spacing w:line="360" w:lineRule="auto"/>
        <w:jc w:val="both"/>
        <w:rPr>
          <w:rFonts w:ascii="Arial" w:hAnsi="Arial" w:cs="Arial"/>
        </w:rPr>
      </w:pPr>
      <w:r w:rsidRPr="008C5253">
        <w:rPr>
          <w:rFonts w:ascii="Arial" w:hAnsi="Arial" w:cs="Arial"/>
        </w:rPr>
        <w:t>According to the overall assessment of the liquidity (PBP) and accounting profitability (ARR), discounted returns (NPV, IRR) and capital efficiency (PI), it is recommended to pursue Project C- Digital Supply Chain Transformation.</w:t>
      </w:r>
    </w:p>
    <w:p w14:paraId="100B6160" w14:textId="6C9DED4D" w:rsidR="00BD7BD6" w:rsidRPr="008C5253" w:rsidRDefault="00BD7BD6" w:rsidP="00BD7BD6">
      <w:pPr>
        <w:spacing w:line="360" w:lineRule="auto"/>
        <w:jc w:val="both"/>
        <w:rPr>
          <w:rFonts w:ascii="Arial" w:hAnsi="Arial" w:cs="Arial"/>
          <w:b/>
          <w:bCs/>
        </w:rPr>
      </w:pPr>
      <w:r w:rsidRPr="008C5253">
        <w:rPr>
          <w:rFonts w:ascii="Arial" w:hAnsi="Arial" w:cs="Arial"/>
          <w:b/>
          <w:bCs/>
        </w:rPr>
        <w:t>Key justifications</w:t>
      </w:r>
      <w:r w:rsidR="0084190B" w:rsidRPr="008C5253">
        <w:rPr>
          <w:rFonts w:ascii="Arial" w:hAnsi="Arial" w:cs="Arial"/>
          <w:b/>
          <w:bCs/>
        </w:rPr>
        <w:t>:</w:t>
      </w:r>
    </w:p>
    <w:p w14:paraId="1FA35EE4" w14:textId="0089FF4A" w:rsidR="00BD7BD6" w:rsidRPr="008C5253" w:rsidRDefault="00BD7BD6" w:rsidP="0084190B">
      <w:pPr>
        <w:pStyle w:val="ListParagraph"/>
        <w:numPr>
          <w:ilvl w:val="0"/>
          <w:numId w:val="46"/>
        </w:numPr>
        <w:spacing w:line="360" w:lineRule="auto"/>
        <w:jc w:val="both"/>
        <w:rPr>
          <w:rFonts w:ascii="Arial" w:hAnsi="Arial" w:cs="Arial"/>
        </w:rPr>
      </w:pPr>
      <w:r w:rsidRPr="008C5253">
        <w:rPr>
          <w:rFonts w:ascii="Arial" w:hAnsi="Arial" w:cs="Arial"/>
        </w:rPr>
        <w:t xml:space="preserve">Financial superiority: Maximum NPV and PI imply that Project C </w:t>
      </w:r>
      <w:proofErr w:type="spellStart"/>
      <w:r w:rsidRPr="008C5253">
        <w:rPr>
          <w:rFonts w:ascii="Arial" w:hAnsi="Arial" w:cs="Arial"/>
        </w:rPr>
        <w:t>maximises</w:t>
      </w:r>
      <w:proofErr w:type="spellEnd"/>
      <w:r w:rsidRPr="008C5253">
        <w:rPr>
          <w:rFonts w:ascii="Arial" w:hAnsi="Arial" w:cs="Arial"/>
        </w:rPr>
        <w:t xml:space="preserve"> the wealth of shareholders on a unit of capital invested. The IRR is higher than WACC that indicates high risk-adjusted returns.</w:t>
      </w:r>
    </w:p>
    <w:p w14:paraId="597C2173" w14:textId="77777777" w:rsidR="00BD7BD6" w:rsidRPr="008C5253" w:rsidRDefault="00BD7BD6" w:rsidP="0084190B">
      <w:pPr>
        <w:pStyle w:val="ListParagraph"/>
        <w:numPr>
          <w:ilvl w:val="0"/>
          <w:numId w:val="46"/>
        </w:numPr>
        <w:spacing w:line="360" w:lineRule="auto"/>
        <w:jc w:val="both"/>
        <w:rPr>
          <w:rFonts w:ascii="Arial" w:hAnsi="Arial" w:cs="Arial"/>
        </w:rPr>
      </w:pPr>
      <w:r w:rsidRPr="008C5253">
        <w:rPr>
          <w:rFonts w:ascii="Arial" w:hAnsi="Arial" w:cs="Arial"/>
        </w:rPr>
        <w:lastRenderedPageBreak/>
        <w:t xml:space="preserve">Strategic alignment: </w:t>
      </w:r>
      <w:proofErr w:type="spellStart"/>
      <w:r w:rsidRPr="008C5253">
        <w:rPr>
          <w:rFonts w:ascii="Arial" w:hAnsi="Arial" w:cs="Arial"/>
        </w:rPr>
        <w:t>Digitisation</w:t>
      </w:r>
      <w:proofErr w:type="spellEnd"/>
      <w:r w:rsidRPr="008C5253">
        <w:rPr>
          <w:rFonts w:ascii="Arial" w:hAnsi="Arial" w:cs="Arial"/>
        </w:rPr>
        <w:t xml:space="preserve"> of the supply chain can assist in the operational efficacy, lessening the working capital, enhancing responsiveness, and increasing resilience to interruptions. These advantages are not limited to short-term financial benefits, which develop into competitive advantage in the long run.</w:t>
      </w:r>
    </w:p>
    <w:p w14:paraId="0A1C23B4" w14:textId="77777777" w:rsidR="00BD7BD6" w:rsidRPr="008C5253" w:rsidRDefault="00BD7BD6" w:rsidP="0084190B">
      <w:pPr>
        <w:pStyle w:val="ListParagraph"/>
        <w:numPr>
          <w:ilvl w:val="0"/>
          <w:numId w:val="46"/>
        </w:numPr>
        <w:spacing w:line="360" w:lineRule="auto"/>
        <w:jc w:val="both"/>
        <w:rPr>
          <w:rFonts w:ascii="Arial" w:hAnsi="Arial" w:cs="Arial"/>
        </w:rPr>
      </w:pPr>
      <w:r w:rsidRPr="008C5253">
        <w:rPr>
          <w:rFonts w:ascii="Arial" w:hAnsi="Arial" w:cs="Arial"/>
        </w:rPr>
        <w:t>Feasibility under constraint: Project C is within the capital budget of £60 million where there is a balance between ambition and constraint.</w:t>
      </w:r>
    </w:p>
    <w:p w14:paraId="74926B95"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The projects A and B </w:t>
      </w:r>
      <w:proofErr w:type="spellStart"/>
      <w:r w:rsidRPr="008C5253">
        <w:rPr>
          <w:rFonts w:ascii="Arial" w:hAnsi="Arial" w:cs="Arial"/>
        </w:rPr>
        <w:t>can not</w:t>
      </w:r>
      <w:proofErr w:type="spellEnd"/>
      <w:r w:rsidRPr="008C5253">
        <w:rPr>
          <w:rFonts w:ascii="Arial" w:hAnsi="Arial" w:cs="Arial"/>
        </w:rPr>
        <w:t xml:space="preserve"> be permanently discarded but instead, they need to be put on hold. Deferral maintains flexibility, and the company can reconsider such opportunities in case of better liquidity or a reduction in the cost of capital. This type of staging approach makes sure that the management has optionality but follows a disciplined investment approach.</w:t>
      </w:r>
    </w:p>
    <w:p w14:paraId="06BFC3B2"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More importantly, a focus on Project C shows a balanced approach to capital budgeting: it is financially </w:t>
      </w:r>
      <w:proofErr w:type="spellStart"/>
      <w:r w:rsidRPr="008C5253">
        <w:rPr>
          <w:rFonts w:ascii="Arial" w:hAnsi="Arial" w:cs="Arial"/>
        </w:rPr>
        <w:t>rigourous</w:t>
      </w:r>
      <w:proofErr w:type="spellEnd"/>
      <w:r w:rsidRPr="008C5253">
        <w:rPr>
          <w:rFonts w:ascii="Arial" w:hAnsi="Arial" w:cs="Arial"/>
        </w:rPr>
        <w:t xml:space="preserve">, risk-managed, and strategic-focused. It is best </w:t>
      </w:r>
      <w:proofErr w:type="spellStart"/>
      <w:r w:rsidRPr="008C5253">
        <w:rPr>
          <w:rFonts w:ascii="Arial" w:hAnsi="Arial" w:cs="Arial"/>
        </w:rPr>
        <w:t>practise</w:t>
      </w:r>
      <w:proofErr w:type="spellEnd"/>
      <w:r w:rsidRPr="008C5253">
        <w:rPr>
          <w:rFonts w:ascii="Arial" w:hAnsi="Arial" w:cs="Arial"/>
        </w:rPr>
        <w:t xml:space="preserve"> in a limited capital environment, which ensures that limited resources are directed </w:t>
      </w:r>
      <w:proofErr w:type="gramStart"/>
      <w:r w:rsidRPr="008C5253">
        <w:rPr>
          <w:rFonts w:ascii="Arial" w:hAnsi="Arial" w:cs="Arial"/>
        </w:rPr>
        <w:t>to</w:t>
      </w:r>
      <w:proofErr w:type="gramEnd"/>
      <w:r w:rsidRPr="008C5253">
        <w:rPr>
          <w:rFonts w:ascii="Arial" w:hAnsi="Arial" w:cs="Arial"/>
        </w:rPr>
        <w:t xml:space="preserve"> projects that provide immediate benefits as well as long-term sustainable benefits.</w:t>
      </w:r>
    </w:p>
    <w:p w14:paraId="51DB34E8" w14:textId="5F271F57" w:rsidR="00BD7BD6" w:rsidRPr="008C5253" w:rsidRDefault="00BD7BD6" w:rsidP="0084190B">
      <w:pPr>
        <w:pStyle w:val="Heading1"/>
        <w:rPr>
          <w:rFonts w:ascii="Arial" w:hAnsi="Arial" w:cs="Arial"/>
          <w:b/>
          <w:bCs/>
          <w:color w:val="auto"/>
          <w:sz w:val="32"/>
          <w:szCs w:val="32"/>
        </w:rPr>
      </w:pPr>
      <w:bookmarkStart w:id="27" w:name="_Toc216698891"/>
      <w:r w:rsidRPr="008C5253">
        <w:rPr>
          <w:rFonts w:ascii="Arial" w:hAnsi="Arial" w:cs="Arial"/>
          <w:b/>
          <w:bCs/>
          <w:color w:val="auto"/>
          <w:sz w:val="32"/>
          <w:szCs w:val="32"/>
        </w:rPr>
        <w:t>6. Conclusion</w:t>
      </w:r>
      <w:bookmarkEnd w:id="27"/>
    </w:p>
    <w:p w14:paraId="71F020D7" w14:textId="7AEA3B45" w:rsidR="00BD7BD6" w:rsidRPr="008C5253" w:rsidRDefault="00BD7BD6" w:rsidP="00BD7BD6">
      <w:pPr>
        <w:spacing w:line="360" w:lineRule="auto"/>
        <w:jc w:val="both"/>
        <w:rPr>
          <w:rFonts w:ascii="Arial" w:hAnsi="Arial" w:cs="Arial"/>
        </w:rPr>
      </w:pPr>
      <w:r w:rsidRPr="008C5253">
        <w:rPr>
          <w:rFonts w:ascii="Arial" w:hAnsi="Arial" w:cs="Arial"/>
        </w:rPr>
        <w:t xml:space="preserve">This report presents an in-depth study of the financial situation, the performance of the management and the investment choices of General Electronics in the competitive and capital-consuming global consumer electronics industry. The financial analysis shows a structural distress, which is </w:t>
      </w:r>
      <w:proofErr w:type="spellStart"/>
      <w:r w:rsidRPr="008C5253">
        <w:rPr>
          <w:rFonts w:ascii="Arial" w:hAnsi="Arial" w:cs="Arial"/>
        </w:rPr>
        <w:t>characterised</w:t>
      </w:r>
      <w:proofErr w:type="spellEnd"/>
      <w:r w:rsidRPr="008C5253">
        <w:rPr>
          <w:rFonts w:ascii="Arial" w:hAnsi="Arial" w:cs="Arial"/>
        </w:rPr>
        <w:t xml:space="preserve"> by decreasing revenues, operating losses, poor liquidity, poor working capital management, increasing leverage, and a high risk of financial failure as per the Altman Z-Score. Although the cash </w:t>
      </w:r>
      <w:proofErr w:type="gramStart"/>
      <w:r w:rsidRPr="008C5253">
        <w:rPr>
          <w:rFonts w:ascii="Arial" w:hAnsi="Arial" w:cs="Arial"/>
        </w:rPr>
        <w:t>flows are</w:t>
      </w:r>
      <w:proofErr w:type="gramEnd"/>
      <w:r w:rsidRPr="008C5253">
        <w:rPr>
          <w:rFonts w:ascii="Arial" w:hAnsi="Arial" w:cs="Arial"/>
        </w:rPr>
        <w:t xml:space="preserve"> improving, the sharp falls indicate deteriorating internal financing ability and increased dependence on external financing.</w:t>
      </w:r>
    </w:p>
    <w:p w14:paraId="4967756A" w14:textId="264DD2E2" w:rsidR="00BD7BD6" w:rsidRPr="008C5253" w:rsidRDefault="00BD7BD6" w:rsidP="00BD7BD6">
      <w:pPr>
        <w:spacing w:line="360" w:lineRule="auto"/>
        <w:jc w:val="both"/>
        <w:rPr>
          <w:rFonts w:ascii="Arial" w:hAnsi="Arial" w:cs="Arial"/>
        </w:rPr>
      </w:pPr>
      <w:r w:rsidRPr="008C5253">
        <w:rPr>
          <w:rFonts w:ascii="Arial" w:hAnsi="Arial" w:cs="Arial"/>
        </w:rPr>
        <w:t xml:space="preserve">The fundamental problems are structural as opposed to cyclical. Poor capital allocation, disproportionate financing and long cash operating cycles caused by slow collection of receivables and poor inventory management have destroyed shareholder value and augmented liquidity risk. Financial restructuring has been proposed (debt refinancing, </w:t>
      </w:r>
      <w:r w:rsidRPr="008C5253">
        <w:rPr>
          <w:rFonts w:ascii="Arial" w:hAnsi="Arial" w:cs="Arial"/>
        </w:rPr>
        <w:lastRenderedPageBreak/>
        <w:t>debt-to-equity conversion, equity injection and asset divestment) and has shown positive effects on solvency, liquidity and financial resilience.</w:t>
      </w:r>
    </w:p>
    <w:p w14:paraId="08B4DDFF" w14:textId="73307D8F" w:rsidR="00BD7BD6" w:rsidRPr="008C5253" w:rsidRDefault="00BD7BD6" w:rsidP="00BD7BD6">
      <w:pPr>
        <w:spacing w:line="360" w:lineRule="auto"/>
        <w:jc w:val="both"/>
        <w:rPr>
          <w:rFonts w:ascii="Arial" w:hAnsi="Arial" w:cs="Arial"/>
        </w:rPr>
      </w:pPr>
      <w:r w:rsidRPr="008C5253">
        <w:rPr>
          <w:rFonts w:ascii="Arial" w:hAnsi="Arial" w:cs="Arial"/>
        </w:rPr>
        <w:t xml:space="preserve">The CFO should focus on restoring liquidity, strengthening the balance sheet, and disciplined capital allocation, which are the priorities of the company in terms of strategy. This involves a pause of non-essential capital distributions, enhancement of working capital efficiency, ensuring transparency in communicating with the investors and focusing on high-value investments, which </w:t>
      </w:r>
      <w:proofErr w:type="gramStart"/>
      <w:r w:rsidRPr="008C5253">
        <w:rPr>
          <w:rFonts w:ascii="Arial" w:hAnsi="Arial" w:cs="Arial"/>
        </w:rPr>
        <w:t>has</w:t>
      </w:r>
      <w:proofErr w:type="gramEnd"/>
      <w:r w:rsidRPr="008C5253">
        <w:rPr>
          <w:rFonts w:ascii="Arial" w:hAnsi="Arial" w:cs="Arial"/>
        </w:rPr>
        <w:t xml:space="preserve"> high NPV, IRR and capital efficiency like Digital Supply Chain Transformation project.</w:t>
      </w:r>
    </w:p>
    <w:p w14:paraId="2540DE9A" w14:textId="77777777" w:rsidR="00BD7BD6" w:rsidRPr="008C5253" w:rsidRDefault="00BD7BD6" w:rsidP="00BD7BD6">
      <w:pPr>
        <w:spacing w:line="360" w:lineRule="auto"/>
        <w:jc w:val="both"/>
        <w:rPr>
          <w:rFonts w:ascii="Arial" w:hAnsi="Arial" w:cs="Arial"/>
        </w:rPr>
      </w:pPr>
      <w:r w:rsidRPr="008C5253">
        <w:rPr>
          <w:rFonts w:ascii="Arial" w:hAnsi="Arial" w:cs="Arial"/>
        </w:rPr>
        <w:t xml:space="preserve">All in all, through strict application of financial and operational corrective measures and proper risk management, General Electronics stands to be stable in the long run, to </w:t>
      </w:r>
      <w:proofErr w:type="gramStart"/>
      <w:r w:rsidRPr="008C5253">
        <w:rPr>
          <w:rFonts w:ascii="Arial" w:hAnsi="Arial" w:cs="Arial"/>
        </w:rPr>
        <w:t>regained</w:t>
      </w:r>
      <w:proofErr w:type="gramEnd"/>
      <w:r w:rsidRPr="008C5253">
        <w:rPr>
          <w:rFonts w:ascii="Arial" w:hAnsi="Arial" w:cs="Arial"/>
        </w:rPr>
        <w:t xml:space="preserve"> investor trust, and to value creation which is sustainable.</w:t>
      </w:r>
    </w:p>
    <w:p w14:paraId="3776705B" w14:textId="77777777" w:rsidR="008D3F9D" w:rsidRPr="008C5253" w:rsidRDefault="008D3F9D">
      <w:pPr>
        <w:rPr>
          <w:rFonts w:ascii="Arial" w:hAnsi="Arial" w:cs="Arial"/>
        </w:rPr>
      </w:pPr>
      <w:r w:rsidRPr="008C5253">
        <w:rPr>
          <w:rFonts w:ascii="Arial" w:hAnsi="Arial" w:cs="Arial"/>
        </w:rPr>
        <w:br w:type="page"/>
      </w:r>
    </w:p>
    <w:p w14:paraId="67AB3402" w14:textId="2D3077F3" w:rsidR="00421FB0" w:rsidRPr="008C5253" w:rsidRDefault="00421FB0" w:rsidP="008D3F9D">
      <w:pPr>
        <w:pStyle w:val="Heading1"/>
        <w:rPr>
          <w:rFonts w:ascii="Arial" w:hAnsi="Arial" w:cs="Arial"/>
          <w:b/>
          <w:bCs/>
          <w:color w:val="auto"/>
          <w:sz w:val="32"/>
          <w:szCs w:val="32"/>
        </w:rPr>
      </w:pPr>
      <w:bookmarkStart w:id="28" w:name="_Toc216698892"/>
      <w:r w:rsidRPr="008C5253">
        <w:rPr>
          <w:rFonts w:ascii="Arial" w:hAnsi="Arial" w:cs="Arial"/>
          <w:b/>
          <w:bCs/>
          <w:color w:val="auto"/>
          <w:sz w:val="32"/>
          <w:szCs w:val="32"/>
        </w:rPr>
        <w:lastRenderedPageBreak/>
        <w:t>References</w:t>
      </w:r>
      <w:bookmarkEnd w:id="28"/>
      <w:r w:rsidRPr="008C5253">
        <w:rPr>
          <w:rFonts w:ascii="Arial" w:hAnsi="Arial" w:cs="Arial"/>
          <w:b/>
          <w:bCs/>
          <w:color w:val="auto"/>
          <w:sz w:val="32"/>
          <w:szCs w:val="32"/>
        </w:rPr>
        <w:t xml:space="preserve"> </w:t>
      </w:r>
    </w:p>
    <w:p w14:paraId="67E5F40D" w14:textId="77777777"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hAnsi="Arial" w:cs="Arial"/>
        </w:rPr>
        <w:t xml:space="preserve">Altman, E.I. (1968) ‘Financial ratios, discriminant analysis and the prediction of corporate bankruptcy’, </w:t>
      </w:r>
      <w:r w:rsidRPr="008C5253">
        <w:rPr>
          <w:rFonts w:ascii="Arial" w:hAnsi="Arial" w:cs="Arial"/>
          <w:i/>
          <w:iCs/>
        </w:rPr>
        <w:t>Journal of Finance</w:t>
      </w:r>
      <w:r w:rsidRPr="008C5253">
        <w:rPr>
          <w:rFonts w:ascii="Arial" w:hAnsi="Arial" w:cs="Arial"/>
        </w:rPr>
        <w:t>, 23(4), pp. 589–609.</w:t>
      </w:r>
      <w:r w:rsidRPr="008C5253">
        <w:rPr>
          <w:rFonts w:ascii="Arial" w:hAnsi="Arial" w:cs="Arial"/>
        </w:rPr>
        <w:br/>
        <w:t xml:space="preserve">Available at: </w:t>
      </w:r>
      <w:hyperlink r:id="rId9" w:tgtFrame="_new" w:history="1">
        <w:r w:rsidRPr="008C5253">
          <w:rPr>
            <w:rStyle w:val="Hyperlink"/>
            <w:rFonts w:ascii="Arial" w:hAnsi="Arial" w:cs="Arial"/>
          </w:rPr>
          <w:t>https://www.jstor.org/stable/2978933</w:t>
        </w:r>
      </w:hyperlink>
    </w:p>
    <w:p w14:paraId="7BD08038" w14:textId="77777777"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eastAsia="Times New Roman" w:hAnsi="Arial" w:cs="Arial"/>
          <w:kern w:val="0"/>
          <w14:ligatures w14:val="none"/>
        </w:rPr>
        <w:t xml:space="preserve">Amihud, Y. and Mendelson, H. (1991). Liquidity, Asset Prices and Financial Policy. </w:t>
      </w:r>
      <w:r w:rsidRPr="008C5253">
        <w:rPr>
          <w:rFonts w:ascii="Arial" w:eastAsia="Times New Roman" w:hAnsi="Arial" w:cs="Arial"/>
          <w:i/>
          <w:iCs/>
          <w:kern w:val="0"/>
          <w14:ligatures w14:val="none"/>
        </w:rPr>
        <w:t>Financial Analysts Journal</w:t>
      </w:r>
      <w:r w:rsidRPr="008C5253">
        <w:rPr>
          <w:rFonts w:ascii="Arial" w:eastAsia="Times New Roman" w:hAnsi="Arial" w:cs="Arial"/>
          <w:kern w:val="0"/>
          <w14:ligatures w14:val="none"/>
        </w:rPr>
        <w:t xml:space="preserve">, 47(6), pp.56–66. </w:t>
      </w:r>
      <w:proofErr w:type="spellStart"/>
      <w:proofErr w:type="gramStart"/>
      <w:r w:rsidRPr="008C5253">
        <w:rPr>
          <w:rFonts w:ascii="Arial" w:eastAsia="Times New Roman" w:hAnsi="Arial" w:cs="Arial"/>
          <w:kern w:val="0"/>
          <w14:ligatures w14:val="none"/>
        </w:rPr>
        <w:t>doi:https</w:t>
      </w:r>
      <w:proofErr w:type="spellEnd"/>
      <w:r w:rsidRPr="008C5253">
        <w:rPr>
          <w:rFonts w:ascii="Arial" w:eastAsia="Times New Roman" w:hAnsi="Arial" w:cs="Arial"/>
          <w:kern w:val="0"/>
          <w14:ligatures w14:val="none"/>
        </w:rPr>
        <w:t>://doi.org/10.2469/faj.v47.n6.56</w:t>
      </w:r>
      <w:proofErr w:type="gramEnd"/>
      <w:r w:rsidRPr="008C5253">
        <w:rPr>
          <w:rFonts w:ascii="Arial" w:eastAsia="Times New Roman" w:hAnsi="Arial" w:cs="Arial"/>
          <w:kern w:val="0"/>
          <w14:ligatures w14:val="none"/>
        </w:rPr>
        <w:t>.</w:t>
      </w:r>
    </w:p>
    <w:p w14:paraId="08D3DAF5" w14:textId="77777777"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hAnsi="Arial" w:cs="Arial"/>
        </w:rPr>
        <w:t xml:space="preserve">Arnold, G. (2019) </w:t>
      </w:r>
      <w:r w:rsidRPr="008C5253">
        <w:rPr>
          <w:rFonts w:ascii="Arial" w:hAnsi="Arial" w:cs="Arial"/>
          <w:i/>
          <w:iCs/>
        </w:rPr>
        <w:t>Corporate Financial Management</w:t>
      </w:r>
      <w:r w:rsidRPr="008C5253">
        <w:rPr>
          <w:rFonts w:ascii="Arial" w:hAnsi="Arial" w:cs="Arial"/>
        </w:rPr>
        <w:t xml:space="preserve">. 6th </w:t>
      </w:r>
      <w:proofErr w:type="spellStart"/>
      <w:r w:rsidRPr="008C5253">
        <w:rPr>
          <w:rFonts w:ascii="Arial" w:hAnsi="Arial" w:cs="Arial"/>
        </w:rPr>
        <w:t>edn</w:t>
      </w:r>
      <w:proofErr w:type="spellEnd"/>
      <w:r w:rsidRPr="008C5253">
        <w:rPr>
          <w:rFonts w:ascii="Arial" w:hAnsi="Arial" w:cs="Arial"/>
        </w:rPr>
        <w:t>. Harlow: Pearson Education.</w:t>
      </w:r>
      <w:r w:rsidRPr="008C5253">
        <w:rPr>
          <w:rFonts w:ascii="Arial" w:hAnsi="Arial" w:cs="Arial"/>
        </w:rPr>
        <w:br/>
        <w:t>Available at: https://www.pearson.com/en-gb/subject-catalog/p/corporate-financial-management/P200000006232</w:t>
      </w:r>
    </w:p>
    <w:p w14:paraId="5A979FC5" w14:textId="77777777" w:rsidR="005242FB" w:rsidRPr="008C5253" w:rsidRDefault="005242FB" w:rsidP="00BD7BD6">
      <w:pPr>
        <w:pStyle w:val="ListParagraph"/>
        <w:numPr>
          <w:ilvl w:val="0"/>
          <w:numId w:val="19"/>
        </w:numPr>
        <w:spacing w:line="360" w:lineRule="auto"/>
        <w:jc w:val="both"/>
        <w:rPr>
          <w:rFonts w:ascii="Arial" w:hAnsi="Arial" w:cs="Arial"/>
        </w:rPr>
      </w:pPr>
      <w:proofErr w:type="spellStart"/>
      <w:r w:rsidRPr="008C5253">
        <w:rPr>
          <w:rFonts w:ascii="Arial" w:hAnsi="Arial" w:cs="Arial"/>
        </w:rPr>
        <w:t>Atrill</w:t>
      </w:r>
      <w:proofErr w:type="spellEnd"/>
      <w:r w:rsidRPr="008C5253">
        <w:rPr>
          <w:rFonts w:ascii="Arial" w:hAnsi="Arial" w:cs="Arial"/>
        </w:rPr>
        <w:t xml:space="preserve">, P. and McLaney, E. (2023) </w:t>
      </w:r>
      <w:r w:rsidRPr="008C5253">
        <w:rPr>
          <w:rFonts w:ascii="Arial" w:hAnsi="Arial" w:cs="Arial"/>
          <w:i/>
          <w:iCs/>
        </w:rPr>
        <w:t>Accounting and Finance for Non-Specialists</w:t>
      </w:r>
      <w:r w:rsidRPr="008C5253">
        <w:rPr>
          <w:rFonts w:ascii="Arial" w:hAnsi="Arial" w:cs="Arial"/>
        </w:rPr>
        <w:t xml:space="preserve">. 12th </w:t>
      </w:r>
      <w:proofErr w:type="spellStart"/>
      <w:proofErr w:type="gramStart"/>
      <w:r w:rsidRPr="008C5253">
        <w:rPr>
          <w:rFonts w:ascii="Arial" w:hAnsi="Arial" w:cs="Arial"/>
        </w:rPr>
        <w:t>edn</w:t>
      </w:r>
      <w:proofErr w:type="spellEnd"/>
      <w:proofErr w:type="gramEnd"/>
      <w:r w:rsidRPr="008C5253">
        <w:rPr>
          <w:rFonts w:ascii="Arial" w:hAnsi="Arial" w:cs="Arial"/>
        </w:rPr>
        <w:t>. Harlow: Pearson.</w:t>
      </w:r>
    </w:p>
    <w:p w14:paraId="4283B129" w14:textId="59F657EA"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hAnsi="Arial" w:cs="Arial"/>
        </w:rPr>
        <w:t xml:space="preserve">Brealey, R.A., Myers, S.C. and Allen, F. (2020) </w:t>
      </w:r>
      <w:r w:rsidRPr="008C5253">
        <w:rPr>
          <w:rFonts w:ascii="Arial" w:hAnsi="Arial" w:cs="Arial"/>
          <w:i/>
          <w:iCs/>
        </w:rPr>
        <w:t>Principles of Corporate Finance</w:t>
      </w:r>
      <w:r w:rsidRPr="008C5253">
        <w:rPr>
          <w:rFonts w:ascii="Arial" w:hAnsi="Arial" w:cs="Arial"/>
        </w:rPr>
        <w:t xml:space="preserve">. 13th </w:t>
      </w:r>
      <w:proofErr w:type="spellStart"/>
      <w:r w:rsidRPr="008C5253">
        <w:rPr>
          <w:rFonts w:ascii="Arial" w:hAnsi="Arial" w:cs="Arial"/>
        </w:rPr>
        <w:t>edn</w:t>
      </w:r>
      <w:proofErr w:type="spellEnd"/>
      <w:r w:rsidRPr="008C5253">
        <w:rPr>
          <w:rFonts w:ascii="Arial" w:hAnsi="Arial" w:cs="Arial"/>
        </w:rPr>
        <w:t>. New York: McGraw-Hill.</w:t>
      </w:r>
    </w:p>
    <w:p w14:paraId="513048A9"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proofErr w:type="spellStart"/>
      <w:r w:rsidRPr="008C5253">
        <w:rPr>
          <w:rFonts w:ascii="Arial" w:eastAsia="Times New Roman" w:hAnsi="Arial" w:cs="Arial"/>
          <w:kern w:val="0"/>
          <w14:ligatures w14:val="none"/>
        </w:rPr>
        <w:t>Bessonova</w:t>
      </w:r>
      <w:proofErr w:type="spellEnd"/>
      <w:r w:rsidRPr="008C5253">
        <w:rPr>
          <w:rFonts w:ascii="Arial" w:eastAsia="Times New Roman" w:hAnsi="Arial" w:cs="Arial"/>
          <w:kern w:val="0"/>
          <w14:ligatures w14:val="none"/>
        </w:rPr>
        <w:t xml:space="preserve">, A., </w:t>
      </w:r>
      <w:proofErr w:type="spellStart"/>
      <w:r w:rsidRPr="008C5253">
        <w:rPr>
          <w:rFonts w:ascii="Arial" w:eastAsia="Times New Roman" w:hAnsi="Arial" w:cs="Arial"/>
          <w:kern w:val="0"/>
          <w14:ligatures w14:val="none"/>
        </w:rPr>
        <w:t>Bessonova</w:t>
      </w:r>
      <w:proofErr w:type="spellEnd"/>
      <w:r w:rsidRPr="008C5253">
        <w:rPr>
          <w:rFonts w:ascii="Arial" w:eastAsia="Times New Roman" w:hAnsi="Arial" w:cs="Arial"/>
          <w:kern w:val="0"/>
          <w14:ligatures w14:val="none"/>
        </w:rPr>
        <w:t xml:space="preserve">, S. and Shevchenko, A. (2025). OPTIMIZATION OF RECEIVABLES OF AN ENTERPRISE AS A TOOL FOR STRENGTHENING FINANCIAL EFFICIENCY. </w:t>
      </w:r>
      <w:proofErr w:type="spellStart"/>
      <w:r w:rsidRPr="008C5253">
        <w:rPr>
          <w:rFonts w:ascii="Arial" w:eastAsia="Times New Roman" w:hAnsi="Arial" w:cs="Arial"/>
          <w:i/>
          <w:iCs/>
          <w:kern w:val="0"/>
          <w14:ligatures w14:val="none"/>
        </w:rPr>
        <w:t>Економіка</w:t>
      </w:r>
      <w:proofErr w:type="spellEnd"/>
      <w:r w:rsidRPr="008C5253">
        <w:rPr>
          <w:rFonts w:ascii="Arial" w:eastAsia="Times New Roman" w:hAnsi="Arial" w:cs="Arial"/>
          <w:i/>
          <w:iCs/>
          <w:kern w:val="0"/>
          <w14:ligatures w14:val="none"/>
        </w:rPr>
        <w:t xml:space="preserve"> </w:t>
      </w:r>
      <w:proofErr w:type="spellStart"/>
      <w:r w:rsidRPr="008C5253">
        <w:rPr>
          <w:rFonts w:ascii="Arial" w:eastAsia="Times New Roman" w:hAnsi="Arial" w:cs="Arial"/>
          <w:i/>
          <w:iCs/>
          <w:kern w:val="0"/>
          <w14:ligatures w14:val="none"/>
        </w:rPr>
        <w:t>розвитку</w:t>
      </w:r>
      <w:proofErr w:type="spellEnd"/>
      <w:r w:rsidRPr="008C5253">
        <w:rPr>
          <w:rFonts w:ascii="Arial" w:eastAsia="Times New Roman" w:hAnsi="Arial" w:cs="Arial"/>
          <w:i/>
          <w:iCs/>
          <w:kern w:val="0"/>
          <w14:ligatures w14:val="none"/>
        </w:rPr>
        <w:t xml:space="preserve"> </w:t>
      </w:r>
      <w:proofErr w:type="spellStart"/>
      <w:r w:rsidRPr="008C5253">
        <w:rPr>
          <w:rFonts w:ascii="Arial" w:eastAsia="Times New Roman" w:hAnsi="Arial" w:cs="Arial"/>
          <w:i/>
          <w:iCs/>
          <w:kern w:val="0"/>
          <w14:ligatures w14:val="none"/>
        </w:rPr>
        <w:t>систем</w:t>
      </w:r>
      <w:proofErr w:type="spellEnd"/>
      <w:r w:rsidRPr="008C5253">
        <w:rPr>
          <w:rFonts w:ascii="Arial" w:eastAsia="Times New Roman" w:hAnsi="Arial" w:cs="Arial"/>
          <w:kern w:val="0"/>
          <w14:ligatures w14:val="none"/>
        </w:rPr>
        <w:t xml:space="preserve">, [online] 6(2), pp.146–150. </w:t>
      </w:r>
      <w:proofErr w:type="spellStart"/>
      <w:proofErr w:type="gramStart"/>
      <w:r w:rsidRPr="008C5253">
        <w:rPr>
          <w:rFonts w:ascii="Arial" w:eastAsia="Times New Roman" w:hAnsi="Arial" w:cs="Arial"/>
          <w:kern w:val="0"/>
          <w14:ligatures w14:val="none"/>
        </w:rPr>
        <w:t>doi:https</w:t>
      </w:r>
      <w:proofErr w:type="spellEnd"/>
      <w:r w:rsidRPr="008C5253">
        <w:rPr>
          <w:rFonts w:ascii="Arial" w:eastAsia="Times New Roman" w:hAnsi="Arial" w:cs="Arial"/>
          <w:kern w:val="0"/>
          <w14:ligatures w14:val="none"/>
        </w:rPr>
        <w:t>://doi.org/10.32782/2707-8019/2024-2-20</w:t>
      </w:r>
      <w:proofErr w:type="gramEnd"/>
      <w:r w:rsidRPr="008C5253">
        <w:rPr>
          <w:rFonts w:ascii="Arial" w:eastAsia="Times New Roman" w:hAnsi="Arial" w:cs="Arial"/>
          <w:kern w:val="0"/>
          <w14:ligatures w14:val="none"/>
        </w:rPr>
        <w:t>.</w:t>
      </w:r>
    </w:p>
    <w:p w14:paraId="44606245"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r w:rsidRPr="008C5253">
        <w:rPr>
          <w:rFonts w:ascii="Arial" w:eastAsia="Times New Roman" w:hAnsi="Arial" w:cs="Arial"/>
          <w:kern w:val="0"/>
          <w14:ligatures w14:val="none"/>
        </w:rPr>
        <w:t xml:space="preserve">Blessing, H. and </w:t>
      </w:r>
      <w:proofErr w:type="spellStart"/>
      <w:r w:rsidRPr="008C5253">
        <w:rPr>
          <w:rFonts w:ascii="Arial" w:eastAsia="Times New Roman" w:hAnsi="Arial" w:cs="Arial"/>
          <w:kern w:val="0"/>
          <w14:ligatures w14:val="none"/>
        </w:rPr>
        <w:t>Sakouvogui</w:t>
      </w:r>
      <w:proofErr w:type="spellEnd"/>
      <w:r w:rsidRPr="008C5253">
        <w:rPr>
          <w:rFonts w:ascii="Arial" w:eastAsia="Times New Roman" w:hAnsi="Arial" w:cs="Arial"/>
          <w:kern w:val="0"/>
          <w14:ligatures w14:val="none"/>
        </w:rPr>
        <w:t xml:space="preserve">, G. (2023). Impact of Liquidity and Solvency Ratios on Financial Performance: </w:t>
      </w:r>
      <w:proofErr w:type="gramStart"/>
      <w:r w:rsidRPr="008C5253">
        <w:rPr>
          <w:rFonts w:ascii="Arial" w:eastAsia="Times New Roman" w:hAnsi="Arial" w:cs="Arial"/>
          <w:kern w:val="0"/>
          <w14:ligatures w14:val="none"/>
        </w:rPr>
        <w:t>a</w:t>
      </w:r>
      <w:proofErr w:type="gramEnd"/>
      <w:r w:rsidRPr="008C5253">
        <w:rPr>
          <w:rFonts w:ascii="Arial" w:eastAsia="Times New Roman" w:hAnsi="Arial" w:cs="Arial"/>
          <w:kern w:val="0"/>
          <w14:ligatures w14:val="none"/>
        </w:rPr>
        <w:t xml:space="preserve"> Comprehensive Analysis. </w:t>
      </w:r>
      <w:r w:rsidRPr="008C5253">
        <w:rPr>
          <w:rFonts w:ascii="Arial" w:eastAsia="Times New Roman" w:hAnsi="Arial" w:cs="Arial"/>
          <w:i/>
          <w:iCs/>
          <w:kern w:val="0"/>
          <w14:ligatures w14:val="none"/>
        </w:rPr>
        <w:t>Indonesia Auditing Research Journal</w:t>
      </w:r>
      <w:r w:rsidRPr="008C5253">
        <w:rPr>
          <w:rFonts w:ascii="Arial" w:eastAsia="Times New Roman" w:hAnsi="Arial" w:cs="Arial"/>
          <w:kern w:val="0"/>
          <w14:ligatures w14:val="none"/>
        </w:rPr>
        <w:t>, 12(3), pp.102–115.</w:t>
      </w:r>
    </w:p>
    <w:p w14:paraId="5C04BDF5"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proofErr w:type="spellStart"/>
      <w:r w:rsidRPr="008C5253">
        <w:rPr>
          <w:rFonts w:ascii="Arial" w:eastAsia="Times New Roman" w:hAnsi="Arial" w:cs="Arial"/>
          <w:kern w:val="0"/>
          <w14:ligatures w14:val="none"/>
        </w:rPr>
        <w:t>Chorafas</w:t>
      </w:r>
      <w:proofErr w:type="spellEnd"/>
      <w:r w:rsidRPr="008C5253">
        <w:rPr>
          <w:rFonts w:ascii="Arial" w:eastAsia="Times New Roman" w:hAnsi="Arial" w:cs="Arial"/>
          <w:kern w:val="0"/>
          <w14:ligatures w14:val="none"/>
        </w:rPr>
        <w:t xml:space="preserve">, D. (2002). </w:t>
      </w:r>
      <w:r w:rsidRPr="008C5253">
        <w:rPr>
          <w:rFonts w:ascii="Arial" w:eastAsia="Times New Roman" w:hAnsi="Arial" w:cs="Arial"/>
          <w:i/>
          <w:iCs/>
          <w:kern w:val="0"/>
          <w14:ligatures w14:val="none"/>
        </w:rPr>
        <w:t>Liabilities, Liquidity, and Cash Management</w:t>
      </w:r>
      <w:r w:rsidRPr="008C5253">
        <w:rPr>
          <w:rFonts w:ascii="Arial" w:eastAsia="Times New Roman" w:hAnsi="Arial" w:cs="Arial"/>
          <w:kern w:val="0"/>
          <w14:ligatures w14:val="none"/>
        </w:rPr>
        <w:t>. [online] Google Books. Available at: https://books.google.com/books?hl=en&amp;lr=&amp;id=_d03svJ2b6MC&amp;oi=fnd&amp;pg=PR17&amp;dq=+This+balanced+investment+strategy+supports+recovery+while+minimising+liquidity+and+financial+risk.&amp;ots=MsELv-RVkm&amp;sig=tlAbSEhLFAhNJ4YXUWSLKY09mtk [Accessed 13 Dec. 2025].</w:t>
      </w:r>
    </w:p>
    <w:p w14:paraId="3CF8490E" w14:textId="77777777"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hAnsi="Arial" w:cs="Arial"/>
        </w:rPr>
        <w:t xml:space="preserve">Freeman, R.E. (1984) </w:t>
      </w:r>
      <w:r w:rsidRPr="008C5253">
        <w:rPr>
          <w:rFonts w:ascii="Arial" w:hAnsi="Arial" w:cs="Arial"/>
          <w:i/>
          <w:iCs/>
        </w:rPr>
        <w:t>Strategic Management: A Stakeholder Approach</w:t>
      </w:r>
      <w:r w:rsidRPr="008C5253">
        <w:rPr>
          <w:rFonts w:ascii="Arial" w:hAnsi="Arial" w:cs="Arial"/>
        </w:rPr>
        <w:t>. Boston: Pitman.</w:t>
      </w:r>
    </w:p>
    <w:p w14:paraId="1C176AE4"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proofErr w:type="spellStart"/>
      <w:r w:rsidRPr="008C5253">
        <w:rPr>
          <w:rFonts w:ascii="Arial" w:eastAsia="Times New Roman" w:hAnsi="Arial" w:cs="Arial"/>
          <w:kern w:val="0"/>
          <w14:ligatures w14:val="none"/>
        </w:rPr>
        <w:lastRenderedPageBreak/>
        <w:t>Hoskisson</w:t>
      </w:r>
      <w:proofErr w:type="spellEnd"/>
      <w:r w:rsidRPr="008C5253">
        <w:rPr>
          <w:rFonts w:ascii="Arial" w:eastAsia="Times New Roman" w:hAnsi="Arial" w:cs="Arial"/>
          <w:kern w:val="0"/>
          <w14:ligatures w14:val="none"/>
        </w:rPr>
        <w:t xml:space="preserve">, R.E. and Turk, T.A. (1990). Corporate Restructuring: Governance and Control Limits of the Internal Capital Market. </w:t>
      </w:r>
      <w:r w:rsidRPr="008C5253">
        <w:rPr>
          <w:rFonts w:ascii="Arial" w:eastAsia="Times New Roman" w:hAnsi="Arial" w:cs="Arial"/>
          <w:i/>
          <w:iCs/>
          <w:kern w:val="0"/>
          <w14:ligatures w14:val="none"/>
        </w:rPr>
        <w:t>Academy of Management Review</w:t>
      </w:r>
      <w:r w:rsidRPr="008C5253">
        <w:rPr>
          <w:rFonts w:ascii="Arial" w:eastAsia="Times New Roman" w:hAnsi="Arial" w:cs="Arial"/>
          <w:kern w:val="0"/>
          <w14:ligatures w14:val="none"/>
        </w:rPr>
        <w:t xml:space="preserve">, 15(3), pp.459–477. </w:t>
      </w:r>
      <w:proofErr w:type="spellStart"/>
      <w:proofErr w:type="gramStart"/>
      <w:r w:rsidRPr="008C5253">
        <w:rPr>
          <w:rFonts w:ascii="Arial" w:eastAsia="Times New Roman" w:hAnsi="Arial" w:cs="Arial"/>
          <w:kern w:val="0"/>
          <w14:ligatures w14:val="none"/>
        </w:rPr>
        <w:t>doi:https</w:t>
      </w:r>
      <w:proofErr w:type="spellEnd"/>
      <w:r w:rsidRPr="008C5253">
        <w:rPr>
          <w:rFonts w:ascii="Arial" w:eastAsia="Times New Roman" w:hAnsi="Arial" w:cs="Arial"/>
          <w:kern w:val="0"/>
          <w14:ligatures w14:val="none"/>
        </w:rPr>
        <w:t>://doi.org/10.5465/amr.1990.4308828</w:t>
      </w:r>
      <w:proofErr w:type="gramEnd"/>
      <w:r w:rsidRPr="008C5253">
        <w:rPr>
          <w:rFonts w:ascii="Arial" w:eastAsia="Times New Roman" w:hAnsi="Arial" w:cs="Arial"/>
          <w:kern w:val="0"/>
          <w14:ligatures w14:val="none"/>
        </w:rPr>
        <w:t>.</w:t>
      </w:r>
    </w:p>
    <w:p w14:paraId="496C6746" w14:textId="77777777"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hAnsi="Arial" w:cs="Arial"/>
        </w:rPr>
        <w:t xml:space="preserve">Investopedia (2024) </w:t>
      </w:r>
      <w:r w:rsidRPr="008C5253">
        <w:rPr>
          <w:rFonts w:ascii="Arial" w:hAnsi="Arial" w:cs="Arial"/>
          <w:i/>
          <w:iCs/>
        </w:rPr>
        <w:t>Chief Financial Officer (CFO): Role and Responsibilities</w:t>
      </w:r>
      <w:r w:rsidRPr="008C5253">
        <w:rPr>
          <w:rFonts w:ascii="Arial" w:hAnsi="Arial" w:cs="Arial"/>
        </w:rPr>
        <w:t>.</w:t>
      </w:r>
      <w:r w:rsidRPr="008C5253">
        <w:rPr>
          <w:rFonts w:ascii="Arial" w:hAnsi="Arial" w:cs="Arial"/>
        </w:rPr>
        <w:br/>
        <w:t xml:space="preserve">Available at: </w:t>
      </w:r>
      <w:hyperlink r:id="rId10" w:tgtFrame="_new" w:history="1">
        <w:r w:rsidRPr="008C5253">
          <w:rPr>
            <w:rStyle w:val="Hyperlink"/>
            <w:rFonts w:ascii="Arial" w:hAnsi="Arial" w:cs="Arial"/>
          </w:rPr>
          <w:t>https://www.investopedia.com/terms/c/cfo.asp</w:t>
        </w:r>
      </w:hyperlink>
    </w:p>
    <w:p w14:paraId="5EC2B5FB"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r w:rsidRPr="008C5253">
        <w:rPr>
          <w:rFonts w:ascii="Arial" w:eastAsia="Times New Roman" w:hAnsi="Arial" w:cs="Arial"/>
          <w:kern w:val="0"/>
          <w14:ligatures w14:val="none"/>
        </w:rPr>
        <w:t xml:space="preserve">Kapur, S. (2025). The Social Dynamics of Corporate Insolvency Law and Workers and Employees of Distressed Companies: Comparing Select Asian Jurisdictions. </w:t>
      </w:r>
      <w:r w:rsidRPr="008C5253">
        <w:rPr>
          <w:rFonts w:ascii="Arial" w:eastAsia="Times New Roman" w:hAnsi="Arial" w:cs="Arial"/>
          <w:i/>
          <w:iCs/>
          <w:kern w:val="0"/>
          <w14:ligatures w14:val="none"/>
        </w:rPr>
        <w:t>The Chinese Journal of Comparative Law</w:t>
      </w:r>
      <w:r w:rsidRPr="008C5253">
        <w:rPr>
          <w:rFonts w:ascii="Arial" w:eastAsia="Times New Roman" w:hAnsi="Arial" w:cs="Arial"/>
          <w:kern w:val="0"/>
          <w14:ligatures w14:val="none"/>
        </w:rPr>
        <w:t xml:space="preserve">, [online] 13. </w:t>
      </w:r>
      <w:proofErr w:type="spellStart"/>
      <w:proofErr w:type="gramStart"/>
      <w:r w:rsidRPr="008C5253">
        <w:rPr>
          <w:rFonts w:ascii="Arial" w:eastAsia="Times New Roman" w:hAnsi="Arial" w:cs="Arial"/>
          <w:kern w:val="0"/>
          <w14:ligatures w14:val="none"/>
        </w:rPr>
        <w:t>doi:https</w:t>
      </w:r>
      <w:proofErr w:type="spellEnd"/>
      <w:r w:rsidRPr="008C5253">
        <w:rPr>
          <w:rFonts w:ascii="Arial" w:eastAsia="Times New Roman" w:hAnsi="Arial" w:cs="Arial"/>
          <w:kern w:val="0"/>
          <w14:ligatures w14:val="none"/>
        </w:rPr>
        <w:t>://doi.org/10.1093/</w:t>
      </w:r>
      <w:proofErr w:type="spellStart"/>
      <w:r w:rsidRPr="008C5253">
        <w:rPr>
          <w:rFonts w:ascii="Arial" w:eastAsia="Times New Roman" w:hAnsi="Arial" w:cs="Arial"/>
          <w:kern w:val="0"/>
          <w14:ligatures w14:val="none"/>
        </w:rPr>
        <w:t>cjcl</w:t>
      </w:r>
      <w:proofErr w:type="spellEnd"/>
      <w:r w:rsidRPr="008C5253">
        <w:rPr>
          <w:rFonts w:ascii="Arial" w:eastAsia="Times New Roman" w:hAnsi="Arial" w:cs="Arial"/>
          <w:kern w:val="0"/>
          <w14:ligatures w14:val="none"/>
        </w:rPr>
        <w:t>/cxaf003</w:t>
      </w:r>
      <w:proofErr w:type="gramEnd"/>
      <w:r w:rsidRPr="008C5253">
        <w:rPr>
          <w:rFonts w:ascii="Arial" w:eastAsia="Times New Roman" w:hAnsi="Arial" w:cs="Arial"/>
          <w:kern w:val="0"/>
          <w14:ligatures w14:val="none"/>
        </w:rPr>
        <w:t>.</w:t>
      </w:r>
    </w:p>
    <w:p w14:paraId="6ECC37F2" w14:textId="77777777"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hAnsi="Arial" w:cs="Arial"/>
        </w:rPr>
        <w:t xml:space="preserve">OECD (2023) </w:t>
      </w:r>
      <w:r w:rsidRPr="008C5253">
        <w:rPr>
          <w:rFonts w:ascii="Arial" w:hAnsi="Arial" w:cs="Arial"/>
          <w:i/>
          <w:iCs/>
        </w:rPr>
        <w:t>Principles of Corporate Governance</w:t>
      </w:r>
      <w:r w:rsidRPr="008C5253">
        <w:rPr>
          <w:rFonts w:ascii="Arial" w:hAnsi="Arial" w:cs="Arial"/>
        </w:rPr>
        <w:t>. Paris: OECD Publishing.</w:t>
      </w:r>
    </w:p>
    <w:p w14:paraId="2B8B2FFC" w14:textId="77777777" w:rsidR="005242FB" w:rsidRPr="008C5253" w:rsidRDefault="005242FB" w:rsidP="00BD7BD6">
      <w:pPr>
        <w:pStyle w:val="ListParagraph"/>
        <w:numPr>
          <w:ilvl w:val="0"/>
          <w:numId w:val="19"/>
        </w:numPr>
        <w:spacing w:line="360" w:lineRule="auto"/>
        <w:jc w:val="both"/>
        <w:rPr>
          <w:rFonts w:ascii="Arial" w:hAnsi="Arial" w:cs="Arial"/>
        </w:rPr>
      </w:pPr>
      <w:r w:rsidRPr="008C5253">
        <w:rPr>
          <w:rFonts w:ascii="Arial" w:hAnsi="Arial" w:cs="Arial"/>
        </w:rPr>
        <w:t xml:space="preserve">Porter, M.E. (2008) ‘The five competitive forces that shape strategy’, </w:t>
      </w:r>
      <w:r w:rsidRPr="008C5253">
        <w:rPr>
          <w:rFonts w:ascii="Arial" w:hAnsi="Arial" w:cs="Arial"/>
          <w:i/>
          <w:iCs/>
        </w:rPr>
        <w:t>Harvard Business Review</w:t>
      </w:r>
      <w:r w:rsidRPr="008C5253">
        <w:rPr>
          <w:rFonts w:ascii="Arial" w:hAnsi="Arial" w:cs="Arial"/>
        </w:rPr>
        <w:t>, 86(1), pp. 78–93.</w:t>
      </w:r>
      <w:r w:rsidRPr="008C5253">
        <w:rPr>
          <w:rFonts w:ascii="Arial" w:hAnsi="Arial" w:cs="Arial"/>
        </w:rPr>
        <w:br/>
        <w:t xml:space="preserve">Available at: </w:t>
      </w:r>
      <w:hyperlink r:id="rId11" w:history="1">
        <w:r w:rsidRPr="008C5253">
          <w:rPr>
            <w:rStyle w:val="Hyperlink"/>
            <w:rFonts w:ascii="Arial" w:hAnsi="Arial" w:cs="Arial"/>
          </w:rPr>
          <w:t>https://hbr.org/2008/01/the-five-competitive-forces-that-shape-strategy</w:t>
        </w:r>
      </w:hyperlink>
      <w:r w:rsidRPr="008C5253">
        <w:rPr>
          <w:rFonts w:ascii="Arial" w:hAnsi="Arial" w:cs="Arial"/>
        </w:rPr>
        <w:t xml:space="preserve"> </w:t>
      </w:r>
    </w:p>
    <w:p w14:paraId="15BC8DC6"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r w:rsidRPr="008C5253">
        <w:rPr>
          <w:rFonts w:ascii="Arial" w:eastAsia="Times New Roman" w:hAnsi="Arial" w:cs="Arial"/>
          <w:kern w:val="0"/>
          <w14:ligatures w14:val="none"/>
        </w:rPr>
        <w:t xml:space="preserve">Raheem </w:t>
      </w:r>
      <w:proofErr w:type="spellStart"/>
      <w:r w:rsidRPr="008C5253">
        <w:rPr>
          <w:rFonts w:ascii="Arial" w:eastAsia="Times New Roman" w:hAnsi="Arial" w:cs="Arial"/>
          <w:kern w:val="0"/>
          <w14:ligatures w14:val="none"/>
        </w:rPr>
        <w:t>Anser</w:t>
      </w:r>
      <w:proofErr w:type="spellEnd"/>
      <w:r w:rsidRPr="008C5253">
        <w:rPr>
          <w:rFonts w:ascii="Arial" w:eastAsia="Times New Roman" w:hAnsi="Arial" w:cs="Arial"/>
          <w:kern w:val="0"/>
          <w14:ligatures w14:val="none"/>
        </w:rPr>
        <w:t xml:space="preserve">, R.A. (2013). Cash Conversion Cycle and Firms’ Profitability – A Study of Listed Manufacturing Companies of Pakistan. </w:t>
      </w:r>
      <w:r w:rsidRPr="008C5253">
        <w:rPr>
          <w:rFonts w:ascii="Arial" w:eastAsia="Times New Roman" w:hAnsi="Arial" w:cs="Arial"/>
          <w:i/>
          <w:iCs/>
          <w:kern w:val="0"/>
          <w14:ligatures w14:val="none"/>
        </w:rPr>
        <w:t>IOSR Journal of Business and Management</w:t>
      </w:r>
      <w:r w:rsidRPr="008C5253">
        <w:rPr>
          <w:rFonts w:ascii="Arial" w:eastAsia="Times New Roman" w:hAnsi="Arial" w:cs="Arial"/>
          <w:kern w:val="0"/>
          <w14:ligatures w14:val="none"/>
        </w:rPr>
        <w:t xml:space="preserve">, 8(2), pp.83–87. </w:t>
      </w:r>
      <w:proofErr w:type="spellStart"/>
      <w:proofErr w:type="gramStart"/>
      <w:r w:rsidRPr="008C5253">
        <w:rPr>
          <w:rFonts w:ascii="Arial" w:eastAsia="Times New Roman" w:hAnsi="Arial" w:cs="Arial"/>
          <w:kern w:val="0"/>
          <w14:ligatures w14:val="none"/>
        </w:rPr>
        <w:t>doi:https</w:t>
      </w:r>
      <w:proofErr w:type="spellEnd"/>
      <w:r w:rsidRPr="008C5253">
        <w:rPr>
          <w:rFonts w:ascii="Arial" w:eastAsia="Times New Roman" w:hAnsi="Arial" w:cs="Arial"/>
          <w:kern w:val="0"/>
          <w14:ligatures w14:val="none"/>
        </w:rPr>
        <w:t>://doi.org/10.9790/487x-0828387</w:t>
      </w:r>
      <w:proofErr w:type="gramEnd"/>
      <w:r w:rsidRPr="008C5253">
        <w:rPr>
          <w:rFonts w:ascii="Arial" w:eastAsia="Times New Roman" w:hAnsi="Arial" w:cs="Arial"/>
          <w:kern w:val="0"/>
          <w14:ligatures w14:val="none"/>
        </w:rPr>
        <w:t>.</w:t>
      </w:r>
    </w:p>
    <w:p w14:paraId="7D979362"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proofErr w:type="spellStart"/>
      <w:r w:rsidRPr="008C5253">
        <w:rPr>
          <w:rFonts w:ascii="Arial" w:eastAsia="Times New Roman" w:hAnsi="Arial" w:cs="Arial"/>
          <w:kern w:val="0"/>
          <w14:ligatures w14:val="none"/>
        </w:rPr>
        <w:t>Renneboog</w:t>
      </w:r>
      <w:proofErr w:type="spellEnd"/>
      <w:r w:rsidRPr="008C5253">
        <w:rPr>
          <w:rFonts w:ascii="Arial" w:eastAsia="Times New Roman" w:hAnsi="Arial" w:cs="Arial"/>
          <w:kern w:val="0"/>
          <w14:ligatures w14:val="none"/>
        </w:rPr>
        <w:t xml:space="preserve">, L. and Szilagyi, P.G. (2008). Corporate Restructuring and Bondholder Wealth. </w:t>
      </w:r>
      <w:r w:rsidRPr="008C5253">
        <w:rPr>
          <w:rFonts w:ascii="Arial" w:eastAsia="Times New Roman" w:hAnsi="Arial" w:cs="Arial"/>
          <w:i/>
          <w:iCs/>
          <w:kern w:val="0"/>
          <w14:ligatures w14:val="none"/>
        </w:rPr>
        <w:t>European Financial Management</w:t>
      </w:r>
      <w:r w:rsidRPr="008C5253">
        <w:rPr>
          <w:rFonts w:ascii="Arial" w:eastAsia="Times New Roman" w:hAnsi="Arial" w:cs="Arial"/>
          <w:kern w:val="0"/>
          <w14:ligatures w14:val="none"/>
        </w:rPr>
        <w:t xml:space="preserve">, [online] 14(4), pp.792–819. </w:t>
      </w:r>
      <w:proofErr w:type="spellStart"/>
      <w:proofErr w:type="gramStart"/>
      <w:r w:rsidRPr="008C5253">
        <w:rPr>
          <w:rFonts w:ascii="Arial" w:eastAsia="Times New Roman" w:hAnsi="Arial" w:cs="Arial"/>
          <w:kern w:val="0"/>
          <w14:ligatures w14:val="none"/>
        </w:rPr>
        <w:t>doi:https</w:t>
      </w:r>
      <w:proofErr w:type="spellEnd"/>
      <w:r w:rsidRPr="008C5253">
        <w:rPr>
          <w:rFonts w:ascii="Arial" w:eastAsia="Times New Roman" w:hAnsi="Arial" w:cs="Arial"/>
          <w:kern w:val="0"/>
          <w14:ligatures w14:val="none"/>
        </w:rPr>
        <w:t>://doi.org/10.1111/j.1468-036x.2007.00414.x</w:t>
      </w:r>
      <w:proofErr w:type="gramEnd"/>
      <w:r w:rsidRPr="008C5253">
        <w:rPr>
          <w:rFonts w:ascii="Arial" w:eastAsia="Times New Roman" w:hAnsi="Arial" w:cs="Arial"/>
          <w:kern w:val="0"/>
          <w14:ligatures w14:val="none"/>
        </w:rPr>
        <w:t>.</w:t>
      </w:r>
    </w:p>
    <w:p w14:paraId="3AFE081E" w14:textId="77777777" w:rsidR="005242FB" w:rsidRPr="008C5253" w:rsidRDefault="005242FB" w:rsidP="00BD7BD6">
      <w:pPr>
        <w:pStyle w:val="ListParagraph"/>
        <w:numPr>
          <w:ilvl w:val="0"/>
          <w:numId w:val="19"/>
        </w:numPr>
        <w:spacing w:after="240" w:line="360" w:lineRule="auto"/>
        <w:jc w:val="both"/>
        <w:rPr>
          <w:rFonts w:ascii="Arial" w:eastAsia="Times New Roman" w:hAnsi="Arial" w:cs="Arial"/>
          <w:kern w:val="0"/>
          <w14:ligatures w14:val="none"/>
        </w:rPr>
      </w:pPr>
      <w:r w:rsidRPr="008C5253">
        <w:rPr>
          <w:rFonts w:ascii="Arial" w:eastAsia="Times New Roman" w:hAnsi="Arial" w:cs="Arial"/>
          <w:kern w:val="0"/>
          <w14:ligatures w14:val="none"/>
        </w:rPr>
        <w:t xml:space="preserve">Weingartner, H.M. (1977). CAPITAL </w:t>
      </w:r>
      <w:proofErr w:type="spellStart"/>
      <w:proofErr w:type="gramStart"/>
      <w:r w:rsidRPr="008C5253">
        <w:rPr>
          <w:rFonts w:ascii="Arial" w:eastAsia="Times New Roman" w:hAnsi="Arial" w:cs="Arial"/>
          <w:kern w:val="0"/>
          <w14:ligatures w14:val="none"/>
        </w:rPr>
        <w:t>RATIONING:nAUTHORS</w:t>
      </w:r>
      <w:proofErr w:type="spellEnd"/>
      <w:proofErr w:type="gramEnd"/>
      <w:r w:rsidRPr="008C5253">
        <w:rPr>
          <w:rFonts w:ascii="Arial" w:eastAsia="Times New Roman" w:hAnsi="Arial" w:cs="Arial"/>
          <w:kern w:val="0"/>
          <w14:ligatures w14:val="none"/>
        </w:rPr>
        <w:t xml:space="preserve"> IN SEARCH OF A PLOT. </w:t>
      </w:r>
      <w:r w:rsidRPr="008C5253">
        <w:rPr>
          <w:rFonts w:ascii="Arial" w:eastAsia="Times New Roman" w:hAnsi="Arial" w:cs="Arial"/>
          <w:i/>
          <w:iCs/>
          <w:kern w:val="0"/>
          <w14:ligatures w14:val="none"/>
        </w:rPr>
        <w:t>The Journal of Finance</w:t>
      </w:r>
      <w:r w:rsidRPr="008C5253">
        <w:rPr>
          <w:rFonts w:ascii="Arial" w:eastAsia="Times New Roman" w:hAnsi="Arial" w:cs="Arial"/>
          <w:kern w:val="0"/>
          <w14:ligatures w14:val="none"/>
        </w:rPr>
        <w:t xml:space="preserve">, 32(5), pp.1403–1431. </w:t>
      </w:r>
      <w:proofErr w:type="spellStart"/>
      <w:proofErr w:type="gramStart"/>
      <w:r w:rsidRPr="008C5253">
        <w:rPr>
          <w:rFonts w:ascii="Arial" w:eastAsia="Times New Roman" w:hAnsi="Arial" w:cs="Arial"/>
          <w:kern w:val="0"/>
          <w14:ligatures w14:val="none"/>
        </w:rPr>
        <w:t>doi:https</w:t>
      </w:r>
      <w:proofErr w:type="spellEnd"/>
      <w:r w:rsidRPr="008C5253">
        <w:rPr>
          <w:rFonts w:ascii="Arial" w:eastAsia="Times New Roman" w:hAnsi="Arial" w:cs="Arial"/>
          <w:kern w:val="0"/>
          <w14:ligatures w14:val="none"/>
        </w:rPr>
        <w:t>://doi.org/10.1111/j.1540-6261.1977.tb03345.x</w:t>
      </w:r>
      <w:proofErr w:type="gramEnd"/>
      <w:r w:rsidRPr="008C5253">
        <w:rPr>
          <w:rFonts w:ascii="Arial" w:eastAsia="Times New Roman" w:hAnsi="Arial" w:cs="Arial"/>
          <w:kern w:val="0"/>
          <w14:ligatures w14:val="none"/>
        </w:rPr>
        <w:t>.</w:t>
      </w:r>
    </w:p>
    <w:p w14:paraId="47706F4B" w14:textId="77777777" w:rsidR="00421FB0" w:rsidRPr="008C5253" w:rsidRDefault="00421FB0" w:rsidP="00BD7BD6">
      <w:pPr>
        <w:spacing w:line="360" w:lineRule="auto"/>
        <w:jc w:val="both"/>
        <w:rPr>
          <w:rFonts w:ascii="Arial" w:hAnsi="Arial" w:cs="Arial"/>
        </w:rPr>
      </w:pPr>
    </w:p>
    <w:p w14:paraId="363D9B6F" w14:textId="77777777" w:rsidR="00421FB0" w:rsidRPr="008C5253" w:rsidRDefault="00421FB0" w:rsidP="00BD7BD6">
      <w:pPr>
        <w:spacing w:line="360" w:lineRule="auto"/>
        <w:jc w:val="both"/>
        <w:rPr>
          <w:rFonts w:ascii="Arial" w:hAnsi="Arial" w:cs="Arial"/>
        </w:rPr>
      </w:pPr>
    </w:p>
    <w:p w14:paraId="75AA49B1" w14:textId="77777777" w:rsidR="00421FB0" w:rsidRPr="008C5253" w:rsidRDefault="00421FB0" w:rsidP="00BD7BD6">
      <w:pPr>
        <w:spacing w:line="360" w:lineRule="auto"/>
        <w:jc w:val="both"/>
        <w:rPr>
          <w:rFonts w:ascii="Arial" w:hAnsi="Arial" w:cs="Arial"/>
        </w:rPr>
      </w:pPr>
    </w:p>
    <w:p w14:paraId="555EA0CB" w14:textId="77777777" w:rsidR="008D3F9D" w:rsidRPr="008C5253" w:rsidRDefault="008D3F9D">
      <w:pPr>
        <w:rPr>
          <w:rFonts w:ascii="Arial" w:hAnsi="Arial" w:cs="Arial"/>
        </w:rPr>
      </w:pPr>
      <w:r w:rsidRPr="008C5253">
        <w:rPr>
          <w:rFonts w:ascii="Arial" w:hAnsi="Arial" w:cs="Arial"/>
        </w:rPr>
        <w:br w:type="page"/>
      </w:r>
    </w:p>
    <w:p w14:paraId="2B39E982" w14:textId="00766649" w:rsidR="008D3F9D" w:rsidRPr="008C5253" w:rsidRDefault="008D3F9D" w:rsidP="008D3F9D">
      <w:pPr>
        <w:pStyle w:val="Heading1"/>
        <w:jc w:val="center"/>
        <w:rPr>
          <w:rFonts w:ascii="Arial" w:hAnsi="Arial" w:cs="Arial"/>
          <w:b/>
          <w:bCs/>
          <w:color w:val="auto"/>
          <w:sz w:val="32"/>
          <w:szCs w:val="32"/>
        </w:rPr>
      </w:pPr>
      <w:bookmarkStart w:id="29" w:name="_Toc216698893"/>
      <w:r w:rsidRPr="008C5253">
        <w:rPr>
          <w:rFonts w:ascii="Arial" w:hAnsi="Arial" w:cs="Arial"/>
          <w:b/>
          <w:bCs/>
          <w:color w:val="auto"/>
          <w:sz w:val="32"/>
          <w:szCs w:val="32"/>
        </w:rPr>
        <w:lastRenderedPageBreak/>
        <w:t>APPENDICES</w:t>
      </w:r>
      <w:bookmarkEnd w:id="29"/>
    </w:p>
    <w:p w14:paraId="1E45C5C2" w14:textId="2A4B70FA" w:rsidR="00421FB0" w:rsidRPr="008C5253" w:rsidRDefault="00421FB0" w:rsidP="008D3F9D">
      <w:pPr>
        <w:pStyle w:val="Heading2"/>
        <w:rPr>
          <w:rFonts w:ascii="Arial" w:hAnsi="Arial" w:cs="Arial"/>
          <w:b/>
          <w:bCs/>
          <w:color w:val="auto"/>
          <w:sz w:val="28"/>
          <w:szCs w:val="28"/>
        </w:rPr>
      </w:pPr>
      <w:bookmarkStart w:id="30" w:name="_Toc216698894"/>
      <w:r w:rsidRPr="008C5253">
        <w:rPr>
          <w:rFonts w:ascii="Arial" w:hAnsi="Arial" w:cs="Arial"/>
          <w:b/>
          <w:bCs/>
          <w:color w:val="auto"/>
          <w:sz w:val="28"/>
          <w:szCs w:val="28"/>
        </w:rPr>
        <w:t>APPENDIX A: FINANCIAL RATIO CALCULATIONS (2020–2024)</w:t>
      </w:r>
      <w:bookmarkEnd w:id="30"/>
    </w:p>
    <w:p w14:paraId="700B1258" w14:textId="1B30AD68" w:rsidR="00421FB0" w:rsidRPr="008C5253" w:rsidRDefault="008D3F9D" w:rsidP="00BD7BD6">
      <w:pPr>
        <w:spacing w:line="360" w:lineRule="auto"/>
        <w:jc w:val="both"/>
        <w:rPr>
          <w:rFonts w:ascii="Arial" w:hAnsi="Arial" w:cs="Arial"/>
        </w:rPr>
      </w:pPr>
      <w:r w:rsidRPr="008C5253">
        <w:rPr>
          <w:rFonts w:ascii="Arial" w:hAnsi="Arial" w:cs="Arial"/>
        </w:rPr>
        <w:t>(</w:t>
      </w:r>
      <w:r w:rsidR="00421FB0" w:rsidRPr="008C5253">
        <w:rPr>
          <w:rFonts w:ascii="Arial" w:hAnsi="Arial" w:cs="Arial"/>
        </w:rPr>
        <w:t>All figures are in £ millions</w:t>
      </w:r>
      <w:r w:rsidRPr="008C5253">
        <w:rPr>
          <w:rFonts w:ascii="Arial" w:hAnsi="Arial" w:cs="Arial"/>
        </w:rPr>
        <w:t>)</w:t>
      </w:r>
    </w:p>
    <w:p w14:paraId="6280F49D" w14:textId="77777777" w:rsidR="00AC49A2" w:rsidRPr="008125C4" w:rsidRDefault="00AC49A2" w:rsidP="008125C4">
      <w:pPr>
        <w:pStyle w:val="Heading3"/>
        <w:rPr>
          <w:rFonts w:ascii="Arial" w:hAnsi="Arial" w:cs="Arial"/>
          <w:b/>
          <w:bCs/>
          <w:color w:val="auto"/>
        </w:rPr>
      </w:pPr>
      <w:bookmarkStart w:id="31" w:name="_Toc216698895"/>
      <w:r w:rsidRPr="008125C4">
        <w:rPr>
          <w:rFonts w:ascii="Arial" w:hAnsi="Arial" w:cs="Arial"/>
          <w:b/>
          <w:bCs/>
          <w:color w:val="auto"/>
        </w:rPr>
        <w:t>A1. Profitability Ratios</w:t>
      </w:r>
      <w:bookmarkEnd w:id="31"/>
    </w:p>
    <w:p w14:paraId="08351CEE"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1. Gross Profit Margin</w:t>
      </w:r>
    </w:p>
    <w:p w14:paraId="78A38D88"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p>
    <w:p w14:paraId="357987A7" w14:textId="26645EAE" w:rsidR="00AC49A2" w:rsidRPr="00AC49A2" w:rsidRDefault="008125C4" w:rsidP="008125C4">
      <w:pPr>
        <w:spacing w:line="360" w:lineRule="auto"/>
        <w:rPr>
          <w:rFonts w:ascii="Arial" w:eastAsiaTheme="majorEastAsia" w:hAnsi="Arial" w:cs="Arial"/>
        </w:rPr>
      </w:pPr>
      <m:oMathPara>
        <m:oMathParaPr>
          <m:jc m:val="center"/>
        </m:oMathParaPr>
        <m:oMath>
          <m:r>
            <m:rPr>
              <m:sty m:val="p"/>
            </m:rPr>
            <w:rPr>
              <w:rFonts w:ascii="Cambria Math" w:eastAsiaTheme="majorEastAsia" w:hAnsi="Cambria Math" w:cs="Arial"/>
            </w:rPr>
            <m:t>Gross</m:t>
          </m:r>
          <m:r>
            <m:rPr>
              <m:nor/>
            </m:rPr>
            <w:rPr>
              <w:rFonts w:ascii="Arial" w:eastAsiaTheme="majorEastAsia" w:hAnsi="Arial" w:cs="Arial"/>
            </w:rPr>
            <m:t xml:space="preserve"> </m:t>
          </m:r>
          <m:r>
            <m:rPr>
              <m:sty m:val="p"/>
            </m:rPr>
            <w:rPr>
              <w:rFonts w:ascii="Cambria Math" w:eastAsiaTheme="majorEastAsia" w:hAnsi="Cambria Math" w:cs="Arial"/>
            </w:rPr>
            <m:t>Profit</m:t>
          </m:r>
          <m:r>
            <m:rPr>
              <m:nor/>
            </m:rPr>
            <w:rPr>
              <w:rFonts w:ascii="Arial" w:eastAsiaTheme="majorEastAsia" w:hAnsi="Arial" w:cs="Arial"/>
            </w:rPr>
            <m:t xml:space="preserve"> </m:t>
          </m:r>
          <m:r>
            <m:rPr>
              <m:sty m:val="p"/>
            </m:rPr>
            <w:rPr>
              <w:rFonts w:ascii="Cambria Math" w:eastAsiaTheme="majorEastAsia" w:hAnsi="Cambria Math" w:cs="Arial"/>
            </w:rPr>
            <m:t>Margin</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Gross</m:t>
              </m:r>
              <m:r>
                <m:rPr>
                  <m:nor/>
                </m:rPr>
                <w:rPr>
                  <w:rFonts w:ascii="Arial" w:eastAsiaTheme="majorEastAsia" w:hAnsi="Arial" w:cs="Arial"/>
                </w:rPr>
                <m:t xml:space="preserve"> </m:t>
              </m:r>
              <m:r>
                <m:rPr>
                  <m:sty m:val="p"/>
                </m:rPr>
                <w:rPr>
                  <w:rFonts w:ascii="Cambria Math" w:eastAsiaTheme="majorEastAsia" w:hAnsi="Cambria Math" w:cs="Arial"/>
                </w:rPr>
                <m:t>Profit</m:t>
              </m:r>
            </m:num>
            <m:den>
              <m:r>
                <m:rPr>
                  <m:sty m:val="p"/>
                </m:rPr>
                <w:rPr>
                  <w:rFonts w:ascii="Cambria Math" w:eastAsiaTheme="majorEastAsia" w:hAnsi="Cambria Math" w:cs="Arial"/>
                </w:rPr>
                <m:t>Net</m:t>
              </m:r>
              <m:r>
                <m:rPr>
                  <m:nor/>
                </m:rPr>
                <w:rPr>
                  <w:rFonts w:ascii="Arial" w:eastAsiaTheme="majorEastAsia" w:hAnsi="Arial" w:cs="Arial"/>
                </w:rPr>
                <m:t xml:space="preserve"> </m:t>
              </m:r>
              <m:r>
                <m:rPr>
                  <m:sty m:val="p"/>
                </m:rPr>
                <w:rPr>
                  <w:rFonts w:ascii="Cambria Math" w:eastAsiaTheme="majorEastAsia" w:hAnsi="Cambria Math" w:cs="Arial"/>
                </w:rPr>
                <m:t>Sales</m:t>
              </m:r>
            </m:den>
          </m:f>
          <m:r>
            <w:rPr>
              <w:rFonts w:ascii="Cambria Math" w:eastAsiaTheme="majorEastAsia" w:hAnsi="Cambria Math" w:cs="Arial"/>
            </w:rPr>
            <m:t>×100</m:t>
          </m:r>
          <m:r>
            <w:rPr>
              <w:rFonts w:ascii="Cambria Math" w:eastAsiaTheme="majorEastAsia" w:hAnsi="Cambria Math" w:cs="Arial"/>
            </w:rPr>
            <w:br/>
          </m:r>
        </m:oMath>
      </m:oMathPara>
    </w:p>
    <w:tbl>
      <w:tblPr>
        <w:tblStyle w:val="TableGrid"/>
        <w:tblW w:w="0" w:type="auto"/>
        <w:jc w:val="center"/>
        <w:tblLook w:val="04A0" w:firstRow="1" w:lastRow="0" w:firstColumn="1" w:lastColumn="0" w:noHBand="0" w:noVBand="1"/>
      </w:tblPr>
      <w:tblGrid>
        <w:gridCol w:w="750"/>
        <w:gridCol w:w="2891"/>
        <w:gridCol w:w="1030"/>
      </w:tblGrid>
      <w:tr w:rsidR="00AC49A2" w:rsidRPr="00AC49A2" w14:paraId="70F4141B" w14:textId="77777777" w:rsidTr="008125C4">
        <w:trPr>
          <w:jc w:val="center"/>
        </w:trPr>
        <w:tc>
          <w:tcPr>
            <w:tcW w:w="0" w:type="auto"/>
            <w:hideMark/>
          </w:tcPr>
          <w:p w14:paraId="1255E53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044736C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3B0CB12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3ECB496C" w14:textId="77777777" w:rsidTr="008125C4">
        <w:trPr>
          <w:jc w:val="center"/>
        </w:trPr>
        <w:tc>
          <w:tcPr>
            <w:tcW w:w="0" w:type="auto"/>
            <w:hideMark/>
          </w:tcPr>
          <w:p w14:paraId="5EB436D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42A8804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113,994 ÷ 394,879 × 100</w:t>
            </w:r>
          </w:p>
        </w:tc>
        <w:tc>
          <w:tcPr>
            <w:tcW w:w="0" w:type="auto"/>
            <w:hideMark/>
          </w:tcPr>
          <w:p w14:paraId="554E7AD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28.87%</w:t>
            </w:r>
          </w:p>
        </w:tc>
      </w:tr>
      <w:tr w:rsidR="00AC49A2" w:rsidRPr="00AC49A2" w14:paraId="366D74A5" w14:textId="77777777" w:rsidTr="008125C4">
        <w:trPr>
          <w:jc w:val="center"/>
        </w:trPr>
        <w:tc>
          <w:tcPr>
            <w:tcW w:w="0" w:type="auto"/>
            <w:hideMark/>
          </w:tcPr>
          <w:p w14:paraId="17CC7A5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1A7F429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97,560 ÷ 420,457 × 100</w:t>
            </w:r>
          </w:p>
        </w:tc>
        <w:tc>
          <w:tcPr>
            <w:tcW w:w="0" w:type="auto"/>
            <w:hideMark/>
          </w:tcPr>
          <w:p w14:paraId="1F2A578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23.21%</w:t>
            </w:r>
          </w:p>
        </w:tc>
      </w:tr>
      <w:tr w:rsidR="00AC49A2" w:rsidRPr="00AC49A2" w14:paraId="64F50B30" w14:textId="77777777" w:rsidTr="008125C4">
        <w:trPr>
          <w:jc w:val="center"/>
        </w:trPr>
        <w:tc>
          <w:tcPr>
            <w:tcW w:w="0" w:type="auto"/>
            <w:hideMark/>
          </w:tcPr>
          <w:p w14:paraId="2020AF2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20ECB43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152,292 ÷ 542,751 × 100</w:t>
            </w:r>
          </w:p>
        </w:tc>
        <w:tc>
          <w:tcPr>
            <w:tcW w:w="0" w:type="auto"/>
            <w:hideMark/>
          </w:tcPr>
          <w:p w14:paraId="33C9EF7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28.05%</w:t>
            </w:r>
          </w:p>
        </w:tc>
      </w:tr>
      <w:tr w:rsidR="00AC49A2" w:rsidRPr="00AC49A2" w14:paraId="494B4AA8" w14:textId="77777777" w:rsidTr="008125C4">
        <w:trPr>
          <w:jc w:val="center"/>
        </w:trPr>
        <w:tc>
          <w:tcPr>
            <w:tcW w:w="0" w:type="auto"/>
            <w:hideMark/>
          </w:tcPr>
          <w:p w14:paraId="27BB118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4E9CEAE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173,016 ÷ 601,602 × 100</w:t>
            </w:r>
          </w:p>
        </w:tc>
        <w:tc>
          <w:tcPr>
            <w:tcW w:w="0" w:type="auto"/>
            <w:hideMark/>
          </w:tcPr>
          <w:p w14:paraId="74ED290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28.76%</w:t>
            </w:r>
          </w:p>
        </w:tc>
      </w:tr>
      <w:tr w:rsidR="00AC49A2" w:rsidRPr="00AC49A2" w14:paraId="4B30C40C" w14:textId="77777777" w:rsidTr="008125C4">
        <w:trPr>
          <w:jc w:val="center"/>
        </w:trPr>
        <w:tc>
          <w:tcPr>
            <w:tcW w:w="0" w:type="auto"/>
            <w:hideMark/>
          </w:tcPr>
          <w:p w14:paraId="687BDE8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7314D68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176,256 ÷ 614,680 × 100</w:t>
            </w:r>
          </w:p>
        </w:tc>
        <w:tc>
          <w:tcPr>
            <w:tcW w:w="0" w:type="auto"/>
            <w:hideMark/>
          </w:tcPr>
          <w:p w14:paraId="0176F20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28.68%</w:t>
            </w:r>
          </w:p>
        </w:tc>
      </w:tr>
    </w:tbl>
    <w:p w14:paraId="28DDECB5" w14:textId="4A303A16" w:rsidR="00AC49A2" w:rsidRPr="00AC49A2" w:rsidRDefault="00AC49A2" w:rsidP="008125C4">
      <w:pPr>
        <w:spacing w:line="360" w:lineRule="auto"/>
        <w:rPr>
          <w:rFonts w:ascii="Arial" w:eastAsiaTheme="majorEastAsia" w:hAnsi="Arial" w:cs="Arial"/>
        </w:rPr>
      </w:pPr>
    </w:p>
    <w:p w14:paraId="64CEB3B8" w14:textId="77777777" w:rsidR="00AC49A2" w:rsidRPr="001A7019" w:rsidRDefault="00AC49A2" w:rsidP="001A7019">
      <w:pPr>
        <w:rPr>
          <w:rFonts w:ascii="Arial" w:hAnsi="Arial" w:cs="Arial"/>
          <w:b/>
          <w:bCs/>
        </w:rPr>
      </w:pPr>
      <w:r w:rsidRPr="001A7019">
        <w:rPr>
          <w:rFonts w:ascii="Arial" w:hAnsi="Arial" w:cs="Arial"/>
          <w:b/>
          <w:bCs/>
        </w:rPr>
        <w:t>2. Operating Profit Margin</w:t>
      </w:r>
    </w:p>
    <w:p w14:paraId="68D17D1F" w14:textId="282BE9CE"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r w:rsidR="001A7019" w:rsidRPr="001A7019">
        <w:rPr>
          <w:rFonts w:ascii="Cambria Math" w:eastAsiaTheme="majorEastAsia" w:hAnsi="Cambria Math" w:cs="Arial"/>
        </w:rPr>
        <w:br/>
      </w:r>
      <m:oMathPara>
        <m:oMath>
          <m:r>
            <m:rPr>
              <m:sty m:val="p"/>
            </m:rPr>
            <w:rPr>
              <w:rFonts w:ascii="Cambria Math" w:eastAsiaTheme="majorEastAsia" w:hAnsi="Cambria Math" w:cs="Arial"/>
            </w:rPr>
            <m:t>Operating</m:t>
          </m:r>
          <m:r>
            <m:rPr>
              <m:nor/>
            </m:rPr>
            <w:rPr>
              <w:rFonts w:ascii="Arial" w:eastAsiaTheme="majorEastAsia" w:hAnsi="Arial" w:cs="Arial"/>
            </w:rPr>
            <m:t xml:space="preserve"> </m:t>
          </m:r>
          <m:r>
            <m:rPr>
              <m:sty m:val="p"/>
            </m:rPr>
            <w:rPr>
              <w:rFonts w:ascii="Cambria Math" w:eastAsiaTheme="majorEastAsia" w:hAnsi="Cambria Math" w:cs="Arial"/>
            </w:rPr>
            <m:t>Margin</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 xml:space="preserve">                                                        Operating</m:t>
              </m:r>
              <m:r>
                <m:rPr>
                  <m:nor/>
                </m:rPr>
                <w:rPr>
                  <w:rFonts w:ascii="Arial" w:eastAsiaTheme="majorEastAsia" w:hAnsi="Arial" w:cs="Arial"/>
                </w:rPr>
                <m:t xml:space="preserve"> </m:t>
              </m:r>
              <m:r>
                <m:rPr>
                  <m:sty m:val="p"/>
                </m:rPr>
                <w:rPr>
                  <w:rFonts w:ascii="Cambria Math" w:eastAsiaTheme="majorEastAsia" w:hAnsi="Cambria Math" w:cs="Arial"/>
                </w:rPr>
                <m:t>Income</m:t>
              </m:r>
            </m:num>
            <m:den>
              <m:r>
                <m:rPr>
                  <m:sty m:val="p"/>
                </m:rPr>
                <w:rPr>
                  <w:rFonts w:ascii="Cambria Math" w:eastAsiaTheme="majorEastAsia" w:hAnsi="Cambria Math" w:cs="Arial"/>
                </w:rPr>
                <m:t xml:space="preserve">                                            Net</m:t>
              </m:r>
              <m:r>
                <m:rPr>
                  <m:nor/>
                </m:rPr>
                <w:rPr>
                  <w:rFonts w:ascii="Arial" w:eastAsiaTheme="majorEastAsia" w:hAnsi="Arial" w:cs="Arial"/>
                </w:rPr>
                <m:t xml:space="preserve"> </m:t>
              </m:r>
              <m:r>
                <m:rPr>
                  <m:sty m:val="p"/>
                </m:rPr>
                <w:rPr>
                  <w:rFonts w:ascii="Cambria Math" w:eastAsiaTheme="majorEastAsia" w:hAnsi="Cambria Math" w:cs="Arial"/>
                </w:rPr>
                <m:t>Sales</m:t>
              </m:r>
            </m:den>
          </m:f>
          <m:r>
            <w:rPr>
              <w:rFonts w:ascii="Cambria Math" w:eastAsiaTheme="majorEastAsia" w:hAnsi="Cambria Math" w:cs="Arial"/>
            </w:rPr>
            <m:t>×100</m:t>
          </m:r>
        </m:oMath>
      </m:oMathPara>
    </w:p>
    <w:p w14:paraId="47BA01F3" w14:textId="2AE92AFC"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i/>
        </w:rPr>
        <w:br/>
      </w:r>
    </w:p>
    <w:tbl>
      <w:tblPr>
        <w:tblStyle w:val="TableGrid"/>
        <w:tblW w:w="0" w:type="auto"/>
        <w:jc w:val="center"/>
        <w:tblLook w:val="04A0" w:firstRow="1" w:lastRow="0" w:firstColumn="1" w:lastColumn="0" w:noHBand="0" w:noVBand="1"/>
      </w:tblPr>
      <w:tblGrid>
        <w:gridCol w:w="750"/>
        <w:gridCol w:w="2891"/>
        <w:gridCol w:w="1164"/>
      </w:tblGrid>
      <w:tr w:rsidR="00AC49A2" w:rsidRPr="00AC49A2" w14:paraId="6A7F803A" w14:textId="77777777" w:rsidTr="001A7019">
        <w:trPr>
          <w:jc w:val="center"/>
        </w:trPr>
        <w:tc>
          <w:tcPr>
            <w:tcW w:w="0" w:type="auto"/>
            <w:hideMark/>
          </w:tcPr>
          <w:p w14:paraId="45E9B28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3171AF9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71692A0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12075D08" w14:textId="77777777" w:rsidTr="001A7019">
        <w:trPr>
          <w:jc w:val="center"/>
        </w:trPr>
        <w:tc>
          <w:tcPr>
            <w:tcW w:w="0" w:type="auto"/>
            <w:hideMark/>
          </w:tcPr>
          <w:p w14:paraId="386717C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6608C81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–15,297 ÷ 394,879 × 100</w:t>
            </w:r>
          </w:p>
        </w:tc>
        <w:tc>
          <w:tcPr>
            <w:tcW w:w="0" w:type="auto"/>
            <w:hideMark/>
          </w:tcPr>
          <w:p w14:paraId="79F0480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–3.87%</w:t>
            </w:r>
          </w:p>
        </w:tc>
      </w:tr>
      <w:tr w:rsidR="00AC49A2" w:rsidRPr="00AC49A2" w14:paraId="7ACA285D" w14:textId="77777777" w:rsidTr="001A7019">
        <w:trPr>
          <w:jc w:val="center"/>
        </w:trPr>
        <w:tc>
          <w:tcPr>
            <w:tcW w:w="0" w:type="auto"/>
            <w:hideMark/>
          </w:tcPr>
          <w:p w14:paraId="3F88A96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lastRenderedPageBreak/>
              <w:t>2023</w:t>
            </w:r>
          </w:p>
        </w:tc>
        <w:tc>
          <w:tcPr>
            <w:tcW w:w="0" w:type="auto"/>
            <w:hideMark/>
          </w:tcPr>
          <w:p w14:paraId="78D71E9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–85,301 ÷ 420,457 × 100</w:t>
            </w:r>
          </w:p>
        </w:tc>
        <w:tc>
          <w:tcPr>
            <w:tcW w:w="0" w:type="auto"/>
            <w:hideMark/>
          </w:tcPr>
          <w:p w14:paraId="6FBE839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–20.29%</w:t>
            </w:r>
          </w:p>
        </w:tc>
      </w:tr>
      <w:tr w:rsidR="00AC49A2" w:rsidRPr="00AC49A2" w14:paraId="24935610" w14:textId="77777777" w:rsidTr="001A7019">
        <w:trPr>
          <w:jc w:val="center"/>
        </w:trPr>
        <w:tc>
          <w:tcPr>
            <w:tcW w:w="0" w:type="auto"/>
            <w:hideMark/>
          </w:tcPr>
          <w:p w14:paraId="387B7E2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74A2AC0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14,548 ÷ 542,751 × 100</w:t>
            </w:r>
          </w:p>
        </w:tc>
        <w:tc>
          <w:tcPr>
            <w:tcW w:w="0" w:type="auto"/>
            <w:hideMark/>
          </w:tcPr>
          <w:p w14:paraId="1FAF566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2.68%</w:t>
            </w:r>
          </w:p>
        </w:tc>
      </w:tr>
      <w:tr w:rsidR="00AC49A2" w:rsidRPr="00AC49A2" w14:paraId="1FB23C03" w14:textId="77777777" w:rsidTr="001A7019">
        <w:trPr>
          <w:jc w:val="center"/>
        </w:trPr>
        <w:tc>
          <w:tcPr>
            <w:tcW w:w="0" w:type="auto"/>
            <w:hideMark/>
          </w:tcPr>
          <w:p w14:paraId="43595BB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56201BE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23,253 ÷ 601,602 × 100</w:t>
            </w:r>
          </w:p>
        </w:tc>
        <w:tc>
          <w:tcPr>
            <w:tcW w:w="0" w:type="auto"/>
            <w:hideMark/>
          </w:tcPr>
          <w:p w14:paraId="28DC1F8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3.86%</w:t>
            </w:r>
          </w:p>
        </w:tc>
      </w:tr>
      <w:tr w:rsidR="00AC49A2" w:rsidRPr="00AC49A2" w14:paraId="3DD106F1" w14:textId="77777777" w:rsidTr="001A7019">
        <w:trPr>
          <w:jc w:val="center"/>
        </w:trPr>
        <w:tc>
          <w:tcPr>
            <w:tcW w:w="0" w:type="auto"/>
            <w:hideMark/>
          </w:tcPr>
          <w:p w14:paraId="13B4FAE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210987F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37,267 ÷ 614,680 × 100</w:t>
            </w:r>
          </w:p>
        </w:tc>
        <w:tc>
          <w:tcPr>
            <w:tcW w:w="0" w:type="auto"/>
            <w:hideMark/>
          </w:tcPr>
          <w:p w14:paraId="05B2F79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6.06%</w:t>
            </w:r>
          </w:p>
        </w:tc>
      </w:tr>
    </w:tbl>
    <w:p w14:paraId="1704100A" w14:textId="36A163B1" w:rsidR="00AC49A2" w:rsidRPr="00AC49A2" w:rsidRDefault="00AC49A2" w:rsidP="008125C4">
      <w:pPr>
        <w:spacing w:line="360" w:lineRule="auto"/>
        <w:rPr>
          <w:rFonts w:ascii="Arial" w:eastAsiaTheme="majorEastAsia" w:hAnsi="Arial" w:cs="Arial"/>
        </w:rPr>
      </w:pPr>
    </w:p>
    <w:p w14:paraId="11E803DC"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3. Net Profit Margin</w:t>
      </w:r>
    </w:p>
    <w:p w14:paraId="0CE8D98E"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p>
    <w:p w14:paraId="5BEECCC3" w14:textId="592F6A2D" w:rsidR="00AC49A2" w:rsidRPr="00AC49A2" w:rsidRDefault="008125C4" w:rsidP="008125C4">
      <w:pPr>
        <w:spacing w:line="360" w:lineRule="auto"/>
        <w:rPr>
          <w:rFonts w:ascii="Arial" w:eastAsiaTheme="majorEastAsia" w:hAnsi="Arial" w:cs="Arial"/>
        </w:rPr>
      </w:pPr>
      <m:oMathPara>
        <m:oMath>
          <m:r>
            <m:rPr>
              <m:sty m:val="p"/>
            </m:rPr>
            <w:rPr>
              <w:rFonts w:ascii="Cambria Math" w:eastAsiaTheme="majorEastAsia" w:hAnsi="Cambria Math" w:cs="Arial"/>
            </w:rPr>
            <m:t>Net</m:t>
          </m:r>
          <m:r>
            <m:rPr>
              <m:nor/>
            </m:rPr>
            <w:rPr>
              <w:rFonts w:ascii="Arial" w:eastAsiaTheme="majorEastAsia" w:hAnsi="Arial" w:cs="Arial"/>
            </w:rPr>
            <m:t xml:space="preserve"> </m:t>
          </m:r>
          <m:r>
            <m:rPr>
              <m:sty m:val="p"/>
            </m:rPr>
            <w:rPr>
              <w:rFonts w:ascii="Cambria Math" w:eastAsiaTheme="majorEastAsia" w:hAnsi="Cambria Math" w:cs="Arial"/>
            </w:rPr>
            <m:t>Profit</m:t>
          </m:r>
          <m:r>
            <m:rPr>
              <m:nor/>
            </m:rPr>
            <w:rPr>
              <w:rFonts w:ascii="Arial" w:eastAsiaTheme="majorEastAsia" w:hAnsi="Arial" w:cs="Arial"/>
            </w:rPr>
            <m:t xml:space="preserve"> </m:t>
          </m:r>
          <m:r>
            <m:rPr>
              <m:sty m:val="p"/>
            </m:rPr>
            <w:rPr>
              <w:rFonts w:ascii="Cambria Math" w:eastAsiaTheme="majorEastAsia" w:hAnsi="Cambria Math" w:cs="Arial"/>
            </w:rPr>
            <m:t>Margin</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Net</m:t>
              </m:r>
              <m:r>
                <m:rPr>
                  <m:nor/>
                </m:rPr>
                <w:rPr>
                  <w:rFonts w:ascii="Arial" w:eastAsiaTheme="majorEastAsia" w:hAnsi="Arial" w:cs="Arial"/>
                </w:rPr>
                <m:t xml:space="preserve"> </m:t>
              </m:r>
              <m:r>
                <m:rPr>
                  <m:sty m:val="p"/>
                </m:rPr>
                <w:rPr>
                  <w:rFonts w:ascii="Cambria Math" w:eastAsiaTheme="majorEastAsia" w:hAnsi="Cambria Math" w:cs="Arial"/>
                </w:rPr>
                <m:t>Income</m:t>
              </m:r>
            </m:num>
            <m:den>
              <m:r>
                <m:rPr>
                  <m:sty m:val="p"/>
                </m:rPr>
                <w:rPr>
                  <w:rFonts w:ascii="Cambria Math" w:eastAsiaTheme="majorEastAsia" w:hAnsi="Cambria Math" w:cs="Arial"/>
                </w:rPr>
                <m:t>Net</m:t>
              </m:r>
              <m:r>
                <m:rPr>
                  <m:nor/>
                </m:rPr>
                <w:rPr>
                  <w:rFonts w:ascii="Arial" w:eastAsiaTheme="majorEastAsia" w:hAnsi="Arial" w:cs="Arial"/>
                </w:rPr>
                <m:t xml:space="preserve"> </m:t>
              </m:r>
              <m:r>
                <m:rPr>
                  <m:sty m:val="p"/>
                </m:rPr>
                <w:rPr>
                  <w:rFonts w:ascii="Cambria Math" w:eastAsiaTheme="majorEastAsia" w:hAnsi="Cambria Math" w:cs="Arial"/>
                </w:rPr>
                <m:t>Sales</m:t>
              </m:r>
            </m:den>
          </m:f>
          <m:r>
            <w:rPr>
              <w:rFonts w:ascii="Cambria Math" w:eastAsiaTheme="majorEastAsia" w:hAnsi="Cambria Math" w:cs="Arial"/>
            </w:rPr>
            <m:t>×100</m:t>
          </m:r>
          <m:r>
            <w:rPr>
              <w:rFonts w:ascii="Cambria Math" w:eastAsiaTheme="majorEastAsia" w:hAnsi="Cambria Math" w:cs="Arial"/>
            </w:rPr>
            <w:br/>
          </m:r>
        </m:oMath>
      </m:oMathPara>
    </w:p>
    <w:tbl>
      <w:tblPr>
        <w:tblStyle w:val="TableGrid"/>
        <w:tblW w:w="0" w:type="auto"/>
        <w:jc w:val="center"/>
        <w:tblLook w:val="04A0" w:firstRow="1" w:lastRow="0" w:firstColumn="1" w:lastColumn="0" w:noHBand="0" w:noVBand="1"/>
      </w:tblPr>
      <w:tblGrid>
        <w:gridCol w:w="750"/>
        <w:gridCol w:w="2891"/>
        <w:gridCol w:w="1164"/>
      </w:tblGrid>
      <w:tr w:rsidR="00AC49A2" w:rsidRPr="00AC49A2" w14:paraId="2A607779" w14:textId="77777777" w:rsidTr="001A7019">
        <w:trPr>
          <w:jc w:val="center"/>
        </w:trPr>
        <w:tc>
          <w:tcPr>
            <w:tcW w:w="0" w:type="auto"/>
            <w:hideMark/>
          </w:tcPr>
          <w:p w14:paraId="73324D2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6BC7863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6076031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2368B9A9" w14:textId="77777777" w:rsidTr="001A7019">
        <w:trPr>
          <w:jc w:val="center"/>
        </w:trPr>
        <w:tc>
          <w:tcPr>
            <w:tcW w:w="0" w:type="auto"/>
            <w:hideMark/>
          </w:tcPr>
          <w:p w14:paraId="51D41DB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51840D1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–24,029 ÷ 394,879 × 100</w:t>
            </w:r>
          </w:p>
        </w:tc>
        <w:tc>
          <w:tcPr>
            <w:tcW w:w="0" w:type="auto"/>
            <w:hideMark/>
          </w:tcPr>
          <w:p w14:paraId="51F79DA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–6.09%</w:t>
            </w:r>
          </w:p>
        </w:tc>
      </w:tr>
      <w:tr w:rsidR="00AC49A2" w:rsidRPr="00AC49A2" w14:paraId="65BE56E6" w14:textId="77777777" w:rsidTr="001A7019">
        <w:trPr>
          <w:jc w:val="center"/>
        </w:trPr>
        <w:tc>
          <w:tcPr>
            <w:tcW w:w="0" w:type="auto"/>
            <w:hideMark/>
          </w:tcPr>
          <w:p w14:paraId="03A74AA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43E6F23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–98,238 ÷ 420,457 × 100</w:t>
            </w:r>
          </w:p>
        </w:tc>
        <w:tc>
          <w:tcPr>
            <w:tcW w:w="0" w:type="auto"/>
            <w:hideMark/>
          </w:tcPr>
          <w:p w14:paraId="0DE6AE6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–23.37%</w:t>
            </w:r>
          </w:p>
        </w:tc>
      </w:tr>
      <w:tr w:rsidR="00AC49A2" w:rsidRPr="00AC49A2" w14:paraId="2BB1F98D" w14:textId="77777777" w:rsidTr="001A7019">
        <w:trPr>
          <w:jc w:val="center"/>
        </w:trPr>
        <w:tc>
          <w:tcPr>
            <w:tcW w:w="0" w:type="auto"/>
            <w:hideMark/>
          </w:tcPr>
          <w:p w14:paraId="5218A47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1669A30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407 ÷ 542,751 × 100</w:t>
            </w:r>
          </w:p>
        </w:tc>
        <w:tc>
          <w:tcPr>
            <w:tcW w:w="0" w:type="auto"/>
            <w:hideMark/>
          </w:tcPr>
          <w:p w14:paraId="6D9FEF7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0.08%</w:t>
            </w:r>
          </w:p>
        </w:tc>
      </w:tr>
      <w:tr w:rsidR="00AC49A2" w:rsidRPr="00AC49A2" w14:paraId="71353B5C" w14:textId="77777777" w:rsidTr="001A7019">
        <w:trPr>
          <w:jc w:val="center"/>
        </w:trPr>
        <w:tc>
          <w:tcPr>
            <w:tcW w:w="0" w:type="auto"/>
            <w:hideMark/>
          </w:tcPr>
          <w:p w14:paraId="65BF69E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7B4F321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5,301 ÷ 601,602 × 100</w:t>
            </w:r>
          </w:p>
        </w:tc>
        <w:tc>
          <w:tcPr>
            <w:tcW w:w="0" w:type="auto"/>
            <w:hideMark/>
          </w:tcPr>
          <w:p w14:paraId="28416E6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0.88%</w:t>
            </w:r>
          </w:p>
        </w:tc>
      </w:tr>
      <w:tr w:rsidR="00AC49A2" w:rsidRPr="00AC49A2" w14:paraId="3661962D" w14:textId="77777777" w:rsidTr="001A7019">
        <w:trPr>
          <w:jc w:val="center"/>
        </w:trPr>
        <w:tc>
          <w:tcPr>
            <w:tcW w:w="0" w:type="auto"/>
            <w:hideMark/>
          </w:tcPr>
          <w:p w14:paraId="22331F6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1E476F8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38,572 ÷ 614,680 × 100</w:t>
            </w:r>
          </w:p>
        </w:tc>
        <w:tc>
          <w:tcPr>
            <w:tcW w:w="0" w:type="auto"/>
            <w:hideMark/>
          </w:tcPr>
          <w:p w14:paraId="358E7D1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6.28%</w:t>
            </w:r>
          </w:p>
        </w:tc>
      </w:tr>
    </w:tbl>
    <w:p w14:paraId="58CB0660" w14:textId="65931A19" w:rsidR="00AC49A2" w:rsidRPr="00AC49A2" w:rsidRDefault="00AC49A2" w:rsidP="008125C4">
      <w:pPr>
        <w:spacing w:line="360" w:lineRule="auto"/>
        <w:rPr>
          <w:rFonts w:ascii="Arial" w:eastAsiaTheme="majorEastAsia" w:hAnsi="Arial" w:cs="Arial"/>
        </w:rPr>
      </w:pPr>
    </w:p>
    <w:p w14:paraId="7FC07C65" w14:textId="77777777" w:rsidR="00AC49A2" w:rsidRPr="001A7019" w:rsidRDefault="00AC49A2" w:rsidP="001A7019">
      <w:pPr>
        <w:pStyle w:val="Heading3"/>
        <w:rPr>
          <w:rFonts w:ascii="Arial" w:hAnsi="Arial" w:cs="Arial"/>
          <w:b/>
          <w:bCs/>
          <w:color w:val="auto"/>
        </w:rPr>
      </w:pPr>
      <w:bookmarkStart w:id="32" w:name="_Toc216698896"/>
      <w:r w:rsidRPr="001A7019">
        <w:rPr>
          <w:rFonts w:ascii="Arial" w:hAnsi="Arial" w:cs="Arial"/>
          <w:b/>
          <w:bCs/>
          <w:color w:val="auto"/>
        </w:rPr>
        <w:t>A2. Liquidity Ratios</w:t>
      </w:r>
      <w:bookmarkEnd w:id="32"/>
    </w:p>
    <w:p w14:paraId="167121A2"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4. Current Ratio</w:t>
      </w:r>
    </w:p>
    <w:p w14:paraId="0D240FE8"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p>
    <w:p w14:paraId="3B82F8C5" w14:textId="0A5FA376" w:rsidR="00AC49A2" w:rsidRPr="00AC49A2" w:rsidRDefault="008125C4" w:rsidP="008125C4">
      <w:pPr>
        <w:spacing w:line="360" w:lineRule="auto"/>
        <w:rPr>
          <w:rFonts w:ascii="Arial" w:eastAsiaTheme="majorEastAsia" w:hAnsi="Arial" w:cs="Arial"/>
        </w:rPr>
      </w:pPr>
      <m:oMathPara>
        <m:oMath>
          <m:r>
            <m:rPr>
              <m:sty m:val="p"/>
            </m:rPr>
            <w:rPr>
              <w:rFonts w:ascii="Cambria Math" w:eastAsiaTheme="majorEastAsia" w:hAnsi="Cambria Math" w:cs="Arial"/>
            </w:rPr>
            <m:t>Current</m:t>
          </m:r>
          <m:r>
            <m:rPr>
              <m:nor/>
            </m:rPr>
            <w:rPr>
              <w:rFonts w:ascii="Arial" w:eastAsiaTheme="majorEastAsia" w:hAnsi="Arial" w:cs="Arial"/>
            </w:rPr>
            <m:t xml:space="preserve"> </m:t>
          </m:r>
          <m:r>
            <m:rPr>
              <m:sty m:val="p"/>
            </m:rPr>
            <w:rPr>
              <w:rFonts w:ascii="Cambria Math" w:eastAsiaTheme="majorEastAsia" w:hAnsi="Cambria Math" w:cs="Arial"/>
            </w:rPr>
            <m:t>Ratio</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Current</m:t>
              </m:r>
              <m:r>
                <m:rPr>
                  <m:nor/>
                </m:rPr>
                <w:rPr>
                  <w:rFonts w:ascii="Arial" w:eastAsiaTheme="majorEastAsia" w:hAnsi="Arial" w:cs="Arial"/>
                </w:rPr>
                <m:t xml:space="preserve"> </m:t>
              </m:r>
              <m:r>
                <m:rPr>
                  <m:sty m:val="p"/>
                </m:rPr>
                <w:rPr>
                  <w:rFonts w:ascii="Cambria Math" w:eastAsiaTheme="majorEastAsia" w:hAnsi="Cambria Math" w:cs="Arial"/>
                </w:rPr>
                <m:t>Assets</m:t>
              </m:r>
            </m:num>
            <m:den>
              <m:r>
                <m:rPr>
                  <m:sty m:val="p"/>
                </m:rPr>
                <w:rPr>
                  <w:rFonts w:ascii="Cambria Math" w:eastAsiaTheme="majorEastAsia" w:hAnsi="Cambria Math" w:cs="Arial"/>
                </w:rPr>
                <m:t>Current</m:t>
              </m:r>
              <m:r>
                <m:rPr>
                  <m:nor/>
                </m:rPr>
                <w:rPr>
                  <w:rFonts w:ascii="Arial" w:eastAsiaTheme="majorEastAsia" w:hAnsi="Arial" w:cs="Arial"/>
                </w:rPr>
                <m:t xml:space="preserve"> </m:t>
              </m:r>
              <m:r>
                <m:rPr>
                  <m:sty m:val="p"/>
                </m:rPr>
                <w:rPr>
                  <w:rFonts w:ascii="Cambria Math" w:eastAsiaTheme="majorEastAsia" w:hAnsi="Cambria Math" w:cs="Arial"/>
                </w:rPr>
                <m:t>Liabilities</m:t>
              </m:r>
            </m:den>
          </m:f>
          <m:r>
            <m:rPr>
              <m:sty m:val="p"/>
            </m:rPr>
            <w:rPr>
              <w:rFonts w:ascii="Cambria Math" w:eastAsiaTheme="majorEastAsia" w:hAnsi="Cambria Math" w:cs="Arial"/>
            </w:rPr>
            <w:br/>
          </m:r>
        </m:oMath>
      </m:oMathPara>
    </w:p>
    <w:tbl>
      <w:tblPr>
        <w:tblStyle w:val="TableGrid"/>
        <w:tblW w:w="0" w:type="auto"/>
        <w:jc w:val="center"/>
        <w:tblLook w:val="04A0" w:firstRow="1" w:lastRow="0" w:firstColumn="1" w:lastColumn="0" w:noHBand="0" w:noVBand="1"/>
      </w:tblPr>
      <w:tblGrid>
        <w:gridCol w:w="750"/>
        <w:gridCol w:w="2217"/>
        <w:gridCol w:w="897"/>
      </w:tblGrid>
      <w:tr w:rsidR="00AC49A2" w:rsidRPr="00AC49A2" w14:paraId="23675716" w14:textId="77777777" w:rsidTr="001A7019">
        <w:trPr>
          <w:jc w:val="center"/>
        </w:trPr>
        <w:tc>
          <w:tcPr>
            <w:tcW w:w="0" w:type="auto"/>
            <w:hideMark/>
          </w:tcPr>
          <w:p w14:paraId="2A8E6DF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351D72C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45C7F74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38C1F4A0" w14:textId="77777777" w:rsidTr="001A7019">
        <w:trPr>
          <w:jc w:val="center"/>
        </w:trPr>
        <w:tc>
          <w:tcPr>
            <w:tcW w:w="0" w:type="auto"/>
            <w:hideMark/>
          </w:tcPr>
          <w:p w14:paraId="4E84A21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lastRenderedPageBreak/>
              <w:t>2024</w:t>
            </w:r>
          </w:p>
        </w:tc>
        <w:tc>
          <w:tcPr>
            <w:tcW w:w="0" w:type="auto"/>
            <w:hideMark/>
          </w:tcPr>
          <w:p w14:paraId="514BF21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242,494 ÷ 158,291</w:t>
            </w:r>
          </w:p>
        </w:tc>
        <w:tc>
          <w:tcPr>
            <w:tcW w:w="0" w:type="auto"/>
            <w:hideMark/>
          </w:tcPr>
          <w:p w14:paraId="69929DF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1.53</w:t>
            </w:r>
          </w:p>
        </w:tc>
      </w:tr>
      <w:tr w:rsidR="00AC49A2" w:rsidRPr="00AC49A2" w14:paraId="12BAC769" w14:textId="77777777" w:rsidTr="001A7019">
        <w:trPr>
          <w:jc w:val="center"/>
        </w:trPr>
        <w:tc>
          <w:tcPr>
            <w:tcW w:w="0" w:type="auto"/>
            <w:hideMark/>
          </w:tcPr>
          <w:p w14:paraId="03D2824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3DDDBE8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258,851 ÷ 161,148</w:t>
            </w:r>
          </w:p>
        </w:tc>
        <w:tc>
          <w:tcPr>
            <w:tcW w:w="0" w:type="auto"/>
            <w:hideMark/>
          </w:tcPr>
          <w:p w14:paraId="7EE42DB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1.61</w:t>
            </w:r>
          </w:p>
        </w:tc>
      </w:tr>
      <w:tr w:rsidR="00AC49A2" w:rsidRPr="00AC49A2" w14:paraId="24C51577" w14:textId="77777777" w:rsidTr="001A7019">
        <w:trPr>
          <w:jc w:val="center"/>
        </w:trPr>
        <w:tc>
          <w:tcPr>
            <w:tcW w:w="0" w:type="auto"/>
            <w:hideMark/>
          </w:tcPr>
          <w:p w14:paraId="2280B96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3F56398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338,040 ÷ 216,473</w:t>
            </w:r>
          </w:p>
        </w:tc>
        <w:tc>
          <w:tcPr>
            <w:tcW w:w="0" w:type="auto"/>
            <w:hideMark/>
          </w:tcPr>
          <w:p w14:paraId="69E8D87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1.56</w:t>
            </w:r>
          </w:p>
        </w:tc>
      </w:tr>
      <w:tr w:rsidR="00AC49A2" w:rsidRPr="00AC49A2" w14:paraId="7D9BBEAD" w14:textId="77777777" w:rsidTr="001A7019">
        <w:trPr>
          <w:jc w:val="center"/>
        </w:trPr>
        <w:tc>
          <w:tcPr>
            <w:tcW w:w="0" w:type="auto"/>
            <w:hideMark/>
          </w:tcPr>
          <w:p w14:paraId="37D52D9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08434FB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337,146 ÷ 216,787</w:t>
            </w:r>
          </w:p>
        </w:tc>
        <w:tc>
          <w:tcPr>
            <w:tcW w:w="0" w:type="auto"/>
            <w:hideMark/>
          </w:tcPr>
          <w:p w14:paraId="19556F4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1.56</w:t>
            </w:r>
          </w:p>
        </w:tc>
      </w:tr>
      <w:tr w:rsidR="00AC49A2" w:rsidRPr="00AC49A2" w14:paraId="3B40FE25" w14:textId="77777777" w:rsidTr="001A7019">
        <w:trPr>
          <w:jc w:val="center"/>
        </w:trPr>
        <w:tc>
          <w:tcPr>
            <w:tcW w:w="0" w:type="auto"/>
            <w:hideMark/>
          </w:tcPr>
          <w:p w14:paraId="5AEEEDA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1B2014C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326,843 ÷ 179,510</w:t>
            </w:r>
          </w:p>
        </w:tc>
        <w:tc>
          <w:tcPr>
            <w:tcW w:w="0" w:type="auto"/>
            <w:hideMark/>
          </w:tcPr>
          <w:p w14:paraId="38CA12D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1.82</w:t>
            </w:r>
          </w:p>
        </w:tc>
      </w:tr>
    </w:tbl>
    <w:p w14:paraId="4762B4F2" w14:textId="36DDB0D4" w:rsidR="00AC49A2" w:rsidRPr="00AC49A2" w:rsidRDefault="00AC49A2" w:rsidP="008125C4">
      <w:pPr>
        <w:spacing w:line="360" w:lineRule="auto"/>
        <w:rPr>
          <w:rFonts w:ascii="Arial" w:eastAsiaTheme="majorEastAsia" w:hAnsi="Arial" w:cs="Arial"/>
        </w:rPr>
      </w:pPr>
    </w:p>
    <w:p w14:paraId="30C48A25"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5. Quick Ratio</w:t>
      </w:r>
    </w:p>
    <w:p w14:paraId="7EF48C4C" w14:textId="2B3D7AE4"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r w:rsidR="001A7019">
        <w:rPr>
          <w:rFonts w:ascii="Arial" w:eastAsiaTheme="majorEastAsia" w:hAnsi="Arial" w:cs="Arial"/>
        </w:rPr>
        <w:t xml:space="preserve"> (Current Assets- Inventories)/ Current Liabilities</w:t>
      </w:r>
    </w:p>
    <w:p w14:paraId="06B73E2B" w14:textId="70A038EB" w:rsidR="00AC49A2" w:rsidRPr="00AC49A2" w:rsidRDefault="00AC49A2" w:rsidP="001A7019">
      <w:pPr>
        <w:rPr>
          <w:rFonts w:ascii="Arial" w:hAnsi="Arial"/>
        </w:rPr>
      </w:pPr>
    </w:p>
    <w:tbl>
      <w:tblPr>
        <w:tblStyle w:val="TableGrid"/>
        <w:tblW w:w="0" w:type="auto"/>
        <w:jc w:val="center"/>
        <w:tblLook w:val="04A0" w:firstRow="1" w:lastRow="0" w:firstColumn="1" w:lastColumn="0" w:noHBand="0" w:noVBand="1"/>
      </w:tblPr>
      <w:tblGrid>
        <w:gridCol w:w="750"/>
        <w:gridCol w:w="3511"/>
        <w:gridCol w:w="897"/>
      </w:tblGrid>
      <w:tr w:rsidR="00AC49A2" w:rsidRPr="00AC49A2" w14:paraId="2A15E599" w14:textId="77777777" w:rsidTr="001A7019">
        <w:trPr>
          <w:jc w:val="center"/>
        </w:trPr>
        <w:tc>
          <w:tcPr>
            <w:tcW w:w="0" w:type="auto"/>
            <w:hideMark/>
          </w:tcPr>
          <w:p w14:paraId="3ED8A32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17F7FD7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1FC3801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5785539B" w14:textId="77777777" w:rsidTr="001A7019">
        <w:trPr>
          <w:jc w:val="center"/>
        </w:trPr>
        <w:tc>
          <w:tcPr>
            <w:tcW w:w="0" w:type="auto"/>
            <w:hideMark/>
          </w:tcPr>
          <w:p w14:paraId="2515DFF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533F031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(242,494 – 79,355) ÷ 158,291</w:t>
            </w:r>
          </w:p>
        </w:tc>
        <w:tc>
          <w:tcPr>
            <w:tcW w:w="0" w:type="auto"/>
            <w:hideMark/>
          </w:tcPr>
          <w:p w14:paraId="33657D5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1.03</w:t>
            </w:r>
          </w:p>
        </w:tc>
      </w:tr>
      <w:tr w:rsidR="00AC49A2" w:rsidRPr="00AC49A2" w14:paraId="1870AD56" w14:textId="77777777" w:rsidTr="001A7019">
        <w:trPr>
          <w:jc w:val="center"/>
        </w:trPr>
        <w:tc>
          <w:tcPr>
            <w:tcW w:w="0" w:type="auto"/>
            <w:hideMark/>
          </w:tcPr>
          <w:p w14:paraId="30E5509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68510D7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(258,851 – 88,273) ÷ 161,148</w:t>
            </w:r>
          </w:p>
        </w:tc>
        <w:tc>
          <w:tcPr>
            <w:tcW w:w="0" w:type="auto"/>
            <w:hideMark/>
          </w:tcPr>
          <w:p w14:paraId="087F587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1.06</w:t>
            </w:r>
          </w:p>
        </w:tc>
      </w:tr>
      <w:tr w:rsidR="00AC49A2" w:rsidRPr="00AC49A2" w14:paraId="1E81F188" w14:textId="77777777" w:rsidTr="001A7019">
        <w:trPr>
          <w:jc w:val="center"/>
        </w:trPr>
        <w:tc>
          <w:tcPr>
            <w:tcW w:w="0" w:type="auto"/>
            <w:hideMark/>
          </w:tcPr>
          <w:p w14:paraId="35B67E4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35165E6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(338,040 – 140,181) ÷ 216,473</w:t>
            </w:r>
          </w:p>
        </w:tc>
        <w:tc>
          <w:tcPr>
            <w:tcW w:w="0" w:type="auto"/>
            <w:hideMark/>
          </w:tcPr>
          <w:p w14:paraId="36315B2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0.91</w:t>
            </w:r>
          </w:p>
        </w:tc>
      </w:tr>
      <w:tr w:rsidR="00AC49A2" w:rsidRPr="00AC49A2" w14:paraId="44422A95" w14:textId="77777777" w:rsidTr="001A7019">
        <w:trPr>
          <w:jc w:val="center"/>
        </w:trPr>
        <w:tc>
          <w:tcPr>
            <w:tcW w:w="0" w:type="auto"/>
            <w:hideMark/>
          </w:tcPr>
          <w:p w14:paraId="7A1BC18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15DB363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(337,146 – 134,469) ÷ 216,787</w:t>
            </w:r>
          </w:p>
        </w:tc>
        <w:tc>
          <w:tcPr>
            <w:tcW w:w="0" w:type="auto"/>
            <w:hideMark/>
          </w:tcPr>
          <w:p w14:paraId="15BB0F2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0.94</w:t>
            </w:r>
          </w:p>
        </w:tc>
      </w:tr>
      <w:tr w:rsidR="00AC49A2" w:rsidRPr="00AC49A2" w14:paraId="44004092" w14:textId="77777777" w:rsidTr="001A7019">
        <w:trPr>
          <w:jc w:val="center"/>
        </w:trPr>
        <w:tc>
          <w:tcPr>
            <w:tcW w:w="0" w:type="auto"/>
            <w:hideMark/>
          </w:tcPr>
          <w:p w14:paraId="39686BE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760115B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(326,843 – 120,430) ÷ 179,510</w:t>
            </w:r>
          </w:p>
        </w:tc>
        <w:tc>
          <w:tcPr>
            <w:tcW w:w="0" w:type="auto"/>
            <w:hideMark/>
          </w:tcPr>
          <w:p w14:paraId="22AC388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1.15</w:t>
            </w:r>
          </w:p>
        </w:tc>
      </w:tr>
    </w:tbl>
    <w:p w14:paraId="58B9F21C" w14:textId="03D7FEDE" w:rsidR="00AC49A2" w:rsidRPr="00AC49A2" w:rsidRDefault="00AC49A2" w:rsidP="008125C4">
      <w:pPr>
        <w:spacing w:line="360" w:lineRule="auto"/>
        <w:rPr>
          <w:rFonts w:ascii="Arial" w:eastAsiaTheme="majorEastAsia" w:hAnsi="Arial" w:cs="Arial"/>
        </w:rPr>
      </w:pPr>
    </w:p>
    <w:p w14:paraId="708A0A8A" w14:textId="77777777" w:rsidR="00AC49A2" w:rsidRPr="001A7019" w:rsidRDefault="00AC49A2" w:rsidP="001A7019">
      <w:pPr>
        <w:pStyle w:val="Heading3"/>
        <w:rPr>
          <w:rFonts w:ascii="Arial" w:hAnsi="Arial" w:cs="Arial"/>
          <w:b/>
          <w:bCs/>
          <w:color w:val="auto"/>
        </w:rPr>
      </w:pPr>
      <w:bookmarkStart w:id="33" w:name="_Toc216698897"/>
      <w:r w:rsidRPr="001A7019">
        <w:rPr>
          <w:rFonts w:ascii="Arial" w:hAnsi="Arial" w:cs="Arial"/>
          <w:b/>
          <w:bCs/>
          <w:color w:val="auto"/>
        </w:rPr>
        <w:t>A3. Efficiency &amp; Working Capital Ratios</w:t>
      </w:r>
      <w:bookmarkEnd w:id="33"/>
    </w:p>
    <w:p w14:paraId="7AC33F53"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6. Inventory Turnover</w:t>
      </w:r>
    </w:p>
    <w:p w14:paraId="4138394B" w14:textId="25F54FB4"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r w:rsidR="001A7019">
        <w:rPr>
          <w:rFonts w:ascii="Arial" w:eastAsiaTheme="majorEastAsia" w:hAnsi="Arial" w:cs="Arial"/>
        </w:rPr>
        <w:t xml:space="preserve"> Inventory Turnover: Cost </w:t>
      </w:r>
      <w:proofErr w:type="gramStart"/>
      <w:r w:rsidR="001A7019">
        <w:rPr>
          <w:rFonts w:ascii="Arial" w:eastAsiaTheme="majorEastAsia" w:hAnsi="Arial" w:cs="Arial"/>
        </w:rPr>
        <w:t>Of</w:t>
      </w:r>
      <w:proofErr w:type="gramEnd"/>
      <w:r w:rsidR="001A7019">
        <w:rPr>
          <w:rFonts w:ascii="Arial" w:eastAsiaTheme="majorEastAsia" w:hAnsi="Arial" w:cs="Arial"/>
        </w:rPr>
        <w:t xml:space="preserve"> Sales/Inventories</w:t>
      </w:r>
      <w:r w:rsidRPr="00AC49A2">
        <w:rPr>
          <w:rFonts w:ascii="Arial" w:eastAsiaTheme="majorEastAsia" w:hAnsi="Arial" w:cs="Arial"/>
        </w:rPr>
        <w:br/>
      </w:r>
    </w:p>
    <w:tbl>
      <w:tblPr>
        <w:tblStyle w:val="TableGrid"/>
        <w:tblW w:w="0" w:type="auto"/>
        <w:jc w:val="center"/>
        <w:tblLook w:val="04A0" w:firstRow="1" w:lastRow="0" w:firstColumn="1" w:lastColumn="0" w:noHBand="0" w:noVBand="1"/>
      </w:tblPr>
      <w:tblGrid>
        <w:gridCol w:w="750"/>
        <w:gridCol w:w="2217"/>
        <w:gridCol w:w="1324"/>
      </w:tblGrid>
      <w:tr w:rsidR="00AC49A2" w:rsidRPr="00AC49A2" w14:paraId="021434F5" w14:textId="77777777" w:rsidTr="001A7019">
        <w:trPr>
          <w:jc w:val="center"/>
        </w:trPr>
        <w:tc>
          <w:tcPr>
            <w:tcW w:w="0" w:type="auto"/>
            <w:hideMark/>
          </w:tcPr>
          <w:p w14:paraId="24FABF2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4282F00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343F791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225851D0" w14:textId="77777777" w:rsidTr="001A7019">
        <w:trPr>
          <w:jc w:val="center"/>
        </w:trPr>
        <w:tc>
          <w:tcPr>
            <w:tcW w:w="0" w:type="auto"/>
            <w:hideMark/>
          </w:tcPr>
          <w:p w14:paraId="5C403BD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2743D69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280,885 ÷ 79,355</w:t>
            </w:r>
          </w:p>
        </w:tc>
        <w:tc>
          <w:tcPr>
            <w:tcW w:w="0" w:type="auto"/>
            <w:hideMark/>
          </w:tcPr>
          <w:p w14:paraId="708B12A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3.54 times</w:t>
            </w:r>
          </w:p>
        </w:tc>
      </w:tr>
      <w:tr w:rsidR="00AC49A2" w:rsidRPr="00AC49A2" w14:paraId="0AEA3D54" w14:textId="77777777" w:rsidTr="001A7019">
        <w:trPr>
          <w:jc w:val="center"/>
        </w:trPr>
        <w:tc>
          <w:tcPr>
            <w:tcW w:w="0" w:type="auto"/>
            <w:hideMark/>
          </w:tcPr>
          <w:p w14:paraId="31475FD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lastRenderedPageBreak/>
              <w:t>2023</w:t>
            </w:r>
          </w:p>
        </w:tc>
        <w:tc>
          <w:tcPr>
            <w:tcW w:w="0" w:type="auto"/>
            <w:hideMark/>
          </w:tcPr>
          <w:p w14:paraId="1A33CB2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322,897 ÷ 88,273</w:t>
            </w:r>
          </w:p>
        </w:tc>
        <w:tc>
          <w:tcPr>
            <w:tcW w:w="0" w:type="auto"/>
            <w:hideMark/>
          </w:tcPr>
          <w:p w14:paraId="5005D5D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3.66</w:t>
            </w:r>
          </w:p>
        </w:tc>
      </w:tr>
      <w:tr w:rsidR="00AC49A2" w:rsidRPr="00AC49A2" w14:paraId="6C6AD3EC" w14:textId="77777777" w:rsidTr="001A7019">
        <w:trPr>
          <w:jc w:val="center"/>
        </w:trPr>
        <w:tc>
          <w:tcPr>
            <w:tcW w:w="0" w:type="auto"/>
            <w:hideMark/>
          </w:tcPr>
          <w:p w14:paraId="573F824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3A75B19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390,459 ÷ 140,181</w:t>
            </w:r>
          </w:p>
        </w:tc>
        <w:tc>
          <w:tcPr>
            <w:tcW w:w="0" w:type="auto"/>
            <w:hideMark/>
          </w:tcPr>
          <w:p w14:paraId="5029BE0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2.79</w:t>
            </w:r>
          </w:p>
        </w:tc>
      </w:tr>
      <w:tr w:rsidR="00AC49A2" w:rsidRPr="00AC49A2" w14:paraId="02653473" w14:textId="77777777" w:rsidTr="001A7019">
        <w:trPr>
          <w:jc w:val="center"/>
        </w:trPr>
        <w:tc>
          <w:tcPr>
            <w:tcW w:w="0" w:type="auto"/>
            <w:hideMark/>
          </w:tcPr>
          <w:p w14:paraId="5951015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13AD432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428,586 ÷ 134,469</w:t>
            </w:r>
          </w:p>
        </w:tc>
        <w:tc>
          <w:tcPr>
            <w:tcW w:w="0" w:type="auto"/>
            <w:hideMark/>
          </w:tcPr>
          <w:p w14:paraId="78F5A26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3.19</w:t>
            </w:r>
          </w:p>
        </w:tc>
      </w:tr>
      <w:tr w:rsidR="00AC49A2" w:rsidRPr="00AC49A2" w14:paraId="0501A150" w14:textId="77777777" w:rsidTr="001A7019">
        <w:trPr>
          <w:jc w:val="center"/>
        </w:trPr>
        <w:tc>
          <w:tcPr>
            <w:tcW w:w="0" w:type="auto"/>
            <w:hideMark/>
          </w:tcPr>
          <w:p w14:paraId="7F99D53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4B94F2E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438,424 ÷ 120,430</w:t>
            </w:r>
          </w:p>
        </w:tc>
        <w:tc>
          <w:tcPr>
            <w:tcW w:w="0" w:type="auto"/>
            <w:hideMark/>
          </w:tcPr>
          <w:p w14:paraId="2C38402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3.64</w:t>
            </w:r>
          </w:p>
        </w:tc>
      </w:tr>
    </w:tbl>
    <w:p w14:paraId="2A9633AF" w14:textId="2A4F479F" w:rsidR="00AC49A2" w:rsidRPr="00AC49A2" w:rsidRDefault="00AC49A2" w:rsidP="008125C4">
      <w:pPr>
        <w:spacing w:line="360" w:lineRule="auto"/>
        <w:rPr>
          <w:rFonts w:ascii="Arial" w:eastAsiaTheme="majorEastAsia" w:hAnsi="Arial" w:cs="Arial"/>
        </w:rPr>
      </w:pPr>
    </w:p>
    <w:p w14:paraId="5F498E33"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7. Receivables Turnover</w:t>
      </w:r>
    </w:p>
    <w:p w14:paraId="23E11B43"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p>
    <w:p w14:paraId="0DDF9FED" w14:textId="54BF1478" w:rsidR="00AC49A2" w:rsidRPr="00AC49A2" w:rsidRDefault="008125C4" w:rsidP="008125C4">
      <w:pPr>
        <w:spacing w:line="360" w:lineRule="auto"/>
        <w:rPr>
          <w:rFonts w:ascii="Arial" w:eastAsiaTheme="majorEastAsia" w:hAnsi="Arial" w:cs="Arial"/>
        </w:rPr>
      </w:pPr>
      <m:oMathPara>
        <m:oMath>
          <m:r>
            <m:rPr>
              <m:sty m:val="p"/>
            </m:rPr>
            <w:rPr>
              <w:rFonts w:ascii="Cambria Math" w:eastAsiaTheme="majorEastAsia" w:hAnsi="Cambria Math" w:cs="Arial"/>
            </w:rPr>
            <m:t>Receivables</m:t>
          </m:r>
          <m:r>
            <m:rPr>
              <m:nor/>
            </m:rPr>
            <w:rPr>
              <w:rFonts w:ascii="Arial" w:eastAsiaTheme="majorEastAsia" w:hAnsi="Arial" w:cs="Arial"/>
            </w:rPr>
            <m:t xml:space="preserve"> </m:t>
          </m:r>
          <m:r>
            <m:rPr>
              <m:sty m:val="p"/>
            </m:rPr>
            <w:rPr>
              <w:rFonts w:ascii="Cambria Math" w:eastAsiaTheme="majorEastAsia" w:hAnsi="Cambria Math" w:cs="Arial"/>
            </w:rPr>
            <m:t>Turnover</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Net</m:t>
              </m:r>
              <m:r>
                <m:rPr>
                  <m:nor/>
                </m:rPr>
                <w:rPr>
                  <w:rFonts w:ascii="Arial" w:eastAsiaTheme="majorEastAsia" w:hAnsi="Arial" w:cs="Arial"/>
                </w:rPr>
                <m:t xml:space="preserve"> </m:t>
              </m:r>
              <m:r>
                <m:rPr>
                  <m:sty m:val="p"/>
                </m:rPr>
                <w:rPr>
                  <w:rFonts w:ascii="Cambria Math" w:eastAsiaTheme="majorEastAsia" w:hAnsi="Cambria Math" w:cs="Arial"/>
                </w:rPr>
                <m:t>Sales</m:t>
              </m:r>
            </m:num>
            <m:den>
              <m:r>
                <m:rPr>
                  <m:sty m:val="p"/>
                </m:rPr>
                <w:rPr>
                  <w:rFonts w:ascii="Cambria Math" w:eastAsiaTheme="majorEastAsia" w:hAnsi="Cambria Math" w:cs="Arial"/>
                </w:rPr>
                <m:t>Accounts</m:t>
              </m:r>
              <m:r>
                <m:rPr>
                  <m:nor/>
                </m:rPr>
                <w:rPr>
                  <w:rFonts w:ascii="Arial" w:eastAsiaTheme="majorEastAsia" w:hAnsi="Arial" w:cs="Arial"/>
                </w:rPr>
                <m:t xml:space="preserve"> </m:t>
              </m:r>
              <m:r>
                <m:rPr>
                  <m:sty m:val="p"/>
                </m:rPr>
                <w:rPr>
                  <w:rFonts w:ascii="Cambria Math" w:eastAsiaTheme="majorEastAsia" w:hAnsi="Cambria Math" w:cs="Arial"/>
                </w:rPr>
                <m:t>Receivable</m:t>
              </m:r>
            </m:den>
          </m:f>
          <m:r>
            <m:rPr>
              <m:sty m:val="p"/>
            </m:rPr>
            <w:rPr>
              <w:rFonts w:ascii="Cambria Math" w:eastAsiaTheme="majorEastAsia" w:hAnsi="Cambria Math" w:cs="Arial"/>
            </w:rPr>
            <w:br/>
          </m:r>
        </m:oMath>
      </m:oMathPara>
    </w:p>
    <w:tbl>
      <w:tblPr>
        <w:tblStyle w:val="TableGrid"/>
        <w:tblW w:w="0" w:type="auto"/>
        <w:jc w:val="center"/>
        <w:tblLook w:val="04A0" w:firstRow="1" w:lastRow="0" w:firstColumn="1" w:lastColumn="0" w:noHBand="0" w:noVBand="1"/>
      </w:tblPr>
      <w:tblGrid>
        <w:gridCol w:w="750"/>
        <w:gridCol w:w="2217"/>
        <w:gridCol w:w="897"/>
      </w:tblGrid>
      <w:tr w:rsidR="00AC49A2" w:rsidRPr="00AC49A2" w14:paraId="1A54E36C" w14:textId="77777777" w:rsidTr="001A7019">
        <w:trPr>
          <w:jc w:val="center"/>
        </w:trPr>
        <w:tc>
          <w:tcPr>
            <w:tcW w:w="0" w:type="auto"/>
            <w:hideMark/>
          </w:tcPr>
          <w:p w14:paraId="5706FE9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4262E41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66D5276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4EA49263" w14:textId="77777777" w:rsidTr="001A7019">
        <w:trPr>
          <w:jc w:val="center"/>
        </w:trPr>
        <w:tc>
          <w:tcPr>
            <w:tcW w:w="0" w:type="auto"/>
            <w:hideMark/>
          </w:tcPr>
          <w:p w14:paraId="45A573A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7752000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394,879 ÷ 114,182</w:t>
            </w:r>
          </w:p>
        </w:tc>
        <w:tc>
          <w:tcPr>
            <w:tcW w:w="0" w:type="auto"/>
            <w:hideMark/>
          </w:tcPr>
          <w:p w14:paraId="1FD878F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3.46</w:t>
            </w:r>
          </w:p>
        </w:tc>
      </w:tr>
      <w:tr w:rsidR="00AC49A2" w:rsidRPr="00AC49A2" w14:paraId="1200421A" w14:textId="77777777" w:rsidTr="001A7019">
        <w:trPr>
          <w:jc w:val="center"/>
        </w:trPr>
        <w:tc>
          <w:tcPr>
            <w:tcW w:w="0" w:type="auto"/>
            <w:hideMark/>
          </w:tcPr>
          <w:p w14:paraId="1A90BBD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3D82820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420,457 ÷ 112,596</w:t>
            </w:r>
          </w:p>
        </w:tc>
        <w:tc>
          <w:tcPr>
            <w:tcW w:w="0" w:type="auto"/>
            <w:hideMark/>
          </w:tcPr>
          <w:p w14:paraId="52C2B0A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3.73</w:t>
            </w:r>
          </w:p>
        </w:tc>
      </w:tr>
      <w:tr w:rsidR="00AC49A2" w:rsidRPr="00AC49A2" w14:paraId="00CD3A3B" w14:textId="77777777" w:rsidTr="001A7019">
        <w:trPr>
          <w:jc w:val="center"/>
        </w:trPr>
        <w:tc>
          <w:tcPr>
            <w:tcW w:w="0" w:type="auto"/>
            <w:hideMark/>
          </w:tcPr>
          <w:p w14:paraId="2EF498D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78984F3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542,751 ÷ 112,346</w:t>
            </w:r>
          </w:p>
        </w:tc>
        <w:tc>
          <w:tcPr>
            <w:tcW w:w="0" w:type="auto"/>
            <w:hideMark/>
          </w:tcPr>
          <w:p w14:paraId="0622D18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4.83</w:t>
            </w:r>
          </w:p>
        </w:tc>
      </w:tr>
      <w:tr w:rsidR="00AC49A2" w:rsidRPr="00AC49A2" w14:paraId="1AE537E8" w14:textId="77777777" w:rsidTr="001A7019">
        <w:trPr>
          <w:jc w:val="center"/>
        </w:trPr>
        <w:tc>
          <w:tcPr>
            <w:tcW w:w="0" w:type="auto"/>
            <w:hideMark/>
          </w:tcPr>
          <w:p w14:paraId="5C3FAB8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11A3EF1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601,602 ÷ 129,215</w:t>
            </w:r>
          </w:p>
        </w:tc>
        <w:tc>
          <w:tcPr>
            <w:tcW w:w="0" w:type="auto"/>
            <w:hideMark/>
          </w:tcPr>
          <w:p w14:paraId="591878F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4.66</w:t>
            </w:r>
          </w:p>
        </w:tc>
      </w:tr>
      <w:tr w:rsidR="00AC49A2" w:rsidRPr="00AC49A2" w14:paraId="4422A836" w14:textId="77777777" w:rsidTr="001A7019">
        <w:trPr>
          <w:jc w:val="center"/>
        </w:trPr>
        <w:tc>
          <w:tcPr>
            <w:tcW w:w="0" w:type="auto"/>
            <w:hideMark/>
          </w:tcPr>
          <w:p w14:paraId="669E7E2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695A3A7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614,680 ÷ 129,433</w:t>
            </w:r>
          </w:p>
        </w:tc>
        <w:tc>
          <w:tcPr>
            <w:tcW w:w="0" w:type="auto"/>
            <w:hideMark/>
          </w:tcPr>
          <w:p w14:paraId="4582C09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4.75</w:t>
            </w:r>
          </w:p>
        </w:tc>
      </w:tr>
    </w:tbl>
    <w:p w14:paraId="009BED2C" w14:textId="5BDC94A8" w:rsidR="00AC49A2" w:rsidRPr="00AC49A2" w:rsidRDefault="00AC49A2" w:rsidP="008125C4">
      <w:pPr>
        <w:spacing w:line="360" w:lineRule="auto"/>
        <w:rPr>
          <w:rFonts w:ascii="Arial" w:eastAsiaTheme="majorEastAsia" w:hAnsi="Arial" w:cs="Arial"/>
        </w:rPr>
      </w:pPr>
    </w:p>
    <w:p w14:paraId="04FD002B" w14:textId="77777777" w:rsidR="001A7019" w:rsidRDefault="001A7019">
      <w:pPr>
        <w:rPr>
          <w:rFonts w:ascii="Arial" w:eastAsiaTheme="majorEastAsia" w:hAnsi="Arial" w:cs="Arial"/>
        </w:rPr>
      </w:pPr>
      <w:r>
        <w:rPr>
          <w:rFonts w:ascii="Arial" w:eastAsiaTheme="majorEastAsia" w:hAnsi="Arial" w:cs="Arial"/>
        </w:rPr>
        <w:br w:type="page"/>
      </w:r>
    </w:p>
    <w:p w14:paraId="78E66462" w14:textId="383FDC8E" w:rsidR="00AC49A2" w:rsidRPr="001A7019" w:rsidRDefault="00AC49A2" w:rsidP="001A7019">
      <w:pPr>
        <w:pStyle w:val="Heading3"/>
        <w:rPr>
          <w:rFonts w:ascii="Arial" w:hAnsi="Arial" w:cs="Arial"/>
          <w:b/>
          <w:bCs/>
          <w:color w:val="auto"/>
        </w:rPr>
      </w:pPr>
      <w:bookmarkStart w:id="34" w:name="_Toc216698898"/>
      <w:r w:rsidRPr="001A7019">
        <w:rPr>
          <w:rFonts w:ascii="Arial" w:hAnsi="Arial" w:cs="Arial"/>
          <w:b/>
          <w:bCs/>
          <w:color w:val="auto"/>
        </w:rPr>
        <w:lastRenderedPageBreak/>
        <w:t>A4. Gearing &amp; Solvency Ratios</w:t>
      </w:r>
      <w:bookmarkEnd w:id="34"/>
    </w:p>
    <w:p w14:paraId="39A5F4AC"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8. Debt-to-Equity Ratio</w:t>
      </w:r>
    </w:p>
    <w:p w14:paraId="2EA82D3F"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p>
    <w:p w14:paraId="04DC9DA9" w14:textId="6449B6CC" w:rsidR="00AC49A2" w:rsidRPr="00AC49A2" w:rsidRDefault="008125C4" w:rsidP="008125C4">
      <w:pPr>
        <w:spacing w:line="360" w:lineRule="auto"/>
        <w:rPr>
          <w:rFonts w:ascii="Arial" w:eastAsiaTheme="majorEastAsia" w:hAnsi="Arial" w:cs="Arial"/>
        </w:rPr>
      </w:pPr>
      <m:oMathPara>
        <m:oMathParaPr>
          <m:jc m:val="left"/>
        </m:oMathParaPr>
        <m:oMath>
          <m:r>
            <m:rPr>
              <m:sty m:val="p"/>
            </m:rPr>
            <w:rPr>
              <w:rFonts w:ascii="Cambria Math" w:eastAsiaTheme="majorEastAsia" w:hAnsi="Cambria Math" w:cs="Arial"/>
            </w:rPr>
            <m:t>Debt</m:t>
          </m:r>
          <m:r>
            <w:rPr>
              <w:rFonts w:ascii="Cambria Math" w:eastAsiaTheme="majorEastAsia" w:hAnsi="Cambria Math" w:cs="Arial"/>
            </w:rPr>
            <m:t>-</m:t>
          </m:r>
          <m:r>
            <m:rPr>
              <m:sty m:val="p"/>
            </m:rPr>
            <w:rPr>
              <w:rFonts w:ascii="Cambria Math" w:eastAsiaTheme="majorEastAsia" w:hAnsi="Cambria Math" w:cs="Arial"/>
            </w:rPr>
            <m:t>to</m:t>
          </m:r>
          <m:r>
            <w:rPr>
              <w:rFonts w:ascii="Cambria Math" w:eastAsiaTheme="majorEastAsia" w:hAnsi="Cambria Math" w:cs="Arial"/>
            </w:rPr>
            <m:t>-</m:t>
          </m:r>
          <m:r>
            <m:rPr>
              <m:sty m:val="p"/>
            </m:rPr>
            <w:rPr>
              <w:rFonts w:ascii="Cambria Math" w:eastAsiaTheme="majorEastAsia" w:hAnsi="Cambria Math" w:cs="Arial"/>
            </w:rPr>
            <m:t>Equity</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 xml:space="preserve">                                                                              Total</m:t>
              </m:r>
              <m:r>
                <m:rPr>
                  <m:nor/>
                </m:rPr>
                <w:rPr>
                  <w:rFonts w:ascii="Arial" w:eastAsiaTheme="majorEastAsia" w:hAnsi="Arial" w:cs="Arial"/>
                </w:rPr>
                <m:t xml:space="preserve"> </m:t>
              </m:r>
              <m:r>
                <m:rPr>
                  <m:sty m:val="p"/>
                </m:rPr>
                <w:rPr>
                  <w:rFonts w:ascii="Cambria Math" w:eastAsiaTheme="majorEastAsia" w:hAnsi="Cambria Math" w:cs="Arial"/>
                </w:rPr>
                <m:t>Liabilities</m:t>
              </m:r>
            </m:num>
            <m:den>
              <m:r>
                <m:rPr>
                  <m:sty m:val="p"/>
                </m:rPr>
                <w:rPr>
                  <w:rFonts w:ascii="Cambria Math" w:eastAsiaTheme="majorEastAsia" w:hAnsi="Cambria Math" w:cs="Arial"/>
                </w:rPr>
                <m:t>Shareholders</m:t>
              </m:r>
              <m:r>
                <m:rPr>
                  <m:nor/>
                </m:rPr>
                <w:rPr>
                  <w:rFonts w:ascii="Arial" w:eastAsiaTheme="majorEastAsia" w:hAnsi="Arial" w:cs="Arial"/>
                </w:rPr>
                <m:t xml:space="preserve">’ </m:t>
              </m:r>
              <m:r>
                <m:rPr>
                  <m:sty m:val="p"/>
                </m:rPr>
                <w:rPr>
                  <w:rFonts w:ascii="Cambria Math" w:eastAsiaTheme="majorEastAsia" w:hAnsi="Cambria Math" w:cs="Arial"/>
                </w:rPr>
                <m:t>Equity</m:t>
              </m:r>
            </m:den>
          </m:f>
          <m:r>
            <m:rPr>
              <m:sty m:val="p"/>
            </m:rPr>
            <w:rPr>
              <w:rFonts w:ascii="Cambria Math" w:eastAsiaTheme="majorEastAsia" w:hAnsi="Cambria Math" w:cs="Arial"/>
            </w:rPr>
            <w:br/>
          </m:r>
        </m:oMath>
      </m:oMathPara>
    </w:p>
    <w:tbl>
      <w:tblPr>
        <w:tblStyle w:val="TableGrid"/>
        <w:tblW w:w="0" w:type="auto"/>
        <w:jc w:val="center"/>
        <w:tblLook w:val="04A0" w:firstRow="1" w:lastRow="0" w:firstColumn="1" w:lastColumn="0" w:noHBand="0" w:noVBand="1"/>
      </w:tblPr>
      <w:tblGrid>
        <w:gridCol w:w="750"/>
        <w:gridCol w:w="2217"/>
        <w:gridCol w:w="897"/>
      </w:tblGrid>
      <w:tr w:rsidR="00AC49A2" w:rsidRPr="00AC49A2" w14:paraId="09B1AABD" w14:textId="77777777" w:rsidTr="0001477F">
        <w:trPr>
          <w:jc w:val="center"/>
        </w:trPr>
        <w:tc>
          <w:tcPr>
            <w:tcW w:w="0" w:type="auto"/>
            <w:hideMark/>
          </w:tcPr>
          <w:p w14:paraId="1E9912B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716FEAC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6D8E5DC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6D2ADE16" w14:textId="77777777" w:rsidTr="0001477F">
        <w:trPr>
          <w:jc w:val="center"/>
        </w:trPr>
        <w:tc>
          <w:tcPr>
            <w:tcW w:w="0" w:type="auto"/>
            <w:hideMark/>
          </w:tcPr>
          <w:p w14:paraId="7FEFD4B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2EC0A2A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170,249 ÷ 153,105</w:t>
            </w:r>
          </w:p>
        </w:tc>
        <w:tc>
          <w:tcPr>
            <w:tcW w:w="0" w:type="auto"/>
            <w:hideMark/>
          </w:tcPr>
          <w:p w14:paraId="2F2D052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1.11</w:t>
            </w:r>
          </w:p>
        </w:tc>
      </w:tr>
      <w:tr w:rsidR="00AC49A2" w:rsidRPr="00AC49A2" w14:paraId="453AD010" w14:textId="77777777" w:rsidTr="0001477F">
        <w:trPr>
          <w:jc w:val="center"/>
        </w:trPr>
        <w:tc>
          <w:tcPr>
            <w:tcW w:w="0" w:type="auto"/>
            <w:hideMark/>
          </w:tcPr>
          <w:p w14:paraId="2096F20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59D07A2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176,952 ÷ 178,920</w:t>
            </w:r>
          </w:p>
        </w:tc>
        <w:tc>
          <w:tcPr>
            <w:tcW w:w="0" w:type="auto"/>
            <w:hideMark/>
          </w:tcPr>
          <w:p w14:paraId="2DEBAC3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0.99</w:t>
            </w:r>
          </w:p>
        </w:tc>
      </w:tr>
      <w:tr w:rsidR="00AC49A2" w:rsidRPr="00AC49A2" w14:paraId="1B07BFB0" w14:textId="77777777" w:rsidTr="0001477F">
        <w:trPr>
          <w:jc w:val="center"/>
        </w:trPr>
        <w:tc>
          <w:tcPr>
            <w:tcW w:w="0" w:type="auto"/>
            <w:hideMark/>
          </w:tcPr>
          <w:p w14:paraId="7C4CC8F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28C736D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235,757 ÷ 268,406</w:t>
            </w:r>
          </w:p>
        </w:tc>
        <w:tc>
          <w:tcPr>
            <w:tcW w:w="0" w:type="auto"/>
            <w:hideMark/>
          </w:tcPr>
          <w:p w14:paraId="7D9011CC"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0.88</w:t>
            </w:r>
          </w:p>
        </w:tc>
      </w:tr>
      <w:tr w:rsidR="00AC49A2" w:rsidRPr="00AC49A2" w14:paraId="02C4E3DC" w14:textId="77777777" w:rsidTr="0001477F">
        <w:trPr>
          <w:jc w:val="center"/>
        </w:trPr>
        <w:tc>
          <w:tcPr>
            <w:tcW w:w="0" w:type="auto"/>
            <w:hideMark/>
          </w:tcPr>
          <w:p w14:paraId="1351911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3B37E42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234,399 ÷ 275,949</w:t>
            </w:r>
          </w:p>
        </w:tc>
        <w:tc>
          <w:tcPr>
            <w:tcW w:w="0" w:type="auto"/>
            <w:hideMark/>
          </w:tcPr>
          <w:p w14:paraId="6A38092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0.85</w:t>
            </w:r>
          </w:p>
        </w:tc>
      </w:tr>
      <w:tr w:rsidR="00AC49A2" w:rsidRPr="00AC49A2" w14:paraId="27688B06" w14:textId="77777777" w:rsidTr="0001477F">
        <w:trPr>
          <w:jc w:val="center"/>
        </w:trPr>
        <w:tc>
          <w:tcPr>
            <w:tcW w:w="0" w:type="auto"/>
            <w:hideMark/>
          </w:tcPr>
          <w:p w14:paraId="5666209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26FD77D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196,989 ÷ 313,301</w:t>
            </w:r>
          </w:p>
        </w:tc>
        <w:tc>
          <w:tcPr>
            <w:tcW w:w="0" w:type="auto"/>
            <w:hideMark/>
          </w:tcPr>
          <w:p w14:paraId="64EB069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0.63</w:t>
            </w:r>
          </w:p>
        </w:tc>
      </w:tr>
    </w:tbl>
    <w:p w14:paraId="70AA398C" w14:textId="41D95C17" w:rsidR="00AC49A2" w:rsidRPr="00AC49A2" w:rsidRDefault="00AC49A2" w:rsidP="008125C4">
      <w:pPr>
        <w:spacing w:line="360" w:lineRule="auto"/>
        <w:rPr>
          <w:rFonts w:ascii="Arial" w:eastAsiaTheme="majorEastAsia" w:hAnsi="Arial" w:cs="Arial"/>
        </w:rPr>
      </w:pPr>
    </w:p>
    <w:p w14:paraId="4D6E9DEE"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9. Return on Assets (ROA)</w:t>
      </w:r>
    </w:p>
    <w:p w14:paraId="27AD86DC"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p>
    <w:p w14:paraId="471B5FC4" w14:textId="2727B972" w:rsidR="00AC49A2" w:rsidRPr="00AC49A2" w:rsidRDefault="008125C4" w:rsidP="008125C4">
      <w:pPr>
        <w:spacing w:line="360" w:lineRule="auto"/>
        <w:rPr>
          <w:rFonts w:ascii="Arial" w:eastAsiaTheme="majorEastAsia" w:hAnsi="Arial" w:cs="Arial"/>
        </w:rPr>
      </w:pPr>
      <m:oMathPara>
        <m:oMathParaPr>
          <m:jc m:val="center"/>
        </m:oMathParaPr>
        <m:oMath>
          <m:r>
            <m:rPr>
              <m:sty m:val="p"/>
            </m:rPr>
            <w:rPr>
              <w:rFonts w:ascii="Cambria Math" w:eastAsiaTheme="majorEastAsia" w:hAnsi="Cambria Math" w:cs="Arial"/>
            </w:rPr>
            <m:t>ROA</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 xml:space="preserve">              Net</m:t>
              </m:r>
              <m:r>
                <m:rPr>
                  <m:nor/>
                </m:rPr>
                <w:rPr>
                  <w:rFonts w:ascii="Arial" w:eastAsiaTheme="majorEastAsia" w:hAnsi="Arial" w:cs="Arial"/>
                </w:rPr>
                <m:t xml:space="preserve"> </m:t>
              </m:r>
              <m:r>
                <m:rPr>
                  <m:sty m:val="p"/>
                </m:rPr>
                <w:rPr>
                  <w:rFonts w:ascii="Cambria Math" w:eastAsiaTheme="majorEastAsia" w:hAnsi="Cambria Math" w:cs="Arial"/>
                </w:rPr>
                <m:t>Income</m:t>
              </m:r>
            </m:num>
            <m:den>
              <m:r>
                <m:rPr>
                  <m:sty m:val="p"/>
                </m:rPr>
                <w:rPr>
                  <w:rFonts w:ascii="Cambria Math" w:eastAsiaTheme="majorEastAsia" w:hAnsi="Cambria Math" w:cs="Arial"/>
                </w:rPr>
                <m:t xml:space="preserve">             Total</m:t>
              </m:r>
              <m:r>
                <m:rPr>
                  <m:nor/>
                </m:rPr>
                <w:rPr>
                  <w:rFonts w:ascii="Arial" w:eastAsiaTheme="majorEastAsia" w:hAnsi="Arial" w:cs="Arial"/>
                </w:rPr>
                <m:t xml:space="preserve"> </m:t>
              </m:r>
              <m:r>
                <m:rPr>
                  <m:sty m:val="p"/>
                </m:rPr>
                <w:rPr>
                  <w:rFonts w:ascii="Cambria Math" w:eastAsiaTheme="majorEastAsia" w:hAnsi="Cambria Math" w:cs="Arial"/>
                </w:rPr>
                <m:t>Assets</m:t>
              </m:r>
            </m:den>
          </m:f>
          <m:r>
            <w:rPr>
              <w:rFonts w:ascii="Cambria Math" w:eastAsiaTheme="majorEastAsia" w:hAnsi="Cambria Math" w:cs="Arial"/>
            </w:rPr>
            <m:t>×100</m:t>
          </m:r>
          <m:r>
            <w:rPr>
              <w:rFonts w:ascii="Cambria Math" w:eastAsiaTheme="majorEastAsia" w:hAnsi="Cambria Math" w:cs="Arial"/>
            </w:rPr>
            <w:br/>
          </m:r>
        </m:oMath>
      </m:oMathPara>
    </w:p>
    <w:tbl>
      <w:tblPr>
        <w:tblStyle w:val="TableGrid"/>
        <w:tblW w:w="0" w:type="auto"/>
        <w:jc w:val="center"/>
        <w:tblLook w:val="04A0" w:firstRow="1" w:lastRow="0" w:firstColumn="1" w:lastColumn="0" w:noHBand="0" w:noVBand="1"/>
      </w:tblPr>
      <w:tblGrid>
        <w:gridCol w:w="750"/>
        <w:gridCol w:w="2891"/>
        <w:gridCol w:w="1164"/>
      </w:tblGrid>
      <w:tr w:rsidR="00AC49A2" w:rsidRPr="00AC49A2" w14:paraId="51C7E5B9" w14:textId="77777777" w:rsidTr="0001477F">
        <w:trPr>
          <w:jc w:val="center"/>
        </w:trPr>
        <w:tc>
          <w:tcPr>
            <w:tcW w:w="0" w:type="auto"/>
            <w:hideMark/>
          </w:tcPr>
          <w:p w14:paraId="0035C4B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29C934A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26F64BD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37A1A0FA" w14:textId="77777777" w:rsidTr="0001477F">
        <w:trPr>
          <w:jc w:val="center"/>
        </w:trPr>
        <w:tc>
          <w:tcPr>
            <w:tcW w:w="0" w:type="auto"/>
            <w:hideMark/>
          </w:tcPr>
          <w:p w14:paraId="7CC4BEA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22D2DB5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–24,029 ÷ 323,354 × 100</w:t>
            </w:r>
          </w:p>
        </w:tc>
        <w:tc>
          <w:tcPr>
            <w:tcW w:w="0" w:type="auto"/>
            <w:hideMark/>
          </w:tcPr>
          <w:p w14:paraId="0E358E5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–7.43%</w:t>
            </w:r>
          </w:p>
        </w:tc>
      </w:tr>
      <w:tr w:rsidR="00AC49A2" w:rsidRPr="00AC49A2" w14:paraId="34F7D9BE" w14:textId="77777777" w:rsidTr="0001477F">
        <w:trPr>
          <w:jc w:val="center"/>
        </w:trPr>
        <w:tc>
          <w:tcPr>
            <w:tcW w:w="0" w:type="auto"/>
            <w:hideMark/>
          </w:tcPr>
          <w:p w14:paraId="4EA971B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557C134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–98,238 ÷ 355,872 × 100</w:t>
            </w:r>
          </w:p>
        </w:tc>
        <w:tc>
          <w:tcPr>
            <w:tcW w:w="0" w:type="auto"/>
            <w:hideMark/>
          </w:tcPr>
          <w:p w14:paraId="13FB910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–27.60%</w:t>
            </w:r>
          </w:p>
        </w:tc>
      </w:tr>
      <w:tr w:rsidR="00AC49A2" w:rsidRPr="00AC49A2" w14:paraId="17F60732" w14:textId="77777777" w:rsidTr="0001477F">
        <w:trPr>
          <w:jc w:val="center"/>
        </w:trPr>
        <w:tc>
          <w:tcPr>
            <w:tcW w:w="0" w:type="auto"/>
            <w:hideMark/>
          </w:tcPr>
          <w:p w14:paraId="23690ED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106B062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407 ÷ 504,163 × 100</w:t>
            </w:r>
          </w:p>
        </w:tc>
        <w:tc>
          <w:tcPr>
            <w:tcW w:w="0" w:type="auto"/>
            <w:hideMark/>
          </w:tcPr>
          <w:p w14:paraId="74D7DAE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0.08%</w:t>
            </w:r>
          </w:p>
        </w:tc>
      </w:tr>
      <w:tr w:rsidR="00AC49A2" w:rsidRPr="00AC49A2" w14:paraId="2082A9A0" w14:textId="77777777" w:rsidTr="0001477F">
        <w:trPr>
          <w:jc w:val="center"/>
        </w:trPr>
        <w:tc>
          <w:tcPr>
            <w:tcW w:w="0" w:type="auto"/>
            <w:hideMark/>
          </w:tcPr>
          <w:p w14:paraId="547EC80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1ECC9D9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5,301 ÷ 510,348 × 100</w:t>
            </w:r>
          </w:p>
        </w:tc>
        <w:tc>
          <w:tcPr>
            <w:tcW w:w="0" w:type="auto"/>
            <w:hideMark/>
          </w:tcPr>
          <w:p w14:paraId="2AC69D0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1.04%</w:t>
            </w:r>
          </w:p>
        </w:tc>
      </w:tr>
      <w:tr w:rsidR="00AC49A2" w:rsidRPr="00AC49A2" w14:paraId="0BDAEF2D" w14:textId="77777777" w:rsidTr="0001477F">
        <w:trPr>
          <w:jc w:val="center"/>
        </w:trPr>
        <w:tc>
          <w:tcPr>
            <w:tcW w:w="0" w:type="auto"/>
            <w:hideMark/>
          </w:tcPr>
          <w:p w14:paraId="4FB22CA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0168C29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38,572 ÷ 510,290 × 100</w:t>
            </w:r>
          </w:p>
        </w:tc>
        <w:tc>
          <w:tcPr>
            <w:tcW w:w="0" w:type="auto"/>
            <w:hideMark/>
          </w:tcPr>
          <w:p w14:paraId="2AFECBB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7.56%</w:t>
            </w:r>
          </w:p>
        </w:tc>
      </w:tr>
    </w:tbl>
    <w:p w14:paraId="69164456" w14:textId="5A15496C" w:rsidR="00AC49A2" w:rsidRPr="00AC49A2" w:rsidRDefault="00AC49A2" w:rsidP="008125C4">
      <w:pPr>
        <w:spacing w:line="360" w:lineRule="auto"/>
        <w:rPr>
          <w:rFonts w:ascii="Arial" w:eastAsiaTheme="majorEastAsia" w:hAnsi="Arial" w:cs="Arial"/>
        </w:rPr>
      </w:pPr>
    </w:p>
    <w:p w14:paraId="1648752B"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10. Return on Equity (ROE)</w:t>
      </w:r>
    </w:p>
    <w:p w14:paraId="74C3AD36" w14:textId="51BA3C9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t>Formula:</w:t>
      </w:r>
      <w:r w:rsidR="0001477F">
        <w:rPr>
          <w:rFonts w:ascii="Arial" w:eastAsiaTheme="majorEastAsia" w:hAnsi="Arial" w:cs="Arial"/>
        </w:rPr>
        <w:t xml:space="preserve"> ROE= (Net Income/ Equity)</w:t>
      </w:r>
      <w:r w:rsidR="0001477F" w:rsidRPr="0001477F">
        <w:rPr>
          <w:rFonts w:ascii="Cambria Math" w:eastAsiaTheme="majorEastAsia" w:hAnsi="Cambria Math" w:cs="Arial"/>
          <w:i/>
        </w:rPr>
        <w:t xml:space="preserve"> </w:t>
      </w:r>
      <m:oMath>
        <m:r>
          <w:rPr>
            <w:rFonts w:ascii="Cambria Math" w:eastAsiaTheme="majorEastAsia" w:hAnsi="Cambria Math" w:cs="Arial"/>
          </w:rPr>
          <m:t>×100</m:t>
        </m:r>
      </m:oMath>
    </w:p>
    <w:p w14:paraId="11D8F279" w14:textId="046D95F3" w:rsidR="00AC49A2" w:rsidRPr="00AC49A2" w:rsidRDefault="00AC49A2" w:rsidP="008125C4">
      <w:pPr>
        <w:spacing w:line="360" w:lineRule="auto"/>
        <w:rPr>
          <w:rFonts w:ascii="Arial" w:eastAsiaTheme="majorEastAsia" w:hAnsi="Arial" w:cs="Arial"/>
        </w:rPr>
      </w:pPr>
    </w:p>
    <w:tbl>
      <w:tblPr>
        <w:tblStyle w:val="TableGrid"/>
        <w:tblW w:w="0" w:type="auto"/>
        <w:jc w:val="center"/>
        <w:tblLook w:val="04A0" w:firstRow="1" w:lastRow="0" w:firstColumn="1" w:lastColumn="0" w:noHBand="0" w:noVBand="1"/>
      </w:tblPr>
      <w:tblGrid>
        <w:gridCol w:w="750"/>
        <w:gridCol w:w="2891"/>
        <w:gridCol w:w="1164"/>
      </w:tblGrid>
      <w:tr w:rsidR="00AC49A2" w:rsidRPr="00AC49A2" w14:paraId="43B43A77" w14:textId="77777777" w:rsidTr="0001477F">
        <w:trPr>
          <w:jc w:val="center"/>
        </w:trPr>
        <w:tc>
          <w:tcPr>
            <w:tcW w:w="0" w:type="auto"/>
            <w:hideMark/>
          </w:tcPr>
          <w:p w14:paraId="4ADAB73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43B2A53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37794E0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3CB8D50C" w14:textId="77777777" w:rsidTr="0001477F">
        <w:trPr>
          <w:jc w:val="center"/>
        </w:trPr>
        <w:tc>
          <w:tcPr>
            <w:tcW w:w="0" w:type="auto"/>
            <w:hideMark/>
          </w:tcPr>
          <w:p w14:paraId="7433B6BA"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7EF5F30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–24,029 ÷ 153,105 × 100</w:t>
            </w:r>
          </w:p>
        </w:tc>
        <w:tc>
          <w:tcPr>
            <w:tcW w:w="0" w:type="auto"/>
            <w:hideMark/>
          </w:tcPr>
          <w:p w14:paraId="3C7A591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–15.69%</w:t>
            </w:r>
          </w:p>
        </w:tc>
      </w:tr>
      <w:tr w:rsidR="00AC49A2" w:rsidRPr="00AC49A2" w14:paraId="55F131DD" w14:textId="77777777" w:rsidTr="0001477F">
        <w:trPr>
          <w:jc w:val="center"/>
        </w:trPr>
        <w:tc>
          <w:tcPr>
            <w:tcW w:w="0" w:type="auto"/>
            <w:hideMark/>
          </w:tcPr>
          <w:p w14:paraId="19D1F35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2671437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–98,238 ÷ 178,920 × 100</w:t>
            </w:r>
          </w:p>
        </w:tc>
        <w:tc>
          <w:tcPr>
            <w:tcW w:w="0" w:type="auto"/>
            <w:hideMark/>
          </w:tcPr>
          <w:p w14:paraId="62363DE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–54.89%</w:t>
            </w:r>
          </w:p>
        </w:tc>
      </w:tr>
      <w:tr w:rsidR="00AC49A2" w:rsidRPr="00AC49A2" w14:paraId="59A980F7" w14:textId="77777777" w:rsidTr="0001477F">
        <w:trPr>
          <w:jc w:val="center"/>
        </w:trPr>
        <w:tc>
          <w:tcPr>
            <w:tcW w:w="0" w:type="auto"/>
            <w:hideMark/>
          </w:tcPr>
          <w:p w14:paraId="2112C38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67E4D10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407 ÷ 268,406 × 100</w:t>
            </w:r>
          </w:p>
        </w:tc>
        <w:tc>
          <w:tcPr>
            <w:tcW w:w="0" w:type="auto"/>
            <w:hideMark/>
          </w:tcPr>
          <w:p w14:paraId="5033434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0.15%</w:t>
            </w:r>
          </w:p>
        </w:tc>
      </w:tr>
      <w:tr w:rsidR="00AC49A2" w:rsidRPr="00AC49A2" w14:paraId="630609A5" w14:textId="77777777" w:rsidTr="0001477F">
        <w:trPr>
          <w:jc w:val="center"/>
        </w:trPr>
        <w:tc>
          <w:tcPr>
            <w:tcW w:w="0" w:type="auto"/>
            <w:hideMark/>
          </w:tcPr>
          <w:p w14:paraId="56C5731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6FDC769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5,301 ÷ 275,949 × 100</w:t>
            </w:r>
          </w:p>
        </w:tc>
        <w:tc>
          <w:tcPr>
            <w:tcW w:w="0" w:type="auto"/>
            <w:hideMark/>
          </w:tcPr>
          <w:p w14:paraId="77BE852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1.92%</w:t>
            </w:r>
          </w:p>
        </w:tc>
      </w:tr>
      <w:tr w:rsidR="00AC49A2" w:rsidRPr="00AC49A2" w14:paraId="34E5D555" w14:textId="77777777" w:rsidTr="0001477F">
        <w:trPr>
          <w:jc w:val="center"/>
        </w:trPr>
        <w:tc>
          <w:tcPr>
            <w:tcW w:w="0" w:type="auto"/>
            <w:hideMark/>
          </w:tcPr>
          <w:p w14:paraId="79ACE3D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78AEAF2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38,572 ÷ 313,301 × 100</w:t>
            </w:r>
          </w:p>
        </w:tc>
        <w:tc>
          <w:tcPr>
            <w:tcW w:w="0" w:type="auto"/>
            <w:hideMark/>
          </w:tcPr>
          <w:p w14:paraId="6083A1D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12.31%</w:t>
            </w:r>
          </w:p>
        </w:tc>
      </w:tr>
    </w:tbl>
    <w:p w14:paraId="7035F83D" w14:textId="59072EC6" w:rsidR="00AC49A2" w:rsidRPr="00AC49A2" w:rsidRDefault="00AC49A2" w:rsidP="008125C4">
      <w:pPr>
        <w:spacing w:line="360" w:lineRule="auto"/>
        <w:rPr>
          <w:rFonts w:ascii="Arial" w:eastAsiaTheme="majorEastAsia" w:hAnsi="Arial" w:cs="Arial"/>
        </w:rPr>
      </w:pPr>
    </w:p>
    <w:p w14:paraId="61813E9C" w14:textId="77777777" w:rsidR="00AC49A2" w:rsidRPr="0001477F" w:rsidRDefault="00AC49A2" w:rsidP="0001477F">
      <w:pPr>
        <w:pStyle w:val="Heading3"/>
        <w:rPr>
          <w:rFonts w:ascii="Arial" w:hAnsi="Arial" w:cs="Arial"/>
          <w:b/>
          <w:bCs/>
          <w:color w:val="auto"/>
        </w:rPr>
      </w:pPr>
      <w:bookmarkStart w:id="35" w:name="_Toc216698899"/>
      <w:r w:rsidRPr="0001477F">
        <w:rPr>
          <w:rFonts w:ascii="Arial" w:hAnsi="Arial" w:cs="Arial"/>
          <w:b/>
          <w:bCs/>
          <w:color w:val="auto"/>
        </w:rPr>
        <w:t>A5. Investment &amp; Shareholder Ratios</w:t>
      </w:r>
      <w:bookmarkEnd w:id="35"/>
    </w:p>
    <w:p w14:paraId="364BC9A7"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11. Earnings Per Share (EPS)</w:t>
      </w:r>
    </w:p>
    <w:p w14:paraId="1483E37D"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i/>
          <w:iCs/>
        </w:rPr>
        <w:t>(Provided directly in financial statements)</w:t>
      </w:r>
    </w:p>
    <w:tbl>
      <w:tblPr>
        <w:tblStyle w:val="TableGrid"/>
        <w:tblW w:w="0" w:type="auto"/>
        <w:jc w:val="center"/>
        <w:tblLook w:val="04A0" w:firstRow="1" w:lastRow="0" w:firstColumn="1" w:lastColumn="0" w:noHBand="0" w:noVBand="1"/>
      </w:tblPr>
      <w:tblGrid>
        <w:gridCol w:w="750"/>
        <w:gridCol w:w="1057"/>
      </w:tblGrid>
      <w:tr w:rsidR="00AC49A2" w:rsidRPr="00AC49A2" w14:paraId="3127D1AA" w14:textId="77777777" w:rsidTr="0001477F">
        <w:trPr>
          <w:jc w:val="center"/>
        </w:trPr>
        <w:tc>
          <w:tcPr>
            <w:tcW w:w="0" w:type="auto"/>
            <w:hideMark/>
          </w:tcPr>
          <w:p w14:paraId="22BAE16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76658EE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EPS (£)</w:t>
            </w:r>
          </w:p>
        </w:tc>
      </w:tr>
      <w:tr w:rsidR="00AC49A2" w:rsidRPr="00AC49A2" w14:paraId="1ECE37AA" w14:textId="77777777" w:rsidTr="0001477F">
        <w:trPr>
          <w:jc w:val="center"/>
        </w:trPr>
        <w:tc>
          <w:tcPr>
            <w:tcW w:w="0" w:type="auto"/>
            <w:hideMark/>
          </w:tcPr>
          <w:p w14:paraId="5FA344F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1598B7C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–1.85</w:t>
            </w:r>
          </w:p>
        </w:tc>
      </w:tr>
      <w:tr w:rsidR="00AC49A2" w:rsidRPr="00AC49A2" w14:paraId="73184738" w14:textId="77777777" w:rsidTr="0001477F">
        <w:trPr>
          <w:jc w:val="center"/>
        </w:trPr>
        <w:tc>
          <w:tcPr>
            <w:tcW w:w="0" w:type="auto"/>
            <w:hideMark/>
          </w:tcPr>
          <w:p w14:paraId="683A325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1BAA660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–7.64</w:t>
            </w:r>
          </w:p>
        </w:tc>
      </w:tr>
      <w:tr w:rsidR="00AC49A2" w:rsidRPr="00AC49A2" w14:paraId="53776CCA" w14:textId="77777777" w:rsidTr="0001477F">
        <w:trPr>
          <w:jc w:val="center"/>
        </w:trPr>
        <w:tc>
          <w:tcPr>
            <w:tcW w:w="0" w:type="auto"/>
            <w:hideMark/>
          </w:tcPr>
          <w:p w14:paraId="0571302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6250DE9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0.03</w:t>
            </w:r>
          </w:p>
        </w:tc>
      </w:tr>
      <w:tr w:rsidR="00AC49A2" w:rsidRPr="00AC49A2" w14:paraId="2D0AB83C" w14:textId="77777777" w:rsidTr="0001477F">
        <w:trPr>
          <w:jc w:val="center"/>
        </w:trPr>
        <w:tc>
          <w:tcPr>
            <w:tcW w:w="0" w:type="auto"/>
            <w:hideMark/>
          </w:tcPr>
          <w:p w14:paraId="279574D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2BB07F27"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0.39</w:t>
            </w:r>
          </w:p>
        </w:tc>
      </w:tr>
      <w:tr w:rsidR="00AC49A2" w:rsidRPr="00AC49A2" w14:paraId="63FAA6C6" w14:textId="77777777" w:rsidTr="0001477F">
        <w:trPr>
          <w:jc w:val="center"/>
        </w:trPr>
        <w:tc>
          <w:tcPr>
            <w:tcW w:w="0" w:type="auto"/>
            <w:hideMark/>
          </w:tcPr>
          <w:p w14:paraId="0F4AB11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3F776F6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2.78</w:t>
            </w:r>
          </w:p>
        </w:tc>
      </w:tr>
    </w:tbl>
    <w:p w14:paraId="21DCF5A3" w14:textId="3036D3B5" w:rsidR="00AC49A2" w:rsidRPr="00AC49A2" w:rsidRDefault="00AC49A2" w:rsidP="008125C4">
      <w:pPr>
        <w:spacing w:line="360" w:lineRule="auto"/>
        <w:rPr>
          <w:rFonts w:ascii="Arial" w:eastAsiaTheme="majorEastAsia" w:hAnsi="Arial" w:cs="Arial"/>
        </w:rPr>
      </w:pPr>
    </w:p>
    <w:p w14:paraId="34C843C9" w14:textId="77777777" w:rsidR="00AC49A2" w:rsidRPr="0001477F" w:rsidRDefault="00AC49A2" w:rsidP="0001477F">
      <w:pPr>
        <w:pStyle w:val="Heading3"/>
        <w:rPr>
          <w:rFonts w:ascii="Arial" w:hAnsi="Arial" w:cs="Arial"/>
          <w:b/>
          <w:bCs/>
          <w:color w:val="auto"/>
        </w:rPr>
      </w:pPr>
      <w:bookmarkStart w:id="36" w:name="_Toc216698900"/>
      <w:r w:rsidRPr="0001477F">
        <w:rPr>
          <w:rFonts w:ascii="Arial" w:hAnsi="Arial" w:cs="Arial"/>
          <w:b/>
          <w:bCs/>
          <w:color w:val="auto"/>
        </w:rPr>
        <w:t>A6. Cash Flow Ratios</w:t>
      </w:r>
      <w:bookmarkEnd w:id="36"/>
    </w:p>
    <w:p w14:paraId="01DD3A22" w14:textId="77777777" w:rsidR="00AC49A2" w:rsidRPr="00AC49A2" w:rsidRDefault="00AC49A2" w:rsidP="008125C4">
      <w:pPr>
        <w:spacing w:line="360" w:lineRule="auto"/>
        <w:rPr>
          <w:rFonts w:ascii="Arial" w:eastAsiaTheme="majorEastAsia" w:hAnsi="Arial" w:cs="Arial"/>
          <w:b/>
          <w:bCs/>
        </w:rPr>
      </w:pPr>
      <w:r w:rsidRPr="00AC49A2">
        <w:rPr>
          <w:rFonts w:ascii="Arial" w:eastAsiaTheme="majorEastAsia" w:hAnsi="Arial" w:cs="Arial"/>
          <w:b/>
          <w:bCs/>
        </w:rPr>
        <w:t>12. Operating Cash Flow to Current Liabilities</w:t>
      </w:r>
    </w:p>
    <w:p w14:paraId="1F0BE21A" w14:textId="77777777" w:rsidR="00AC49A2" w:rsidRPr="00AC49A2" w:rsidRDefault="00AC49A2" w:rsidP="008125C4">
      <w:pPr>
        <w:spacing w:line="360" w:lineRule="auto"/>
        <w:rPr>
          <w:rFonts w:ascii="Arial" w:eastAsiaTheme="majorEastAsia" w:hAnsi="Arial" w:cs="Arial"/>
        </w:rPr>
      </w:pPr>
      <w:r w:rsidRPr="00AC49A2">
        <w:rPr>
          <w:rFonts w:ascii="Arial" w:eastAsiaTheme="majorEastAsia" w:hAnsi="Arial" w:cs="Arial"/>
        </w:rPr>
        <w:lastRenderedPageBreak/>
        <w:t>Formula:</w:t>
      </w:r>
    </w:p>
    <w:p w14:paraId="25EDB852" w14:textId="570C3E83" w:rsidR="00AC49A2" w:rsidRPr="00AC49A2" w:rsidRDefault="008125C4" w:rsidP="008125C4">
      <w:pPr>
        <w:spacing w:line="360" w:lineRule="auto"/>
        <w:rPr>
          <w:rFonts w:ascii="Arial" w:eastAsiaTheme="majorEastAsia" w:hAnsi="Arial" w:cs="Arial"/>
        </w:rPr>
      </w:pPr>
      <m:oMathPara>
        <m:oMath>
          <m:r>
            <m:rPr>
              <m:sty m:val="p"/>
            </m:rPr>
            <w:rPr>
              <w:rFonts w:ascii="Cambria Math" w:eastAsiaTheme="majorEastAsia" w:hAnsi="Cambria Math" w:cs="Arial"/>
            </w:rPr>
            <m:t>OCF</m:t>
          </m:r>
          <m:r>
            <m:rPr>
              <m:nor/>
            </m:rPr>
            <w:rPr>
              <w:rFonts w:ascii="Arial" w:eastAsiaTheme="majorEastAsia" w:hAnsi="Arial" w:cs="Arial"/>
            </w:rPr>
            <m:t xml:space="preserve"> </m:t>
          </m:r>
          <m:r>
            <m:rPr>
              <m:sty m:val="p"/>
            </m:rPr>
            <w:rPr>
              <w:rFonts w:ascii="Cambria Math" w:eastAsiaTheme="majorEastAsia" w:hAnsi="Cambria Math" w:cs="Arial"/>
            </w:rPr>
            <m:t>Ratio</m:t>
          </m:r>
          <m:r>
            <w:rPr>
              <w:rFonts w:ascii="Cambria Math" w:eastAsiaTheme="majorEastAsia" w:hAnsi="Cambria Math" w:cs="Arial"/>
            </w:rPr>
            <m:t>=</m:t>
          </m:r>
          <m:f>
            <m:fPr>
              <m:ctrlPr>
                <w:rPr>
                  <w:rFonts w:ascii="Cambria Math" w:eastAsiaTheme="majorEastAsia" w:hAnsi="Cambria Math" w:cs="Arial"/>
                </w:rPr>
              </m:ctrlPr>
            </m:fPr>
            <m:num>
              <m:r>
                <m:rPr>
                  <m:sty m:val="p"/>
                </m:rPr>
                <w:rPr>
                  <w:rFonts w:ascii="Cambria Math" w:eastAsiaTheme="majorEastAsia" w:hAnsi="Cambria Math" w:cs="Arial"/>
                </w:rPr>
                <m:t xml:space="preserve">                                                                                          Operating</m:t>
              </m:r>
              <m:r>
                <m:rPr>
                  <m:nor/>
                </m:rPr>
                <w:rPr>
                  <w:rFonts w:ascii="Arial" w:eastAsiaTheme="majorEastAsia" w:hAnsi="Arial" w:cs="Arial"/>
                </w:rPr>
                <m:t xml:space="preserve"> </m:t>
              </m:r>
              <m:r>
                <m:rPr>
                  <m:sty m:val="p"/>
                </m:rPr>
                <w:rPr>
                  <w:rFonts w:ascii="Cambria Math" w:eastAsiaTheme="majorEastAsia" w:hAnsi="Cambria Math" w:cs="Arial"/>
                </w:rPr>
                <m:t>Cash</m:t>
              </m:r>
              <m:r>
                <m:rPr>
                  <m:nor/>
                </m:rPr>
                <w:rPr>
                  <w:rFonts w:ascii="Arial" w:eastAsiaTheme="majorEastAsia" w:hAnsi="Arial" w:cs="Arial"/>
                </w:rPr>
                <m:t xml:space="preserve"> </m:t>
              </m:r>
              <m:r>
                <m:rPr>
                  <m:sty m:val="p"/>
                </m:rPr>
                <w:rPr>
                  <w:rFonts w:ascii="Cambria Math" w:eastAsiaTheme="majorEastAsia" w:hAnsi="Cambria Math" w:cs="Arial"/>
                </w:rPr>
                <m:t>Flow</m:t>
              </m:r>
            </m:num>
            <m:den>
              <m:r>
                <m:rPr>
                  <m:sty m:val="p"/>
                </m:rPr>
                <w:rPr>
                  <w:rFonts w:ascii="Cambria Math" w:eastAsiaTheme="majorEastAsia" w:hAnsi="Cambria Math" w:cs="Arial"/>
                </w:rPr>
                <m:t>Current</m:t>
              </m:r>
              <m:r>
                <m:rPr>
                  <m:nor/>
                </m:rPr>
                <w:rPr>
                  <w:rFonts w:ascii="Arial" w:eastAsiaTheme="majorEastAsia" w:hAnsi="Arial" w:cs="Arial"/>
                </w:rPr>
                <m:t xml:space="preserve"> </m:t>
              </m:r>
              <m:r>
                <m:rPr>
                  <m:sty m:val="p"/>
                </m:rPr>
                <w:rPr>
                  <w:rFonts w:ascii="Cambria Math" w:eastAsiaTheme="majorEastAsia" w:hAnsi="Cambria Math" w:cs="Arial"/>
                </w:rPr>
                <m:t>Liabilities</m:t>
              </m:r>
            </m:den>
          </m:f>
          <m:r>
            <m:rPr>
              <m:sty m:val="p"/>
            </m:rPr>
            <w:rPr>
              <w:rFonts w:ascii="Cambria Math" w:eastAsiaTheme="majorEastAsia" w:hAnsi="Cambria Math" w:cs="Arial"/>
            </w:rPr>
            <w:br/>
          </m:r>
        </m:oMath>
      </m:oMathPara>
    </w:p>
    <w:tbl>
      <w:tblPr>
        <w:tblStyle w:val="TableGrid"/>
        <w:tblW w:w="0" w:type="auto"/>
        <w:jc w:val="center"/>
        <w:tblLook w:val="04A0" w:firstRow="1" w:lastRow="0" w:firstColumn="1" w:lastColumn="0" w:noHBand="0" w:noVBand="1"/>
      </w:tblPr>
      <w:tblGrid>
        <w:gridCol w:w="750"/>
        <w:gridCol w:w="2083"/>
        <w:gridCol w:w="897"/>
      </w:tblGrid>
      <w:tr w:rsidR="00AC49A2" w:rsidRPr="00AC49A2" w14:paraId="7FA1162F" w14:textId="77777777" w:rsidTr="0001477F">
        <w:trPr>
          <w:jc w:val="center"/>
        </w:trPr>
        <w:tc>
          <w:tcPr>
            <w:tcW w:w="0" w:type="auto"/>
            <w:hideMark/>
          </w:tcPr>
          <w:p w14:paraId="2BC4E71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Year</w:t>
            </w:r>
          </w:p>
        </w:tc>
        <w:tc>
          <w:tcPr>
            <w:tcW w:w="0" w:type="auto"/>
            <w:hideMark/>
          </w:tcPr>
          <w:p w14:paraId="3BE28499"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Calculation</w:t>
            </w:r>
          </w:p>
        </w:tc>
        <w:tc>
          <w:tcPr>
            <w:tcW w:w="0" w:type="auto"/>
            <w:hideMark/>
          </w:tcPr>
          <w:p w14:paraId="7C05A53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Result</w:t>
            </w:r>
          </w:p>
        </w:tc>
      </w:tr>
      <w:tr w:rsidR="00AC49A2" w:rsidRPr="00AC49A2" w14:paraId="72577620" w14:textId="77777777" w:rsidTr="0001477F">
        <w:trPr>
          <w:jc w:val="center"/>
        </w:trPr>
        <w:tc>
          <w:tcPr>
            <w:tcW w:w="0" w:type="auto"/>
            <w:hideMark/>
          </w:tcPr>
          <w:p w14:paraId="61DD012F"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2024</w:t>
            </w:r>
          </w:p>
        </w:tc>
        <w:tc>
          <w:tcPr>
            <w:tcW w:w="0" w:type="auto"/>
            <w:hideMark/>
          </w:tcPr>
          <w:p w14:paraId="7683488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14,822 ÷ 158,291</w:t>
            </w:r>
          </w:p>
        </w:tc>
        <w:tc>
          <w:tcPr>
            <w:tcW w:w="0" w:type="auto"/>
            <w:hideMark/>
          </w:tcPr>
          <w:p w14:paraId="2581744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0.09</w:t>
            </w:r>
          </w:p>
        </w:tc>
      </w:tr>
      <w:tr w:rsidR="00AC49A2" w:rsidRPr="00AC49A2" w14:paraId="53B5285C" w14:textId="77777777" w:rsidTr="0001477F">
        <w:trPr>
          <w:jc w:val="center"/>
        </w:trPr>
        <w:tc>
          <w:tcPr>
            <w:tcW w:w="0" w:type="auto"/>
            <w:hideMark/>
          </w:tcPr>
          <w:p w14:paraId="205BA6C2"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2023</w:t>
            </w:r>
          </w:p>
        </w:tc>
        <w:tc>
          <w:tcPr>
            <w:tcW w:w="0" w:type="auto"/>
            <w:hideMark/>
          </w:tcPr>
          <w:p w14:paraId="77192123"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25,190 ÷ 161,148</w:t>
            </w:r>
          </w:p>
        </w:tc>
        <w:tc>
          <w:tcPr>
            <w:tcW w:w="0" w:type="auto"/>
            <w:hideMark/>
          </w:tcPr>
          <w:p w14:paraId="1A19328E"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0.16</w:t>
            </w:r>
          </w:p>
        </w:tc>
      </w:tr>
      <w:tr w:rsidR="00AC49A2" w:rsidRPr="00AC49A2" w14:paraId="26C604FF" w14:textId="77777777" w:rsidTr="0001477F">
        <w:trPr>
          <w:jc w:val="center"/>
        </w:trPr>
        <w:tc>
          <w:tcPr>
            <w:tcW w:w="0" w:type="auto"/>
            <w:hideMark/>
          </w:tcPr>
          <w:p w14:paraId="67DA22C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2022</w:t>
            </w:r>
          </w:p>
        </w:tc>
        <w:tc>
          <w:tcPr>
            <w:tcW w:w="0" w:type="auto"/>
            <w:hideMark/>
          </w:tcPr>
          <w:p w14:paraId="3675A9A0"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10,926 ÷ 216,473</w:t>
            </w:r>
          </w:p>
        </w:tc>
        <w:tc>
          <w:tcPr>
            <w:tcW w:w="0" w:type="auto"/>
            <w:hideMark/>
          </w:tcPr>
          <w:p w14:paraId="5AF93DD5"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0.05</w:t>
            </w:r>
          </w:p>
        </w:tc>
      </w:tr>
      <w:tr w:rsidR="00AC49A2" w:rsidRPr="00AC49A2" w14:paraId="6CC41297" w14:textId="77777777" w:rsidTr="0001477F">
        <w:trPr>
          <w:jc w:val="center"/>
        </w:trPr>
        <w:tc>
          <w:tcPr>
            <w:tcW w:w="0" w:type="auto"/>
            <w:hideMark/>
          </w:tcPr>
          <w:p w14:paraId="15BA84B4"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2021</w:t>
            </w:r>
          </w:p>
        </w:tc>
        <w:tc>
          <w:tcPr>
            <w:tcW w:w="0" w:type="auto"/>
            <w:hideMark/>
          </w:tcPr>
          <w:p w14:paraId="2F81AD9B"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40,283 ÷ 216,787</w:t>
            </w:r>
          </w:p>
        </w:tc>
        <w:tc>
          <w:tcPr>
            <w:tcW w:w="0" w:type="auto"/>
            <w:hideMark/>
          </w:tcPr>
          <w:p w14:paraId="1CEDE056"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0.19</w:t>
            </w:r>
          </w:p>
        </w:tc>
      </w:tr>
      <w:tr w:rsidR="00AC49A2" w:rsidRPr="00AC49A2" w14:paraId="35DA8BF7" w14:textId="77777777" w:rsidTr="0001477F">
        <w:trPr>
          <w:jc w:val="center"/>
        </w:trPr>
        <w:tc>
          <w:tcPr>
            <w:tcW w:w="0" w:type="auto"/>
            <w:hideMark/>
          </w:tcPr>
          <w:p w14:paraId="390A1268"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2020</w:t>
            </w:r>
          </w:p>
        </w:tc>
        <w:tc>
          <w:tcPr>
            <w:tcW w:w="0" w:type="auto"/>
            <w:hideMark/>
          </w:tcPr>
          <w:p w14:paraId="5270FAD1"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73,392 ÷ 179,510</w:t>
            </w:r>
          </w:p>
        </w:tc>
        <w:tc>
          <w:tcPr>
            <w:tcW w:w="0" w:type="auto"/>
            <w:hideMark/>
          </w:tcPr>
          <w:p w14:paraId="5353185D" w14:textId="77777777" w:rsidR="00AC49A2" w:rsidRPr="00AC49A2" w:rsidRDefault="00AC49A2" w:rsidP="008125C4">
            <w:pPr>
              <w:spacing w:after="160" w:line="360" w:lineRule="auto"/>
              <w:rPr>
                <w:rFonts w:ascii="Arial" w:eastAsiaTheme="majorEastAsia" w:hAnsi="Arial" w:cs="Arial"/>
              </w:rPr>
            </w:pPr>
            <w:r w:rsidRPr="00AC49A2">
              <w:rPr>
                <w:rFonts w:ascii="Arial" w:eastAsiaTheme="majorEastAsia" w:hAnsi="Arial" w:cs="Arial"/>
              </w:rPr>
              <w:t>0.41</w:t>
            </w:r>
          </w:p>
        </w:tc>
      </w:tr>
    </w:tbl>
    <w:p w14:paraId="0D583E9B" w14:textId="02E71DCE" w:rsidR="00707537" w:rsidRPr="0001477F" w:rsidRDefault="00707537" w:rsidP="0001477F">
      <w:pPr>
        <w:pStyle w:val="Heading3"/>
        <w:rPr>
          <w:rFonts w:ascii="Arial" w:hAnsi="Arial" w:cs="Arial"/>
          <w:b/>
          <w:bCs/>
          <w:color w:val="auto"/>
        </w:rPr>
      </w:pPr>
      <w:bookmarkStart w:id="37" w:name="_Toc216698901"/>
      <w:r w:rsidRPr="0001477F">
        <w:rPr>
          <w:rFonts w:ascii="Arial" w:hAnsi="Arial" w:cs="Arial"/>
          <w:b/>
          <w:bCs/>
          <w:color w:val="auto"/>
        </w:rPr>
        <w:t>A7: ALTMAN Z-SCORE CALCULATIONS (2024–2020)</w:t>
      </w:r>
      <w:bookmarkEnd w:id="37"/>
    </w:p>
    <w:p w14:paraId="2F240FCE" w14:textId="7A55764E"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Altman Z-Score (1968 Manufacturing Model)</w:t>
      </w:r>
      <w:r w:rsidRPr="00707537">
        <w:rPr>
          <w:rFonts w:ascii="Arial" w:eastAsiaTheme="majorEastAsia" w:hAnsi="Arial" w:cs="Arial"/>
        </w:rPr>
        <w:br/>
        <w:t>(All figures in £ millions)</w:t>
      </w:r>
    </w:p>
    <w:p w14:paraId="157F1606" w14:textId="04E1196A"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 xml:space="preserve"> Model Formula</w:t>
      </w:r>
    </w:p>
    <w:p w14:paraId="477CA2E5" w14:textId="5B138453" w:rsidR="00707537" w:rsidRPr="00707537" w:rsidRDefault="008125C4" w:rsidP="008125C4">
      <w:pPr>
        <w:spacing w:line="360" w:lineRule="auto"/>
        <w:rPr>
          <w:rFonts w:ascii="Arial" w:eastAsiaTheme="majorEastAsia" w:hAnsi="Arial" w:cs="Arial"/>
        </w:rPr>
      </w:pPr>
      <m:oMathPara>
        <m:oMath>
          <m:r>
            <w:rPr>
              <w:rFonts w:ascii="Cambria Math" w:eastAsiaTheme="majorEastAsia" w:hAnsi="Cambria Math" w:cs="Arial"/>
            </w:rPr>
            <m:t>Z=1.2</m:t>
          </m:r>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1</m:t>
              </m:r>
            </m:sub>
          </m:sSub>
          <m:r>
            <w:rPr>
              <w:rFonts w:ascii="Cambria Math" w:eastAsiaTheme="majorEastAsia" w:hAnsi="Cambria Math" w:cs="Arial"/>
            </w:rPr>
            <m:t>+1.4</m:t>
          </m:r>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2</m:t>
              </m:r>
            </m:sub>
          </m:sSub>
          <m:r>
            <w:rPr>
              <w:rFonts w:ascii="Cambria Math" w:eastAsiaTheme="majorEastAsia" w:hAnsi="Cambria Math" w:cs="Arial"/>
            </w:rPr>
            <m:t>+3.3</m:t>
          </m:r>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3</m:t>
              </m:r>
            </m:sub>
          </m:sSub>
          <m:r>
            <w:rPr>
              <w:rFonts w:ascii="Cambria Math" w:eastAsiaTheme="majorEastAsia" w:hAnsi="Cambria Math" w:cs="Arial"/>
            </w:rPr>
            <m:t>+0.6</m:t>
          </m:r>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4</m:t>
              </m:r>
            </m:sub>
          </m:sSub>
          <m:r>
            <w:rPr>
              <w:rFonts w:ascii="Cambria Math" w:eastAsiaTheme="majorEastAsia" w:hAnsi="Cambria Math" w:cs="Arial"/>
            </w:rPr>
            <m:t>+1.0</m:t>
          </m:r>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5</m:t>
              </m:r>
            </m:sub>
          </m:sSub>
          <m:r>
            <m:rPr>
              <m:sty m:val="p"/>
            </m:rPr>
            <w:rPr>
              <w:rFonts w:ascii="Cambria Math" w:eastAsiaTheme="majorEastAsia" w:hAnsi="Cambria Math" w:cs="Arial"/>
            </w:rPr>
            <w:br/>
          </m:r>
        </m:oMath>
      </m:oMathPara>
    </w:p>
    <w:p w14:paraId="1382064F"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Where:</w:t>
      </w:r>
    </w:p>
    <w:p w14:paraId="7E38B360" w14:textId="4544B1CD" w:rsidR="00707537" w:rsidRPr="00707537" w:rsidRDefault="00000000" w:rsidP="008125C4">
      <w:pPr>
        <w:numPr>
          <w:ilvl w:val="0"/>
          <w:numId w:val="56"/>
        </w:numPr>
        <w:spacing w:line="360" w:lineRule="auto"/>
        <w:rPr>
          <w:rFonts w:ascii="Arial" w:eastAsiaTheme="majorEastAsia" w:hAnsi="Arial" w:cs="Arial"/>
        </w:rPr>
      </w:pPr>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1</m:t>
            </m:r>
          </m:sub>
        </m:sSub>
      </m:oMath>
      <w:r w:rsidR="00707537" w:rsidRPr="00707537">
        <w:rPr>
          <w:rFonts w:ascii="Arial" w:eastAsiaTheme="majorEastAsia" w:hAnsi="Arial" w:cs="Arial"/>
        </w:rPr>
        <w:t>= Working Capital ÷ Total Assets</w:t>
      </w:r>
    </w:p>
    <w:p w14:paraId="6046704B" w14:textId="4F3DEBE3" w:rsidR="00707537" w:rsidRPr="00707537" w:rsidRDefault="00000000" w:rsidP="008125C4">
      <w:pPr>
        <w:numPr>
          <w:ilvl w:val="0"/>
          <w:numId w:val="56"/>
        </w:numPr>
        <w:spacing w:line="360" w:lineRule="auto"/>
        <w:rPr>
          <w:rFonts w:ascii="Arial" w:eastAsiaTheme="majorEastAsia" w:hAnsi="Arial" w:cs="Arial"/>
        </w:rPr>
      </w:pPr>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2</m:t>
            </m:r>
          </m:sub>
        </m:sSub>
      </m:oMath>
      <w:r w:rsidR="00707537" w:rsidRPr="00707537">
        <w:rPr>
          <w:rFonts w:ascii="Arial" w:eastAsiaTheme="majorEastAsia" w:hAnsi="Arial" w:cs="Arial"/>
        </w:rPr>
        <w:t>= Retained Earnings ÷ Total Assets</w:t>
      </w:r>
    </w:p>
    <w:p w14:paraId="094EE85B" w14:textId="67C54769" w:rsidR="00707537" w:rsidRPr="00707537" w:rsidRDefault="00000000" w:rsidP="008125C4">
      <w:pPr>
        <w:numPr>
          <w:ilvl w:val="0"/>
          <w:numId w:val="56"/>
        </w:numPr>
        <w:spacing w:line="360" w:lineRule="auto"/>
        <w:rPr>
          <w:rFonts w:ascii="Arial" w:eastAsiaTheme="majorEastAsia" w:hAnsi="Arial" w:cs="Arial"/>
        </w:rPr>
      </w:pPr>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3</m:t>
            </m:r>
          </m:sub>
        </m:sSub>
      </m:oMath>
      <w:r w:rsidR="00707537" w:rsidRPr="00707537">
        <w:rPr>
          <w:rFonts w:ascii="Arial" w:eastAsiaTheme="majorEastAsia" w:hAnsi="Arial" w:cs="Arial"/>
        </w:rPr>
        <w:t>= EBIT ÷ Total Assets</w:t>
      </w:r>
    </w:p>
    <w:p w14:paraId="3334AF3F" w14:textId="20BF9F6B" w:rsidR="00707537" w:rsidRPr="00707537" w:rsidRDefault="00000000" w:rsidP="008125C4">
      <w:pPr>
        <w:numPr>
          <w:ilvl w:val="0"/>
          <w:numId w:val="56"/>
        </w:numPr>
        <w:spacing w:line="360" w:lineRule="auto"/>
        <w:rPr>
          <w:rFonts w:ascii="Arial" w:eastAsiaTheme="majorEastAsia" w:hAnsi="Arial" w:cs="Arial"/>
        </w:rPr>
      </w:pPr>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4</m:t>
            </m:r>
          </m:sub>
        </m:sSub>
      </m:oMath>
      <w:r w:rsidR="00707537" w:rsidRPr="00707537">
        <w:rPr>
          <w:rFonts w:ascii="Arial" w:eastAsiaTheme="majorEastAsia" w:hAnsi="Arial" w:cs="Arial"/>
        </w:rPr>
        <w:t>= Equity (book value proxy) ÷ Total Liabilities</w:t>
      </w:r>
    </w:p>
    <w:p w14:paraId="0733C29B" w14:textId="5E38C5D4" w:rsidR="00707537" w:rsidRPr="00707537" w:rsidRDefault="00000000" w:rsidP="008125C4">
      <w:pPr>
        <w:numPr>
          <w:ilvl w:val="0"/>
          <w:numId w:val="56"/>
        </w:numPr>
        <w:spacing w:line="360" w:lineRule="auto"/>
        <w:rPr>
          <w:rFonts w:ascii="Arial" w:eastAsiaTheme="majorEastAsia" w:hAnsi="Arial" w:cs="Arial"/>
        </w:rPr>
      </w:pPr>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5</m:t>
            </m:r>
          </m:sub>
        </m:sSub>
      </m:oMath>
      <w:r w:rsidR="00707537" w:rsidRPr="00707537">
        <w:rPr>
          <w:rFonts w:ascii="Arial" w:eastAsiaTheme="majorEastAsia" w:hAnsi="Arial" w:cs="Arial"/>
        </w:rPr>
        <w:t>= Sales ÷ Total Assets</w:t>
      </w:r>
    </w:p>
    <w:p w14:paraId="4DCE76D5" w14:textId="5E86E0AF"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Note: Market value of equity is not available; therefore, book value of equity is used as an acceptable academic proxy.</w:t>
      </w:r>
    </w:p>
    <w:p w14:paraId="04B19DFA"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lastRenderedPageBreak/>
        <w:t>Input data (2024)</w:t>
      </w:r>
    </w:p>
    <w:tbl>
      <w:tblPr>
        <w:tblStyle w:val="TableGrid"/>
        <w:tblW w:w="0" w:type="auto"/>
        <w:tblLook w:val="04A0" w:firstRow="1" w:lastRow="0" w:firstColumn="1" w:lastColumn="0" w:noHBand="0" w:noVBand="1"/>
      </w:tblPr>
      <w:tblGrid>
        <w:gridCol w:w="2191"/>
        <w:gridCol w:w="1084"/>
      </w:tblGrid>
      <w:tr w:rsidR="00707537" w:rsidRPr="00707537" w14:paraId="75733D7F" w14:textId="77777777" w:rsidTr="0001477F">
        <w:tc>
          <w:tcPr>
            <w:tcW w:w="0" w:type="auto"/>
            <w:hideMark/>
          </w:tcPr>
          <w:p w14:paraId="2D06361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Item</w:t>
            </w:r>
          </w:p>
        </w:tc>
        <w:tc>
          <w:tcPr>
            <w:tcW w:w="0" w:type="auto"/>
            <w:hideMark/>
          </w:tcPr>
          <w:p w14:paraId="6255177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Value</w:t>
            </w:r>
          </w:p>
        </w:tc>
      </w:tr>
      <w:tr w:rsidR="00707537" w:rsidRPr="00707537" w14:paraId="3A37CDC6" w14:textId="77777777" w:rsidTr="0001477F">
        <w:tc>
          <w:tcPr>
            <w:tcW w:w="0" w:type="auto"/>
            <w:hideMark/>
          </w:tcPr>
          <w:p w14:paraId="610B3396"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Assets</w:t>
            </w:r>
          </w:p>
        </w:tc>
        <w:tc>
          <w:tcPr>
            <w:tcW w:w="0" w:type="auto"/>
            <w:hideMark/>
          </w:tcPr>
          <w:p w14:paraId="05C6E47A"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242,494</w:t>
            </w:r>
          </w:p>
        </w:tc>
      </w:tr>
      <w:tr w:rsidR="00707537" w:rsidRPr="00707537" w14:paraId="0FB3351D" w14:textId="77777777" w:rsidTr="0001477F">
        <w:tc>
          <w:tcPr>
            <w:tcW w:w="0" w:type="auto"/>
            <w:hideMark/>
          </w:tcPr>
          <w:p w14:paraId="09DDFA4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Liabilities</w:t>
            </w:r>
          </w:p>
        </w:tc>
        <w:tc>
          <w:tcPr>
            <w:tcW w:w="0" w:type="auto"/>
            <w:hideMark/>
          </w:tcPr>
          <w:p w14:paraId="23D72500"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158,291</w:t>
            </w:r>
          </w:p>
        </w:tc>
      </w:tr>
      <w:tr w:rsidR="00707537" w:rsidRPr="00707537" w14:paraId="3DE7CEFF" w14:textId="77777777" w:rsidTr="0001477F">
        <w:tc>
          <w:tcPr>
            <w:tcW w:w="0" w:type="auto"/>
            <w:hideMark/>
          </w:tcPr>
          <w:p w14:paraId="6909514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Working Capital</w:t>
            </w:r>
          </w:p>
        </w:tc>
        <w:tc>
          <w:tcPr>
            <w:tcW w:w="0" w:type="auto"/>
            <w:hideMark/>
          </w:tcPr>
          <w:p w14:paraId="25801664"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84,203</w:t>
            </w:r>
          </w:p>
        </w:tc>
      </w:tr>
      <w:tr w:rsidR="00707537" w:rsidRPr="00707537" w14:paraId="29555A74" w14:textId="77777777" w:rsidTr="0001477F">
        <w:tc>
          <w:tcPr>
            <w:tcW w:w="0" w:type="auto"/>
            <w:hideMark/>
          </w:tcPr>
          <w:p w14:paraId="00FCF03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Retained Earnings</w:t>
            </w:r>
          </w:p>
        </w:tc>
        <w:tc>
          <w:tcPr>
            <w:tcW w:w="0" w:type="auto"/>
            <w:hideMark/>
          </w:tcPr>
          <w:p w14:paraId="0298572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208,431</w:t>
            </w:r>
          </w:p>
        </w:tc>
      </w:tr>
      <w:tr w:rsidR="00707537" w:rsidRPr="00707537" w14:paraId="015EEBAC" w14:textId="77777777" w:rsidTr="0001477F">
        <w:tc>
          <w:tcPr>
            <w:tcW w:w="0" w:type="auto"/>
            <w:hideMark/>
          </w:tcPr>
          <w:p w14:paraId="4A7BD1D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EBIT</w:t>
            </w:r>
          </w:p>
        </w:tc>
        <w:tc>
          <w:tcPr>
            <w:tcW w:w="0" w:type="auto"/>
            <w:hideMark/>
          </w:tcPr>
          <w:p w14:paraId="0B2E116B"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–15,297</w:t>
            </w:r>
          </w:p>
        </w:tc>
      </w:tr>
      <w:tr w:rsidR="00707537" w:rsidRPr="00707537" w14:paraId="69EE1420" w14:textId="77777777" w:rsidTr="0001477F">
        <w:tc>
          <w:tcPr>
            <w:tcW w:w="0" w:type="auto"/>
            <w:hideMark/>
          </w:tcPr>
          <w:p w14:paraId="3183E8F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Equity</w:t>
            </w:r>
          </w:p>
        </w:tc>
        <w:tc>
          <w:tcPr>
            <w:tcW w:w="0" w:type="auto"/>
            <w:hideMark/>
          </w:tcPr>
          <w:p w14:paraId="2C8E4B5E"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153,105</w:t>
            </w:r>
          </w:p>
        </w:tc>
      </w:tr>
      <w:tr w:rsidR="00707537" w:rsidRPr="00707537" w14:paraId="34B10E11" w14:textId="77777777" w:rsidTr="0001477F">
        <w:tc>
          <w:tcPr>
            <w:tcW w:w="0" w:type="auto"/>
            <w:hideMark/>
          </w:tcPr>
          <w:p w14:paraId="6D86EFF1"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Liabilities</w:t>
            </w:r>
          </w:p>
        </w:tc>
        <w:tc>
          <w:tcPr>
            <w:tcW w:w="0" w:type="auto"/>
            <w:hideMark/>
          </w:tcPr>
          <w:p w14:paraId="6CAFF0A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170,249</w:t>
            </w:r>
          </w:p>
        </w:tc>
      </w:tr>
      <w:tr w:rsidR="00707537" w:rsidRPr="00707537" w14:paraId="24B3B632" w14:textId="77777777" w:rsidTr="0001477F">
        <w:tc>
          <w:tcPr>
            <w:tcW w:w="0" w:type="auto"/>
            <w:hideMark/>
          </w:tcPr>
          <w:p w14:paraId="0775675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Assets</w:t>
            </w:r>
          </w:p>
        </w:tc>
        <w:tc>
          <w:tcPr>
            <w:tcW w:w="0" w:type="auto"/>
            <w:hideMark/>
          </w:tcPr>
          <w:p w14:paraId="3E0A1AD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323,354</w:t>
            </w:r>
          </w:p>
        </w:tc>
      </w:tr>
      <w:tr w:rsidR="00707537" w:rsidRPr="00707537" w14:paraId="4CAA9288" w14:textId="77777777" w:rsidTr="0001477F">
        <w:tc>
          <w:tcPr>
            <w:tcW w:w="0" w:type="auto"/>
            <w:hideMark/>
          </w:tcPr>
          <w:p w14:paraId="1D614FB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Sales</w:t>
            </w:r>
          </w:p>
        </w:tc>
        <w:tc>
          <w:tcPr>
            <w:tcW w:w="0" w:type="auto"/>
            <w:hideMark/>
          </w:tcPr>
          <w:p w14:paraId="393BF81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394,879</w:t>
            </w:r>
          </w:p>
        </w:tc>
      </w:tr>
    </w:tbl>
    <w:p w14:paraId="46C43A02"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Ratio calculations</w:t>
      </w:r>
    </w:p>
    <w:p w14:paraId="70F226F4" w14:textId="4EF1CD6E" w:rsidR="00707537" w:rsidRPr="00707537" w:rsidRDefault="00000000" w:rsidP="008125C4">
      <w:pPr>
        <w:spacing w:line="360" w:lineRule="auto"/>
        <w:rPr>
          <w:rFonts w:ascii="Arial" w:eastAsiaTheme="majorEastAsia" w:hAnsi="Arial" w:cs="Arial"/>
        </w:rPr>
      </w:pPr>
      <m:oMathPara>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1</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84,203</m:t>
              </m:r>
            </m:num>
            <m:den>
              <m:r>
                <w:rPr>
                  <w:rFonts w:ascii="Cambria Math" w:eastAsiaTheme="majorEastAsia" w:hAnsi="Cambria Math" w:cs="Arial"/>
                </w:rPr>
                <m:t>323,354</m:t>
              </m:r>
            </m:den>
          </m:f>
          <m:r>
            <w:rPr>
              <w:rFonts w:ascii="Cambria Math" w:eastAsiaTheme="majorEastAsia" w:hAnsi="Cambria Math" w:cs="Arial"/>
            </w:rPr>
            <m:t>=0.260</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2</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208,431</m:t>
              </m:r>
            </m:num>
            <m:den>
              <m:r>
                <w:rPr>
                  <w:rFonts w:ascii="Cambria Math" w:eastAsiaTheme="majorEastAsia" w:hAnsi="Cambria Math" w:cs="Arial"/>
                </w:rPr>
                <m:t>323,354</m:t>
              </m:r>
            </m:den>
          </m:f>
          <m:r>
            <w:rPr>
              <w:rFonts w:ascii="Cambria Math" w:eastAsiaTheme="majorEastAsia" w:hAnsi="Cambria Math" w:cs="Arial"/>
            </w:rPr>
            <m:t>=0.645</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3</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-15,297</m:t>
              </m:r>
            </m:num>
            <m:den>
              <m:r>
                <w:rPr>
                  <w:rFonts w:ascii="Cambria Math" w:eastAsiaTheme="majorEastAsia" w:hAnsi="Cambria Math" w:cs="Arial"/>
                </w:rPr>
                <m:t>323,354</m:t>
              </m:r>
            </m:den>
          </m:f>
          <m:r>
            <w:rPr>
              <w:rFonts w:ascii="Cambria Math" w:eastAsiaTheme="majorEastAsia" w:hAnsi="Cambria Math" w:cs="Arial"/>
            </w:rPr>
            <m:t>=-0.047</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4</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153,105</m:t>
              </m:r>
            </m:num>
            <m:den>
              <m:r>
                <w:rPr>
                  <w:rFonts w:ascii="Cambria Math" w:eastAsiaTheme="majorEastAsia" w:hAnsi="Cambria Math" w:cs="Arial"/>
                </w:rPr>
                <m:t>170,249</m:t>
              </m:r>
            </m:den>
          </m:f>
          <m:r>
            <w:rPr>
              <w:rFonts w:ascii="Cambria Math" w:eastAsiaTheme="majorEastAsia" w:hAnsi="Cambria Math" w:cs="Arial"/>
            </w:rPr>
            <m:t>=0.899</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5</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394,879</m:t>
              </m:r>
            </m:num>
            <m:den>
              <m:r>
                <w:rPr>
                  <w:rFonts w:ascii="Cambria Math" w:eastAsiaTheme="majorEastAsia" w:hAnsi="Cambria Math" w:cs="Arial"/>
                </w:rPr>
                <m:t>323,354</m:t>
              </m:r>
            </m:den>
          </m:f>
          <m:r>
            <w:rPr>
              <w:rFonts w:ascii="Cambria Math" w:eastAsiaTheme="majorEastAsia" w:hAnsi="Cambria Math" w:cs="Arial"/>
            </w:rPr>
            <m:t>=1.221</m:t>
          </m:r>
          <m:r>
            <w:rPr>
              <w:rFonts w:ascii="Cambria Math" w:eastAsiaTheme="majorEastAsia" w:hAnsi="Cambria Math" w:cs="Arial"/>
            </w:rPr>
            <w:br/>
          </m:r>
        </m:oMath>
      </m:oMathPara>
    </w:p>
    <w:p w14:paraId="14CD62BE"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Weighted components</w:t>
      </w:r>
    </w:p>
    <w:tbl>
      <w:tblPr>
        <w:tblStyle w:val="TableGrid"/>
        <w:tblW w:w="0" w:type="auto"/>
        <w:tblLook w:val="04A0" w:firstRow="1" w:lastRow="0" w:firstColumn="1" w:lastColumn="0" w:noHBand="0" w:noVBand="1"/>
      </w:tblPr>
      <w:tblGrid>
        <w:gridCol w:w="1457"/>
        <w:gridCol w:w="1718"/>
        <w:gridCol w:w="951"/>
      </w:tblGrid>
      <w:tr w:rsidR="00707537" w:rsidRPr="00707537" w14:paraId="201FB46F" w14:textId="77777777" w:rsidTr="0001477F">
        <w:tc>
          <w:tcPr>
            <w:tcW w:w="0" w:type="auto"/>
            <w:hideMark/>
          </w:tcPr>
          <w:p w14:paraId="2651CF7E"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Component</w:t>
            </w:r>
          </w:p>
        </w:tc>
        <w:tc>
          <w:tcPr>
            <w:tcW w:w="0" w:type="auto"/>
            <w:hideMark/>
          </w:tcPr>
          <w:p w14:paraId="2B91DEA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Calculation</w:t>
            </w:r>
          </w:p>
        </w:tc>
        <w:tc>
          <w:tcPr>
            <w:tcW w:w="0" w:type="auto"/>
            <w:hideMark/>
          </w:tcPr>
          <w:p w14:paraId="16178A4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Score</w:t>
            </w:r>
          </w:p>
        </w:tc>
      </w:tr>
      <w:tr w:rsidR="00707537" w:rsidRPr="00707537" w14:paraId="2A45C46C" w14:textId="77777777" w:rsidTr="0001477F">
        <w:tc>
          <w:tcPr>
            <w:tcW w:w="0" w:type="auto"/>
            <w:hideMark/>
          </w:tcPr>
          <w:p w14:paraId="7B59D179"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1.2X</w:t>
            </w:r>
            <w:r w:rsidRPr="00707537">
              <w:rPr>
                <w:rFonts w:ascii="Cambria Math" w:eastAsiaTheme="majorEastAsia" w:hAnsi="Cambria Math" w:cs="Cambria Math"/>
              </w:rPr>
              <w:t>₁</w:t>
            </w:r>
          </w:p>
        </w:tc>
        <w:tc>
          <w:tcPr>
            <w:tcW w:w="0" w:type="auto"/>
            <w:hideMark/>
          </w:tcPr>
          <w:p w14:paraId="3FC6164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1.2 × 0.260</w:t>
            </w:r>
          </w:p>
        </w:tc>
        <w:tc>
          <w:tcPr>
            <w:tcW w:w="0" w:type="auto"/>
            <w:hideMark/>
          </w:tcPr>
          <w:p w14:paraId="2D517D6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0.312</w:t>
            </w:r>
          </w:p>
        </w:tc>
      </w:tr>
      <w:tr w:rsidR="00707537" w:rsidRPr="00707537" w14:paraId="1C48A7BD" w14:textId="77777777" w:rsidTr="0001477F">
        <w:tc>
          <w:tcPr>
            <w:tcW w:w="0" w:type="auto"/>
            <w:hideMark/>
          </w:tcPr>
          <w:p w14:paraId="518D267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lastRenderedPageBreak/>
              <w:t>1.4X</w:t>
            </w:r>
            <w:r w:rsidRPr="00707537">
              <w:rPr>
                <w:rFonts w:ascii="Cambria Math" w:eastAsiaTheme="majorEastAsia" w:hAnsi="Cambria Math" w:cs="Cambria Math"/>
              </w:rPr>
              <w:t>₂</w:t>
            </w:r>
          </w:p>
        </w:tc>
        <w:tc>
          <w:tcPr>
            <w:tcW w:w="0" w:type="auto"/>
            <w:hideMark/>
          </w:tcPr>
          <w:p w14:paraId="2F08BAA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1.4 × 0.645</w:t>
            </w:r>
          </w:p>
        </w:tc>
        <w:tc>
          <w:tcPr>
            <w:tcW w:w="0" w:type="auto"/>
            <w:hideMark/>
          </w:tcPr>
          <w:p w14:paraId="7CEC9CC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0.903</w:t>
            </w:r>
          </w:p>
        </w:tc>
      </w:tr>
      <w:tr w:rsidR="00707537" w:rsidRPr="00707537" w14:paraId="2EF9AE99" w14:textId="77777777" w:rsidTr="0001477F">
        <w:tc>
          <w:tcPr>
            <w:tcW w:w="0" w:type="auto"/>
            <w:hideMark/>
          </w:tcPr>
          <w:p w14:paraId="2A57BEE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3.3X</w:t>
            </w:r>
            <w:r w:rsidRPr="00707537">
              <w:rPr>
                <w:rFonts w:ascii="Cambria Math" w:eastAsiaTheme="majorEastAsia" w:hAnsi="Cambria Math" w:cs="Cambria Math"/>
              </w:rPr>
              <w:t>₃</w:t>
            </w:r>
          </w:p>
        </w:tc>
        <w:tc>
          <w:tcPr>
            <w:tcW w:w="0" w:type="auto"/>
            <w:hideMark/>
          </w:tcPr>
          <w:p w14:paraId="0344459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3.3 × (–0.047)</w:t>
            </w:r>
          </w:p>
        </w:tc>
        <w:tc>
          <w:tcPr>
            <w:tcW w:w="0" w:type="auto"/>
            <w:hideMark/>
          </w:tcPr>
          <w:p w14:paraId="6D2E943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–0.155</w:t>
            </w:r>
          </w:p>
        </w:tc>
      </w:tr>
      <w:tr w:rsidR="00707537" w:rsidRPr="00707537" w14:paraId="7A604A94" w14:textId="77777777" w:rsidTr="0001477F">
        <w:tc>
          <w:tcPr>
            <w:tcW w:w="0" w:type="auto"/>
            <w:hideMark/>
          </w:tcPr>
          <w:p w14:paraId="3BABE43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0.6X</w:t>
            </w:r>
            <w:r w:rsidRPr="00707537">
              <w:rPr>
                <w:rFonts w:ascii="Cambria Math" w:eastAsiaTheme="majorEastAsia" w:hAnsi="Cambria Math" w:cs="Cambria Math"/>
              </w:rPr>
              <w:t>₄</w:t>
            </w:r>
          </w:p>
        </w:tc>
        <w:tc>
          <w:tcPr>
            <w:tcW w:w="0" w:type="auto"/>
            <w:hideMark/>
          </w:tcPr>
          <w:p w14:paraId="4C60155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0.6 × 0.899</w:t>
            </w:r>
          </w:p>
        </w:tc>
        <w:tc>
          <w:tcPr>
            <w:tcW w:w="0" w:type="auto"/>
            <w:hideMark/>
          </w:tcPr>
          <w:p w14:paraId="1D204769"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0.539</w:t>
            </w:r>
          </w:p>
        </w:tc>
      </w:tr>
      <w:tr w:rsidR="00707537" w:rsidRPr="00707537" w14:paraId="3DF3BEFE" w14:textId="77777777" w:rsidTr="0001477F">
        <w:tc>
          <w:tcPr>
            <w:tcW w:w="0" w:type="auto"/>
            <w:hideMark/>
          </w:tcPr>
          <w:p w14:paraId="5B19FBE3"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1.0X</w:t>
            </w:r>
            <w:r w:rsidRPr="00707537">
              <w:rPr>
                <w:rFonts w:ascii="Cambria Math" w:eastAsiaTheme="majorEastAsia" w:hAnsi="Cambria Math" w:cs="Cambria Math"/>
              </w:rPr>
              <w:t>₅</w:t>
            </w:r>
          </w:p>
        </w:tc>
        <w:tc>
          <w:tcPr>
            <w:tcW w:w="0" w:type="auto"/>
            <w:hideMark/>
          </w:tcPr>
          <w:p w14:paraId="0EE11181"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1.0 × 1.221</w:t>
            </w:r>
          </w:p>
        </w:tc>
        <w:tc>
          <w:tcPr>
            <w:tcW w:w="0" w:type="auto"/>
            <w:hideMark/>
          </w:tcPr>
          <w:p w14:paraId="6B6933C3"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1.221</w:t>
            </w:r>
          </w:p>
        </w:tc>
      </w:tr>
    </w:tbl>
    <w:p w14:paraId="4AF2F98E" w14:textId="1A141C74" w:rsidR="00707537" w:rsidRPr="00707537" w:rsidRDefault="00000000" w:rsidP="008125C4">
      <w:pPr>
        <w:spacing w:line="360" w:lineRule="auto"/>
        <w:rPr>
          <w:rFonts w:ascii="Arial" w:eastAsiaTheme="majorEastAsia" w:hAnsi="Arial" w:cs="Arial"/>
        </w:rPr>
      </w:pPr>
      <m:oMathPara>
        <m:oMath>
          <m:borderBox>
            <m:borderBoxPr>
              <m:ctrlPr>
                <w:rPr>
                  <w:rFonts w:ascii="Cambria Math" w:eastAsiaTheme="majorEastAsia" w:hAnsi="Cambria Math" w:cs="Arial"/>
                </w:rPr>
              </m:ctrlPr>
            </m:borderBoxPr>
            <m:e>
              <m:sSub>
                <m:sSubPr>
                  <m:ctrlPr>
                    <w:rPr>
                      <w:rFonts w:ascii="Cambria Math" w:eastAsiaTheme="majorEastAsia" w:hAnsi="Cambria Math" w:cs="Arial"/>
                    </w:rPr>
                  </m:ctrlPr>
                </m:sSubPr>
                <m:e>
                  <m:r>
                    <w:rPr>
                      <w:rFonts w:ascii="Cambria Math" w:eastAsiaTheme="majorEastAsia" w:hAnsi="Cambria Math" w:cs="Arial"/>
                    </w:rPr>
                    <m:t>Z</m:t>
                  </m:r>
                </m:e>
                <m:sub>
                  <m:r>
                    <w:rPr>
                      <w:rFonts w:ascii="Cambria Math" w:eastAsiaTheme="majorEastAsia" w:hAnsi="Cambria Math" w:cs="Arial"/>
                    </w:rPr>
                    <m:t>2024</m:t>
                  </m:r>
                </m:sub>
              </m:sSub>
              <m:r>
                <w:rPr>
                  <w:rFonts w:ascii="Cambria Math" w:eastAsiaTheme="majorEastAsia" w:hAnsi="Cambria Math" w:cs="Arial"/>
                </w:rPr>
                <m:t>=0.312+0.903-0.155+0.539+1.221=2.82</m:t>
              </m:r>
            </m:e>
          </m:borderBox>
        </m:oMath>
      </m:oMathPara>
    </w:p>
    <w:p w14:paraId="7BF90DB6" w14:textId="3660E027" w:rsidR="00707537" w:rsidRPr="00707537" w:rsidRDefault="00707537" w:rsidP="0001477F">
      <w:pPr>
        <w:spacing w:line="360" w:lineRule="auto"/>
        <w:jc w:val="center"/>
        <w:rPr>
          <w:rFonts w:ascii="Arial" w:eastAsiaTheme="majorEastAsia" w:hAnsi="Arial" w:cs="Arial"/>
        </w:rPr>
      </w:pPr>
      <w:r w:rsidRPr="00707537">
        <w:rPr>
          <w:rFonts w:ascii="Arial" w:eastAsiaTheme="majorEastAsia" w:hAnsi="Arial" w:cs="Arial"/>
        </w:rPr>
        <w:t>Zone: Upper Grey Zone</w:t>
      </w:r>
    </w:p>
    <w:p w14:paraId="1C9001DF" w14:textId="77777777" w:rsidR="00707537" w:rsidRPr="00707537" w:rsidRDefault="00707537" w:rsidP="008125C4">
      <w:pPr>
        <w:spacing w:line="360" w:lineRule="auto"/>
        <w:rPr>
          <w:rFonts w:ascii="Arial" w:eastAsiaTheme="majorEastAsia" w:hAnsi="Arial" w:cs="Arial"/>
          <w:b/>
          <w:bCs/>
        </w:rPr>
      </w:pPr>
      <w:r w:rsidRPr="00707537">
        <w:rPr>
          <w:rFonts w:ascii="Arial" w:eastAsiaTheme="majorEastAsia" w:hAnsi="Arial" w:cs="Arial"/>
          <w:b/>
          <w:bCs/>
        </w:rPr>
        <w:t>Input data (2023)</w:t>
      </w:r>
    </w:p>
    <w:tbl>
      <w:tblPr>
        <w:tblStyle w:val="TableGrid"/>
        <w:tblW w:w="0" w:type="auto"/>
        <w:tblLook w:val="04A0" w:firstRow="1" w:lastRow="0" w:firstColumn="1" w:lastColumn="0" w:noHBand="0" w:noVBand="1"/>
      </w:tblPr>
      <w:tblGrid>
        <w:gridCol w:w="2191"/>
        <w:gridCol w:w="1084"/>
      </w:tblGrid>
      <w:tr w:rsidR="00707537" w:rsidRPr="00707537" w14:paraId="0B7458FD" w14:textId="77777777" w:rsidTr="0001477F">
        <w:tc>
          <w:tcPr>
            <w:tcW w:w="0" w:type="auto"/>
            <w:hideMark/>
          </w:tcPr>
          <w:p w14:paraId="5BA47A23"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Item</w:t>
            </w:r>
          </w:p>
        </w:tc>
        <w:tc>
          <w:tcPr>
            <w:tcW w:w="0" w:type="auto"/>
            <w:hideMark/>
          </w:tcPr>
          <w:p w14:paraId="4FEE7E69"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Value</w:t>
            </w:r>
          </w:p>
        </w:tc>
      </w:tr>
      <w:tr w:rsidR="00707537" w:rsidRPr="00707537" w14:paraId="14175F6A" w14:textId="77777777" w:rsidTr="0001477F">
        <w:tc>
          <w:tcPr>
            <w:tcW w:w="0" w:type="auto"/>
            <w:hideMark/>
          </w:tcPr>
          <w:p w14:paraId="0986A965"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Assets</w:t>
            </w:r>
          </w:p>
        </w:tc>
        <w:tc>
          <w:tcPr>
            <w:tcW w:w="0" w:type="auto"/>
            <w:hideMark/>
          </w:tcPr>
          <w:p w14:paraId="0E1D461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258,851</w:t>
            </w:r>
          </w:p>
        </w:tc>
      </w:tr>
      <w:tr w:rsidR="00707537" w:rsidRPr="00707537" w14:paraId="339ABDAE" w14:textId="77777777" w:rsidTr="0001477F">
        <w:tc>
          <w:tcPr>
            <w:tcW w:w="0" w:type="auto"/>
            <w:hideMark/>
          </w:tcPr>
          <w:p w14:paraId="5FB424A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Liabilities</w:t>
            </w:r>
          </w:p>
        </w:tc>
        <w:tc>
          <w:tcPr>
            <w:tcW w:w="0" w:type="auto"/>
            <w:hideMark/>
          </w:tcPr>
          <w:p w14:paraId="1CEFB90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161,148</w:t>
            </w:r>
          </w:p>
        </w:tc>
      </w:tr>
      <w:tr w:rsidR="00707537" w:rsidRPr="00707537" w14:paraId="4F08EBB5" w14:textId="77777777" w:rsidTr="0001477F">
        <w:tc>
          <w:tcPr>
            <w:tcW w:w="0" w:type="auto"/>
            <w:hideMark/>
          </w:tcPr>
          <w:p w14:paraId="526B782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Working Capital</w:t>
            </w:r>
          </w:p>
        </w:tc>
        <w:tc>
          <w:tcPr>
            <w:tcW w:w="0" w:type="auto"/>
            <w:hideMark/>
          </w:tcPr>
          <w:p w14:paraId="7FED55FE"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97,703</w:t>
            </w:r>
          </w:p>
        </w:tc>
      </w:tr>
      <w:tr w:rsidR="00707537" w:rsidRPr="00707537" w14:paraId="7C27F726" w14:textId="77777777" w:rsidTr="0001477F">
        <w:tc>
          <w:tcPr>
            <w:tcW w:w="0" w:type="auto"/>
            <w:hideMark/>
          </w:tcPr>
          <w:p w14:paraId="2447511A"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Retained Earnings</w:t>
            </w:r>
          </w:p>
        </w:tc>
        <w:tc>
          <w:tcPr>
            <w:tcW w:w="0" w:type="auto"/>
            <w:hideMark/>
          </w:tcPr>
          <w:p w14:paraId="5EFF1DD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118,097</w:t>
            </w:r>
          </w:p>
        </w:tc>
      </w:tr>
      <w:tr w:rsidR="00707537" w:rsidRPr="00707537" w14:paraId="5FD67714" w14:textId="77777777" w:rsidTr="0001477F">
        <w:tc>
          <w:tcPr>
            <w:tcW w:w="0" w:type="auto"/>
            <w:hideMark/>
          </w:tcPr>
          <w:p w14:paraId="2441624B"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EBIT</w:t>
            </w:r>
          </w:p>
        </w:tc>
        <w:tc>
          <w:tcPr>
            <w:tcW w:w="0" w:type="auto"/>
            <w:hideMark/>
          </w:tcPr>
          <w:p w14:paraId="7B64A9E4"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–85,301</w:t>
            </w:r>
          </w:p>
        </w:tc>
      </w:tr>
      <w:tr w:rsidR="00707537" w:rsidRPr="00707537" w14:paraId="7EC4CC03" w14:textId="77777777" w:rsidTr="0001477F">
        <w:tc>
          <w:tcPr>
            <w:tcW w:w="0" w:type="auto"/>
            <w:hideMark/>
          </w:tcPr>
          <w:p w14:paraId="41A31FCB"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Equity</w:t>
            </w:r>
          </w:p>
        </w:tc>
        <w:tc>
          <w:tcPr>
            <w:tcW w:w="0" w:type="auto"/>
            <w:hideMark/>
          </w:tcPr>
          <w:p w14:paraId="2A078D4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178,920</w:t>
            </w:r>
          </w:p>
        </w:tc>
      </w:tr>
      <w:tr w:rsidR="00707537" w:rsidRPr="00707537" w14:paraId="07C42B69" w14:textId="77777777" w:rsidTr="0001477F">
        <w:tc>
          <w:tcPr>
            <w:tcW w:w="0" w:type="auto"/>
            <w:hideMark/>
          </w:tcPr>
          <w:p w14:paraId="5ED397C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Liabilities</w:t>
            </w:r>
          </w:p>
        </w:tc>
        <w:tc>
          <w:tcPr>
            <w:tcW w:w="0" w:type="auto"/>
            <w:hideMark/>
          </w:tcPr>
          <w:p w14:paraId="7671D34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176,952</w:t>
            </w:r>
          </w:p>
        </w:tc>
      </w:tr>
      <w:tr w:rsidR="00707537" w:rsidRPr="00707537" w14:paraId="461D0DA6" w14:textId="77777777" w:rsidTr="0001477F">
        <w:tc>
          <w:tcPr>
            <w:tcW w:w="0" w:type="auto"/>
            <w:hideMark/>
          </w:tcPr>
          <w:p w14:paraId="0BC2072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Assets</w:t>
            </w:r>
          </w:p>
        </w:tc>
        <w:tc>
          <w:tcPr>
            <w:tcW w:w="0" w:type="auto"/>
            <w:hideMark/>
          </w:tcPr>
          <w:p w14:paraId="2D98485E"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355,872</w:t>
            </w:r>
          </w:p>
        </w:tc>
      </w:tr>
      <w:tr w:rsidR="00707537" w:rsidRPr="00707537" w14:paraId="49E01F8F" w14:textId="77777777" w:rsidTr="0001477F">
        <w:tc>
          <w:tcPr>
            <w:tcW w:w="0" w:type="auto"/>
            <w:hideMark/>
          </w:tcPr>
          <w:p w14:paraId="63A1686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Sales</w:t>
            </w:r>
          </w:p>
        </w:tc>
        <w:tc>
          <w:tcPr>
            <w:tcW w:w="0" w:type="auto"/>
            <w:hideMark/>
          </w:tcPr>
          <w:p w14:paraId="4230169B"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420,457</w:t>
            </w:r>
          </w:p>
        </w:tc>
      </w:tr>
    </w:tbl>
    <w:p w14:paraId="36279654"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Ratio calculations</w:t>
      </w:r>
    </w:p>
    <w:p w14:paraId="27BEE524" w14:textId="7533FD3F" w:rsidR="00707537" w:rsidRPr="00707537" w:rsidRDefault="00000000" w:rsidP="008125C4">
      <w:pPr>
        <w:spacing w:line="360" w:lineRule="auto"/>
        <w:rPr>
          <w:rFonts w:ascii="Arial" w:eastAsiaTheme="majorEastAsia" w:hAnsi="Arial" w:cs="Arial"/>
        </w:rPr>
      </w:pPr>
      <m:oMathPara>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1</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97,703</m:t>
              </m:r>
            </m:num>
            <m:den>
              <m:r>
                <w:rPr>
                  <w:rFonts w:ascii="Cambria Math" w:eastAsiaTheme="majorEastAsia" w:hAnsi="Cambria Math" w:cs="Arial"/>
                </w:rPr>
                <m:t>355,872</m:t>
              </m:r>
            </m:den>
          </m:f>
          <m:r>
            <w:rPr>
              <w:rFonts w:ascii="Cambria Math" w:eastAsiaTheme="majorEastAsia" w:hAnsi="Cambria Math" w:cs="Arial"/>
            </w:rPr>
            <m:t>=0.274</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2</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118,097</m:t>
              </m:r>
            </m:num>
            <m:den>
              <m:r>
                <w:rPr>
                  <w:rFonts w:ascii="Cambria Math" w:eastAsiaTheme="majorEastAsia" w:hAnsi="Cambria Math" w:cs="Arial"/>
                </w:rPr>
                <m:t>355,872</m:t>
              </m:r>
            </m:den>
          </m:f>
          <m:r>
            <w:rPr>
              <w:rFonts w:ascii="Cambria Math" w:eastAsiaTheme="majorEastAsia" w:hAnsi="Cambria Math" w:cs="Arial"/>
            </w:rPr>
            <m:t>=0.332</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3</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-85,301</m:t>
              </m:r>
            </m:num>
            <m:den>
              <m:r>
                <w:rPr>
                  <w:rFonts w:ascii="Cambria Math" w:eastAsiaTheme="majorEastAsia" w:hAnsi="Cambria Math" w:cs="Arial"/>
                </w:rPr>
                <m:t>355,872</m:t>
              </m:r>
            </m:den>
          </m:f>
          <m:r>
            <w:rPr>
              <w:rFonts w:ascii="Cambria Math" w:eastAsiaTheme="majorEastAsia" w:hAnsi="Cambria Math" w:cs="Arial"/>
            </w:rPr>
            <m:t>=-0.240</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4</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178,920</m:t>
              </m:r>
            </m:num>
            <m:den>
              <m:r>
                <w:rPr>
                  <w:rFonts w:ascii="Cambria Math" w:eastAsiaTheme="majorEastAsia" w:hAnsi="Cambria Math" w:cs="Arial"/>
                </w:rPr>
                <m:t>176,952</m:t>
              </m:r>
            </m:den>
          </m:f>
          <m:r>
            <w:rPr>
              <w:rFonts w:ascii="Cambria Math" w:eastAsiaTheme="majorEastAsia" w:hAnsi="Cambria Math" w:cs="Arial"/>
            </w:rPr>
            <m:t>=1.011</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5</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420,457</m:t>
              </m:r>
            </m:num>
            <m:den>
              <m:r>
                <w:rPr>
                  <w:rFonts w:ascii="Cambria Math" w:eastAsiaTheme="majorEastAsia" w:hAnsi="Cambria Math" w:cs="Arial"/>
                </w:rPr>
                <m:t>355,872</m:t>
              </m:r>
            </m:den>
          </m:f>
          <m:r>
            <w:rPr>
              <w:rFonts w:ascii="Cambria Math" w:eastAsiaTheme="majorEastAsia" w:hAnsi="Cambria Math" w:cs="Arial"/>
            </w:rPr>
            <m:t>=1.181</m:t>
          </m:r>
          <m:r>
            <w:rPr>
              <w:rFonts w:ascii="Cambria Math" w:eastAsiaTheme="majorEastAsia" w:hAnsi="Cambria Math" w:cs="Arial"/>
            </w:rPr>
            <w:br/>
          </m:r>
        </m:oMath>
      </m:oMathPara>
    </w:p>
    <w:p w14:paraId="61695AA3"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Weighted score</w:t>
      </w:r>
    </w:p>
    <w:p w14:paraId="21C700C6" w14:textId="53187E4E" w:rsidR="00707537" w:rsidRPr="00707537" w:rsidRDefault="00000000" w:rsidP="008125C4">
      <w:pPr>
        <w:spacing w:line="360" w:lineRule="auto"/>
        <w:rPr>
          <w:rFonts w:ascii="Arial" w:eastAsiaTheme="majorEastAsia" w:hAnsi="Arial" w:cs="Arial"/>
        </w:rPr>
      </w:pPr>
      <m:oMathPara>
        <m:oMath>
          <m:sSub>
            <m:sSubPr>
              <m:ctrlPr>
                <w:rPr>
                  <w:rFonts w:ascii="Cambria Math" w:eastAsiaTheme="majorEastAsia" w:hAnsi="Cambria Math" w:cs="Arial"/>
                </w:rPr>
              </m:ctrlPr>
            </m:sSubPr>
            <m:e>
              <m:r>
                <w:rPr>
                  <w:rFonts w:ascii="Cambria Math" w:eastAsiaTheme="majorEastAsia" w:hAnsi="Cambria Math" w:cs="Arial"/>
                </w:rPr>
                <m:t>Z</m:t>
              </m:r>
            </m:e>
            <m:sub>
              <m:r>
                <w:rPr>
                  <w:rFonts w:ascii="Cambria Math" w:eastAsiaTheme="majorEastAsia" w:hAnsi="Cambria Math" w:cs="Arial"/>
                </w:rPr>
                <m:t>2023</m:t>
              </m:r>
            </m:sub>
          </m:sSub>
          <m:r>
            <w:rPr>
              <w:rFonts w:ascii="Cambria Math" w:eastAsiaTheme="majorEastAsia" w:hAnsi="Cambria Math" w:cs="Arial"/>
            </w:rPr>
            <m:t>=(1.2×0.274)+(1.4×0.332)+(3.3×-0.240)+(0.6×1.011)+(1.0×1.181)</m:t>
          </m:r>
          <m:r>
            <w:rPr>
              <w:rFonts w:ascii="Cambria Math" w:eastAsiaTheme="majorEastAsia" w:hAnsi="Cambria Math" w:cs="Arial"/>
            </w:rPr>
            <w:br/>
          </m:r>
        </m:oMath>
        <m:oMath>
          <m:borderBox>
            <m:borderBoxPr>
              <m:ctrlPr>
                <w:rPr>
                  <w:rFonts w:ascii="Cambria Math" w:eastAsiaTheme="majorEastAsia" w:hAnsi="Cambria Math" w:cs="Arial"/>
                </w:rPr>
              </m:ctrlPr>
            </m:borderBoxPr>
            <m:e>
              <m:sSub>
                <m:sSubPr>
                  <m:ctrlPr>
                    <w:rPr>
                      <w:rFonts w:ascii="Cambria Math" w:eastAsiaTheme="majorEastAsia" w:hAnsi="Cambria Math" w:cs="Arial"/>
                    </w:rPr>
                  </m:ctrlPr>
                </m:sSubPr>
                <m:e>
                  <m:r>
                    <w:rPr>
                      <w:rFonts w:ascii="Cambria Math" w:eastAsiaTheme="majorEastAsia" w:hAnsi="Cambria Math" w:cs="Arial"/>
                    </w:rPr>
                    <m:t>Z</m:t>
                  </m:r>
                </m:e>
                <m:sub>
                  <m:r>
                    <w:rPr>
                      <w:rFonts w:ascii="Cambria Math" w:eastAsiaTheme="majorEastAsia" w:hAnsi="Cambria Math" w:cs="Arial"/>
                    </w:rPr>
                    <m:t>2023</m:t>
                  </m:r>
                </m:sub>
              </m:sSub>
              <m:r>
                <w:rPr>
                  <w:rFonts w:ascii="Cambria Math" w:eastAsiaTheme="majorEastAsia" w:hAnsi="Cambria Math" w:cs="Arial"/>
                </w:rPr>
                <m:t>=1.79</m:t>
              </m:r>
            </m:e>
          </m:borderBox>
        </m:oMath>
      </m:oMathPara>
    </w:p>
    <w:p w14:paraId="33E14DC2" w14:textId="08C446B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Zone: Distress Zone</w:t>
      </w:r>
    </w:p>
    <w:p w14:paraId="6570EC22" w14:textId="77777777" w:rsidR="00707537" w:rsidRPr="00707537" w:rsidRDefault="00707537" w:rsidP="008125C4">
      <w:pPr>
        <w:spacing w:line="360" w:lineRule="auto"/>
        <w:rPr>
          <w:rFonts w:ascii="Arial" w:eastAsiaTheme="majorEastAsia" w:hAnsi="Arial" w:cs="Arial"/>
          <w:b/>
          <w:bCs/>
        </w:rPr>
      </w:pPr>
      <w:r w:rsidRPr="00707537">
        <w:rPr>
          <w:rFonts w:ascii="Arial" w:eastAsiaTheme="majorEastAsia" w:hAnsi="Arial" w:cs="Arial"/>
          <w:b/>
          <w:bCs/>
        </w:rPr>
        <w:t>Input data (2022)</w:t>
      </w:r>
    </w:p>
    <w:tbl>
      <w:tblPr>
        <w:tblStyle w:val="TableGrid"/>
        <w:tblW w:w="0" w:type="auto"/>
        <w:tblLook w:val="04A0" w:firstRow="1" w:lastRow="0" w:firstColumn="1" w:lastColumn="0" w:noHBand="0" w:noVBand="1"/>
      </w:tblPr>
      <w:tblGrid>
        <w:gridCol w:w="2191"/>
        <w:gridCol w:w="1084"/>
      </w:tblGrid>
      <w:tr w:rsidR="00707537" w:rsidRPr="00707537" w14:paraId="7E6C80A1" w14:textId="77777777" w:rsidTr="0001477F">
        <w:tc>
          <w:tcPr>
            <w:tcW w:w="0" w:type="auto"/>
            <w:hideMark/>
          </w:tcPr>
          <w:p w14:paraId="381FBA54"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Item</w:t>
            </w:r>
          </w:p>
        </w:tc>
        <w:tc>
          <w:tcPr>
            <w:tcW w:w="0" w:type="auto"/>
            <w:hideMark/>
          </w:tcPr>
          <w:p w14:paraId="343C0A86"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Value</w:t>
            </w:r>
          </w:p>
        </w:tc>
      </w:tr>
      <w:tr w:rsidR="00707537" w:rsidRPr="00707537" w14:paraId="3DA64AF4" w14:textId="77777777" w:rsidTr="0001477F">
        <w:tc>
          <w:tcPr>
            <w:tcW w:w="0" w:type="auto"/>
            <w:hideMark/>
          </w:tcPr>
          <w:p w14:paraId="238FAB6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Assets</w:t>
            </w:r>
          </w:p>
        </w:tc>
        <w:tc>
          <w:tcPr>
            <w:tcW w:w="0" w:type="auto"/>
            <w:hideMark/>
          </w:tcPr>
          <w:p w14:paraId="59AF85A1"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338,040</w:t>
            </w:r>
          </w:p>
        </w:tc>
      </w:tr>
      <w:tr w:rsidR="00707537" w:rsidRPr="00707537" w14:paraId="6B04C33A" w14:textId="77777777" w:rsidTr="0001477F">
        <w:tc>
          <w:tcPr>
            <w:tcW w:w="0" w:type="auto"/>
            <w:hideMark/>
          </w:tcPr>
          <w:p w14:paraId="2F9647D6"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Liabilities</w:t>
            </w:r>
          </w:p>
        </w:tc>
        <w:tc>
          <w:tcPr>
            <w:tcW w:w="0" w:type="auto"/>
            <w:hideMark/>
          </w:tcPr>
          <w:p w14:paraId="334EA460"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216,473</w:t>
            </w:r>
          </w:p>
        </w:tc>
      </w:tr>
      <w:tr w:rsidR="00707537" w:rsidRPr="00707537" w14:paraId="7986A26A" w14:textId="77777777" w:rsidTr="0001477F">
        <w:tc>
          <w:tcPr>
            <w:tcW w:w="0" w:type="auto"/>
            <w:hideMark/>
          </w:tcPr>
          <w:p w14:paraId="30C2656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Working Capital</w:t>
            </w:r>
          </w:p>
        </w:tc>
        <w:tc>
          <w:tcPr>
            <w:tcW w:w="0" w:type="auto"/>
            <w:hideMark/>
          </w:tcPr>
          <w:p w14:paraId="2CBA1364"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121,567</w:t>
            </w:r>
          </w:p>
        </w:tc>
      </w:tr>
      <w:tr w:rsidR="00707537" w:rsidRPr="00707537" w14:paraId="4EA08CEC" w14:textId="77777777" w:rsidTr="0001477F">
        <w:tc>
          <w:tcPr>
            <w:tcW w:w="0" w:type="auto"/>
            <w:hideMark/>
          </w:tcPr>
          <w:p w14:paraId="3D11BA76"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Retained Earnings</w:t>
            </w:r>
          </w:p>
        </w:tc>
        <w:tc>
          <w:tcPr>
            <w:tcW w:w="0" w:type="auto"/>
            <w:hideMark/>
          </w:tcPr>
          <w:p w14:paraId="6C2B27BE"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216,335</w:t>
            </w:r>
          </w:p>
        </w:tc>
      </w:tr>
      <w:tr w:rsidR="00707537" w:rsidRPr="00707537" w14:paraId="71B651AC" w14:textId="77777777" w:rsidTr="0001477F">
        <w:tc>
          <w:tcPr>
            <w:tcW w:w="0" w:type="auto"/>
            <w:hideMark/>
          </w:tcPr>
          <w:p w14:paraId="004B1EF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EBIT</w:t>
            </w:r>
          </w:p>
        </w:tc>
        <w:tc>
          <w:tcPr>
            <w:tcW w:w="0" w:type="auto"/>
            <w:hideMark/>
          </w:tcPr>
          <w:p w14:paraId="5CEFAC6A"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14,548</w:t>
            </w:r>
          </w:p>
        </w:tc>
      </w:tr>
      <w:tr w:rsidR="00707537" w:rsidRPr="00707537" w14:paraId="17AE2CF5" w14:textId="77777777" w:rsidTr="0001477F">
        <w:tc>
          <w:tcPr>
            <w:tcW w:w="0" w:type="auto"/>
            <w:hideMark/>
          </w:tcPr>
          <w:p w14:paraId="7A6822A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Equity</w:t>
            </w:r>
          </w:p>
        </w:tc>
        <w:tc>
          <w:tcPr>
            <w:tcW w:w="0" w:type="auto"/>
            <w:hideMark/>
          </w:tcPr>
          <w:p w14:paraId="080735F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268,406</w:t>
            </w:r>
          </w:p>
        </w:tc>
      </w:tr>
      <w:tr w:rsidR="00707537" w:rsidRPr="00707537" w14:paraId="58080B62" w14:textId="77777777" w:rsidTr="0001477F">
        <w:tc>
          <w:tcPr>
            <w:tcW w:w="0" w:type="auto"/>
            <w:hideMark/>
          </w:tcPr>
          <w:p w14:paraId="0FFF7FE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Liabilities</w:t>
            </w:r>
          </w:p>
        </w:tc>
        <w:tc>
          <w:tcPr>
            <w:tcW w:w="0" w:type="auto"/>
            <w:hideMark/>
          </w:tcPr>
          <w:p w14:paraId="57D9C283"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235,757</w:t>
            </w:r>
          </w:p>
        </w:tc>
      </w:tr>
      <w:tr w:rsidR="00707537" w:rsidRPr="00707537" w14:paraId="7E14C228" w14:textId="77777777" w:rsidTr="0001477F">
        <w:tc>
          <w:tcPr>
            <w:tcW w:w="0" w:type="auto"/>
            <w:hideMark/>
          </w:tcPr>
          <w:p w14:paraId="47A988B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Assets</w:t>
            </w:r>
          </w:p>
        </w:tc>
        <w:tc>
          <w:tcPr>
            <w:tcW w:w="0" w:type="auto"/>
            <w:hideMark/>
          </w:tcPr>
          <w:p w14:paraId="4DEFA834"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504,163</w:t>
            </w:r>
          </w:p>
        </w:tc>
      </w:tr>
      <w:tr w:rsidR="00707537" w:rsidRPr="00707537" w14:paraId="44E94D52" w14:textId="77777777" w:rsidTr="0001477F">
        <w:tc>
          <w:tcPr>
            <w:tcW w:w="0" w:type="auto"/>
            <w:hideMark/>
          </w:tcPr>
          <w:p w14:paraId="7D696E9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Sales</w:t>
            </w:r>
          </w:p>
        </w:tc>
        <w:tc>
          <w:tcPr>
            <w:tcW w:w="0" w:type="auto"/>
            <w:hideMark/>
          </w:tcPr>
          <w:p w14:paraId="50C5876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542,751</w:t>
            </w:r>
          </w:p>
        </w:tc>
      </w:tr>
    </w:tbl>
    <w:p w14:paraId="45480BC5"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Ratio calculations</w:t>
      </w:r>
    </w:p>
    <w:p w14:paraId="77F85B41" w14:textId="284C8E08" w:rsidR="00707537" w:rsidRPr="00707537" w:rsidRDefault="00000000" w:rsidP="008125C4">
      <w:pPr>
        <w:spacing w:line="360" w:lineRule="auto"/>
        <w:rPr>
          <w:rFonts w:ascii="Arial" w:eastAsiaTheme="majorEastAsia" w:hAnsi="Arial" w:cs="Arial"/>
        </w:rPr>
      </w:pPr>
      <m:oMathPara>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1</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121,567</m:t>
              </m:r>
            </m:num>
            <m:den>
              <m:r>
                <w:rPr>
                  <w:rFonts w:ascii="Cambria Math" w:eastAsiaTheme="majorEastAsia" w:hAnsi="Cambria Math" w:cs="Arial"/>
                </w:rPr>
                <m:t>504,163</m:t>
              </m:r>
            </m:den>
          </m:f>
          <m:r>
            <w:rPr>
              <w:rFonts w:ascii="Cambria Math" w:eastAsiaTheme="majorEastAsia" w:hAnsi="Cambria Math" w:cs="Arial"/>
            </w:rPr>
            <m:t>=0.241</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2</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216,335</m:t>
              </m:r>
            </m:num>
            <m:den>
              <m:r>
                <w:rPr>
                  <w:rFonts w:ascii="Cambria Math" w:eastAsiaTheme="majorEastAsia" w:hAnsi="Cambria Math" w:cs="Arial"/>
                </w:rPr>
                <m:t>504,163</m:t>
              </m:r>
            </m:den>
          </m:f>
          <m:r>
            <w:rPr>
              <w:rFonts w:ascii="Cambria Math" w:eastAsiaTheme="majorEastAsia" w:hAnsi="Cambria Math" w:cs="Arial"/>
            </w:rPr>
            <m:t>=0.429</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3</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14,548</m:t>
              </m:r>
            </m:num>
            <m:den>
              <m:r>
                <w:rPr>
                  <w:rFonts w:ascii="Cambria Math" w:eastAsiaTheme="majorEastAsia" w:hAnsi="Cambria Math" w:cs="Arial"/>
                </w:rPr>
                <m:t>504,163</m:t>
              </m:r>
            </m:den>
          </m:f>
          <m:r>
            <w:rPr>
              <w:rFonts w:ascii="Cambria Math" w:eastAsiaTheme="majorEastAsia" w:hAnsi="Cambria Math" w:cs="Arial"/>
            </w:rPr>
            <m:t>=0.029</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4</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268,406</m:t>
              </m:r>
            </m:num>
            <m:den>
              <m:r>
                <w:rPr>
                  <w:rFonts w:ascii="Cambria Math" w:eastAsiaTheme="majorEastAsia" w:hAnsi="Cambria Math" w:cs="Arial"/>
                </w:rPr>
                <m:t>235,757</m:t>
              </m:r>
            </m:den>
          </m:f>
          <m:r>
            <w:rPr>
              <w:rFonts w:ascii="Cambria Math" w:eastAsiaTheme="majorEastAsia" w:hAnsi="Cambria Math" w:cs="Arial"/>
            </w:rPr>
            <m:t>=1.139</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5</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542,751</m:t>
              </m:r>
            </m:num>
            <m:den>
              <m:r>
                <w:rPr>
                  <w:rFonts w:ascii="Cambria Math" w:eastAsiaTheme="majorEastAsia" w:hAnsi="Cambria Math" w:cs="Arial"/>
                </w:rPr>
                <m:t>504,163</m:t>
              </m:r>
            </m:den>
          </m:f>
          <m:r>
            <w:rPr>
              <w:rFonts w:ascii="Cambria Math" w:eastAsiaTheme="majorEastAsia" w:hAnsi="Cambria Math" w:cs="Arial"/>
            </w:rPr>
            <m:t>=1.076</m:t>
          </m:r>
        </m:oMath>
      </m:oMathPara>
    </w:p>
    <w:p w14:paraId="0DD1D2E3"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Weighted score</w:t>
      </w:r>
    </w:p>
    <w:p w14:paraId="4594151F" w14:textId="069A5337" w:rsidR="00707537" w:rsidRPr="00707537" w:rsidRDefault="00000000" w:rsidP="008125C4">
      <w:pPr>
        <w:spacing w:line="360" w:lineRule="auto"/>
        <w:rPr>
          <w:rFonts w:ascii="Arial" w:eastAsiaTheme="majorEastAsia" w:hAnsi="Arial" w:cs="Arial"/>
        </w:rPr>
      </w:pPr>
      <m:oMathPara>
        <m:oMath>
          <m:borderBox>
            <m:borderBoxPr>
              <m:ctrlPr>
                <w:rPr>
                  <w:rFonts w:ascii="Cambria Math" w:eastAsiaTheme="majorEastAsia" w:hAnsi="Cambria Math" w:cs="Arial"/>
                </w:rPr>
              </m:ctrlPr>
            </m:borderBoxPr>
            <m:e>
              <m:sSub>
                <m:sSubPr>
                  <m:ctrlPr>
                    <w:rPr>
                      <w:rFonts w:ascii="Cambria Math" w:eastAsiaTheme="majorEastAsia" w:hAnsi="Cambria Math" w:cs="Arial"/>
                    </w:rPr>
                  </m:ctrlPr>
                </m:sSubPr>
                <m:e>
                  <m:r>
                    <w:rPr>
                      <w:rFonts w:ascii="Cambria Math" w:eastAsiaTheme="majorEastAsia" w:hAnsi="Cambria Math" w:cs="Arial"/>
                    </w:rPr>
                    <m:t>Z</m:t>
                  </m:r>
                </m:e>
                <m:sub>
                  <m:r>
                    <w:rPr>
                      <w:rFonts w:ascii="Cambria Math" w:eastAsiaTheme="majorEastAsia" w:hAnsi="Cambria Math" w:cs="Arial"/>
                    </w:rPr>
                    <m:t>2022</m:t>
                  </m:r>
                </m:sub>
              </m:sSub>
              <m:r>
                <w:rPr>
                  <w:rFonts w:ascii="Cambria Math" w:eastAsiaTheme="majorEastAsia" w:hAnsi="Cambria Math" w:cs="Arial"/>
                </w:rPr>
                <m:t>=0.289+0.601+0.096+0.683+1.076=2.75</m:t>
              </m:r>
            </m:e>
          </m:borderBox>
        </m:oMath>
      </m:oMathPara>
    </w:p>
    <w:p w14:paraId="0588C138" w14:textId="671A8CF5" w:rsidR="00707537" w:rsidRPr="00707537" w:rsidRDefault="00707537" w:rsidP="0001477F">
      <w:pPr>
        <w:spacing w:line="360" w:lineRule="auto"/>
        <w:jc w:val="center"/>
        <w:rPr>
          <w:rFonts w:ascii="Arial" w:eastAsiaTheme="majorEastAsia" w:hAnsi="Arial" w:cs="Arial"/>
        </w:rPr>
      </w:pPr>
      <w:r w:rsidRPr="00707537">
        <w:rPr>
          <w:rFonts w:ascii="Arial" w:eastAsiaTheme="majorEastAsia" w:hAnsi="Arial" w:cs="Arial"/>
        </w:rPr>
        <w:t>Zone: Grey Zone</w:t>
      </w:r>
    </w:p>
    <w:p w14:paraId="6A6939EA" w14:textId="77777777" w:rsidR="00707537" w:rsidRPr="00707537" w:rsidRDefault="00707537" w:rsidP="008125C4">
      <w:pPr>
        <w:spacing w:line="360" w:lineRule="auto"/>
        <w:rPr>
          <w:rFonts w:ascii="Arial" w:eastAsiaTheme="majorEastAsia" w:hAnsi="Arial" w:cs="Arial"/>
          <w:b/>
          <w:bCs/>
        </w:rPr>
      </w:pPr>
      <w:r w:rsidRPr="00707537">
        <w:rPr>
          <w:rFonts w:ascii="Arial" w:eastAsiaTheme="majorEastAsia" w:hAnsi="Arial" w:cs="Arial"/>
          <w:b/>
          <w:bCs/>
        </w:rPr>
        <w:t>Input data (2021)</w:t>
      </w:r>
    </w:p>
    <w:tbl>
      <w:tblPr>
        <w:tblStyle w:val="TableGrid"/>
        <w:tblW w:w="0" w:type="auto"/>
        <w:tblLook w:val="04A0" w:firstRow="1" w:lastRow="0" w:firstColumn="1" w:lastColumn="0" w:noHBand="0" w:noVBand="1"/>
      </w:tblPr>
      <w:tblGrid>
        <w:gridCol w:w="2191"/>
        <w:gridCol w:w="1084"/>
      </w:tblGrid>
      <w:tr w:rsidR="00707537" w:rsidRPr="00707537" w14:paraId="5CDAA17D" w14:textId="77777777" w:rsidTr="0001477F">
        <w:tc>
          <w:tcPr>
            <w:tcW w:w="0" w:type="auto"/>
            <w:hideMark/>
          </w:tcPr>
          <w:p w14:paraId="61DFA52A"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Item</w:t>
            </w:r>
          </w:p>
        </w:tc>
        <w:tc>
          <w:tcPr>
            <w:tcW w:w="0" w:type="auto"/>
            <w:hideMark/>
          </w:tcPr>
          <w:p w14:paraId="5BD0305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Value</w:t>
            </w:r>
          </w:p>
        </w:tc>
      </w:tr>
      <w:tr w:rsidR="00707537" w:rsidRPr="00707537" w14:paraId="05A0DB43" w14:textId="77777777" w:rsidTr="0001477F">
        <w:tc>
          <w:tcPr>
            <w:tcW w:w="0" w:type="auto"/>
            <w:hideMark/>
          </w:tcPr>
          <w:p w14:paraId="4A72213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Assets</w:t>
            </w:r>
          </w:p>
        </w:tc>
        <w:tc>
          <w:tcPr>
            <w:tcW w:w="0" w:type="auto"/>
            <w:hideMark/>
          </w:tcPr>
          <w:p w14:paraId="1771D90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337,146</w:t>
            </w:r>
          </w:p>
        </w:tc>
      </w:tr>
      <w:tr w:rsidR="00707537" w:rsidRPr="00707537" w14:paraId="45C21F8B" w14:textId="77777777" w:rsidTr="0001477F">
        <w:tc>
          <w:tcPr>
            <w:tcW w:w="0" w:type="auto"/>
            <w:hideMark/>
          </w:tcPr>
          <w:p w14:paraId="07083F6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Liabilities</w:t>
            </w:r>
          </w:p>
        </w:tc>
        <w:tc>
          <w:tcPr>
            <w:tcW w:w="0" w:type="auto"/>
            <w:hideMark/>
          </w:tcPr>
          <w:p w14:paraId="627536B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216,787</w:t>
            </w:r>
          </w:p>
        </w:tc>
      </w:tr>
      <w:tr w:rsidR="00707537" w:rsidRPr="00707537" w14:paraId="2001C63E" w14:textId="77777777" w:rsidTr="0001477F">
        <w:tc>
          <w:tcPr>
            <w:tcW w:w="0" w:type="auto"/>
            <w:hideMark/>
          </w:tcPr>
          <w:p w14:paraId="4340EF63"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Working Capital</w:t>
            </w:r>
          </w:p>
        </w:tc>
        <w:tc>
          <w:tcPr>
            <w:tcW w:w="0" w:type="auto"/>
            <w:hideMark/>
          </w:tcPr>
          <w:p w14:paraId="2D2C854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120,359</w:t>
            </w:r>
          </w:p>
        </w:tc>
      </w:tr>
      <w:tr w:rsidR="00707537" w:rsidRPr="00707537" w14:paraId="55C7BE21" w14:textId="77777777" w:rsidTr="0001477F">
        <w:tc>
          <w:tcPr>
            <w:tcW w:w="0" w:type="auto"/>
            <w:hideMark/>
          </w:tcPr>
          <w:p w14:paraId="7F1EFD01"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Retained Earnings</w:t>
            </w:r>
          </w:p>
        </w:tc>
        <w:tc>
          <w:tcPr>
            <w:tcW w:w="0" w:type="auto"/>
            <w:hideMark/>
          </w:tcPr>
          <w:p w14:paraId="62DD1050"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215,928</w:t>
            </w:r>
          </w:p>
        </w:tc>
      </w:tr>
      <w:tr w:rsidR="00707537" w:rsidRPr="00707537" w14:paraId="6046150B" w14:textId="77777777" w:rsidTr="0001477F">
        <w:tc>
          <w:tcPr>
            <w:tcW w:w="0" w:type="auto"/>
            <w:hideMark/>
          </w:tcPr>
          <w:p w14:paraId="6AD5D57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EBIT</w:t>
            </w:r>
          </w:p>
        </w:tc>
        <w:tc>
          <w:tcPr>
            <w:tcW w:w="0" w:type="auto"/>
            <w:hideMark/>
          </w:tcPr>
          <w:p w14:paraId="286C5D5A"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23,253</w:t>
            </w:r>
          </w:p>
        </w:tc>
      </w:tr>
      <w:tr w:rsidR="00707537" w:rsidRPr="00707537" w14:paraId="1C5E04F7" w14:textId="77777777" w:rsidTr="0001477F">
        <w:tc>
          <w:tcPr>
            <w:tcW w:w="0" w:type="auto"/>
            <w:hideMark/>
          </w:tcPr>
          <w:p w14:paraId="7BA22E8B"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Equity</w:t>
            </w:r>
          </w:p>
        </w:tc>
        <w:tc>
          <w:tcPr>
            <w:tcW w:w="0" w:type="auto"/>
            <w:hideMark/>
          </w:tcPr>
          <w:p w14:paraId="17E08BC0"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275,949</w:t>
            </w:r>
          </w:p>
        </w:tc>
      </w:tr>
      <w:tr w:rsidR="00707537" w:rsidRPr="00707537" w14:paraId="4E6BA734" w14:textId="77777777" w:rsidTr="0001477F">
        <w:tc>
          <w:tcPr>
            <w:tcW w:w="0" w:type="auto"/>
            <w:hideMark/>
          </w:tcPr>
          <w:p w14:paraId="5DF144C1"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Liabilities</w:t>
            </w:r>
          </w:p>
        </w:tc>
        <w:tc>
          <w:tcPr>
            <w:tcW w:w="0" w:type="auto"/>
            <w:hideMark/>
          </w:tcPr>
          <w:p w14:paraId="0BE795D4"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234,399</w:t>
            </w:r>
          </w:p>
        </w:tc>
      </w:tr>
      <w:tr w:rsidR="00707537" w:rsidRPr="00707537" w14:paraId="3499002B" w14:textId="77777777" w:rsidTr="0001477F">
        <w:tc>
          <w:tcPr>
            <w:tcW w:w="0" w:type="auto"/>
            <w:hideMark/>
          </w:tcPr>
          <w:p w14:paraId="12FA50C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Assets</w:t>
            </w:r>
          </w:p>
        </w:tc>
        <w:tc>
          <w:tcPr>
            <w:tcW w:w="0" w:type="auto"/>
            <w:hideMark/>
          </w:tcPr>
          <w:p w14:paraId="27F9C8C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510,348</w:t>
            </w:r>
          </w:p>
        </w:tc>
      </w:tr>
      <w:tr w:rsidR="00707537" w:rsidRPr="00707537" w14:paraId="6356C1E4" w14:textId="77777777" w:rsidTr="0001477F">
        <w:tc>
          <w:tcPr>
            <w:tcW w:w="0" w:type="auto"/>
            <w:hideMark/>
          </w:tcPr>
          <w:p w14:paraId="6CA8451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Sales</w:t>
            </w:r>
          </w:p>
        </w:tc>
        <w:tc>
          <w:tcPr>
            <w:tcW w:w="0" w:type="auto"/>
            <w:hideMark/>
          </w:tcPr>
          <w:p w14:paraId="0E6F6A89"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601,602</w:t>
            </w:r>
          </w:p>
        </w:tc>
      </w:tr>
    </w:tbl>
    <w:p w14:paraId="1259238B"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Ratio calculations</w:t>
      </w:r>
    </w:p>
    <w:p w14:paraId="00B54B90" w14:textId="18A8F446" w:rsidR="00707537" w:rsidRPr="00707537" w:rsidRDefault="00000000" w:rsidP="008125C4">
      <w:pPr>
        <w:spacing w:line="360" w:lineRule="auto"/>
        <w:rPr>
          <w:rFonts w:ascii="Arial" w:eastAsiaTheme="majorEastAsia" w:hAnsi="Arial" w:cs="Arial"/>
        </w:rPr>
      </w:pPr>
      <m:oMathPara>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1</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120,359</m:t>
              </m:r>
            </m:num>
            <m:den>
              <m:r>
                <w:rPr>
                  <w:rFonts w:ascii="Cambria Math" w:eastAsiaTheme="majorEastAsia" w:hAnsi="Cambria Math" w:cs="Arial"/>
                </w:rPr>
                <m:t>510,348</m:t>
              </m:r>
            </m:den>
          </m:f>
          <m:r>
            <w:rPr>
              <w:rFonts w:ascii="Cambria Math" w:eastAsiaTheme="majorEastAsia" w:hAnsi="Cambria Math" w:cs="Arial"/>
            </w:rPr>
            <m:t>=0.236</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2</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215,928</m:t>
              </m:r>
            </m:num>
            <m:den>
              <m:r>
                <w:rPr>
                  <w:rFonts w:ascii="Cambria Math" w:eastAsiaTheme="majorEastAsia" w:hAnsi="Cambria Math" w:cs="Arial"/>
                </w:rPr>
                <m:t>510,348</m:t>
              </m:r>
            </m:den>
          </m:f>
          <m:r>
            <w:rPr>
              <w:rFonts w:ascii="Cambria Math" w:eastAsiaTheme="majorEastAsia" w:hAnsi="Cambria Math" w:cs="Arial"/>
            </w:rPr>
            <m:t>=0.423</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3</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23,253</m:t>
              </m:r>
            </m:num>
            <m:den>
              <m:r>
                <w:rPr>
                  <w:rFonts w:ascii="Cambria Math" w:eastAsiaTheme="majorEastAsia" w:hAnsi="Cambria Math" w:cs="Arial"/>
                </w:rPr>
                <m:t>510,348</m:t>
              </m:r>
            </m:den>
          </m:f>
          <m:r>
            <w:rPr>
              <w:rFonts w:ascii="Cambria Math" w:eastAsiaTheme="majorEastAsia" w:hAnsi="Cambria Math" w:cs="Arial"/>
            </w:rPr>
            <m:t>=0.046</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4</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275,949</m:t>
              </m:r>
            </m:num>
            <m:den>
              <m:r>
                <w:rPr>
                  <w:rFonts w:ascii="Cambria Math" w:eastAsiaTheme="majorEastAsia" w:hAnsi="Cambria Math" w:cs="Arial"/>
                </w:rPr>
                <m:t>234,399</m:t>
              </m:r>
            </m:den>
          </m:f>
          <m:r>
            <w:rPr>
              <w:rFonts w:ascii="Cambria Math" w:eastAsiaTheme="majorEastAsia" w:hAnsi="Cambria Math" w:cs="Arial"/>
            </w:rPr>
            <m:t>=1.177</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5</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601,602</m:t>
              </m:r>
            </m:num>
            <m:den>
              <m:r>
                <w:rPr>
                  <w:rFonts w:ascii="Cambria Math" w:eastAsiaTheme="majorEastAsia" w:hAnsi="Cambria Math" w:cs="Arial"/>
                </w:rPr>
                <m:t>510,348</m:t>
              </m:r>
            </m:den>
          </m:f>
          <m:r>
            <w:rPr>
              <w:rFonts w:ascii="Cambria Math" w:eastAsiaTheme="majorEastAsia" w:hAnsi="Cambria Math" w:cs="Arial"/>
            </w:rPr>
            <m:t>=1.179</m:t>
          </m:r>
          <m:r>
            <w:rPr>
              <w:rFonts w:ascii="Cambria Math" w:eastAsiaTheme="majorEastAsia" w:hAnsi="Cambria Math" w:cs="Arial"/>
            </w:rPr>
            <w:br/>
          </m:r>
        </m:oMath>
      </m:oMathPara>
    </w:p>
    <w:p w14:paraId="46209267"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Weighted score</w:t>
      </w:r>
    </w:p>
    <w:p w14:paraId="6A9D5102" w14:textId="3A1A020E" w:rsidR="00707537" w:rsidRPr="00707537" w:rsidRDefault="00000000" w:rsidP="008125C4">
      <w:pPr>
        <w:spacing w:line="360" w:lineRule="auto"/>
        <w:rPr>
          <w:rFonts w:ascii="Arial" w:eastAsiaTheme="majorEastAsia" w:hAnsi="Arial" w:cs="Arial"/>
        </w:rPr>
      </w:pPr>
      <m:oMathPara>
        <m:oMath>
          <m:borderBox>
            <m:borderBoxPr>
              <m:ctrlPr>
                <w:rPr>
                  <w:rFonts w:ascii="Cambria Math" w:eastAsiaTheme="majorEastAsia" w:hAnsi="Cambria Math" w:cs="Arial"/>
                </w:rPr>
              </m:ctrlPr>
            </m:borderBoxPr>
            <m:e>
              <m:sSub>
                <m:sSubPr>
                  <m:ctrlPr>
                    <w:rPr>
                      <w:rFonts w:ascii="Cambria Math" w:eastAsiaTheme="majorEastAsia" w:hAnsi="Cambria Math" w:cs="Arial"/>
                    </w:rPr>
                  </m:ctrlPr>
                </m:sSubPr>
                <m:e>
                  <m:r>
                    <w:rPr>
                      <w:rFonts w:ascii="Cambria Math" w:eastAsiaTheme="majorEastAsia" w:hAnsi="Cambria Math" w:cs="Arial"/>
                    </w:rPr>
                    <m:t>Z</m:t>
                  </m:r>
                </m:e>
                <m:sub>
                  <m:r>
                    <w:rPr>
                      <w:rFonts w:ascii="Cambria Math" w:eastAsiaTheme="majorEastAsia" w:hAnsi="Cambria Math" w:cs="Arial"/>
                    </w:rPr>
                    <m:t>2021</m:t>
                  </m:r>
                </m:sub>
              </m:sSub>
              <m:r>
                <w:rPr>
                  <w:rFonts w:ascii="Cambria Math" w:eastAsiaTheme="majorEastAsia" w:hAnsi="Cambria Math" w:cs="Arial"/>
                </w:rPr>
                <m:t>=0.283+0.592+0.152+0.706+1.179=2.91</m:t>
              </m:r>
            </m:e>
          </m:borderBox>
        </m:oMath>
      </m:oMathPara>
    </w:p>
    <w:p w14:paraId="10D54F15" w14:textId="30DE828D" w:rsidR="00707537" w:rsidRPr="00707537" w:rsidRDefault="00707537" w:rsidP="0001477F">
      <w:pPr>
        <w:spacing w:line="360" w:lineRule="auto"/>
        <w:jc w:val="center"/>
        <w:rPr>
          <w:rFonts w:ascii="Arial" w:eastAsiaTheme="majorEastAsia" w:hAnsi="Arial" w:cs="Arial"/>
        </w:rPr>
      </w:pPr>
      <w:r w:rsidRPr="00707537">
        <w:rPr>
          <w:rFonts w:ascii="Arial" w:eastAsiaTheme="majorEastAsia" w:hAnsi="Arial" w:cs="Arial"/>
        </w:rPr>
        <w:t>Zone: Grey Zone</w:t>
      </w:r>
    </w:p>
    <w:p w14:paraId="62478788" w14:textId="77777777" w:rsidR="00707537" w:rsidRPr="00707537" w:rsidRDefault="00707537" w:rsidP="008125C4">
      <w:pPr>
        <w:spacing w:line="360" w:lineRule="auto"/>
        <w:rPr>
          <w:rFonts w:ascii="Arial" w:eastAsiaTheme="majorEastAsia" w:hAnsi="Arial" w:cs="Arial"/>
          <w:b/>
          <w:bCs/>
        </w:rPr>
      </w:pPr>
      <w:r w:rsidRPr="00707537">
        <w:rPr>
          <w:rFonts w:ascii="Arial" w:eastAsiaTheme="majorEastAsia" w:hAnsi="Arial" w:cs="Arial"/>
          <w:b/>
          <w:bCs/>
        </w:rPr>
        <w:t>Input data (2020)</w:t>
      </w:r>
    </w:p>
    <w:tbl>
      <w:tblPr>
        <w:tblStyle w:val="TableGrid"/>
        <w:tblW w:w="0" w:type="auto"/>
        <w:tblLook w:val="04A0" w:firstRow="1" w:lastRow="0" w:firstColumn="1" w:lastColumn="0" w:noHBand="0" w:noVBand="1"/>
      </w:tblPr>
      <w:tblGrid>
        <w:gridCol w:w="2191"/>
        <w:gridCol w:w="1084"/>
      </w:tblGrid>
      <w:tr w:rsidR="00707537" w:rsidRPr="00707537" w14:paraId="1C19F3C3" w14:textId="77777777" w:rsidTr="0001477F">
        <w:tc>
          <w:tcPr>
            <w:tcW w:w="0" w:type="auto"/>
            <w:hideMark/>
          </w:tcPr>
          <w:p w14:paraId="6D27615E"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Item</w:t>
            </w:r>
          </w:p>
        </w:tc>
        <w:tc>
          <w:tcPr>
            <w:tcW w:w="0" w:type="auto"/>
            <w:hideMark/>
          </w:tcPr>
          <w:p w14:paraId="1ACF41B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Value</w:t>
            </w:r>
          </w:p>
        </w:tc>
      </w:tr>
      <w:tr w:rsidR="00707537" w:rsidRPr="00707537" w14:paraId="60BADD75" w14:textId="77777777" w:rsidTr="0001477F">
        <w:tc>
          <w:tcPr>
            <w:tcW w:w="0" w:type="auto"/>
            <w:hideMark/>
          </w:tcPr>
          <w:p w14:paraId="2AA93C3C"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Assets</w:t>
            </w:r>
          </w:p>
        </w:tc>
        <w:tc>
          <w:tcPr>
            <w:tcW w:w="0" w:type="auto"/>
            <w:hideMark/>
          </w:tcPr>
          <w:p w14:paraId="39788CB5"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326,843</w:t>
            </w:r>
          </w:p>
        </w:tc>
      </w:tr>
      <w:tr w:rsidR="00707537" w:rsidRPr="00707537" w14:paraId="37470D03" w14:textId="77777777" w:rsidTr="0001477F">
        <w:tc>
          <w:tcPr>
            <w:tcW w:w="0" w:type="auto"/>
            <w:hideMark/>
          </w:tcPr>
          <w:p w14:paraId="7BCECC4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Current Liabilities</w:t>
            </w:r>
          </w:p>
        </w:tc>
        <w:tc>
          <w:tcPr>
            <w:tcW w:w="0" w:type="auto"/>
            <w:hideMark/>
          </w:tcPr>
          <w:p w14:paraId="4780E7BD"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179,510</w:t>
            </w:r>
          </w:p>
        </w:tc>
      </w:tr>
      <w:tr w:rsidR="00707537" w:rsidRPr="00707537" w14:paraId="05B0D4B7" w14:textId="77777777" w:rsidTr="0001477F">
        <w:tc>
          <w:tcPr>
            <w:tcW w:w="0" w:type="auto"/>
            <w:hideMark/>
          </w:tcPr>
          <w:p w14:paraId="3BCAED4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Working Capital</w:t>
            </w:r>
          </w:p>
        </w:tc>
        <w:tc>
          <w:tcPr>
            <w:tcW w:w="0" w:type="auto"/>
            <w:hideMark/>
          </w:tcPr>
          <w:p w14:paraId="72FD97AE"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147,333</w:t>
            </w:r>
          </w:p>
        </w:tc>
      </w:tr>
      <w:tr w:rsidR="00707537" w:rsidRPr="00707537" w14:paraId="3B033E46" w14:textId="77777777" w:rsidTr="0001477F">
        <w:tc>
          <w:tcPr>
            <w:tcW w:w="0" w:type="auto"/>
            <w:hideMark/>
          </w:tcPr>
          <w:p w14:paraId="6BDD3689"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Retained Earnings</w:t>
            </w:r>
          </w:p>
        </w:tc>
        <w:tc>
          <w:tcPr>
            <w:tcW w:w="0" w:type="auto"/>
            <w:hideMark/>
          </w:tcPr>
          <w:p w14:paraId="20821F9B"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216,807</w:t>
            </w:r>
          </w:p>
        </w:tc>
      </w:tr>
      <w:tr w:rsidR="00707537" w:rsidRPr="00707537" w14:paraId="6EAD9C05" w14:textId="77777777" w:rsidTr="0001477F">
        <w:tc>
          <w:tcPr>
            <w:tcW w:w="0" w:type="auto"/>
            <w:hideMark/>
          </w:tcPr>
          <w:p w14:paraId="0678C96B"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EBIT</w:t>
            </w:r>
          </w:p>
        </w:tc>
        <w:tc>
          <w:tcPr>
            <w:tcW w:w="0" w:type="auto"/>
            <w:hideMark/>
          </w:tcPr>
          <w:p w14:paraId="62D3B402"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37,267</w:t>
            </w:r>
          </w:p>
        </w:tc>
      </w:tr>
      <w:tr w:rsidR="00707537" w:rsidRPr="00707537" w14:paraId="15CD178D" w14:textId="77777777" w:rsidTr="0001477F">
        <w:tc>
          <w:tcPr>
            <w:tcW w:w="0" w:type="auto"/>
            <w:hideMark/>
          </w:tcPr>
          <w:p w14:paraId="1547703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Equity</w:t>
            </w:r>
          </w:p>
        </w:tc>
        <w:tc>
          <w:tcPr>
            <w:tcW w:w="0" w:type="auto"/>
            <w:hideMark/>
          </w:tcPr>
          <w:p w14:paraId="70A8C651"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313,301</w:t>
            </w:r>
          </w:p>
        </w:tc>
      </w:tr>
      <w:tr w:rsidR="00707537" w:rsidRPr="00707537" w14:paraId="6DC0EFB1" w14:textId="77777777" w:rsidTr="0001477F">
        <w:tc>
          <w:tcPr>
            <w:tcW w:w="0" w:type="auto"/>
            <w:hideMark/>
          </w:tcPr>
          <w:p w14:paraId="780D3517"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Liabilities</w:t>
            </w:r>
          </w:p>
        </w:tc>
        <w:tc>
          <w:tcPr>
            <w:tcW w:w="0" w:type="auto"/>
            <w:hideMark/>
          </w:tcPr>
          <w:p w14:paraId="2DBAAE64"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196,989</w:t>
            </w:r>
          </w:p>
        </w:tc>
      </w:tr>
      <w:tr w:rsidR="00707537" w:rsidRPr="00707537" w14:paraId="72A3C321" w14:textId="77777777" w:rsidTr="0001477F">
        <w:tc>
          <w:tcPr>
            <w:tcW w:w="0" w:type="auto"/>
            <w:hideMark/>
          </w:tcPr>
          <w:p w14:paraId="1DB85070"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Total Assets</w:t>
            </w:r>
          </w:p>
        </w:tc>
        <w:tc>
          <w:tcPr>
            <w:tcW w:w="0" w:type="auto"/>
            <w:hideMark/>
          </w:tcPr>
          <w:p w14:paraId="42F2AB55"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510,290</w:t>
            </w:r>
          </w:p>
        </w:tc>
      </w:tr>
      <w:tr w:rsidR="00707537" w:rsidRPr="00707537" w14:paraId="2E5E7C5C" w14:textId="77777777" w:rsidTr="0001477F">
        <w:tc>
          <w:tcPr>
            <w:tcW w:w="0" w:type="auto"/>
            <w:hideMark/>
          </w:tcPr>
          <w:p w14:paraId="0F81AE5F"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Sales</w:t>
            </w:r>
          </w:p>
        </w:tc>
        <w:tc>
          <w:tcPr>
            <w:tcW w:w="0" w:type="auto"/>
            <w:hideMark/>
          </w:tcPr>
          <w:p w14:paraId="7D0B1CD8" w14:textId="77777777" w:rsidR="00707537" w:rsidRPr="00707537" w:rsidRDefault="00707537" w:rsidP="008125C4">
            <w:pPr>
              <w:spacing w:after="160" w:line="360" w:lineRule="auto"/>
              <w:rPr>
                <w:rFonts w:ascii="Arial" w:eastAsiaTheme="majorEastAsia" w:hAnsi="Arial" w:cs="Arial"/>
              </w:rPr>
            </w:pPr>
            <w:r w:rsidRPr="00707537">
              <w:rPr>
                <w:rFonts w:ascii="Arial" w:eastAsiaTheme="majorEastAsia" w:hAnsi="Arial" w:cs="Arial"/>
              </w:rPr>
              <w:t>614,680</w:t>
            </w:r>
          </w:p>
        </w:tc>
      </w:tr>
    </w:tbl>
    <w:p w14:paraId="79D5B2DB"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Ratio calculations</w:t>
      </w:r>
    </w:p>
    <w:p w14:paraId="163B68CF" w14:textId="32B66B57" w:rsidR="00707537" w:rsidRPr="00707537" w:rsidRDefault="00000000" w:rsidP="008125C4">
      <w:pPr>
        <w:spacing w:line="360" w:lineRule="auto"/>
        <w:rPr>
          <w:rFonts w:ascii="Arial" w:eastAsiaTheme="majorEastAsia" w:hAnsi="Arial" w:cs="Arial"/>
        </w:rPr>
      </w:pPr>
      <m:oMathPara>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1</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147,333</m:t>
              </m:r>
            </m:num>
            <m:den>
              <m:r>
                <w:rPr>
                  <w:rFonts w:ascii="Cambria Math" w:eastAsiaTheme="majorEastAsia" w:hAnsi="Cambria Math" w:cs="Arial"/>
                </w:rPr>
                <m:t>510,290</m:t>
              </m:r>
            </m:den>
          </m:f>
          <m:r>
            <w:rPr>
              <w:rFonts w:ascii="Cambria Math" w:eastAsiaTheme="majorEastAsia" w:hAnsi="Cambria Math" w:cs="Arial"/>
            </w:rPr>
            <m:t>=0.289</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2</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216,807</m:t>
              </m:r>
            </m:num>
            <m:den>
              <m:r>
                <w:rPr>
                  <w:rFonts w:ascii="Cambria Math" w:eastAsiaTheme="majorEastAsia" w:hAnsi="Cambria Math" w:cs="Arial"/>
                </w:rPr>
                <m:t>510,290</m:t>
              </m:r>
            </m:den>
          </m:f>
          <m:r>
            <w:rPr>
              <w:rFonts w:ascii="Cambria Math" w:eastAsiaTheme="majorEastAsia" w:hAnsi="Cambria Math" w:cs="Arial"/>
            </w:rPr>
            <m:t>=0.425</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3</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37,267</m:t>
              </m:r>
            </m:num>
            <m:den>
              <m:r>
                <w:rPr>
                  <w:rFonts w:ascii="Cambria Math" w:eastAsiaTheme="majorEastAsia" w:hAnsi="Cambria Math" w:cs="Arial"/>
                </w:rPr>
                <m:t>510,290</m:t>
              </m:r>
            </m:den>
          </m:f>
          <m:r>
            <w:rPr>
              <w:rFonts w:ascii="Cambria Math" w:eastAsiaTheme="majorEastAsia" w:hAnsi="Cambria Math" w:cs="Arial"/>
            </w:rPr>
            <m:t>=0.073</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4</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313,301</m:t>
              </m:r>
            </m:num>
            <m:den>
              <m:r>
                <w:rPr>
                  <w:rFonts w:ascii="Cambria Math" w:eastAsiaTheme="majorEastAsia" w:hAnsi="Cambria Math" w:cs="Arial"/>
                </w:rPr>
                <m:t>196,989</m:t>
              </m:r>
            </m:den>
          </m:f>
          <m:r>
            <w:rPr>
              <w:rFonts w:ascii="Cambria Math" w:eastAsiaTheme="majorEastAsia" w:hAnsi="Cambria Math" w:cs="Arial"/>
            </w:rPr>
            <m:t>=1.591</m:t>
          </m:r>
          <m:r>
            <w:rPr>
              <w:rFonts w:ascii="Cambria Math" w:eastAsiaTheme="majorEastAsia" w:hAnsi="Cambria Math" w:cs="Arial"/>
            </w:rPr>
            <w:br/>
          </m:r>
        </m:oMath>
        <m:oMath>
          <m:sSub>
            <m:sSubPr>
              <m:ctrlPr>
                <w:rPr>
                  <w:rFonts w:ascii="Cambria Math" w:eastAsiaTheme="majorEastAsia" w:hAnsi="Cambria Math" w:cs="Arial"/>
                </w:rPr>
              </m:ctrlPr>
            </m:sSubPr>
            <m:e>
              <m:r>
                <w:rPr>
                  <w:rFonts w:ascii="Cambria Math" w:eastAsiaTheme="majorEastAsia" w:hAnsi="Cambria Math" w:cs="Arial"/>
                </w:rPr>
                <m:t>X</m:t>
              </m:r>
            </m:e>
            <m:sub>
              <m:r>
                <w:rPr>
                  <w:rFonts w:ascii="Cambria Math" w:eastAsiaTheme="majorEastAsia" w:hAnsi="Cambria Math" w:cs="Arial"/>
                </w:rPr>
                <m:t>5</m:t>
              </m:r>
            </m:sub>
          </m:sSub>
          <m:r>
            <w:rPr>
              <w:rFonts w:ascii="Cambria Math" w:eastAsiaTheme="majorEastAsia" w:hAnsi="Cambria Math" w:cs="Arial"/>
            </w:rPr>
            <m:t>=</m:t>
          </m:r>
          <m:f>
            <m:fPr>
              <m:ctrlPr>
                <w:rPr>
                  <w:rFonts w:ascii="Cambria Math" w:eastAsiaTheme="majorEastAsia" w:hAnsi="Cambria Math" w:cs="Arial"/>
                </w:rPr>
              </m:ctrlPr>
            </m:fPr>
            <m:num>
              <m:r>
                <w:rPr>
                  <w:rFonts w:ascii="Cambria Math" w:eastAsiaTheme="majorEastAsia" w:hAnsi="Cambria Math" w:cs="Arial"/>
                </w:rPr>
                <m:t>614,680</m:t>
              </m:r>
            </m:num>
            <m:den>
              <m:r>
                <w:rPr>
                  <w:rFonts w:ascii="Cambria Math" w:eastAsiaTheme="majorEastAsia" w:hAnsi="Cambria Math" w:cs="Arial"/>
                </w:rPr>
                <m:t>510,290</m:t>
              </m:r>
            </m:den>
          </m:f>
          <m:r>
            <w:rPr>
              <w:rFonts w:ascii="Cambria Math" w:eastAsiaTheme="majorEastAsia" w:hAnsi="Cambria Math" w:cs="Arial"/>
            </w:rPr>
            <m:t>=1.204</m:t>
          </m:r>
          <m:r>
            <w:rPr>
              <w:rFonts w:ascii="Cambria Math" w:eastAsiaTheme="majorEastAsia" w:hAnsi="Cambria Math" w:cs="Arial"/>
            </w:rPr>
            <w:br/>
          </m:r>
        </m:oMath>
      </m:oMathPara>
    </w:p>
    <w:p w14:paraId="00307A63"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Weighted score</w:t>
      </w:r>
    </w:p>
    <w:p w14:paraId="5ED3C962" w14:textId="12CDB3AC" w:rsidR="00707537" w:rsidRPr="00707537" w:rsidRDefault="00000000" w:rsidP="008125C4">
      <w:pPr>
        <w:spacing w:line="360" w:lineRule="auto"/>
        <w:rPr>
          <w:rFonts w:ascii="Arial" w:eastAsiaTheme="majorEastAsia" w:hAnsi="Arial" w:cs="Arial"/>
        </w:rPr>
      </w:pPr>
      <m:oMathPara>
        <m:oMath>
          <m:borderBox>
            <m:borderBoxPr>
              <m:ctrlPr>
                <w:rPr>
                  <w:rFonts w:ascii="Cambria Math" w:eastAsiaTheme="majorEastAsia" w:hAnsi="Cambria Math" w:cs="Arial"/>
                </w:rPr>
              </m:ctrlPr>
            </m:borderBoxPr>
            <m:e>
              <m:sSub>
                <m:sSubPr>
                  <m:ctrlPr>
                    <w:rPr>
                      <w:rFonts w:ascii="Cambria Math" w:eastAsiaTheme="majorEastAsia" w:hAnsi="Cambria Math" w:cs="Arial"/>
                    </w:rPr>
                  </m:ctrlPr>
                </m:sSubPr>
                <m:e>
                  <m:r>
                    <w:rPr>
                      <w:rFonts w:ascii="Cambria Math" w:eastAsiaTheme="majorEastAsia" w:hAnsi="Cambria Math" w:cs="Arial"/>
                    </w:rPr>
                    <m:t>Z</m:t>
                  </m:r>
                </m:e>
                <m:sub>
                  <m:r>
                    <w:rPr>
                      <w:rFonts w:ascii="Cambria Math" w:eastAsiaTheme="majorEastAsia" w:hAnsi="Cambria Math" w:cs="Arial"/>
                    </w:rPr>
                    <m:t>2020</m:t>
                  </m:r>
                </m:sub>
              </m:sSub>
              <m:r>
                <w:rPr>
                  <w:rFonts w:ascii="Cambria Math" w:eastAsiaTheme="majorEastAsia" w:hAnsi="Cambria Math" w:cs="Arial"/>
                </w:rPr>
                <m:t>=0.347+0.595+0.241+0.955+1.204=3.34</m:t>
              </m:r>
            </m:e>
          </m:borderBox>
        </m:oMath>
      </m:oMathPara>
    </w:p>
    <w:p w14:paraId="5133A455" w14:textId="691307E2" w:rsidR="00707537" w:rsidRPr="00707537" w:rsidRDefault="00707537" w:rsidP="008125C4">
      <w:pPr>
        <w:spacing w:line="360" w:lineRule="auto"/>
        <w:rPr>
          <w:rFonts w:ascii="Arial" w:eastAsiaTheme="majorEastAsia" w:hAnsi="Arial" w:cs="Arial"/>
        </w:rPr>
      </w:pPr>
      <w:proofErr w:type="spellStart"/>
      <w:proofErr w:type="gramStart"/>
      <w:r w:rsidRPr="00707537">
        <w:rPr>
          <w:rFonts w:ascii="Arial" w:eastAsiaTheme="majorEastAsia" w:hAnsi="Arial" w:cs="Arial"/>
        </w:rPr>
        <w:t>Zone:Safe</w:t>
      </w:r>
      <w:proofErr w:type="spellEnd"/>
      <w:proofErr w:type="gramEnd"/>
      <w:r w:rsidRPr="00707537">
        <w:rPr>
          <w:rFonts w:ascii="Arial" w:eastAsiaTheme="majorEastAsia" w:hAnsi="Arial" w:cs="Arial"/>
        </w:rPr>
        <w:t xml:space="preserve"> Zone</w:t>
      </w:r>
    </w:p>
    <w:p w14:paraId="4534331C" w14:textId="2AFC7DDD" w:rsidR="00707537" w:rsidRPr="00707537" w:rsidRDefault="00707537" w:rsidP="0001477F">
      <w:pPr>
        <w:spacing w:line="360" w:lineRule="auto"/>
        <w:jc w:val="center"/>
        <w:rPr>
          <w:rFonts w:ascii="Arial" w:eastAsiaTheme="majorEastAsia" w:hAnsi="Arial" w:cs="Arial"/>
          <w:b/>
          <w:bCs/>
        </w:rPr>
      </w:pPr>
      <w:r w:rsidRPr="00707537">
        <w:rPr>
          <w:rFonts w:ascii="Arial" w:eastAsiaTheme="majorEastAsia" w:hAnsi="Arial" w:cs="Arial"/>
          <w:b/>
          <w:bCs/>
        </w:rPr>
        <w:t>FINAL SUMMARY TABLE</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09"/>
        <w:gridCol w:w="914"/>
        <w:gridCol w:w="1316"/>
      </w:tblGrid>
      <w:tr w:rsidR="00707537" w:rsidRPr="00707537" w14:paraId="767C501D" w14:textId="77777777" w:rsidTr="008554AC">
        <w:trPr>
          <w:tblHeader/>
          <w:tblCellSpacing w:w="15" w:type="dxa"/>
          <w:jc w:val="center"/>
        </w:trPr>
        <w:tc>
          <w:tcPr>
            <w:tcW w:w="0" w:type="auto"/>
            <w:vAlign w:val="center"/>
            <w:hideMark/>
          </w:tcPr>
          <w:p w14:paraId="7E999807"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Year</w:t>
            </w:r>
          </w:p>
        </w:tc>
        <w:tc>
          <w:tcPr>
            <w:tcW w:w="0" w:type="auto"/>
            <w:vAlign w:val="center"/>
            <w:hideMark/>
          </w:tcPr>
          <w:p w14:paraId="656A4318"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Z-Score</w:t>
            </w:r>
          </w:p>
        </w:tc>
        <w:tc>
          <w:tcPr>
            <w:tcW w:w="0" w:type="auto"/>
            <w:vAlign w:val="center"/>
            <w:hideMark/>
          </w:tcPr>
          <w:p w14:paraId="389CE7FB"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Zone</w:t>
            </w:r>
          </w:p>
        </w:tc>
      </w:tr>
      <w:tr w:rsidR="00707537" w:rsidRPr="00707537" w14:paraId="792E1872" w14:textId="77777777" w:rsidTr="008554AC">
        <w:trPr>
          <w:tblCellSpacing w:w="15" w:type="dxa"/>
          <w:jc w:val="center"/>
        </w:trPr>
        <w:tc>
          <w:tcPr>
            <w:tcW w:w="0" w:type="auto"/>
            <w:vAlign w:val="center"/>
            <w:hideMark/>
          </w:tcPr>
          <w:p w14:paraId="1A1A50C3"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2024</w:t>
            </w:r>
          </w:p>
        </w:tc>
        <w:tc>
          <w:tcPr>
            <w:tcW w:w="0" w:type="auto"/>
            <w:vAlign w:val="center"/>
            <w:hideMark/>
          </w:tcPr>
          <w:p w14:paraId="7E9915CA"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2.82</w:t>
            </w:r>
          </w:p>
        </w:tc>
        <w:tc>
          <w:tcPr>
            <w:tcW w:w="0" w:type="auto"/>
            <w:vAlign w:val="center"/>
            <w:hideMark/>
          </w:tcPr>
          <w:p w14:paraId="51E5D520"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Upper Grey</w:t>
            </w:r>
          </w:p>
        </w:tc>
      </w:tr>
      <w:tr w:rsidR="00707537" w:rsidRPr="00707537" w14:paraId="593B1323" w14:textId="77777777" w:rsidTr="008554AC">
        <w:trPr>
          <w:tblCellSpacing w:w="15" w:type="dxa"/>
          <w:jc w:val="center"/>
        </w:trPr>
        <w:tc>
          <w:tcPr>
            <w:tcW w:w="0" w:type="auto"/>
            <w:vAlign w:val="center"/>
            <w:hideMark/>
          </w:tcPr>
          <w:p w14:paraId="786CB5DC"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2023</w:t>
            </w:r>
          </w:p>
        </w:tc>
        <w:tc>
          <w:tcPr>
            <w:tcW w:w="0" w:type="auto"/>
            <w:vAlign w:val="center"/>
            <w:hideMark/>
          </w:tcPr>
          <w:p w14:paraId="7D89C137"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1.79</w:t>
            </w:r>
          </w:p>
        </w:tc>
        <w:tc>
          <w:tcPr>
            <w:tcW w:w="0" w:type="auto"/>
            <w:vAlign w:val="center"/>
            <w:hideMark/>
          </w:tcPr>
          <w:p w14:paraId="28C64468"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Distress</w:t>
            </w:r>
          </w:p>
        </w:tc>
      </w:tr>
      <w:tr w:rsidR="00707537" w:rsidRPr="00707537" w14:paraId="3E184754" w14:textId="77777777" w:rsidTr="008554AC">
        <w:trPr>
          <w:tblCellSpacing w:w="15" w:type="dxa"/>
          <w:jc w:val="center"/>
        </w:trPr>
        <w:tc>
          <w:tcPr>
            <w:tcW w:w="0" w:type="auto"/>
            <w:vAlign w:val="center"/>
            <w:hideMark/>
          </w:tcPr>
          <w:p w14:paraId="4A59F8E3"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2022</w:t>
            </w:r>
          </w:p>
        </w:tc>
        <w:tc>
          <w:tcPr>
            <w:tcW w:w="0" w:type="auto"/>
            <w:vAlign w:val="center"/>
            <w:hideMark/>
          </w:tcPr>
          <w:p w14:paraId="78ADE7C4"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2.75</w:t>
            </w:r>
          </w:p>
        </w:tc>
        <w:tc>
          <w:tcPr>
            <w:tcW w:w="0" w:type="auto"/>
            <w:vAlign w:val="center"/>
            <w:hideMark/>
          </w:tcPr>
          <w:p w14:paraId="42A13919"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Grey</w:t>
            </w:r>
          </w:p>
        </w:tc>
      </w:tr>
      <w:tr w:rsidR="00707537" w:rsidRPr="00707537" w14:paraId="25BBD7E6" w14:textId="77777777" w:rsidTr="008554AC">
        <w:trPr>
          <w:tblCellSpacing w:w="15" w:type="dxa"/>
          <w:jc w:val="center"/>
        </w:trPr>
        <w:tc>
          <w:tcPr>
            <w:tcW w:w="0" w:type="auto"/>
            <w:vAlign w:val="center"/>
            <w:hideMark/>
          </w:tcPr>
          <w:p w14:paraId="447533C9"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2021</w:t>
            </w:r>
          </w:p>
        </w:tc>
        <w:tc>
          <w:tcPr>
            <w:tcW w:w="0" w:type="auto"/>
            <w:vAlign w:val="center"/>
            <w:hideMark/>
          </w:tcPr>
          <w:p w14:paraId="5F5090CA"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2.91</w:t>
            </w:r>
          </w:p>
        </w:tc>
        <w:tc>
          <w:tcPr>
            <w:tcW w:w="0" w:type="auto"/>
            <w:vAlign w:val="center"/>
            <w:hideMark/>
          </w:tcPr>
          <w:p w14:paraId="30CF8F5E"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Grey</w:t>
            </w:r>
          </w:p>
        </w:tc>
      </w:tr>
      <w:tr w:rsidR="00707537" w:rsidRPr="00707537" w14:paraId="482FE7A3" w14:textId="77777777" w:rsidTr="008554AC">
        <w:trPr>
          <w:tblCellSpacing w:w="15" w:type="dxa"/>
          <w:jc w:val="center"/>
        </w:trPr>
        <w:tc>
          <w:tcPr>
            <w:tcW w:w="0" w:type="auto"/>
            <w:vAlign w:val="center"/>
            <w:hideMark/>
          </w:tcPr>
          <w:p w14:paraId="325668B9"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2020</w:t>
            </w:r>
          </w:p>
        </w:tc>
        <w:tc>
          <w:tcPr>
            <w:tcW w:w="0" w:type="auto"/>
            <w:vAlign w:val="center"/>
            <w:hideMark/>
          </w:tcPr>
          <w:p w14:paraId="37FC56B3"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3.34</w:t>
            </w:r>
          </w:p>
        </w:tc>
        <w:tc>
          <w:tcPr>
            <w:tcW w:w="0" w:type="auto"/>
            <w:vAlign w:val="center"/>
            <w:hideMark/>
          </w:tcPr>
          <w:p w14:paraId="6696F488" w14:textId="77777777" w:rsidR="00707537" w:rsidRPr="00707537" w:rsidRDefault="00707537" w:rsidP="008125C4">
            <w:pPr>
              <w:spacing w:line="360" w:lineRule="auto"/>
              <w:rPr>
                <w:rFonts w:ascii="Arial" w:eastAsiaTheme="majorEastAsia" w:hAnsi="Arial" w:cs="Arial"/>
              </w:rPr>
            </w:pPr>
            <w:r w:rsidRPr="00707537">
              <w:rPr>
                <w:rFonts w:ascii="Arial" w:eastAsiaTheme="majorEastAsia" w:hAnsi="Arial" w:cs="Arial"/>
              </w:rPr>
              <w:t>Safe</w:t>
            </w:r>
          </w:p>
        </w:tc>
      </w:tr>
    </w:tbl>
    <w:p w14:paraId="6C12D999" w14:textId="393D3A39" w:rsidR="00263BA0" w:rsidRPr="008C5253" w:rsidRDefault="00263BA0" w:rsidP="008125C4">
      <w:pPr>
        <w:spacing w:line="360" w:lineRule="auto"/>
        <w:rPr>
          <w:rStyle w:val="Heading1Char"/>
          <w:rFonts w:ascii="Arial" w:hAnsi="Arial" w:cs="Arial"/>
          <w:b/>
          <w:bCs/>
          <w:color w:val="auto"/>
          <w:sz w:val="32"/>
          <w:szCs w:val="32"/>
        </w:rPr>
      </w:pPr>
    </w:p>
    <w:p w14:paraId="73964252" w14:textId="77777777" w:rsidR="00263BA0" w:rsidRPr="008C5253" w:rsidRDefault="00263BA0">
      <w:pPr>
        <w:rPr>
          <w:rStyle w:val="Heading1Char"/>
          <w:rFonts w:ascii="Arial" w:hAnsi="Arial" w:cs="Arial"/>
          <w:b/>
          <w:bCs/>
          <w:color w:val="auto"/>
          <w:sz w:val="32"/>
          <w:szCs w:val="32"/>
        </w:rPr>
      </w:pPr>
      <w:r w:rsidRPr="008C5253">
        <w:rPr>
          <w:rStyle w:val="Heading1Char"/>
          <w:rFonts w:ascii="Arial" w:hAnsi="Arial" w:cs="Arial"/>
          <w:b/>
          <w:bCs/>
          <w:color w:val="auto"/>
          <w:sz w:val="32"/>
          <w:szCs w:val="32"/>
        </w:rPr>
        <w:br w:type="page"/>
      </w:r>
    </w:p>
    <w:p w14:paraId="1971AF01" w14:textId="2A32A2A4" w:rsidR="00421FB0" w:rsidRPr="008C5253" w:rsidRDefault="00421FB0" w:rsidP="00263BA0">
      <w:pPr>
        <w:pStyle w:val="Heading2"/>
        <w:jc w:val="center"/>
        <w:rPr>
          <w:rStyle w:val="Heading1Char"/>
          <w:rFonts w:ascii="Arial" w:hAnsi="Arial" w:cs="Arial"/>
          <w:b/>
          <w:bCs/>
          <w:color w:val="auto"/>
          <w:sz w:val="28"/>
          <w:szCs w:val="28"/>
        </w:rPr>
      </w:pPr>
      <w:bookmarkStart w:id="38" w:name="_Toc216698902"/>
      <w:r w:rsidRPr="008C5253">
        <w:rPr>
          <w:rStyle w:val="Heading1Char"/>
          <w:rFonts w:ascii="Arial" w:hAnsi="Arial" w:cs="Arial"/>
          <w:b/>
          <w:bCs/>
          <w:color w:val="auto"/>
          <w:sz w:val="28"/>
          <w:szCs w:val="28"/>
        </w:rPr>
        <w:lastRenderedPageBreak/>
        <w:t>APPENDIX B: WORKING CAPITAL CALCULATIONS</w:t>
      </w:r>
      <w:bookmarkEnd w:id="38"/>
    </w:p>
    <w:p w14:paraId="395389E9" w14:textId="77777777" w:rsidR="00421FB0" w:rsidRPr="008C5253" w:rsidRDefault="00421FB0" w:rsidP="00263BA0">
      <w:pPr>
        <w:pStyle w:val="Heading3"/>
        <w:rPr>
          <w:rFonts w:ascii="Arial" w:hAnsi="Arial" w:cs="Arial"/>
          <w:b/>
          <w:bCs/>
          <w:color w:val="auto"/>
        </w:rPr>
      </w:pPr>
      <w:bookmarkStart w:id="39" w:name="_Toc216698903"/>
      <w:r w:rsidRPr="008C5253">
        <w:rPr>
          <w:rFonts w:ascii="Arial" w:hAnsi="Arial" w:cs="Arial"/>
          <w:b/>
          <w:bCs/>
          <w:color w:val="auto"/>
        </w:rPr>
        <w:t>B1. Cash Operating Cycle Calculations</w:t>
      </w:r>
      <w:bookmarkEnd w:id="39"/>
    </w:p>
    <w:p w14:paraId="54DE9399" w14:textId="77777777" w:rsidR="00421FB0" w:rsidRPr="008C5253" w:rsidRDefault="00421FB0" w:rsidP="00BD7BD6">
      <w:pPr>
        <w:spacing w:line="360" w:lineRule="auto"/>
        <w:jc w:val="both"/>
        <w:rPr>
          <w:rFonts w:ascii="Arial" w:hAnsi="Arial" w:cs="Arial"/>
        </w:rPr>
      </w:pPr>
      <w:r w:rsidRPr="008C5253">
        <w:rPr>
          <w:rFonts w:ascii="Arial" w:hAnsi="Arial" w:cs="Arial"/>
        </w:rPr>
        <w:t>Formulas:</w:t>
      </w:r>
    </w:p>
    <w:p w14:paraId="79D13A42" w14:textId="77777777" w:rsidR="00421FB0" w:rsidRPr="008C5253" w:rsidRDefault="00421FB0" w:rsidP="00BD7BD6">
      <w:pPr>
        <w:numPr>
          <w:ilvl w:val="0"/>
          <w:numId w:val="3"/>
        </w:numPr>
        <w:spacing w:line="360" w:lineRule="auto"/>
        <w:jc w:val="both"/>
        <w:rPr>
          <w:rFonts w:ascii="Arial" w:hAnsi="Arial" w:cs="Arial"/>
        </w:rPr>
      </w:pPr>
      <w:r w:rsidRPr="008C5253">
        <w:rPr>
          <w:rFonts w:ascii="Arial" w:hAnsi="Arial" w:cs="Arial"/>
        </w:rPr>
        <w:t>Inventory Days = (Inventories ÷ Cost of Sales) × 365</w:t>
      </w:r>
    </w:p>
    <w:p w14:paraId="6AB4E278" w14:textId="77777777" w:rsidR="00421FB0" w:rsidRPr="008C5253" w:rsidRDefault="00421FB0" w:rsidP="00BD7BD6">
      <w:pPr>
        <w:numPr>
          <w:ilvl w:val="0"/>
          <w:numId w:val="3"/>
        </w:numPr>
        <w:spacing w:line="360" w:lineRule="auto"/>
        <w:jc w:val="both"/>
        <w:rPr>
          <w:rFonts w:ascii="Arial" w:hAnsi="Arial" w:cs="Arial"/>
        </w:rPr>
      </w:pPr>
      <w:r w:rsidRPr="008C5253">
        <w:rPr>
          <w:rFonts w:ascii="Arial" w:hAnsi="Arial" w:cs="Arial"/>
        </w:rPr>
        <w:t>Receivables Days = (Accounts Receivable ÷ Net Sales) × 365</w:t>
      </w:r>
    </w:p>
    <w:p w14:paraId="38611665" w14:textId="77777777" w:rsidR="00421FB0" w:rsidRPr="008C5253" w:rsidRDefault="00421FB0" w:rsidP="00BD7BD6">
      <w:pPr>
        <w:numPr>
          <w:ilvl w:val="0"/>
          <w:numId w:val="3"/>
        </w:numPr>
        <w:spacing w:line="360" w:lineRule="auto"/>
        <w:jc w:val="both"/>
        <w:rPr>
          <w:rFonts w:ascii="Arial" w:hAnsi="Arial" w:cs="Arial"/>
        </w:rPr>
      </w:pPr>
      <w:r w:rsidRPr="008C5253">
        <w:rPr>
          <w:rFonts w:ascii="Arial" w:hAnsi="Arial" w:cs="Arial"/>
        </w:rPr>
        <w:t>Payables Days = (Accounts Payable ÷ Cost of Sales) × 365</w:t>
      </w:r>
    </w:p>
    <w:p w14:paraId="788D952B" w14:textId="0FFA680A" w:rsidR="00421FB0" w:rsidRPr="008C5253" w:rsidRDefault="00421FB0" w:rsidP="00BD7BD6">
      <w:pPr>
        <w:numPr>
          <w:ilvl w:val="0"/>
          <w:numId w:val="3"/>
        </w:numPr>
        <w:spacing w:line="360" w:lineRule="auto"/>
        <w:jc w:val="both"/>
        <w:rPr>
          <w:rFonts w:ascii="Arial" w:hAnsi="Arial" w:cs="Arial"/>
        </w:rPr>
      </w:pPr>
      <w:r w:rsidRPr="008C5253">
        <w:rPr>
          <w:rFonts w:ascii="Arial" w:hAnsi="Arial" w:cs="Arial"/>
        </w:rPr>
        <w:t>Cash Operating Cycle = Inventory Days + Receivables Days − Payables Days</w:t>
      </w:r>
    </w:p>
    <w:p w14:paraId="6AA08A48" w14:textId="26A64D39" w:rsidR="00421FB0" w:rsidRPr="008C5253" w:rsidRDefault="00421FB0" w:rsidP="00263BA0">
      <w:pPr>
        <w:spacing w:line="360" w:lineRule="auto"/>
        <w:rPr>
          <w:rFonts w:ascii="Arial" w:hAnsi="Arial" w:cs="Arial"/>
        </w:rPr>
      </w:pPr>
      <w:r w:rsidRPr="008C5253">
        <w:rPr>
          <w:rFonts w:ascii="Arial" w:hAnsi="Arial" w:cs="Arial"/>
        </w:rPr>
        <w:t xml:space="preserve">2024 Calculations </w:t>
      </w:r>
    </w:p>
    <w:p w14:paraId="2BE5C925" w14:textId="77777777" w:rsidR="00421FB0" w:rsidRPr="008C5253" w:rsidRDefault="00421FB0" w:rsidP="00263BA0">
      <w:pPr>
        <w:numPr>
          <w:ilvl w:val="0"/>
          <w:numId w:val="4"/>
        </w:numPr>
        <w:spacing w:line="360" w:lineRule="auto"/>
        <w:rPr>
          <w:rFonts w:ascii="Arial" w:hAnsi="Arial" w:cs="Arial"/>
        </w:rPr>
      </w:pPr>
      <w:r w:rsidRPr="008C5253">
        <w:rPr>
          <w:rFonts w:ascii="Arial" w:hAnsi="Arial" w:cs="Arial"/>
        </w:rPr>
        <w:t>Inventory Days</w:t>
      </w:r>
      <w:r w:rsidRPr="008C5253">
        <w:rPr>
          <w:rFonts w:ascii="Arial" w:hAnsi="Arial" w:cs="Arial"/>
        </w:rPr>
        <w:br/>
        <w:t>= (79,355 ÷ 280,885) × 365</w:t>
      </w:r>
      <w:r w:rsidRPr="008C5253">
        <w:rPr>
          <w:rFonts w:ascii="Arial" w:hAnsi="Arial" w:cs="Arial"/>
        </w:rPr>
        <w:br/>
        <w:t>= 103.1 days</w:t>
      </w:r>
    </w:p>
    <w:p w14:paraId="296253E1" w14:textId="77777777" w:rsidR="00421FB0" w:rsidRPr="008C5253" w:rsidRDefault="00421FB0" w:rsidP="00263BA0">
      <w:pPr>
        <w:numPr>
          <w:ilvl w:val="0"/>
          <w:numId w:val="4"/>
        </w:numPr>
        <w:spacing w:line="360" w:lineRule="auto"/>
        <w:rPr>
          <w:rFonts w:ascii="Arial" w:hAnsi="Arial" w:cs="Arial"/>
        </w:rPr>
      </w:pPr>
      <w:r w:rsidRPr="008C5253">
        <w:rPr>
          <w:rFonts w:ascii="Arial" w:hAnsi="Arial" w:cs="Arial"/>
        </w:rPr>
        <w:t>Receivables Days</w:t>
      </w:r>
      <w:r w:rsidRPr="008C5253">
        <w:rPr>
          <w:rFonts w:ascii="Arial" w:hAnsi="Arial" w:cs="Arial"/>
        </w:rPr>
        <w:br/>
        <w:t>= (114,182 ÷ 394,879) × 365</w:t>
      </w:r>
      <w:r w:rsidRPr="008C5253">
        <w:rPr>
          <w:rFonts w:ascii="Arial" w:hAnsi="Arial" w:cs="Arial"/>
        </w:rPr>
        <w:br/>
        <w:t>= 105.5 days</w:t>
      </w:r>
    </w:p>
    <w:p w14:paraId="3C38A47F" w14:textId="77777777" w:rsidR="00421FB0" w:rsidRPr="008C5253" w:rsidRDefault="00421FB0" w:rsidP="00263BA0">
      <w:pPr>
        <w:numPr>
          <w:ilvl w:val="0"/>
          <w:numId w:val="4"/>
        </w:numPr>
        <w:spacing w:line="360" w:lineRule="auto"/>
        <w:rPr>
          <w:rFonts w:ascii="Arial" w:hAnsi="Arial" w:cs="Arial"/>
        </w:rPr>
      </w:pPr>
      <w:r w:rsidRPr="008C5253">
        <w:rPr>
          <w:rFonts w:ascii="Arial" w:hAnsi="Arial" w:cs="Arial"/>
        </w:rPr>
        <w:t>Payables Days</w:t>
      </w:r>
      <w:r w:rsidRPr="008C5253">
        <w:rPr>
          <w:rFonts w:ascii="Arial" w:hAnsi="Arial" w:cs="Arial"/>
        </w:rPr>
        <w:br/>
        <w:t>= (72,031 ÷ 280,885) × 365</w:t>
      </w:r>
      <w:r w:rsidRPr="008C5253">
        <w:rPr>
          <w:rFonts w:ascii="Arial" w:hAnsi="Arial" w:cs="Arial"/>
        </w:rPr>
        <w:br/>
        <w:t>= 93.7 days</w:t>
      </w:r>
    </w:p>
    <w:p w14:paraId="2757E262" w14:textId="48DA6596" w:rsidR="00421FB0" w:rsidRPr="008C5253" w:rsidRDefault="00421FB0" w:rsidP="00263BA0">
      <w:pPr>
        <w:numPr>
          <w:ilvl w:val="0"/>
          <w:numId w:val="4"/>
        </w:numPr>
        <w:spacing w:line="360" w:lineRule="auto"/>
        <w:rPr>
          <w:rFonts w:ascii="Arial" w:hAnsi="Arial" w:cs="Arial"/>
        </w:rPr>
      </w:pPr>
      <w:r w:rsidRPr="008C5253">
        <w:rPr>
          <w:rFonts w:ascii="Arial" w:hAnsi="Arial" w:cs="Arial"/>
        </w:rPr>
        <w:t>Cash Operating Cycle (2024)</w:t>
      </w:r>
      <w:r w:rsidRPr="008C5253">
        <w:rPr>
          <w:rFonts w:ascii="Arial" w:hAnsi="Arial" w:cs="Arial"/>
        </w:rPr>
        <w:br/>
        <w:t>= 103.1 + 105.5 − 93.7</w:t>
      </w:r>
      <w:r w:rsidRPr="008C5253">
        <w:rPr>
          <w:rFonts w:ascii="Arial" w:hAnsi="Arial" w:cs="Arial"/>
        </w:rPr>
        <w:br/>
        <w:t>= 114.9 days</w:t>
      </w:r>
    </w:p>
    <w:p w14:paraId="71948026" w14:textId="77777777" w:rsidR="00421FB0" w:rsidRPr="008C5253" w:rsidRDefault="00421FB0" w:rsidP="00263BA0">
      <w:pPr>
        <w:pStyle w:val="Heading3"/>
        <w:rPr>
          <w:rFonts w:ascii="Arial" w:hAnsi="Arial" w:cs="Arial"/>
          <w:b/>
          <w:bCs/>
          <w:color w:val="auto"/>
        </w:rPr>
      </w:pPr>
      <w:bookmarkStart w:id="40" w:name="_Toc216698904"/>
      <w:r w:rsidRPr="008C5253">
        <w:rPr>
          <w:rFonts w:ascii="Arial" w:hAnsi="Arial" w:cs="Arial"/>
          <w:b/>
          <w:bCs/>
          <w:color w:val="auto"/>
        </w:rPr>
        <w:t>B2. Operating Cash Flow Coverage Ratio</w:t>
      </w:r>
      <w:bookmarkEnd w:id="40"/>
    </w:p>
    <w:p w14:paraId="690514A2" w14:textId="77777777" w:rsidR="00421FB0" w:rsidRPr="008C5253" w:rsidRDefault="00421FB0" w:rsidP="00BD7BD6">
      <w:pPr>
        <w:spacing w:line="360" w:lineRule="auto"/>
        <w:jc w:val="both"/>
        <w:rPr>
          <w:rFonts w:ascii="Arial" w:hAnsi="Arial" w:cs="Arial"/>
        </w:rPr>
      </w:pPr>
      <w:r w:rsidRPr="008C5253">
        <w:rPr>
          <w:rFonts w:ascii="Arial" w:hAnsi="Arial" w:cs="Arial"/>
        </w:rPr>
        <w:t>Formula:</w:t>
      </w:r>
    </w:p>
    <w:p w14:paraId="02F57B2C" w14:textId="29454A7B" w:rsidR="00421FB0" w:rsidRPr="008C5253" w:rsidRDefault="00421FB0" w:rsidP="00BD7BD6">
      <w:pPr>
        <w:spacing w:line="360" w:lineRule="auto"/>
        <w:jc w:val="both"/>
        <w:rPr>
          <w:rFonts w:ascii="Arial" w:hAnsi="Arial" w:cs="Arial"/>
        </w:rPr>
      </w:pPr>
      <m:oMathPara>
        <m:oMath>
          <m:r>
            <m:rPr>
              <m:nor/>
            </m:rPr>
            <w:rPr>
              <w:rFonts w:ascii="Arial" w:hAnsi="Arial" w:cs="Arial"/>
            </w:rPr>
            <m:t>OCF to Current Liabilities</m:t>
          </m:r>
          <m:r>
            <w:rPr>
              <w:rFonts w:ascii="Cambria Math" w:hAnsi="Cambria Math" w:cs="Arial"/>
            </w:rPr>
            <m:t>=</m:t>
          </m:r>
          <m:f>
            <m:fPr>
              <m:ctrlPr>
                <w:rPr>
                  <w:rFonts w:ascii="Cambria Math" w:hAnsi="Cambria Math" w:cs="Arial"/>
                </w:rPr>
              </m:ctrlPr>
            </m:fPr>
            <m:num>
              <m:r>
                <m:rPr>
                  <m:nor/>
                </m:rPr>
                <w:rPr>
                  <w:rFonts w:ascii="Arial" w:hAnsi="Arial" w:cs="Arial"/>
                </w:rPr>
                <m:t>Operating Cash Flow</m:t>
              </m:r>
            </m:num>
            <m:den>
              <m:r>
                <m:rPr>
                  <m:nor/>
                </m:rPr>
                <w:rPr>
                  <w:rFonts w:ascii="Arial" w:hAnsi="Arial" w:cs="Arial"/>
                </w:rPr>
                <m:t>Current Liabilities</m:t>
              </m:r>
            </m:den>
          </m:f>
          <m:r>
            <m:rPr>
              <m:sty m:val="p"/>
            </m:rPr>
            <w:rPr>
              <w:rFonts w:ascii="Cambria Math" w:hAnsi="Cambria Math" w:cs="Arial"/>
            </w:rPr>
            <w:br/>
          </m:r>
        </m:oMath>
      </m:oMathPara>
    </w:p>
    <w:p w14:paraId="236A600D" w14:textId="17E5D908" w:rsidR="00421FB0" w:rsidRPr="008C5253" w:rsidRDefault="00421FB0" w:rsidP="00263BA0">
      <w:pPr>
        <w:numPr>
          <w:ilvl w:val="0"/>
          <w:numId w:val="5"/>
        </w:numPr>
        <w:spacing w:line="360" w:lineRule="auto"/>
        <w:rPr>
          <w:rFonts w:ascii="Arial" w:hAnsi="Arial" w:cs="Arial"/>
        </w:rPr>
      </w:pPr>
      <w:r w:rsidRPr="008C5253">
        <w:rPr>
          <w:rFonts w:ascii="Arial" w:hAnsi="Arial" w:cs="Arial"/>
        </w:rPr>
        <w:lastRenderedPageBreak/>
        <w:t>2024:</w:t>
      </w:r>
      <w:r w:rsidRPr="008C5253">
        <w:rPr>
          <w:rFonts w:ascii="Arial" w:hAnsi="Arial" w:cs="Arial"/>
        </w:rPr>
        <w:br/>
        <w:t>= 14,822 ÷ 158,291</w:t>
      </w:r>
      <w:r w:rsidRPr="008C5253">
        <w:rPr>
          <w:rFonts w:ascii="Arial" w:hAnsi="Arial" w:cs="Arial"/>
        </w:rPr>
        <w:br/>
        <w:t>= 0.09</w:t>
      </w:r>
    </w:p>
    <w:p w14:paraId="42F38EE4" w14:textId="77777777" w:rsidR="00421FB0" w:rsidRPr="008C5253" w:rsidRDefault="00421FB0" w:rsidP="00263BA0">
      <w:pPr>
        <w:pStyle w:val="Heading3"/>
        <w:rPr>
          <w:rFonts w:ascii="Arial" w:hAnsi="Arial" w:cs="Arial"/>
          <w:b/>
          <w:bCs/>
        </w:rPr>
      </w:pPr>
      <w:bookmarkStart w:id="41" w:name="_Toc216698905"/>
      <w:r w:rsidRPr="008C5253">
        <w:rPr>
          <w:rFonts w:ascii="Arial" w:hAnsi="Arial" w:cs="Arial"/>
          <w:b/>
          <w:bCs/>
          <w:color w:val="auto"/>
        </w:rPr>
        <w:t>B3. Short-Term Financing Dependency</w:t>
      </w:r>
      <w:bookmarkEnd w:id="41"/>
    </w:p>
    <w:p w14:paraId="14BD9533" w14:textId="77777777" w:rsidR="00421FB0" w:rsidRPr="008C5253" w:rsidRDefault="00421FB0" w:rsidP="00BD7BD6">
      <w:pPr>
        <w:spacing w:line="360" w:lineRule="auto"/>
        <w:jc w:val="both"/>
        <w:rPr>
          <w:rFonts w:ascii="Arial" w:hAnsi="Arial" w:cs="Arial"/>
        </w:rPr>
      </w:pPr>
      <w:r w:rsidRPr="008C5253">
        <w:rPr>
          <w:rFonts w:ascii="Arial" w:hAnsi="Arial" w:cs="Arial"/>
        </w:rPr>
        <w:t>Formula:</w:t>
      </w:r>
    </w:p>
    <w:p w14:paraId="48118D3C" w14:textId="5A57A07A" w:rsidR="00421FB0" w:rsidRPr="008C5253" w:rsidRDefault="00421FB0" w:rsidP="00BD7BD6">
      <w:pPr>
        <w:spacing w:line="360" w:lineRule="auto"/>
        <w:jc w:val="both"/>
        <w:rPr>
          <w:rFonts w:ascii="Arial" w:hAnsi="Arial" w:cs="Arial"/>
        </w:rPr>
      </w:pPr>
      <m:oMathPara>
        <m:oMath>
          <m:r>
            <m:rPr>
              <m:nor/>
            </m:rPr>
            <w:rPr>
              <w:rFonts w:ascii="Arial" w:hAnsi="Arial" w:cs="Arial"/>
            </w:rPr>
            <m:t>Short-Term Debt Ratio</m:t>
          </m:r>
          <m:r>
            <w:rPr>
              <w:rFonts w:ascii="Cambria Math" w:hAnsi="Cambria Math" w:cs="Arial"/>
            </w:rPr>
            <m:t>=</m:t>
          </m:r>
          <m:f>
            <m:fPr>
              <m:ctrlPr>
                <w:rPr>
                  <w:rFonts w:ascii="Cambria Math" w:hAnsi="Cambria Math" w:cs="Arial"/>
                </w:rPr>
              </m:ctrlPr>
            </m:fPr>
            <m:num>
              <m:r>
                <m:rPr>
                  <m:nor/>
                </m:rPr>
                <w:rPr>
                  <w:rFonts w:ascii="Arial" w:hAnsi="Arial" w:cs="Arial"/>
                </w:rPr>
                <m:t>Lines of Credit</m:t>
              </m:r>
            </m:num>
            <m:den>
              <m:r>
                <m:rPr>
                  <m:nor/>
                </m:rPr>
                <w:rPr>
                  <w:rFonts w:ascii="Arial" w:hAnsi="Arial" w:cs="Arial"/>
                </w:rPr>
                <m:t>Total Liabilities</m:t>
              </m:r>
            </m:den>
          </m:f>
          <m:r>
            <m:rPr>
              <m:sty m:val="p"/>
            </m:rPr>
            <w:rPr>
              <w:rFonts w:ascii="Cambria Math" w:hAnsi="Cambria Math" w:cs="Arial"/>
            </w:rPr>
            <w:br/>
          </m:r>
        </m:oMath>
      </m:oMathPara>
    </w:p>
    <w:p w14:paraId="64640A1E" w14:textId="77777777" w:rsidR="00421FB0" w:rsidRPr="008C5253" w:rsidRDefault="00421FB0" w:rsidP="00263BA0">
      <w:pPr>
        <w:numPr>
          <w:ilvl w:val="0"/>
          <w:numId w:val="6"/>
        </w:numPr>
        <w:spacing w:line="360" w:lineRule="auto"/>
        <w:rPr>
          <w:rFonts w:ascii="Arial" w:hAnsi="Arial" w:cs="Arial"/>
        </w:rPr>
      </w:pPr>
      <w:r w:rsidRPr="008C5253">
        <w:rPr>
          <w:rFonts w:ascii="Arial" w:hAnsi="Arial" w:cs="Arial"/>
        </w:rPr>
        <w:t>2024:</w:t>
      </w:r>
      <w:r w:rsidRPr="008C5253">
        <w:rPr>
          <w:rFonts w:ascii="Arial" w:hAnsi="Arial" w:cs="Arial"/>
        </w:rPr>
        <w:br/>
        <w:t>= 36,960 ÷ 170,249</w:t>
      </w:r>
      <w:r w:rsidRPr="008C5253">
        <w:rPr>
          <w:rFonts w:ascii="Arial" w:hAnsi="Arial" w:cs="Arial"/>
        </w:rPr>
        <w:br/>
        <w:t>= 0.22 (22%)</w:t>
      </w:r>
    </w:p>
    <w:p w14:paraId="4BADD0D4" w14:textId="77777777" w:rsidR="00421FB0" w:rsidRPr="008C5253" w:rsidRDefault="00421FB0" w:rsidP="00BD7BD6">
      <w:pPr>
        <w:spacing w:line="360" w:lineRule="auto"/>
        <w:jc w:val="both"/>
        <w:rPr>
          <w:rFonts w:ascii="Arial" w:hAnsi="Arial" w:cs="Arial"/>
        </w:rPr>
      </w:pPr>
    </w:p>
    <w:p w14:paraId="301BB7D3" w14:textId="77777777" w:rsidR="00263BA0" w:rsidRPr="008C5253" w:rsidRDefault="00263BA0">
      <w:pPr>
        <w:rPr>
          <w:rFonts w:ascii="Arial" w:hAnsi="Arial" w:cs="Arial"/>
        </w:rPr>
      </w:pPr>
      <w:r w:rsidRPr="008C5253">
        <w:rPr>
          <w:rFonts w:ascii="Arial" w:hAnsi="Arial" w:cs="Arial"/>
        </w:rPr>
        <w:br w:type="page"/>
      </w:r>
    </w:p>
    <w:p w14:paraId="40E691C0" w14:textId="46311733" w:rsidR="00BB23B0" w:rsidRPr="008C5253" w:rsidRDefault="00BB23B0" w:rsidP="00263BA0">
      <w:pPr>
        <w:pStyle w:val="Heading2"/>
        <w:jc w:val="center"/>
        <w:rPr>
          <w:rFonts w:ascii="Arial" w:hAnsi="Arial" w:cs="Arial"/>
          <w:b/>
          <w:bCs/>
          <w:color w:val="auto"/>
          <w:sz w:val="28"/>
          <w:szCs w:val="28"/>
        </w:rPr>
      </w:pPr>
      <w:bookmarkStart w:id="42" w:name="_Toc216698906"/>
      <w:r w:rsidRPr="008C5253">
        <w:rPr>
          <w:rFonts w:ascii="Arial" w:hAnsi="Arial" w:cs="Arial"/>
          <w:b/>
          <w:bCs/>
          <w:color w:val="auto"/>
          <w:sz w:val="28"/>
          <w:szCs w:val="28"/>
        </w:rPr>
        <w:lastRenderedPageBreak/>
        <w:t>APPENDIX C: DETAILED FINANCIAL RESTRUCTURING SCENARIO ANALYSIS</w:t>
      </w:r>
      <w:bookmarkEnd w:id="42"/>
    </w:p>
    <w:p w14:paraId="68725BB9" w14:textId="77777777" w:rsidR="00BB23B0" w:rsidRPr="008C5253" w:rsidRDefault="00BB23B0" w:rsidP="00263BA0">
      <w:pPr>
        <w:pStyle w:val="Heading3"/>
        <w:rPr>
          <w:rFonts w:ascii="Arial" w:hAnsi="Arial" w:cs="Arial"/>
          <w:b/>
          <w:bCs/>
          <w:color w:val="auto"/>
        </w:rPr>
      </w:pPr>
      <w:bookmarkStart w:id="43" w:name="_Toc216698907"/>
      <w:r w:rsidRPr="008C5253">
        <w:rPr>
          <w:rFonts w:ascii="Arial" w:hAnsi="Arial" w:cs="Arial"/>
          <w:b/>
          <w:bCs/>
          <w:color w:val="auto"/>
        </w:rPr>
        <w:t>C0. Base Financial Position (2024 – Pre-Restructuring)</w:t>
      </w:r>
      <w:bookmarkEnd w:id="43"/>
    </w:p>
    <w:tbl>
      <w:tblPr>
        <w:tblStyle w:val="TableGrid"/>
        <w:tblW w:w="0" w:type="auto"/>
        <w:jc w:val="center"/>
        <w:tblLook w:val="04A0" w:firstRow="1" w:lastRow="0" w:firstColumn="1" w:lastColumn="0" w:noHBand="0" w:noVBand="1"/>
      </w:tblPr>
      <w:tblGrid>
        <w:gridCol w:w="3751"/>
        <w:gridCol w:w="2044"/>
      </w:tblGrid>
      <w:tr w:rsidR="00BB23B0" w:rsidRPr="008C5253" w14:paraId="7AEAFB81" w14:textId="77777777" w:rsidTr="00263BA0">
        <w:trPr>
          <w:jc w:val="center"/>
        </w:trPr>
        <w:tc>
          <w:tcPr>
            <w:tcW w:w="0" w:type="auto"/>
            <w:hideMark/>
          </w:tcPr>
          <w:p w14:paraId="0635B468" w14:textId="77777777" w:rsidR="00BB23B0" w:rsidRPr="008C5253" w:rsidRDefault="00BB23B0" w:rsidP="00BD7BD6">
            <w:pPr>
              <w:spacing w:line="360" w:lineRule="auto"/>
              <w:jc w:val="both"/>
              <w:rPr>
                <w:rFonts w:ascii="Arial" w:hAnsi="Arial" w:cs="Arial"/>
              </w:rPr>
            </w:pPr>
            <w:r w:rsidRPr="008C5253">
              <w:rPr>
                <w:rFonts w:ascii="Arial" w:hAnsi="Arial" w:cs="Arial"/>
              </w:rPr>
              <w:t>Item</w:t>
            </w:r>
          </w:p>
        </w:tc>
        <w:tc>
          <w:tcPr>
            <w:tcW w:w="0" w:type="auto"/>
            <w:hideMark/>
          </w:tcPr>
          <w:p w14:paraId="5556B858" w14:textId="77777777" w:rsidR="00BB23B0" w:rsidRPr="008C5253" w:rsidRDefault="00BB23B0" w:rsidP="00BD7BD6">
            <w:pPr>
              <w:spacing w:line="360" w:lineRule="auto"/>
              <w:jc w:val="both"/>
              <w:rPr>
                <w:rFonts w:ascii="Arial" w:hAnsi="Arial" w:cs="Arial"/>
              </w:rPr>
            </w:pPr>
            <w:r w:rsidRPr="008C5253">
              <w:rPr>
                <w:rFonts w:ascii="Arial" w:hAnsi="Arial" w:cs="Arial"/>
              </w:rPr>
              <w:t>Amount</w:t>
            </w:r>
          </w:p>
        </w:tc>
      </w:tr>
      <w:tr w:rsidR="00BB23B0" w:rsidRPr="008C5253" w14:paraId="7A0CB20F" w14:textId="77777777" w:rsidTr="00263BA0">
        <w:trPr>
          <w:jc w:val="center"/>
        </w:trPr>
        <w:tc>
          <w:tcPr>
            <w:tcW w:w="0" w:type="auto"/>
            <w:hideMark/>
          </w:tcPr>
          <w:p w14:paraId="23BF8784" w14:textId="77777777" w:rsidR="00BB23B0" w:rsidRPr="008C5253" w:rsidRDefault="00BB23B0" w:rsidP="00BD7BD6">
            <w:pPr>
              <w:spacing w:line="360" w:lineRule="auto"/>
              <w:jc w:val="both"/>
              <w:rPr>
                <w:rFonts w:ascii="Arial" w:hAnsi="Arial" w:cs="Arial"/>
              </w:rPr>
            </w:pPr>
            <w:r w:rsidRPr="008C5253">
              <w:rPr>
                <w:rFonts w:ascii="Arial" w:hAnsi="Arial" w:cs="Arial"/>
              </w:rPr>
              <w:t>Total Assets</w:t>
            </w:r>
          </w:p>
        </w:tc>
        <w:tc>
          <w:tcPr>
            <w:tcW w:w="0" w:type="auto"/>
            <w:hideMark/>
          </w:tcPr>
          <w:p w14:paraId="05BE8BFA" w14:textId="77777777" w:rsidR="00BB23B0" w:rsidRPr="008C5253" w:rsidRDefault="00BB23B0" w:rsidP="00BD7BD6">
            <w:pPr>
              <w:spacing w:line="360" w:lineRule="auto"/>
              <w:jc w:val="both"/>
              <w:rPr>
                <w:rFonts w:ascii="Arial" w:hAnsi="Arial" w:cs="Arial"/>
              </w:rPr>
            </w:pPr>
            <w:r w:rsidRPr="008C5253">
              <w:rPr>
                <w:rFonts w:ascii="Arial" w:hAnsi="Arial" w:cs="Arial"/>
              </w:rPr>
              <w:t>323,354</w:t>
            </w:r>
          </w:p>
        </w:tc>
      </w:tr>
      <w:tr w:rsidR="00BB23B0" w:rsidRPr="008C5253" w14:paraId="383771AE" w14:textId="77777777" w:rsidTr="00263BA0">
        <w:trPr>
          <w:jc w:val="center"/>
        </w:trPr>
        <w:tc>
          <w:tcPr>
            <w:tcW w:w="0" w:type="auto"/>
            <w:hideMark/>
          </w:tcPr>
          <w:p w14:paraId="5417EB26" w14:textId="77777777" w:rsidR="00BB23B0" w:rsidRPr="008C5253" w:rsidRDefault="00BB23B0" w:rsidP="00BD7BD6">
            <w:pPr>
              <w:spacing w:line="360" w:lineRule="auto"/>
              <w:jc w:val="both"/>
              <w:rPr>
                <w:rFonts w:ascii="Arial" w:hAnsi="Arial" w:cs="Arial"/>
              </w:rPr>
            </w:pPr>
            <w:r w:rsidRPr="008C5253">
              <w:rPr>
                <w:rFonts w:ascii="Arial" w:hAnsi="Arial" w:cs="Arial"/>
              </w:rPr>
              <w:t>Total Liabilities</w:t>
            </w:r>
          </w:p>
        </w:tc>
        <w:tc>
          <w:tcPr>
            <w:tcW w:w="0" w:type="auto"/>
            <w:hideMark/>
          </w:tcPr>
          <w:p w14:paraId="34A4FAD4" w14:textId="77777777" w:rsidR="00BB23B0" w:rsidRPr="008C5253" w:rsidRDefault="00BB23B0" w:rsidP="00BD7BD6">
            <w:pPr>
              <w:spacing w:line="360" w:lineRule="auto"/>
              <w:jc w:val="both"/>
              <w:rPr>
                <w:rFonts w:ascii="Arial" w:hAnsi="Arial" w:cs="Arial"/>
              </w:rPr>
            </w:pPr>
            <w:r w:rsidRPr="008C5253">
              <w:rPr>
                <w:rFonts w:ascii="Arial" w:hAnsi="Arial" w:cs="Arial"/>
              </w:rPr>
              <w:t>170,249</w:t>
            </w:r>
          </w:p>
        </w:tc>
      </w:tr>
      <w:tr w:rsidR="00BB23B0" w:rsidRPr="008C5253" w14:paraId="2C35FA1C" w14:textId="77777777" w:rsidTr="00263BA0">
        <w:trPr>
          <w:jc w:val="center"/>
        </w:trPr>
        <w:tc>
          <w:tcPr>
            <w:tcW w:w="0" w:type="auto"/>
            <w:hideMark/>
          </w:tcPr>
          <w:p w14:paraId="4210F1CF" w14:textId="77777777" w:rsidR="00BB23B0" w:rsidRPr="008C5253" w:rsidRDefault="00BB23B0" w:rsidP="00BD7BD6">
            <w:pPr>
              <w:spacing w:line="360" w:lineRule="auto"/>
              <w:jc w:val="both"/>
              <w:rPr>
                <w:rFonts w:ascii="Arial" w:hAnsi="Arial" w:cs="Arial"/>
              </w:rPr>
            </w:pPr>
            <w:r w:rsidRPr="008C5253">
              <w:rPr>
                <w:rFonts w:ascii="Arial" w:hAnsi="Arial" w:cs="Arial"/>
              </w:rPr>
              <w:t>Shareholders’ Equity</w:t>
            </w:r>
          </w:p>
        </w:tc>
        <w:tc>
          <w:tcPr>
            <w:tcW w:w="0" w:type="auto"/>
            <w:hideMark/>
          </w:tcPr>
          <w:p w14:paraId="1F19649F" w14:textId="77777777" w:rsidR="00BB23B0" w:rsidRPr="008C5253" w:rsidRDefault="00BB23B0" w:rsidP="00BD7BD6">
            <w:pPr>
              <w:spacing w:line="360" w:lineRule="auto"/>
              <w:jc w:val="both"/>
              <w:rPr>
                <w:rFonts w:ascii="Arial" w:hAnsi="Arial" w:cs="Arial"/>
              </w:rPr>
            </w:pPr>
            <w:r w:rsidRPr="008C5253">
              <w:rPr>
                <w:rFonts w:ascii="Arial" w:hAnsi="Arial" w:cs="Arial"/>
              </w:rPr>
              <w:t>153,105</w:t>
            </w:r>
          </w:p>
        </w:tc>
      </w:tr>
      <w:tr w:rsidR="00BB23B0" w:rsidRPr="008C5253" w14:paraId="249A3F55" w14:textId="77777777" w:rsidTr="00263BA0">
        <w:trPr>
          <w:jc w:val="center"/>
        </w:trPr>
        <w:tc>
          <w:tcPr>
            <w:tcW w:w="0" w:type="auto"/>
            <w:hideMark/>
          </w:tcPr>
          <w:p w14:paraId="2DC8CF8D" w14:textId="77777777" w:rsidR="00BB23B0" w:rsidRPr="008C5253" w:rsidRDefault="00BB23B0" w:rsidP="00BD7BD6">
            <w:pPr>
              <w:spacing w:line="360" w:lineRule="auto"/>
              <w:jc w:val="both"/>
              <w:rPr>
                <w:rFonts w:ascii="Arial" w:hAnsi="Arial" w:cs="Arial"/>
              </w:rPr>
            </w:pPr>
            <w:r w:rsidRPr="008C5253">
              <w:rPr>
                <w:rFonts w:ascii="Arial" w:hAnsi="Arial" w:cs="Arial"/>
              </w:rPr>
              <w:t>Current Assets</w:t>
            </w:r>
          </w:p>
        </w:tc>
        <w:tc>
          <w:tcPr>
            <w:tcW w:w="0" w:type="auto"/>
            <w:hideMark/>
          </w:tcPr>
          <w:p w14:paraId="0BCF23BA" w14:textId="77777777" w:rsidR="00BB23B0" w:rsidRPr="008C5253" w:rsidRDefault="00BB23B0" w:rsidP="00BD7BD6">
            <w:pPr>
              <w:spacing w:line="360" w:lineRule="auto"/>
              <w:jc w:val="both"/>
              <w:rPr>
                <w:rFonts w:ascii="Arial" w:hAnsi="Arial" w:cs="Arial"/>
              </w:rPr>
            </w:pPr>
            <w:r w:rsidRPr="008C5253">
              <w:rPr>
                <w:rFonts w:ascii="Arial" w:hAnsi="Arial" w:cs="Arial"/>
              </w:rPr>
              <w:t>242,494</w:t>
            </w:r>
          </w:p>
        </w:tc>
      </w:tr>
      <w:tr w:rsidR="00BB23B0" w:rsidRPr="008C5253" w14:paraId="574D40D6" w14:textId="77777777" w:rsidTr="00263BA0">
        <w:trPr>
          <w:jc w:val="center"/>
        </w:trPr>
        <w:tc>
          <w:tcPr>
            <w:tcW w:w="0" w:type="auto"/>
            <w:hideMark/>
          </w:tcPr>
          <w:p w14:paraId="4C7C7286" w14:textId="77777777" w:rsidR="00BB23B0" w:rsidRPr="008C5253" w:rsidRDefault="00BB23B0" w:rsidP="00BD7BD6">
            <w:pPr>
              <w:spacing w:line="360" w:lineRule="auto"/>
              <w:jc w:val="both"/>
              <w:rPr>
                <w:rFonts w:ascii="Arial" w:hAnsi="Arial" w:cs="Arial"/>
              </w:rPr>
            </w:pPr>
            <w:r w:rsidRPr="008C5253">
              <w:rPr>
                <w:rFonts w:ascii="Arial" w:hAnsi="Arial" w:cs="Arial"/>
              </w:rPr>
              <w:t>Current Liabilities</w:t>
            </w:r>
          </w:p>
        </w:tc>
        <w:tc>
          <w:tcPr>
            <w:tcW w:w="0" w:type="auto"/>
            <w:hideMark/>
          </w:tcPr>
          <w:p w14:paraId="5D4265EE" w14:textId="77777777" w:rsidR="00BB23B0" w:rsidRPr="008C5253" w:rsidRDefault="00BB23B0" w:rsidP="00BD7BD6">
            <w:pPr>
              <w:spacing w:line="360" w:lineRule="auto"/>
              <w:jc w:val="both"/>
              <w:rPr>
                <w:rFonts w:ascii="Arial" w:hAnsi="Arial" w:cs="Arial"/>
              </w:rPr>
            </w:pPr>
            <w:r w:rsidRPr="008C5253">
              <w:rPr>
                <w:rFonts w:ascii="Arial" w:hAnsi="Arial" w:cs="Arial"/>
              </w:rPr>
              <w:t>158,291</w:t>
            </w:r>
          </w:p>
        </w:tc>
      </w:tr>
      <w:tr w:rsidR="00BB23B0" w:rsidRPr="008C5253" w14:paraId="62B2AD54" w14:textId="77777777" w:rsidTr="00263BA0">
        <w:trPr>
          <w:jc w:val="center"/>
        </w:trPr>
        <w:tc>
          <w:tcPr>
            <w:tcW w:w="0" w:type="auto"/>
            <w:hideMark/>
          </w:tcPr>
          <w:p w14:paraId="49BD48BA" w14:textId="77777777" w:rsidR="00BB23B0" w:rsidRPr="008C5253" w:rsidRDefault="00BB23B0" w:rsidP="00BD7BD6">
            <w:pPr>
              <w:spacing w:line="360" w:lineRule="auto"/>
              <w:jc w:val="both"/>
              <w:rPr>
                <w:rFonts w:ascii="Arial" w:hAnsi="Arial" w:cs="Arial"/>
              </w:rPr>
            </w:pPr>
            <w:r w:rsidRPr="008C5253">
              <w:rPr>
                <w:rFonts w:ascii="Arial" w:hAnsi="Arial" w:cs="Arial"/>
              </w:rPr>
              <w:t>Short-Term Interest-Bearing Debt</w:t>
            </w:r>
          </w:p>
        </w:tc>
        <w:tc>
          <w:tcPr>
            <w:tcW w:w="0" w:type="auto"/>
            <w:hideMark/>
          </w:tcPr>
          <w:p w14:paraId="7D9BF27D" w14:textId="77777777" w:rsidR="00BB23B0" w:rsidRPr="008C5253" w:rsidRDefault="00BB23B0" w:rsidP="00BD7BD6">
            <w:pPr>
              <w:spacing w:line="360" w:lineRule="auto"/>
              <w:jc w:val="both"/>
              <w:rPr>
                <w:rFonts w:ascii="Arial" w:hAnsi="Arial" w:cs="Arial"/>
              </w:rPr>
            </w:pPr>
            <w:r w:rsidRPr="008C5253">
              <w:rPr>
                <w:rFonts w:ascii="Arial" w:hAnsi="Arial" w:cs="Arial"/>
              </w:rPr>
              <w:t>36,960</w:t>
            </w:r>
          </w:p>
        </w:tc>
      </w:tr>
      <w:tr w:rsidR="00BB23B0" w:rsidRPr="008C5253" w14:paraId="61B5387B" w14:textId="77777777" w:rsidTr="00263BA0">
        <w:trPr>
          <w:jc w:val="center"/>
        </w:trPr>
        <w:tc>
          <w:tcPr>
            <w:tcW w:w="0" w:type="auto"/>
            <w:hideMark/>
          </w:tcPr>
          <w:p w14:paraId="7BB05C88" w14:textId="77777777" w:rsidR="00BB23B0" w:rsidRPr="008C5253" w:rsidRDefault="00BB23B0" w:rsidP="00BD7BD6">
            <w:pPr>
              <w:spacing w:line="360" w:lineRule="auto"/>
              <w:jc w:val="both"/>
              <w:rPr>
                <w:rFonts w:ascii="Arial" w:hAnsi="Arial" w:cs="Arial"/>
              </w:rPr>
            </w:pPr>
            <w:r w:rsidRPr="008C5253">
              <w:rPr>
                <w:rFonts w:ascii="Arial" w:hAnsi="Arial" w:cs="Arial"/>
              </w:rPr>
              <w:t>Interest Expense</w:t>
            </w:r>
          </w:p>
        </w:tc>
        <w:tc>
          <w:tcPr>
            <w:tcW w:w="0" w:type="auto"/>
            <w:hideMark/>
          </w:tcPr>
          <w:p w14:paraId="37DAD8A0" w14:textId="77777777" w:rsidR="00BB23B0" w:rsidRPr="008C5253" w:rsidRDefault="00BB23B0" w:rsidP="00BD7BD6">
            <w:pPr>
              <w:spacing w:line="360" w:lineRule="auto"/>
              <w:jc w:val="both"/>
              <w:rPr>
                <w:rFonts w:ascii="Arial" w:hAnsi="Arial" w:cs="Arial"/>
              </w:rPr>
            </w:pPr>
            <w:r w:rsidRPr="008C5253">
              <w:rPr>
                <w:rFonts w:ascii="Arial" w:hAnsi="Arial" w:cs="Arial"/>
              </w:rPr>
              <w:t>6,210</w:t>
            </w:r>
          </w:p>
        </w:tc>
      </w:tr>
      <w:tr w:rsidR="00BB23B0" w:rsidRPr="008C5253" w14:paraId="39243AB5" w14:textId="77777777" w:rsidTr="00263BA0">
        <w:trPr>
          <w:jc w:val="center"/>
        </w:trPr>
        <w:tc>
          <w:tcPr>
            <w:tcW w:w="0" w:type="auto"/>
            <w:hideMark/>
          </w:tcPr>
          <w:p w14:paraId="0044B608" w14:textId="77777777" w:rsidR="00BB23B0" w:rsidRPr="008C5253" w:rsidRDefault="00BB23B0" w:rsidP="00BD7BD6">
            <w:pPr>
              <w:spacing w:line="360" w:lineRule="auto"/>
              <w:jc w:val="both"/>
              <w:rPr>
                <w:rFonts w:ascii="Arial" w:hAnsi="Arial" w:cs="Arial"/>
              </w:rPr>
            </w:pPr>
            <w:r w:rsidRPr="008C5253">
              <w:rPr>
                <w:rFonts w:ascii="Arial" w:hAnsi="Arial" w:cs="Arial"/>
              </w:rPr>
              <w:t>Operating Cash Flow</w:t>
            </w:r>
          </w:p>
        </w:tc>
        <w:tc>
          <w:tcPr>
            <w:tcW w:w="0" w:type="auto"/>
            <w:hideMark/>
          </w:tcPr>
          <w:p w14:paraId="6708013C" w14:textId="77777777" w:rsidR="00BB23B0" w:rsidRPr="008C5253" w:rsidRDefault="00BB23B0" w:rsidP="00BD7BD6">
            <w:pPr>
              <w:spacing w:line="360" w:lineRule="auto"/>
              <w:jc w:val="both"/>
              <w:rPr>
                <w:rFonts w:ascii="Arial" w:hAnsi="Arial" w:cs="Arial"/>
              </w:rPr>
            </w:pPr>
            <w:r w:rsidRPr="008C5253">
              <w:rPr>
                <w:rFonts w:ascii="Arial" w:hAnsi="Arial" w:cs="Arial"/>
              </w:rPr>
              <w:t>14,822</w:t>
            </w:r>
          </w:p>
        </w:tc>
      </w:tr>
      <w:tr w:rsidR="00BB23B0" w:rsidRPr="008C5253" w14:paraId="034F6638" w14:textId="77777777" w:rsidTr="00263BA0">
        <w:trPr>
          <w:jc w:val="center"/>
        </w:trPr>
        <w:tc>
          <w:tcPr>
            <w:tcW w:w="0" w:type="auto"/>
            <w:hideMark/>
          </w:tcPr>
          <w:p w14:paraId="3DED06CC" w14:textId="77777777" w:rsidR="00BB23B0" w:rsidRPr="008C5253" w:rsidRDefault="00BB23B0" w:rsidP="00BD7BD6">
            <w:pPr>
              <w:spacing w:line="360" w:lineRule="auto"/>
              <w:jc w:val="both"/>
              <w:rPr>
                <w:rFonts w:ascii="Arial" w:hAnsi="Arial" w:cs="Arial"/>
              </w:rPr>
            </w:pPr>
            <w:proofErr w:type="gramStart"/>
            <w:r w:rsidRPr="008C5253">
              <w:rPr>
                <w:rFonts w:ascii="Arial" w:hAnsi="Arial" w:cs="Arial"/>
              </w:rPr>
              <w:t>Liabilities</w:t>
            </w:r>
            <w:proofErr w:type="gramEnd"/>
            <w:r w:rsidRPr="008C5253">
              <w:rPr>
                <w:rFonts w:ascii="Arial" w:hAnsi="Arial" w:cs="Arial"/>
              </w:rPr>
              <w:t>-to-Equity Ratio</w:t>
            </w:r>
          </w:p>
        </w:tc>
        <w:tc>
          <w:tcPr>
            <w:tcW w:w="0" w:type="auto"/>
            <w:hideMark/>
          </w:tcPr>
          <w:p w14:paraId="492AA02B" w14:textId="77777777" w:rsidR="00BB23B0" w:rsidRPr="008C5253" w:rsidRDefault="00BB23B0" w:rsidP="00BD7BD6">
            <w:pPr>
              <w:spacing w:line="360" w:lineRule="auto"/>
              <w:jc w:val="both"/>
              <w:rPr>
                <w:rFonts w:ascii="Arial" w:hAnsi="Arial" w:cs="Arial"/>
              </w:rPr>
            </w:pPr>
            <w:r w:rsidRPr="008C5253">
              <w:rPr>
                <w:rFonts w:ascii="Arial" w:hAnsi="Arial" w:cs="Arial"/>
              </w:rPr>
              <w:t>1.11</w:t>
            </w:r>
          </w:p>
        </w:tc>
      </w:tr>
      <w:tr w:rsidR="00BB23B0" w:rsidRPr="008C5253" w14:paraId="2612ADB7" w14:textId="77777777" w:rsidTr="00263BA0">
        <w:trPr>
          <w:jc w:val="center"/>
        </w:trPr>
        <w:tc>
          <w:tcPr>
            <w:tcW w:w="0" w:type="auto"/>
            <w:hideMark/>
          </w:tcPr>
          <w:p w14:paraId="18112898" w14:textId="77777777" w:rsidR="00BB23B0" w:rsidRPr="008C5253" w:rsidRDefault="00BB23B0" w:rsidP="00BD7BD6">
            <w:pPr>
              <w:spacing w:line="360" w:lineRule="auto"/>
              <w:jc w:val="both"/>
              <w:rPr>
                <w:rFonts w:ascii="Arial" w:hAnsi="Arial" w:cs="Arial"/>
              </w:rPr>
            </w:pPr>
            <w:r w:rsidRPr="008C5253">
              <w:rPr>
                <w:rFonts w:ascii="Arial" w:hAnsi="Arial" w:cs="Arial"/>
              </w:rPr>
              <w:t>Current Ratio</w:t>
            </w:r>
          </w:p>
        </w:tc>
        <w:tc>
          <w:tcPr>
            <w:tcW w:w="0" w:type="auto"/>
            <w:hideMark/>
          </w:tcPr>
          <w:p w14:paraId="654F162D" w14:textId="77777777" w:rsidR="00BB23B0" w:rsidRPr="008C5253" w:rsidRDefault="00BB23B0" w:rsidP="00BD7BD6">
            <w:pPr>
              <w:spacing w:line="360" w:lineRule="auto"/>
              <w:jc w:val="both"/>
              <w:rPr>
                <w:rFonts w:ascii="Arial" w:hAnsi="Arial" w:cs="Arial"/>
              </w:rPr>
            </w:pPr>
            <w:r w:rsidRPr="008C5253">
              <w:rPr>
                <w:rFonts w:ascii="Arial" w:hAnsi="Arial" w:cs="Arial"/>
              </w:rPr>
              <w:t>1.53</w:t>
            </w:r>
          </w:p>
        </w:tc>
      </w:tr>
      <w:tr w:rsidR="00BB23B0" w:rsidRPr="008C5253" w14:paraId="2F0A0A35" w14:textId="77777777" w:rsidTr="00263BA0">
        <w:trPr>
          <w:jc w:val="center"/>
        </w:trPr>
        <w:tc>
          <w:tcPr>
            <w:tcW w:w="0" w:type="auto"/>
            <w:hideMark/>
          </w:tcPr>
          <w:p w14:paraId="359F1881" w14:textId="77777777" w:rsidR="00BB23B0" w:rsidRPr="008C5253" w:rsidRDefault="00BB23B0" w:rsidP="00BD7BD6">
            <w:pPr>
              <w:spacing w:line="360" w:lineRule="auto"/>
              <w:jc w:val="both"/>
              <w:rPr>
                <w:rFonts w:ascii="Arial" w:hAnsi="Arial" w:cs="Arial"/>
              </w:rPr>
            </w:pPr>
            <w:r w:rsidRPr="008C5253">
              <w:rPr>
                <w:rFonts w:ascii="Arial" w:hAnsi="Arial" w:cs="Arial"/>
              </w:rPr>
              <w:t>Altman Z-Score</w:t>
            </w:r>
          </w:p>
        </w:tc>
        <w:tc>
          <w:tcPr>
            <w:tcW w:w="0" w:type="auto"/>
            <w:hideMark/>
          </w:tcPr>
          <w:p w14:paraId="337BCA3B" w14:textId="2A3601AB" w:rsidR="00BB23B0" w:rsidRPr="008C5253" w:rsidRDefault="00BB23B0" w:rsidP="00BD7BD6">
            <w:pPr>
              <w:spacing w:line="360" w:lineRule="auto"/>
              <w:jc w:val="both"/>
              <w:rPr>
                <w:rFonts w:ascii="Arial" w:hAnsi="Arial" w:cs="Arial"/>
              </w:rPr>
            </w:pPr>
            <w:r w:rsidRPr="008C5253">
              <w:rPr>
                <w:rFonts w:ascii="Arial" w:hAnsi="Arial" w:cs="Arial"/>
              </w:rPr>
              <w:t>2.</w:t>
            </w:r>
            <w:r w:rsidR="00543CD9">
              <w:rPr>
                <w:rFonts w:ascii="Arial" w:hAnsi="Arial" w:cs="Arial"/>
              </w:rPr>
              <w:t>82</w:t>
            </w:r>
            <w:r w:rsidRPr="008C5253">
              <w:rPr>
                <w:rFonts w:ascii="Arial" w:hAnsi="Arial" w:cs="Arial"/>
              </w:rPr>
              <w:t xml:space="preserve"> (Grey Zone)</w:t>
            </w:r>
          </w:p>
        </w:tc>
      </w:tr>
    </w:tbl>
    <w:p w14:paraId="2F3665C0" w14:textId="52DFC614" w:rsidR="00BB23B0" w:rsidRPr="008C5253" w:rsidRDefault="00BB23B0" w:rsidP="00BD7BD6">
      <w:pPr>
        <w:spacing w:line="360" w:lineRule="auto"/>
        <w:jc w:val="both"/>
        <w:rPr>
          <w:rFonts w:ascii="Arial" w:hAnsi="Arial" w:cs="Arial"/>
        </w:rPr>
      </w:pPr>
    </w:p>
    <w:p w14:paraId="54EA5010" w14:textId="77777777" w:rsidR="00BB23B0" w:rsidRPr="008C5253" w:rsidRDefault="00BB23B0" w:rsidP="00263BA0">
      <w:pPr>
        <w:pStyle w:val="Heading3"/>
        <w:rPr>
          <w:rFonts w:ascii="Arial" w:hAnsi="Arial" w:cs="Arial"/>
          <w:b/>
          <w:bCs/>
          <w:color w:val="auto"/>
        </w:rPr>
      </w:pPr>
      <w:bookmarkStart w:id="44" w:name="_Toc216698908"/>
      <w:r w:rsidRPr="008C5253">
        <w:rPr>
          <w:rFonts w:ascii="Arial" w:hAnsi="Arial" w:cs="Arial"/>
          <w:b/>
          <w:bCs/>
          <w:color w:val="auto"/>
        </w:rPr>
        <w:t>C1. Debt Restructuring Scenario (Maturity Extension &amp; Interest Reduction)</w:t>
      </w:r>
      <w:bookmarkEnd w:id="44"/>
    </w:p>
    <w:p w14:paraId="3C0E636F"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Objective</w:t>
      </w:r>
    </w:p>
    <w:p w14:paraId="0F096933" w14:textId="77777777" w:rsidR="00BB23B0" w:rsidRPr="008C5253" w:rsidRDefault="00BB23B0" w:rsidP="00BD7BD6">
      <w:pPr>
        <w:spacing w:line="360" w:lineRule="auto"/>
        <w:jc w:val="both"/>
        <w:rPr>
          <w:rFonts w:ascii="Arial" w:hAnsi="Arial" w:cs="Arial"/>
        </w:rPr>
      </w:pPr>
      <w:r w:rsidRPr="008C5253">
        <w:rPr>
          <w:rFonts w:ascii="Arial" w:hAnsi="Arial" w:cs="Arial"/>
        </w:rPr>
        <w:t>Reduce short-term liquidity pressure and improve cash flow by refinancing short-term debt into longer-term instruments at a lower interest rate.</w:t>
      </w:r>
    </w:p>
    <w:p w14:paraId="77159521"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Assumptions</w:t>
      </w:r>
    </w:p>
    <w:p w14:paraId="1206F765" w14:textId="77777777" w:rsidR="00BB23B0" w:rsidRPr="008C5253" w:rsidRDefault="00BB23B0" w:rsidP="00BD7BD6">
      <w:pPr>
        <w:numPr>
          <w:ilvl w:val="0"/>
          <w:numId w:val="27"/>
        </w:numPr>
        <w:spacing w:line="360" w:lineRule="auto"/>
        <w:jc w:val="both"/>
        <w:rPr>
          <w:rFonts w:ascii="Arial" w:hAnsi="Arial" w:cs="Arial"/>
        </w:rPr>
      </w:pPr>
      <w:r w:rsidRPr="008C5253">
        <w:rPr>
          <w:rFonts w:ascii="Arial" w:hAnsi="Arial" w:cs="Arial"/>
        </w:rPr>
        <w:t>£30 of short-term debt refinanced</w:t>
      </w:r>
    </w:p>
    <w:p w14:paraId="304DA074" w14:textId="77777777" w:rsidR="00BB23B0" w:rsidRPr="008C5253" w:rsidRDefault="00BB23B0" w:rsidP="00BD7BD6">
      <w:pPr>
        <w:numPr>
          <w:ilvl w:val="0"/>
          <w:numId w:val="27"/>
        </w:numPr>
        <w:spacing w:line="360" w:lineRule="auto"/>
        <w:jc w:val="both"/>
        <w:rPr>
          <w:rFonts w:ascii="Arial" w:hAnsi="Arial" w:cs="Arial"/>
        </w:rPr>
      </w:pPr>
      <w:r w:rsidRPr="008C5253">
        <w:rPr>
          <w:rFonts w:ascii="Arial" w:hAnsi="Arial" w:cs="Arial"/>
        </w:rPr>
        <w:t>Interest rate reduced from 6.2% to 4.5%</w:t>
      </w:r>
    </w:p>
    <w:p w14:paraId="2D1155E9" w14:textId="77777777" w:rsidR="00BB23B0" w:rsidRPr="008C5253" w:rsidRDefault="00BB23B0" w:rsidP="00BD7BD6">
      <w:pPr>
        <w:numPr>
          <w:ilvl w:val="0"/>
          <w:numId w:val="27"/>
        </w:numPr>
        <w:spacing w:line="360" w:lineRule="auto"/>
        <w:jc w:val="both"/>
        <w:rPr>
          <w:rFonts w:ascii="Arial" w:hAnsi="Arial" w:cs="Arial"/>
        </w:rPr>
      </w:pPr>
      <w:r w:rsidRPr="008C5253">
        <w:rPr>
          <w:rFonts w:ascii="Arial" w:hAnsi="Arial" w:cs="Arial"/>
        </w:rPr>
        <w:t>Total debt level unchanged</w:t>
      </w:r>
    </w:p>
    <w:p w14:paraId="0D19A856" w14:textId="4C1CBAA4" w:rsidR="00BB23B0" w:rsidRPr="008C5253" w:rsidRDefault="00BB23B0" w:rsidP="00BD7BD6">
      <w:pPr>
        <w:spacing w:line="360" w:lineRule="auto"/>
        <w:jc w:val="both"/>
        <w:rPr>
          <w:rFonts w:ascii="Arial" w:hAnsi="Arial" w:cs="Arial"/>
          <w:b/>
          <w:bCs/>
        </w:rPr>
      </w:pPr>
      <w:r w:rsidRPr="008C5253">
        <w:rPr>
          <w:rFonts w:ascii="Arial" w:hAnsi="Arial" w:cs="Arial"/>
          <w:b/>
          <w:bCs/>
        </w:rPr>
        <w:t xml:space="preserve">Interest Expense Impact </w:t>
      </w:r>
    </w:p>
    <w:p w14:paraId="2C5B92CE"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Before restructuring</w:t>
      </w:r>
    </w:p>
    <w:p w14:paraId="501BBF14" w14:textId="05311274" w:rsidR="00BB23B0" w:rsidRPr="008C5253" w:rsidRDefault="00BD7BD6" w:rsidP="00BD7BD6">
      <w:pPr>
        <w:spacing w:line="360" w:lineRule="auto"/>
        <w:jc w:val="both"/>
        <w:rPr>
          <w:rFonts w:ascii="Arial" w:hAnsi="Arial" w:cs="Arial"/>
        </w:rPr>
      </w:pPr>
      <m:oMathPara>
        <m:oMath>
          <m:r>
            <w:rPr>
              <w:rFonts w:ascii="Cambria Math" w:hAnsi="Cambria Math" w:cs="Arial"/>
            </w:rPr>
            <w:lastRenderedPageBreak/>
            <m:t>30×6.2</m:t>
          </m:r>
          <m:r>
            <m:rPr>
              <m:sty m:val="p"/>
            </m:rPr>
            <w:rPr>
              <w:rFonts w:ascii="Cambria Math" w:hAnsi="Cambria Math" w:cs="Arial"/>
            </w:rPr>
            <m:t>%</m:t>
          </m:r>
          <m:r>
            <w:rPr>
              <w:rFonts w:ascii="Cambria Math" w:hAnsi="Cambria Math" w:cs="Arial"/>
            </w:rPr>
            <m:t>=1.86</m:t>
          </m:r>
        </m:oMath>
      </m:oMathPara>
    </w:p>
    <w:p w14:paraId="537E3EBA"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After restructuring</w:t>
      </w:r>
    </w:p>
    <w:p w14:paraId="2D3944F5" w14:textId="469D9CB2" w:rsidR="00BB23B0" w:rsidRPr="008C5253" w:rsidRDefault="00BD7BD6" w:rsidP="00BD7BD6">
      <w:pPr>
        <w:spacing w:line="360" w:lineRule="auto"/>
        <w:jc w:val="both"/>
        <w:rPr>
          <w:rFonts w:ascii="Arial" w:hAnsi="Arial" w:cs="Arial"/>
        </w:rPr>
      </w:pPr>
      <m:oMathPara>
        <m:oMath>
          <m:r>
            <w:rPr>
              <w:rFonts w:ascii="Cambria Math" w:hAnsi="Cambria Math" w:cs="Arial"/>
            </w:rPr>
            <m:t>30×4.5</m:t>
          </m:r>
          <m:r>
            <m:rPr>
              <m:sty m:val="p"/>
            </m:rPr>
            <w:rPr>
              <w:rFonts w:ascii="Cambria Math" w:hAnsi="Cambria Math" w:cs="Arial"/>
            </w:rPr>
            <m:t>%</m:t>
          </m:r>
          <m:r>
            <w:rPr>
              <w:rFonts w:ascii="Cambria Math" w:hAnsi="Cambria Math" w:cs="Arial"/>
            </w:rPr>
            <m:t>=1.35</m:t>
          </m:r>
        </m:oMath>
      </m:oMathPara>
    </w:p>
    <w:p w14:paraId="09172740"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Annual interest savings</w:t>
      </w:r>
    </w:p>
    <w:p w14:paraId="58497739" w14:textId="6ABF7966" w:rsidR="00BB23B0" w:rsidRPr="008C5253" w:rsidRDefault="00BD7BD6" w:rsidP="00BD7BD6">
      <w:pPr>
        <w:spacing w:line="360" w:lineRule="auto"/>
        <w:jc w:val="both"/>
        <w:rPr>
          <w:rFonts w:ascii="Arial" w:hAnsi="Arial" w:cs="Arial"/>
        </w:rPr>
      </w:pPr>
      <m:oMathPara>
        <m:oMath>
          <m:r>
            <w:rPr>
              <w:rFonts w:ascii="Cambria Math" w:hAnsi="Cambria Math" w:cs="Arial"/>
            </w:rPr>
            <m:t>1.86-1.35=0.51</m:t>
          </m:r>
          <m:r>
            <m:rPr>
              <m:sty m:val="p"/>
            </m:rPr>
            <w:rPr>
              <w:rFonts w:ascii="Cambria Math" w:hAnsi="Cambria Math" w:cs="Arial"/>
            </w:rPr>
            <w:br/>
          </m:r>
        </m:oMath>
      </m:oMathPara>
    </w:p>
    <w:p w14:paraId="156FAFA9"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Revised Interest Expense</w:t>
      </w:r>
    </w:p>
    <w:p w14:paraId="78B293B9" w14:textId="0DEEF009" w:rsidR="00BB23B0" w:rsidRPr="008C5253" w:rsidRDefault="00BD7BD6" w:rsidP="00BD7BD6">
      <w:pPr>
        <w:spacing w:line="360" w:lineRule="auto"/>
        <w:jc w:val="both"/>
        <w:rPr>
          <w:rFonts w:ascii="Arial" w:hAnsi="Arial" w:cs="Arial"/>
        </w:rPr>
      </w:pPr>
      <m:oMathPara>
        <m:oMath>
          <m:r>
            <w:rPr>
              <w:rFonts w:ascii="Cambria Math" w:hAnsi="Cambria Math" w:cs="Arial"/>
            </w:rPr>
            <m:t>6.21-0.51=</m:t>
          </m:r>
          <m:r>
            <m:rPr>
              <m:sty m:val="p"/>
            </m:rPr>
            <w:rPr>
              <w:rFonts w:ascii="Cambria Math" w:hAnsi="Cambria Math" w:cs="Arial"/>
            </w:rPr>
            <m:t>5.70</m:t>
          </m:r>
          <m:r>
            <m:rPr>
              <m:sty m:val="p"/>
            </m:rPr>
            <w:rPr>
              <w:rFonts w:ascii="Cambria Math" w:hAnsi="Cambria Math" w:cs="Arial"/>
            </w:rPr>
            <w:br/>
          </m:r>
        </m:oMath>
      </m:oMathPara>
    </w:p>
    <w:p w14:paraId="723BC467" w14:textId="77777777" w:rsidR="00BB23B0" w:rsidRPr="008C5253" w:rsidRDefault="00BB23B0" w:rsidP="00263BA0">
      <w:pPr>
        <w:pStyle w:val="Heading3"/>
        <w:rPr>
          <w:rFonts w:ascii="Arial" w:hAnsi="Arial" w:cs="Arial"/>
          <w:b/>
          <w:bCs/>
          <w:color w:val="auto"/>
        </w:rPr>
      </w:pPr>
      <w:bookmarkStart w:id="45" w:name="_Toc216698909"/>
      <w:r w:rsidRPr="008C5253">
        <w:rPr>
          <w:rFonts w:ascii="Arial" w:hAnsi="Arial" w:cs="Arial"/>
          <w:b/>
          <w:bCs/>
          <w:color w:val="auto"/>
        </w:rPr>
        <w:t>C2. Debt-to-Equity Conversion Scenario</w:t>
      </w:r>
      <w:bookmarkEnd w:id="45"/>
    </w:p>
    <w:p w14:paraId="79EA8A5E"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Objective</w:t>
      </w:r>
    </w:p>
    <w:p w14:paraId="35CB282B" w14:textId="77777777" w:rsidR="00BB23B0" w:rsidRPr="008C5253" w:rsidRDefault="00BB23B0" w:rsidP="00BD7BD6">
      <w:pPr>
        <w:spacing w:line="360" w:lineRule="auto"/>
        <w:jc w:val="both"/>
        <w:rPr>
          <w:rFonts w:ascii="Arial" w:hAnsi="Arial" w:cs="Arial"/>
        </w:rPr>
      </w:pPr>
      <w:r w:rsidRPr="008C5253">
        <w:rPr>
          <w:rFonts w:ascii="Arial" w:hAnsi="Arial" w:cs="Arial"/>
        </w:rPr>
        <w:t>Strengthen balance-sheet solvency by converting debt into equity.</w:t>
      </w:r>
    </w:p>
    <w:p w14:paraId="4DD0C260"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Assumptions</w:t>
      </w:r>
    </w:p>
    <w:p w14:paraId="5CBDC506" w14:textId="77777777" w:rsidR="00BB23B0" w:rsidRPr="008C5253" w:rsidRDefault="00BB23B0" w:rsidP="00BD7BD6">
      <w:pPr>
        <w:numPr>
          <w:ilvl w:val="0"/>
          <w:numId w:val="28"/>
        </w:numPr>
        <w:spacing w:line="360" w:lineRule="auto"/>
        <w:jc w:val="both"/>
        <w:rPr>
          <w:rFonts w:ascii="Arial" w:hAnsi="Arial" w:cs="Arial"/>
        </w:rPr>
      </w:pPr>
      <w:r w:rsidRPr="008C5253">
        <w:rPr>
          <w:rFonts w:ascii="Arial" w:hAnsi="Arial" w:cs="Arial"/>
        </w:rPr>
        <w:t>£20 of long-term interest-bearing debt converted to equity</w:t>
      </w:r>
    </w:p>
    <w:p w14:paraId="773C6373" w14:textId="77777777" w:rsidR="00BB23B0" w:rsidRPr="008C5253" w:rsidRDefault="00BB23B0" w:rsidP="00BD7BD6">
      <w:pPr>
        <w:numPr>
          <w:ilvl w:val="0"/>
          <w:numId w:val="28"/>
        </w:numPr>
        <w:spacing w:line="360" w:lineRule="auto"/>
        <w:jc w:val="both"/>
        <w:rPr>
          <w:rFonts w:ascii="Arial" w:hAnsi="Arial" w:cs="Arial"/>
        </w:rPr>
      </w:pPr>
      <w:r w:rsidRPr="008C5253">
        <w:rPr>
          <w:rFonts w:ascii="Arial" w:hAnsi="Arial" w:cs="Arial"/>
        </w:rPr>
        <w:t>No cash outflow</w:t>
      </w:r>
    </w:p>
    <w:p w14:paraId="62C01EAC" w14:textId="77777777" w:rsidR="00BB23B0" w:rsidRPr="008C5253" w:rsidRDefault="00BB23B0" w:rsidP="00BD7BD6">
      <w:pPr>
        <w:spacing w:line="360" w:lineRule="auto"/>
        <w:jc w:val="both"/>
        <w:rPr>
          <w:rFonts w:ascii="Arial" w:hAnsi="Arial" w:cs="Arial"/>
        </w:rPr>
      </w:pPr>
      <w:r w:rsidRPr="008C5253">
        <w:rPr>
          <w:rFonts w:ascii="Arial" w:hAnsi="Arial" w:cs="Arial"/>
        </w:rPr>
        <w:t>Revised Capital Structure</w:t>
      </w:r>
    </w:p>
    <w:tbl>
      <w:tblPr>
        <w:tblStyle w:val="TableGrid"/>
        <w:tblW w:w="0" w:type="auto"/>
        <w:tblLook w:val="04A0" w:firstRow="1" w:lastRow="0" w:firstColumn="1" w:lastColumn="0" w:noHBand="0" w:noVBand="1"/>
      </w:tblPr>
      <w:tblGrid>
        <w:gridCol w:w="2422"/>
        <w:gridCol w:w="1084"/>
        <w:gridCol w:w="1417"/>
        <w:gridCol w:w="1084"/>
      </w:tblGrid>
      <w:tr w:rsidR="00BB23B0" w:rsidRPr="008C5253" w14:paraId="08A45B63" w14:textId="77777777" w:rsidTr="00263BA0">
        <w:tc>
          <w:tcPr>
            <w:tcW w:w="0" w:type="auto"/>
            <w:hideMark/>
          </w:tcPr>
          <w:p w14:paraId="7F659BE6" w14:textId="77777777" w:rsidR="00BB23B0" w:rsidRPr="008C5253" w:rsidRDefault="00BB23B0" w:rsidP="00BD7BD6">
            <w:pPr>
              <w:spacing w:line="360" w:lineRule="auto"/>
              <w:jc w:val="both"/>
              <w:rPr>
                <w:rFonts w:ascii="Arial" w:hAnsi="Arial" w:cs="Arial"/>
              </w:rPr>
            </w:pPr>
            <w:r w:rsidRPr="008C5253">
              <w:rPr>
                <w:rFonts w:ascii="Arial" w:hAnsi="Arial" w:cs="Arial"/>
              </w:rPr>
              <w:t>Item</w:t>
            </w:r>
          </w:p>
        </w:tc>
        <w:tc>
          <w:tcPr>
            <w:tcW w:w="0" w:type="auto"/>
            <w:hideMark/>
          </w:tcPr>
          <w:p w14:paraId="781ACA93" w14:textId="77777777" w:rsidR="00BB23B0" w:rsidRPr="008C5253" w:rsidRDefault="00BB23B0" w:rsidP="00BD7BD6">
            <w:pPr>
              <w:spacing w:line="360" w:lineRule="auto"/>
              <w:jc w:val="both"/>
              <w:rPr>
                <w:rFonts w:ascii="Arial" w:hAnsi="Arial" w:cs="Arial"/>
              </w:rPr>
            </w:pPr>
            <w:r w:rsidRPr="008C5253">
              <w:rPr>
                <w:rFonts w:ascii="Arial" w:hAnsi="Arial" w:cs="Arial"/>
              </w:rPr>
              <w:t>Before</w:t>
            </w:r>
          </w:p>
        </w:tc>
        <w:tc>
          <w:tcPr>
            <w:tcW w:w="0" w:type="auto"/>
            <w:hideMark/>
          </w:tcPr>
          <w:p w14:paraId="36DA6BB4" w14:textId="77777777" w:rsidR="00BB23B0" w:rsidRPr="008C5253" w:rsidRDefault="00BB23B0" w:rsidP="00BD7BD6">
            <w:pPr>
              <w:spacing w:line="360" w:lineRule="auto"/>
              <w:jc w:val="both"/>
              <w:rPr>
                <w:rFonts w:ascii="Arial" w:hAnsi="Arial" w:cs="Arial"/>
              </w:rPr>
            </w:pPr>
            <w:r w:rsidRPr="008C5253">
              <w:rPr>
                <w:rFonts w:ascii="Arial" w:hAnsi="Arial" w:cs="Arial"/>
              </w:rPr>
              <w:t>Adjustment</w:t>
            </w:r>
          </w:p>
        </w:tc>
        <w:tc>
          <w:tcPr>
            <w:tcW w:w="0" w:type="auto"/>
            <w:hideMark/>
          </w:tcPr>
          <w:p w14:paraId="7462AD6E" w14:textId="77777777" w:rsidR="00BB23B0" w:rsidRPr="008C5253" w:rsidRDefault="00BB23B0" w:rsidP="00BD7BD6">
            <w:pPr>
              <w:spacing w:line="360" w:lineRule="auto"/>
              <w:jc w:val="both"/>
              <w:rPr>
                <w:rFonts w:ascii="Arial" w:hAnsi="Arial" w:cs="Arial"/>
              </w:rPr>
            </w:pPr>
            <w:r w:rsidRPr="008C5253">
              <w:rPr>
                <w:rFonts w:ascii="Arial" w:hAnsi="Arial" w:cs="Arial"/>
              </w:rPr>
              <w:t>After</w:t>
            </w:r>
          </w:p>
        </w:tc>
      </w:tr>
      <w:tr w:rsidR="00BB23B0" w:rsidRPr="008C5253" w14:paraId="1EFF04DD" w14:textId="77777777" w:rsidTr="00263BA0">
        <w:tc>
          <w:tcPr>
            <w:tcW w:w="0" w:type="auto"/>
            <w:hideMark/>
          </w:tcPr>
          <w:p w14:paraId="24529359" w14:textId="77777777" w:rsidR="00BB23B0" w:rsidRPr="008C5253" w:rsidRDefault="00BB23B0" w:rsidP="00BD7BD6">
            <w:pPr>
              <w:spacing w:line="360" w:lineRule="auto"/>
              <w:jc w:val="both"/>
              <w:rPr>
                <w:rFonts w:ascii="Arial" w:hAnsi="Arial" w:cs="Arial"/>
              </w:rPr>
            </w:pPr>
            <w:r w:rsidRPr="008C5253">
              <w:rPr>
                <w:rFonts w:ascii="Arial" w:hAnsi="Arial" w:cs="Arial"/>
              </w:rPr>
              <w:t>Total Liabilities</w:t>
            </w:r>
          </w:p>
        </w:tc>
        <w:tc>
          <w:tcPr>
            <w:tcW w:w="0" w:type="auto"/>
            <w:hideMark/>
          </w:tcPr>
          <w:p w14:paraId="0EEB8185" w14:textId="77777777" w:rsidR="00BB23B0" w:rsidRPr="008C5253" w:rsidRDefault="00BB23B0" w:rsidP="00BD7BD6">
            <w:pPr>
              <w:spacing w:line="360" w:lineRule="auto"/>
              <w:jc w:val="both"/>
              <w:rPr>
                <w:rFonts w:ascii="Arial" w:hAnsi="Arial" w:cs="Arial"/>
              </w:rPr>
            </w:pPr>
            <w:r w:rsidRPr="008C5253">
              <w:rPr>
                <w:rFonts w:ascii="Arial" w:hAnsi="Arial" w:cs="Arial"/>
              </w:rPr>
              <w:t>170,249</w:t>
            </w:r>
          </w:p>
        </w:tc>
        <w:tc>
          <w:tcPr>
            <w:tcW w:w="0" w:type="auto"/>
            <w:hideMark/>
          </w:tcPr>
          <w:p w14:paraId="7BD48A07" w14:textId="77777777" w:rsidR="00BB23B0" w:rsidRPr="008C5253" w:rsidRDefault="00BB23B0" w:rsidP="00BD7BD6">
            <w:pPr>
              <w:spacing w:line="360" w:lineRule="auto"/>
              <w:jc w:val="both"/>
              <w:rPr>
                <w:rFonts w:ascii="Arial" w:hAnsi="Arial" w:cs="Arial"/>
              </w:rPr>
            </w:pPr>
            <w:r w:rsidRPr="008C5253">
              <w:rPr>
                <w:rFonts w:ascii="Arial" w:hAnsi="Arial" w:cs="Arial"/>
              </w:rPr>
              <w:t>−20</w:t>
            </w:r>
          </w:p>
        </w:tc>
        <w:tc>
          <w:tcPr>
            <w:tcW w:w="0" w:type="auto"/>
            <w:hideMark/>
          </w:tcPr>
          <w:p w14:paraId="23C03005" w14:textId="77777777" w:rsidR="00BB23B0" w:rsidRPr="008C5253" w:rsidRDefault="00BB23B0" w:rsidP="00BD7BD6">
            <w:pPr>
              <w:spacing w:line="360" w:lineRule="auto"/>
              <w:jc w:val="both"/>
              <w:rPr>
                <w:rFonts w:ascii="Arial" w:hAnsi="Arial" w:cs="Arial"/>
              </w:rPr>
            </w:pPr>
            <w:r w:rsidRPr="008C5253">
              <w:rPr>
                <w:rFonts w:ascii="Arial" w:hAnsi="Arial" w:cs="Arial"/>
              </w:rPr>
              <w:t>150,249</w:t>
            </w:r>
          </w:p>
        </w:tc>
      </w:tr>
      <w:tr w:rsidR="00BB23B0" w:rsidRPr="008C5253" w14:paraId="792E8B85" w14:textId="77777777" w:rsidTr="00263BA0">
        <w:tc>
          <w:tcPr>
            <w:tcW w:w="0" w:type="auto"/>
            <w:hideMark/>
          </w:tcPr>
          <w:p w14:paraId="386A4BFB" w14:textId="77777777" w:rsidR="00BB23B0" w:rsidRPr="008C5253" w:rsidRDefault="00BB23B0" w:rsidP="00BD7BD6">
            <w:pPr>
              <w:spacing w:line="360" w:lineRule="auto"/>
              <w:jc w:val="both"/>
              <w:rPr>
                <w:rFonts w:ascii="Arial" w:hAnsi="Arial" w:cs="Arial"/>
              </w:rPr>
            </w:pPr>
            <w:r w:rsidRPr="008C5253">
              <w:rPr>
                <w:rFonts w:ascii="Arial" w:hAnsi="Arial" w:cs="Arial"/>
              </w:rPr>
              <w:t>Shareholders’ Equity</w:t>
            </w:r>
          </w:p>
        </w:tc>
        <w:tc>
          <w:tcPr>
            <w:tcW w:w="0" w:type="auto"/>
            <w:hideMark/>
          </w:tcPr>
          <w:p w14:paraId="60F1B0C7" w14:textId="77777777" w:rsidR="00BB23B0" w:rsidRPr="008C5253" w:rsidRDefault="00BB23B0" w:rsidP="00BD7BD6">
            <w:pPr>
              <w:spacing w:line="360" w:lineRule="auto"/>
              <w:jc w:val="both"/>
              <w:rPr>
                <w:rFonts w:ascii="Arial" w:hAnsi="Arial" w:cs="Arial"/>
              </w:rPr>
            </w:pPr>
            <w:r w:rsidRPr="008C5253">
              <w:rPr>
                <w:rFonts w:ascii="Arial" w:hAnsi="Arial" w:cs="Arial"/>
              </w:rPr>
              <w:t>153,105</w:t>
            </w:r>
          </w:p>
        </w:tc>
        <w:tc>
          <w:tcPr>
            <w:tcW w:w="0" w:type="auto"/>
            <w:hideMark/>
          </w:tcPr>
          <w:p w14:paraId="33179EE8" w14:textId="77777777" w:rsidR="00BB23B0" w:rsidRPr="008C5253" w:rsidRDefault="00BB23B0" w:rsidP="00BD7BD6">
            <w:pPr>
              <w:spacing w:line="360" w:lineRule="auto"/>
              <w:jc w:val="both"/>
              <w:rPr>
                <w:rFonts w:ascii="Arial" w:hAnsi="Arial" w:cs="Arial"/>
              </w:rPr>
            </w:pPr>
            <w:r w:rsidRPr="008C5253">
              <w:rPr>
                <w:rFonts w:ascii="Arial" w:hAnsi="Arial" w:cs="Arial"/>
              </w:rPr>
              <w:t>+20</w:t>
            </w:r>
          </w:p>
        </w:tc>
        <w:tc>
          <w:tcPr>
            <w:tcW w:w="0" w:type="auto"/>
            <w:hideMark/>
          </w:tcPr>
          <w:p w14:paraId="2C37F13D" w14:textId="77777777" w:rsidR="00BB23B0" w:rsidRPr="008C5253" w:rsidRDefault="00BB23B0" w:rsidP="00BD7BD6">
            <w:pPr>
              <w:spacing w:line="360" w:lineRule="auto"/>
              <w:jc w:val="both"/>
              <w:rPr>
                <w:rFonts w:ascii="Arial" w:hAnsi="Arial" w:cs="Arial"/>
              </w:rPr>
            </w:pPr>
            <w:r w:rsidRPr="008C5253">
              <w:rPr>
                <w:rFonts w:ascii="Arial" w:hAnsi="Arial" w:cs="Arial"/>
              </w:rPr>
              <w:t>173,105</w:t>
            </w:r>
          </w:p>
        </w:tc>
      </w:tr>
    </w:tbl>
    <w:p w14:paraId="09AB6FC5"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Liabilities-to-Equity Ratio</w:t>
      </w:r>
    </w:p>
    <w:p w14:paraId="10EB9530" w14:textId="77777777" w:rsidR="00BB23B0" w:rsidRPr="008C5253" w:rsidRDefault="00BB23B0" w:rsidP="00BD7BD6">
      <w:pPr>
        <w:spacing w:line="360" w:lineRule="auto"/>
        <w:jc w:val="both"/>
        <w:rPr>
          <w:rFonts w:ascii="Arial" w:hAnsi="Arial" w:cs="Arial"/>
        </w:rPr>
      </w:pPr>
      <w:r w:rsidRPr="008C5253">
        <w:rPr>
          <w:rFonts w:ascii="Arial" w:hAnsi="Arial" w:cs="Arial"/>
        </w:rPr>
        <w:t>Before:</w:t>
      </w:r>
    </w:p>
    <w:p w14:paraId="38C703E4" w14:textId="01B89C00" w:rsidR="00BB23B0" w:rsidRPr="008C5253" w:rsidRDefault="00BD7BD6" w:rsidP="00BD7BD6">
      <w:pPr>
        <w:spacing w:line="360" w:lineRule="auto"/>
        <w:jc w:val="both"/>
        <w:rPr>
          <w:rFonts w:ascii="Arial" w:hAnsi="Arial" w:cs="Arial"/>
        </w:rPr>
      </w:pPr>
      <m:oMathPara>
        <m:oMath>
          <m:r>
            <w:rPr>
              <w:rFonts w:ascii="Cambria Math" w:hAnsi="Cambria Math" w:cs="Arial"/>
            </w:rPr>
            <m:t>170,249÷153,105=</m:t>
          </m:r>
          <m:r>
            <m:rPr>
              <m:sty m:val="p"/>
            </m:rPr>
            <w:rPr>
              <w:rFonts w:ascii="Cambria Math" w:hAnsi="Cambria Math" w:cs="Arial"/>
            </w:rPr>
            <m:t>1.11</m:t>
          </m:r>
        </m:oMath>
      </m:oMathPara>
    </w:p>
    <w:p w14:paraId="45ED172C" w14:textId="77777777" w:rsidR="00BB23B0" w:rsidRPr="008C5253" w:rsidRDefault="00BB23B0" w:rsidP="00BD7BD6">
      <w:pPr>
        <w:spacing w:line="360" w:lineRule="auto"/>
        <w:jc w:val="both"/>
        <w:rPr>
          <w:rFonts w:ascii="Arial" w:hAnsi="Arial" w:cs="Arial"/>
        </w:rPr>
      </w:pPr>
      <w:r w:rsidRPr="008C5253">
        <w:rPr>
          <w:rFonts w:ascii="Arial" w:hAnsi="Arial" w:cs="Arial"/>
        </w:rPr>
        <w:t>After:</w:t>
      </w:r>
    </w:p>
    <w:p w14:paraId="7D7A91C5" w14:textId="5A839BF5" w:rsidR="00BB23B0" w:rsidRPr="008C5253" w:rsidRDefault="00BD7BD6" w:rsidP="00263BA0">
      <w:pPr>
        <w:spacing w:line="360" w:lineRule="auto"/>
        <w:jc w:val="both"/>
        <w:rPr>
          <w:rFonts w:ascii="Arial" w:hAnsi="Arial" w:cs="Arial"/>
        </w:rPr>
      </w:pPr>
      <m:oMathPara>
        <m:oMath>
          <m:r>
            <w:rPr>
              <w:rFonts w:ascii="Cambria Math" w:hAnsi="Cambria Math" w:cs="Arial"/>
            </w:rPr>
            <m:t>150,249÷173,105=</m:t>
          </m:r>
          <m:r>
            <m:rPr>
              <m:sty m:val="p"/>
            </m:rPr>
            <w:rPr>
              <w:rFonts w:ascii="Cambria Math" w:hAnsi="Cambria Math" w:cs="Arial"/>
            </w:rPr>
            <m:t>0.87</m:t>
          </m:r>
        </m:oMath>
      </m:oMathPara>
    </w:p>
    <w:p w14:paraId="62373829" w14:textId="77777777" w:rsidR="00BB23B0" w:rsidRPr="008C5253" w:rsidRDefault="00BB23B0" w:rsidP="00263BA0">
      <w:pPr>
        <w:pStyle w:val="Heading3"/>
        <w:rPr>
          <w:rFonts w:ascii="Arial" w:hAnsi="Arial" w:cs="Arial"/>
          <w:b/>
          <w:bCs/>
          <w:color w:val="auto"/>
        </w:rPr>
      </w:pPr>
      <w:bookmarkStart w:id="46" w:name="_Toc216698910"/>
      <w:r w:rsidRPr="008C5253">
        <w:rPr>
          <w:rFonts w:ascii="Arial" w:hAnsi="Arial" w:cs="Arial"/>
          <w:b/>
          <w:bCs/>
          <w:color w:val="auto"/>
        </w:rPr>
        <w:lastRenderedPageBreak/>
        <w:t>C3. Equity Injection Scenario (Rights Issue / Strategic Investor)</w:t>
      </w:r>
      <w:bookmarkEnd w:id="46"/>
    </w:p>
    <w:p w14:paraId="7B727800"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Objective</w:t>
      </w:r>
    </w:p>
    <w:p w14:paraId="7172828C" w14:textId="77777777" w:rsidR="00BB23B0" w:rsidRPr="008C5253" w:rsidRDefault="00BB23B0" w:rsidP="00BD7BD6">
      <w:pPr>
        <w:spacing w:line="360" w:lineRule="auto"/>
        <w:jc w:val="both"/>
        <w:rPr>
          <w:rFonts w:ascii="Arial" w:hAnsi="Arial" w:cs="Arial"/>
        </w:rPr>
      </w:pPr>
      <w:r w:rsidRPr="008C5253">
        <w:rPr>
          <w:rFonts w:ascii="Arial" w:hAnsi="Arial" w:cs="Arial"/>
        </w:rPr>
        <w:t>Restore the capital base and improve financial flexibility.</w:t>
      </w:r>
    </w:p>
    <w:p w14:paraId="51071A16"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Assumptions</w:t>
      </w:r>
    </w:p>
    <w:p w14:paraId="1880A71F" w14:textId="77777777" w:rsidR="00BB23B0" w:rsidRPr="008C5253" w:rsidRDefault="00BB23B0" w:rsidP="00BD7BD6">
      <w:pPr>
        <w:numPr>
          <w:ilvl w:val="0"/>
          <w:numId w:val="29"/>
        </w:numPr>
        <w:spacing w:line="360" w:lineRule="auto"/>
        <w:jc w:val="both"/>
        <w:rPr>
          <w:rFonts w:ascii="Arial" w:hAnsi="Arial" w:cs="Arial"/>
        </w:rPr>
      </w:pPr>
      <w:r w:rsidRPr="008C5253">
        <w:rPr>
          <w:rFonts w:ascii="Arial" w:hAnsi="Arial" w:cs="Arial"/>
        </w:rPr>
        <w:t>New equity issued: £25</w:t>
      </w:r>
    </w:p>
    <w:p w14:paraId="1A97FDAC" w14:textId="77777777" w:rsidR="00BB23B0" w:rsidRPr="008C5253" w:rsidRDefault="00BB23B0" w:rsidP="00BD7BD6">
      <w:pPr>
        <w:numPr>
          <w:ilvl w:val="0"/>
          <w:numId w:val="29"/>
        </w:numPr>
        <w:spacing w:line="360" w:lineRule="auto"/>
        <w:jc w:val="both"/>
        <w:rPr>
          <w:rFonts w:ascii="Arial" w:hAnsi="Arial" w:cs="Arial"/>
        </w:rPr>
      </w:pPr>
      <w:r w:rsidRPr="008C5253">
        <w:rPr>
          <w:rFonts w:ascii="Arial" w:hAnsi="Arial" w:cs="Arial"/>
        </w:rPr>
        <w:t>Funds retained as cash</w:t>
      </w:r>
    </w:p>
    <w:p w14:paraId="53EB65CE" w14:textId="77777777" w:rsidR="00BB23B0" w:rsidRPr="008C5253" w:rsidRDefault="00BB23B0" w:rsidP="00BD7BD6">
      <w:pPr>
        <w:numPr>
          <w:ilvl w:val="0"/>
          <w:numId w:val="29"/>
        </w:numPr>
        <w:spacing w:line="360" w:lineRule="auto"/>
        <w:jc w:val="both"/>
        <w:rPr>
          <w:rFonts w:ascii="Arial" w:hAnsi="Arial" w:cs="Arial"/>
        </w:rPr>
      </w:pPr>
      <w:r w:rsidRPr="008C5253">
        <w:rPr>
          <w:rFonts w:ascii="Arial" w:hAnsi="Arial" w:cs="Arial"/>
        </w:rPr>
        <w:t>No immediate debt repayment</w:t>
      </w:r>
    </w:p>
    <w:p w14:paraId="08AD8421" w14:textId="77777777" w:rsidR="00BB23B0" w:rsidRPr="008C5253" w:rsidRDefault="00BB23B0" w:rsidP="00BD7BD6">
      <w:pPr>
        <w:spacing w:line="360" w:lineRule="auto"/>
        <w:jc w:val="both"/>
        <w:rPr>
          <w:rFonts w:ascii="Arial" w:hAnsi="Arial" w:cs="Arial"/>
        </w:rPr>
      </w:pPr>
      <w:r w:rsidRPr="008C5253">
        <w:rPr>
          <w:rFonts w:ascii="Arial" w:hAnsi="Arial" w:cs="Arial"/>
        </w:rPr>
        <w:t>Balance Sheet Impact</w:t>
      </w:r>
    </w:p>
    <w:tbl>
      <w:tblPr>
        <w:tblStyle w:val="TableGrid"/>
        <w:tblW w:w="0" w:type="auto"/>
        <w:tblLook w:val="04A0" w:firstRow="1" w:lastRow="0" w:firstColumn="1" w:lastColumn="0" w:noHBand="0" w:noVBand="1"/>
      </w:tblPr>
      <w:tblGrid>
        <w:gridCol w:w="2577"/>
        <w:gridCol w:w="1084"/>
        <w:gridCol w:w="1084"/>
      </w:tblGrid>
      <w:tr w:rsidR="00BB23B0" w:rsidRPr="008C5253" w14:paraId="63552944" w14:textId="77777777" w:rsidTr="00263BA0">
        <w:tc>
          <w:tcPr>
            <w:tcW w:w="0" w:type="auto"/>
            <w:hideMark/>
          </w:tcPr>
          <w:p w14:paraId="03B295DF" w14:textId="77777777" w:rsidR="00BB23B0" w:rsidRPr="008C5253" w:rsidRDefault="00BB23B0" w:rsidP="00BD7BD6">
            <w:pPr>
              <w:spacing w:line="360" w:lineRule="auto"/>
              <w:jc w:val="both"/>
              <w:rPr>
                <w:rFonts w:ascii="Arial" w:hAnsi="Arial" w:cs="Arial"/>
              </w:rPr>
            </w:pPr>
            <w:r w:rsidRPr="008C5253">
              <w:rPr>
                <w:rFonts w:ascii="Arial" w:hAnsi="Arial" w:cs="Arial"/>
              </w:rPr>
              <w:t>Item</w:t>
            </w:r>
          </w:p>
        </w:tc>
        <w:tc>
          <w:tcPr>
            <w:tcW w:w="0" w:type="auto"/>
            <w:hideMark/>
          </w:tcPr>
          <w:p w14:paraId="752C421B" w14:textId="77777777" w:rsidR="00BB23B0" w:rsidRPr="008C5253" w:rsidRDefault="00BB23B0" w:rsidP="00BD7BD6">
            <w:pPr>
              <w:spacing w:line="360" w:lineRule="auto"/>
              <w:jc w:val="both"/>
              <w:rPr>
                <w:rFonts w:ascii="Arial" w:hAnsi="Arial" w:cs="Arial"/>
              </w:rPr>
            </w:pPr>
            <w:r w:rsidRPr="008C5253">
              <w:rPr>
                <w:rFonts w:ascii="Arial" w:hAnsi="Arial" w:cs="Arial"/>
              </w:rPr>
              <w:t>Before</w:t>
            </w:r>
          </w:p>
        </w:tc>
        <w:tc>
          <w:tcPr>
            <w:tcW w:w="0" w:type="auto"/>
            <w:hideMark/>
          </w:tcPr>
          <w:p w14:paraId="3DF10B8E" w14:textId="77777777" w:rsidR="00BB23B0" w:rsidRPr="008C5253" w:rsidRDefault="00BB23B0" w:rsidP="00BD7BD6">
            <w:pPr>
              <w:spacing w:line="360" w:lineRule="auto"/>
              <w:jc w:val="both"/>
              <w:rPr>
                <w:rFonts w:ascii="Arial" w:hAnsi="Arial" w:cs="Arial"/>
              </w:rPr>
            </w:pPr>
            <w:r w:rsidRPr="008C5253">
              <w:rPr>
                <w:rFonts w:ascii="Arial" w:hAnsi="Arial" w:cs="Arial"/>
              </w:rPr>
              <w:t>After</w:t>
            </w:r>
          </w:p>
        </w:tc>
      </w:tr>
      <w:tr w:rsidR="00BB23B0" w:rsidRPr="008C5253" w14:paraId="0322E83B" w14:textId="77777777" w:rsidTr="00263BA0">
        <w:tc>
          <w:tcPr>
            <w:tcW w:w="0" w:type="auto"/>
            <w:hideMark/>
          </w:tcPr>
          <w:p w14:paraId="551CF802" w14:textId="77777777" w:rsidR="00BB23B0" w:rsidRPr="008C5253" w:rsidRDefault="00BB23B0" w:rsidP="00BD7BD6">
            <w:pPr>
              <w:spacing w:line="360" w:lineRule="auto"/>
              <w:jc w:val="both"/>
              <w:rPr>
                <w:rFonts w:ascii="Arial" w:hAnsi="Arial" w:cs="Arial"/>
              </w:rPr>
            </w:pPr>
            <w:r w:rsidRPr="008C5253">
              <w:rPr>
                <w:rFonts w:ascii="Arial" w:hAnsi="Arial" w:cs="Arial"/>
              </w:rPr>
              <w:t>Shareholders’ Equity</w:t>
            </w:r>
          </w:p>
        </w:tc>
        <w:tc>
          <w:tcPr>
            <w:tcW w:w="0" w:type="auto"/>
            <w:hideMark/>
          </w:tcPr>
          <w:p w14:paraId="53634A8E" w14:textId="77777777" w:rsidR="00BB23B0" w:rsidRPr="008C5253" w:rsidRDefault="00BB23B0" w:rsidP="00BD7BD6">
            <w:pPr>
              <w:spacing w:line="360" w:lineRule="auto"/>
              <w:jc w:val="both"/>
              <w:rPr>
                <w:rFonts w:ascii="Arial" w:hAnsi="Arial" w:cs="Arial"/>
              </w:rPr>
            </w:pPr>
            <w:r w:rsidRPr="008C5253">
              <w:rPr>
                <w:rFonts w:ascii="Arial" w:hAnsi="Arial" w:cs="Arial"/>
              </w:rPr>
              <w:t>153,105</w:t>
            </w:r>
          </w:p>
        </w:tc>
        <w:tc>
          <w:tcPr>
            <w:tcW w:w="0" w:type="auto"/>
            <w:hideMark/>
          </w:tcPr>
          <w:p w14:paraId="232FFDA8" w14:textId="77777777" w:rsidR="00BB23B0" w:rsidRPr="008C5253" w:rsidRDefault="00BB23B0" w:rsidP="00BD7BD6">
            <w:pPr>
              <w:spacing w:line="360" w:lineRule="auto"/>
              <w:jc w:val="both"/>
              <w:rPr>
                <w:rFonts w:ascii="Arial" w:hAnsi="Arial" w:cs="Arial"/>
              </w:rPr>
            </w:pPr>
            <w:r w:rsidRPr="008C5253">
              <w:rPr>
                <w:rFonts w:ascii="Arial" w:hAnsi="Arial" w:cs="Arial"/>
              </w:rPr>
              <w:t>178,105</w:t>
            </w:r>
          </w:p>
        </w:tc>
      </w:tr>
      <w:tr w:rsidR="00BB23B0" w:rsidRPr="008C5253" w14:paraId="7119857D" w14:textId="77777777" w:rsidTr="00263BA0">
        <w:tc>
          <w:tcPr>
            <w:tcW w:w="0" w:type="auto"/>
            <w:hideMark/>
          </w:tcPr>
          <w:p w14:paraId="6D33DCDF" w14:textId="77777777" w:rsidR="00BB23B0" w:rsidRPr="008C5253" w:rsidRDefault="00BB23B0" w:rsidP="00BD7BD6">
            <w:pPr>
              <w:spacing w:line="360" w:lineRule="auto"/>
              <w:jc w:val="both"/>
              <w:rPr>
                <w:rFonts w:ascii="Arial" w:hAnsi="Arial" w:cs="Arial"/>
              </w:rPr>
            </w:pPr>
            <w:r w:rsidRPr="008C5253">
              <w:rPr>
                <w:rFonts w:ascii="Arial" w:hAnsi="Arial" w:cs="Arial"/>
              </w:rPr>
              <w:t>Current Assets (Cash)</w:t>
            </w:r>
          </w:p>
        </w:tc>
        <w:tc>
          <w:tcPr>
            <w:tcW w:w="0" w:type="auto"/>
            <w:hideMark/>
          </w:tcPr>
          <w:p w14:paraId="79AD551D" w14:textId="77777777" w:rsidR="00BB23B0" w:rsidRPr="008C5253" w:rsidRDefault="00BB23B0" w:rsidP="00BD7BD6">
            <w:pPr>
              <w:spacing w:line="360" w:lineRule="auto"/>
              <w:jc w:val="both"/>
              <w:rPr>
                <w:rFonts w:ascii="Arial" w:hAnsi="Arial" w:cs="Arial"/>
              </w:rPr>
            </w:pPr>
            <w:r w:rsidRPr="008C5253">
              <w:rPr>
                <w:rFonts w:ascii="Arial" w:hAnsi="Arial" w:cs="Arial"/>
              </w:rPr>
              <w:t>242,494</w:t>
            </w:r>
          </w:p>
        </w:tc>
        <w:tc>
          <w:tcPr>
            <w:tcW w:w="0" w:type="auto"/>
            <w:hideMark/>
          </w:tcPr>
          <w:p w14:paraId="09A74548" w14:textId="77777777" w:rsidR="00BB23B0" w:rsidRPr="008C5253" w:rsidRDefault="00BB23B0" w:rsidP="00BD7BD6">
            <w:pPr>
              <w:spacing w:line="360" w:lineRule="auto"/>
              <w:jc w:val="both"/>
              <w:rPr>
                <w:rFonts w:ascii="Arial" w:hAnsi="Arial" w:cs="Arial"/>
              </w:rPr>
            </w:pPr>
            <w:r w:rsidRPr="008C5253">
              <w:rPr>
                <w:rFonts w:ascii="Arial" w:hAnsi="Arial" w:cs="Arial"/>
              </w:rPr>
              <w:t>267,494</w:t>
            </w:r>
          </w:p>
        </w:tc>
      </w:tr>
    </w:tbl>
    <w:p w14:paraId="7B22FE4C"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Revised Liabilities-to-Equity Ratio</w:t>
      </w:r>
    </w:p>
    <w:p w14:paraId="0882AD69" w14:textId="0C8708F1" w:rsidR="00BB23B0" w:rsidRPr="008C5253" w:rsidRDefault="00BD7BD6" w:rsidP="00BD7BD6">
      <w:pPr>
        <w:spacing w:line="360" w:lineRule="auto"/>
        <w:jc w:val="both"/>
        <w:rPr>
          <w:rFonts w:ascii="Arial" w:hAnsi="Arial" w:cs="Arial"/>
        </w:rPr>
      </w:pPr>
      <m:oMathPara>
        <m:oMath>
          <m:r>
            <w:rPr>
              <w:rFonts w:ascii="Cambria Math" w:hAnsi="Cambria Math" w:cs="Arial"/>
            </w:rPr>
            <m:t>170,249÷178,105=</m:t>
          </m:r>
          <m:r>
            <m:rPr>
              <m:sty m:val="p"/>
            </m:rPr>
            <w:rPr>
              <w:rFonts w:ascii="Cambria Math" w:hAnsi="Cambria Math" w:cs="Arial"/>
            </w:rPr>
            <m:t>0.96</m:t>
          </m:r>
          <m:r>
            <m:rPr>
              <m:sty m:val="p"/>
            </m:rPr>
            <w:rPr>
              <w:rFonts w:ascii="Cambria Math" w:hAnsi="Cambria Math" w:cs="Arial"/>
            </w:rPr>
            <w:br/>
          </m:r>
        </m:oMath>
      </m:oMathPara>
    </w:p>
    <w:p w14:paraId="586A8049" w14:textId="77777777" w:rsidR="00BB23B0" w:rsidRPr="008C5253" w:rsidRDefault="00BB23B0" w:rsidP="00263BA0">
      <w:pPr>
        <w:pStyle w:val="Heading3"/>
        <w:rPr>
          <w:rFonts w:ascii="Arial" w:hAnsi="Arial" w:cs="Arial"/>
          <w:b/>
          <w:bCs/>
          <w:color w:val="auto"/>
        </w:rPr>
      </w:pPr>
      <w:bookmarkStart w:id="47" w:name="_Toc216698911"/>
      <w:r w:rsidRPr="008C5253">
        <w:rPr>
          <w:rFonts w:ascii="Arial" w:hAnsi="Arial" w:cs="Arial"/>
          <w:b/>
          <w:bCs/>
          <w:color w:val="auto"/>
        </w:rPr>
        <w:t>C4. Asset Divestment Scenario (Non-Core Assets)</w:t>
      </w:r>
      <w:bookmarkEnd w:id="47"/>
    </w:p>
    <w:p w14:paraId="08C85381"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Objective</w:t>
      </w:r>
    </w:p>
    <w:p w14:paraId="08382D52" w14:textId="77777777" w:rsidR="00BB23B0" w:rsidRPr="008C5253" w:rsidRDefault="00BB23B0" w:rsidP="00BD7BD6">
      <w:pPr>
        <w:spacing w:line="360" w:lineRule="auto"/>
        <w:jc w:val="both"/>
        <w:rPr>
          <w:rFonts w:ascii="Arial" w:hAnsi="Arial" w:cs="Arial"/>
        </w:rPr>
      </w:pPr>
      <w:r w:rsidRPr="008C5253">
        <w:rPr>
          <w:rFonts w:ascii="Arial" w:hAnsi="Arial" w:cs="Arial"/>
        </w:rPr>
        <w:t>Generate liquidity and reduce short-term obligations.</w:t>
      </w:r>
    </w:p>
    <w:p w14:paraId="6E2F51C4"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Assumptions</w:t>
      </w:r>
    </w:p>
    <w:p w14:paraId="2860C823" w14:textId="77777777" w:rsidR="00BB23B0" w:rsidRPr="008C5253" w:rsidRDefault="00BB23B0" w:rsidP="00BD7BD6">
      <w:pPr>
        <w:numPr>
          <w:ilvl w:val="0"/>
          <w:numId w:val="30"/>
        </w:numPr>
        <w:spacing w:line="360" w:lineRule="auto"/>
        <w:jc w:val="both"/>
        <w:rPr>
          <w:rFonts w:ascii="Arial" w:hAnsi="Arial" w:cs="Arial"/>
        </w:rPr>
      </w:pPr>
      <w:proofErr w:type="gramStart"/>
      <w:r w:rsidRPr="008C5253">
        <w:rPr>
          <w:rFonts w:ascii="Arial" w:hAnsi="Arial" w:cs="Arial"/>
        </w:rPr>
        <w:t>Sale</w:t>
      </w:r>
      <w:proofErr w:type="gramEnd"/>
      <w:r w:rsidRPr="008C5253">
        <w:rPr>
          <w:rFonts w:ascii="Arial" w:hAnsi="Arial" w:cs="Arial"/>
        </w:rPr>
        <w:t xml:space="preserve"> of non-core non-current assets: £18</w:t>
      </w:r>
    </w:p>
    <w:p w14:paraId="23EAAAFA" w14:textId="77777777" w:rsidR="00BB23B0" w:rsidRPr="008C5253" w:rsidRDefault="00BB23B0" w:rsidP="00BD7BD6">
      <w:pPr>
        <w:numPr>
          <w:ilvl w:val="0"/>
          <w:numId w:val="30"/>
        </w:numPr>
        <w:spacing w:line="360" w:lineRule="auto"/>
        <w:jc w:val="both"/>
        <w:rPr>
          <w:rFonts w:ascii="Arial" w:hAnsi="Arial" w:cs="Arial"/>
        </w:rPr>
      </w:pPr>
      <w:r w:rsidRPr="008C5253">
        <w:rPr>
          <w:rFonts w:ascii="Arial" w:hAnsi="Arial" w:cs="Arial"/>
        </w:rPr>
        <w:t>Proceeds used fully to repay current liabilities</w:t>
      </w:r>
    </w:p>
    <w:p w14:paraId="7CADFE80" w14:textId="77777777" w:rsidR="00BB23B0" w:rsidRPr="008C5253" w:rsidRDefault="00BB23B0" w:rsidP="00BD7BD6">
      <w:pPr>
        <w:numPr>
          <w:ilvl w:val="0"/>
          <w:numId w:val="30"/>
        </w:numPr>
        <w:spacing w:line="360" w:lineRule="auto"/>
        <w:jc w:val="both"/>
        <w:rPr>
          <w:rFonts w:ascii="Arial" w:hAnsi="Arial" w:cs="Arial"/>
        </w:rPr>
      </w:pPr>
      <w:r w:rsidRPr="008C5253">
        <w:rPr>
          <w:rFonts w:ascii="Arial" w:hAnsi="Arial" w:cs="Arial"/>
        </w:rPr>
        <w:t xml:space="preserve">Disposal </w:t>
      </w:r>
      <w:proofErr w:type="gramStart"/>
      <w:r w:rsidRPr="008C5253">
        <w:rPr>
          <w:rFonts w:ascii="Arial" w:hAnsi="Arial" w:cs="Arial"/>
        </w:rPr>
        <w:t>at</w:t>
      </w:r>
      <w:proofErr w:type="gramEnd"/>
      <w:r w:rsidRPr="008C5253">
        <w:rPr>
          <w:rFonts w:ascii="Arial" w:hAnsi="Arial" w:cs="Arial"/>
        </w:rPr>
        <w:t xml:space="preserve"> book value</w:t>
      </w:r>
    </w:p>
    <w:p w14:paraId="3A0971DB"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Accounting Treatment</w:t>
      </w:r>
    </w:p>
    <w:p w14:paraId="1761B40E" w14:textId="77777777" w:rsidR="00BB23B0" w:rsidRPr="008C5253" w:rsidRDefault="00BB23B0" w:rsidP="00BD7BD6">
      <w:pPr>
        <w:numPr>
          <w:ilvl w:val="0"/>
          <w:numId w:val="31"/>
        </w:numPr>
        <w:spacing w:line="360" w:lineRule="auto"/>
        <w:jc w:val="both"/>
        <w:rPr>
          <w:rFonts w:ascii="Arial" w:hAnsi="Arial" w:cs="Arial"/>
        </w:rPr>
      </w:pPr>
      <w:r w:rsidRPr="008C5253">
        <w:rPr>
          <w:rFonts w:ascii="Arial" w:hAnsi="Arial" w:cs="Arial"/>
        </w:rPr>
        <w:t>Non-current assets ↓ £18</w:t>
      </w:r>
    </w:p>
    <w:p w14:paraId="1A453A3B" w14:textId="77777777" w:rsidR="00BB23B0" w:rsidRPr="008C5253" w:rsidRDefault="00BB23B0" w:rsidP="00BD7BD6">
      <w:pPr>
        <w:numPr>
          <w:ilvl w:val="0"/>
          <w:numId w:val="31"/>
        </w:numPr>
        <w:spacing w:line="360" w:lineRule="auto"/>
        <w:jc w:val="both"/>
        <w:rPr>
          <w:rFonts w:ascii="Arial" w:hAnsi="Arial" w:cs="Arial"/>
        </w:rPr>
      </w:pPr>
      <w:r w:rsidRPr="008C5253">
        <w:rPr>
          <w:rFonts w:ascii="Arial" w:hAnsi="Arial" w:cs="Arial"/>
        </w:rPr>
        <w:t>Cash ↑ £18</w:t>
      </w:r>
    </w:p>
    <w:p w14:paraId="6CD7A54D" w14:textId="77777777" w:rsidR="00BB23B0" w:rsidRPr="008C5253" w:rsidRDefault="00BB23B0" w:rsidP="00BD7BD6">
      <w:pPr>
        <w:numPr>
          <w:ilvl w:val="0"/>
          <w:numId w:val="31"/>
        </w:numPr>
        <w:spacing w:line="360" w:lineRule="auto"/>
        <w:jc w:val="both"/>
        <w:rPr>
          <w:rFonts w:ascii="Arial" w:hAnsi="Arial" w:cs="Arial"/>
        </w:rPr>
      </w:pPr>
      <w:r w:rsidRPr="008C5253">
        <w:rPr>
          <w:rFonts w:ascii="Arial" w:hAnsi="Arial" w:cs="Arial"/>
        </w:rPr>
        <w:lastRenderedPageBreak/>
        <w:t>Current liabilities ↓ £18</w:t>
      </w:r>
    </w:p>
    <w:p w14:paraId="27ED59D5" w14:textId="77777777" w:rsidR="00BB23B0" w:rsidRPr="008C5253" w:rsidRDefault="00BB23B0" w:rsidP="00BD7BD6">
      <w:pPr>
        <w:numPr>
          <w:ilvl w:val="0"/>
          <w:numId w:val="31"/>
        </w:numPr>
        <w:spacing w:line="360" w:lineRule="auto"/>
        <w:jc w:val="both"/>
        <w:rPr>
          <w:rFonts w:ascii="Arial" w:hAnsi="Arial" w:cs="Arial"/>
        </w:rPr>
      </w:pPr>
      <w:r w:rsidRPr="008C5253">
        <w:rPr>
          <w:rFonts w:ascii="Arial" w:hAnsi="Arial" w:cs="Arial"/>
        </w:rPr>
        <w:t>Total assets unchanged</w:t>
      </w:r>
    </w:p>
    <w:p w14:paraId="579C18B8" w14:textId="77777777" w:rsidR="00BB23B0" w:rsidRPr="008C5253" w:rsidRDefault="00BB23B0" w:rsidP="00BD7BD6">
      <w:pPr>
        <w:spacing w:line="360" w:lineRule="auto"/>
        <w:jc w:val="both"/>
        <w:rPr>
          <w:rFonts w:ascii="Arial" w:hAnsi="Arial" w:cs="Arial"/>
        </w:rPr>
      </w:pPr>
      <w:r w:rsidRPr="008C5253">
        <w:rPr>
          <w:rFonts w:ascii="Arial" w:hAnsi="Arial" w:cs="Arial"/>
        </w:rPr>
        <w:t>Liquidity Impact</w:t>
      </w:r>
    </w:p>
    <w:tbl>
      <w:tblPr>
        <w:tblStyle w:val="TableGrid"/>
        <w:tblW w:w="0" w:type="auto"/>
        <w:tblLook w:val="04A0" w:firstRow="1" w:lastRow="0" w:firstColumn="1" w:lastColumn="0" w:noHBand="0" w:noVBand="1"/>
      </w:tblPr>
      <w:tblGrid>
        <w:gridCol w:w="2071"/>
        <w:gridCol w:w="1084"/>
        <w:gridCol w:w="1084"/>
      </w:tblGrid>
      <w:tr w:rsidR="00BB23B0" w:rsidRPr="008C5253" w14:paraId="13C16B0A" w14:textId="77777777" w:rsidTr="00376429">
        <w:tc>
          <w:tcPr>
            <w:tcW w:w="0" w:type="auto"/>
            <w:hideMark/>
          </w:tcPr>
          <w:p w14:paraId="1A6D2A9B" w14:textId="77777777" w:rsidR="00BB23B0" w:rsidRPr="008C5253" w:rsidRDefault="00BB23B0" w:rsidP="00BD7BD6">
            <w:pPr>
              <w:spacing w:line="360" w:lineRule="auto"/>
              <w:jc w:val="both"/>
              <w:rPr>
                <w:rFonts w:ascii="Arial" w:hAnsi="Arial" w:cs="Arial"/>
              </w:rPr>
            </w:pPr>
            <w:r w:rsidRPr="008C5253">
              <w:rPr>
                <w:rFonts w:ascii="Arial" w:hAnsi="Arial" w:cs="Arial"/>
              </w:rPr>
              <w:t>Item</w:t>
            </w:r>
          </w:p>
        </w:tc>
        <w:tc>
          <w:tcPr>
            <w:tcW w:w="0" w:type="auto"/>
            <w:hideMark/>
          </w:tcPr>
          <w:p w14:paraId="69083507" w14:textId="77777777" w:rsidR="00BB23B0" w:rsidRPr="008C5253" w:rsidRDefault="00BB23B0" w:rsidP="00BD7BD6">
            <w:pPr>
              <w:spacing w:line="360" w:lineRule="auto"/>
              <w:jc w:val="both"/>
              <w:rPr>
                <w:rFonts w:ascii="Arial" w:hAnsi="Arial" w:cs="Arial"/>
              </w:rPr>
            </w:pPr>
            <w:r w:rsidRPr="008C5253">
              <w:rPr>
                <w:rFonts w:ascii="Arial" w:hAnsi="Arial" w:cs="Arial"/>
              </w:rPr>
              <w:t>Before</w:t>
            </w:r>
          </w:p>
        </w:tc>
        <w:tc>
          <w:tcPr>
            <w:tcW w:w="0" w:type="auto"/>
            <w:hideMark/>
          </w:tcPr>
          <w:p w14:paraId="7AE73AA3" w14:textId="77777777" w:rsidR="00BB23B0" w:rsidRPr="008C5253" w:rsidRDefault="00BB23B0" w:rsidP="00BD7BD6">
            <w:pPr>
              <w:spacing w:line="360" w:lineRule="auto"/>
              <w:jc w:val="both"/>
              <w:rPr>
                <w:rFonts w:ascii="Arial" w:hAnsi="Arial" w:cs="Arial"/>
              </w:rPr>
            </w:pPr>
            <w:r w:rsidRPr="008C5253">
              <w:rPr>
                <w:rFonts w:ascii="Arial" w:hAnsi="Arial" w:cs="Arial"/>
              </w:rPr>
              <w:t>After</w:t>
            </w:r>
          </w:p>
        </w:tc>
      </w:tr>
      <w:tr w:rsidR="00BB23B0" w:rsidRPr="008C5253" w14:paraId="3EDE9DA2" w14:textId="77777777" w:rsidTr="00376429">
        <w:tc>
          <w:tcPr>
            <w:tcW w:w="0" w:type="auto"/>
            <w:hideMark/>
          </w:tcPr>
          <w:p w14:paraId="7E3420CB" w14:textId="77777777" w:rsidR="00BB23B0" w:rsidRPr="008C5253" w:rsidRDefault="00BB23B0" w:rsidP="00BD7BD6">
            <w:pPr>
              <w:spacing w:line="360" w:lineRule="auto"/>
              <w:jc w:val="both"/>
              <w:rPr>
                <w:rFonts w:ascii="Arial" w:hAnsi="Arial" w:cs="Arial"/>
              </w:rPr>
            </w:pPr>
            <w:r w:rsidRPr="008C5253">
              <w:rPr>
                <w:rFonts w:ascii="Arial" w:hAnsi="Arial" w:cs="Arial"/>
              </w:rPr>
              <w:t>Current Assets</w:t>
            </w:r>
          </w:p>
        </w:tc>
        <w:tc>
          <w:tcPr>
            <w:tcW w:w="0" w:type="auto"/>
            <w:hideMark/>
          </w:tcPr>
          <w:p w14:paraId="30DAF47F" w14:textId="77777777" w:rsidR="00BB23B0" w:rsidRPr="008C5253" w:rsidRDefault="00BB23B0" w:rsidP="00BD7BD6">
            <w:pPr>
              <w:spacing w:line="360" w:lineRule="auto"/>
              <w:jc w:val="both"/>
              <w:rPr>
                <w:rFonts w:ascii="Arial" w:hAnsi="Arial" w:cs="Arial"/>
              </w:rPr>
            </w:pPr>
            <w:r w:rsidRPr="008C5253">
              <w:rPr>
                <w:rFonts w:ascii="Arial" w:hAnsi="Arial" w:cs="Arial"/>
              </w:rPr>
              <w:t>242,494</w:t>
            </w:r>
          </w:p>
        </w:tc>
        <w:tc>
          <w:tcPr>
            <w:tcW w:w="0" w:type="auto"/>
            <w:hideMark/>
          </w:tcPr>
          <w:p w14:paraId="5AE28394" w14:textId="77777777" w:rsidR="00BB23B0" w:rsidRPr="008C5253" w:rsidRDefault="00BB23B0" w:rsidP="00BD7BD6">
            <w:pPr>
              <w:spacing w:line="360" w:lineRule="auto"/>
              <w:jc w:val="both"/>
              <w:rPr>
                <w:rFonts w:ascii="Arial" w:hAnsi="Arial" w:cs="Arial"/>
              </w:rPr>
            </w:pPr>
            <w:r w:rsidRPr="008C5253">
              <w:rPr>
                <w:rFonts w:ascii="Arial" w:hAnsi="Arial" w:cs="Arial"/>
              </w:rPr>
              <w:t>242,494</w:t>
            </w:r>
          </w:p>
        </w:tc>
      </w:tr>
      <w:tr w:rsidR="00BB23B0" w:rsidRPr="008C5253" w14:paraId="58993871" w14:textId="77777777" w:rsidTr="00376429">
        <w:tc>
          <w:tcPr>
            <w:tcW w:w="0" w:type="auto"/>
            <w:hideMark/>
          </w:tcPr>
          <w:p w14:paraId="7D5213A9" w14:textId="77777777" w:rsidR="00BB23B0" w:rsidRPr="008C5253" w:rsidRDefault="00BB23B0" w:rsidP="00BD7BD6">
            <w:pPr>
              <w:spacing w:line="360" w:lineRule="auto"/>
              <w:jc w:val="both"/>
              <w:rPr>
                <w:rFonts w:ascii="Arial" w:hAnsi="Arial" w:cs="Arial"/>
              </w:rPr>
            </w:pPr>
            <w:r w:rsidRPr="008C5253">
              <w:rPr>
                <w:rFonts w:ascii="Arial" w:hAnsi="Arial" w:cs="Arial"/>
              </w:rPr>
              <w:t>Current Liabilities</w:t>
            </w:r>
          </w:p>
        </w:tc>
        <w:tc>
          <w:tcPr>
            <w:tcW w:w="0" w:type="auto"/>
            <w:hideMark/>
          </w:tcPr>
          <w:p w14:paraId="50C922FE" w14:textId="77777777" w:rsidR="00BB23B0" w:rsidRPr="008C5253" w:rsidRDefault="00BB23B0" w:rsidP="00BD7BD6">
            <w:pPr>
              <w:spacing w:line="360" w:lineRule="auto"/>
              <w:jc w:val="both"/>
              <w:rPr>
                <w:rFonts w:ascii="Arial" w:hAnsi="Arial" w:cs="Arial"/>
              </w:rPr>
            </w:pPr>
            <w:r w:rsidRPr="008C5253">
              <w:rPr>
                <w:rFonts w:ascii="Arial" w:hAnsi="Arial" w:cs="Arial"/>
              </w:rPr>
              <w:t>158,291</w:t>
            </w:r>
          </w:p>
        </w:tc>
        <w:tc>
          <w:tcPr>
            <w:tcW w:w="0" w:type="auto"/>
            <w:hideMark/>
          </w:tcPr>
          <w:p w14:paraId="4F5059FE" w14:textId="77777777" w:rsidR="00BB23B0" w:rsidRPr="008C5253" w:rsidRDefault="00BB23B0" w:rsidP="00BD7BD6">
            <w:pPr>
              <w:spacing w:line="360" w:lineRule="auto"/>
              <w:jc w:val="both"/>
              <w:rPr>
                <w:rFonts w:ascii="Arial" w:hAnsi="Arial" w:cs="Arial"/>
              </w:rPr>
            </w:pPr>
            <w:r w:rsidRPr="008C5253">
              <w:rPr>
                <w:rFonts w:ascii="Arial" w:hAnsi="Arial" w:cs="Arial"/>
              </w:rPr>
              <w:t>140,291</w:t>
            </w:r>
          </w:p>
        </w:tc>
      </w:tr>
    </w:tbl>
    <w:p w14:paraId="091738B8" w14:textId="77777777" w:rsidR="00BB23B0" w:rsidRPr="008C5253" w:rsidRDefault="00BB23B0" w:rsidP="00BD7BD6">
      <w:pPr>
        <w:spacing w:line="360" w:lineRule="auto"/>
        <w:jc w:val="both"/>
        <w:rPr>
          <w:rFonts w:ascii="Arial" w:hAnsi="Arial" w:cs="Arial"/>
          <w:b/>
          <w:bCs/>
        </w:rPr>
      </w:pPr>
      <w:r w:rsidRPr="008C5253">
        <w:rPr>
          <w:rFonts w:ascii="Arial" w:hAnsi="Arial" w:cs="Arial"/>
          <w:b/>
          <w:bCs/>
        </w:rPr>
        <w:t>Revised Current Ratio</w:t>
      </w:r>
    </w:p>
    <w:p w14:paraId="5AE7B35F" w14:textId="77777777" w:rsidR="00BB23B0" w:rsidRPr="008C5253" w:rsidRDefault="00BB23B0" w:rsidP="00BD7BD6">
      <w:pPr>
        <w:spacing w:line="360" w:lineRule="auto"/>
        <w:jc w:val="both"/>
        <w:rPr>
          <w:rFonts w:ascii="Arial" w:hAnsi="Arial" w:cs="Arial"/>
        </w:rPr>
      </w:pPr>
      <w:r w:rsidRPr="008C5253">
        <w:rPr>
          <w:rFonts w:ascii="Arial" w:hAnsi="Arial" w:cs="Arial"/>
        </w:rPr>
        <w:t>Before:</w:t>
      </w:r>
    </w:p>
    <w:p w14:paraId="05D93D20" w14:textId="60ACCA20" w:rsidR="00BB23B0" w:rsidRPr="008C5253" w:rsidRDefault="00BD7BD6" w:rsidP="00BD7BD6">
      <w:pPr>
        <w:spacing w:line="360" w:lineRule="auto"/>
        <w:jc w:val="both"/>
        <w:rPr>
          <w:rFonts w:ascii="Arial" w:hAnsi="Arial" w:cs="Arial"/>
        </w:rPr>
      </w:pPr>
      <m:oMathPara>
        <m:oMath>
          <m:r>
            <w:rPr>
              <w:rFonts w:ascii="Cambria Math" w:hAnsi="Cambria Math" w:cs="Arial"/>
            </w:rPr>
            <m:t>242,494÷158,291=</m:t>
          </m:r>
          <m:r>
            <m:rPr>
              <m:sty m:val="p"/>
            </m:rPr>
            <w:rPr>
              <w:rFonts w:ascii="Cambria Math" w:hAnsi="Cambria Math" w:cs="Arial"/>
            </w:rPr>
            <m:t>1.53</m:t>
          </m:r>
        </m:oMath>
      </m:oMathPara>
    </w:p>
    <w:p w14:paraId="7A0AA088" w14:textId="77777777" w:rsidR="00BB23B0" w:rsidRPr="008C5253" w:rsidRDefault="00BB23B0" w:rsidP="00BD7BD6">
      <w:pPr>
        <w:spacing w:line="360" w:lineRule="auto"/>
        <w:jc w:val="both"/>
        <w:rPr>
          <w:rFonts w:ascii="Arial" w:hAnsi="Arial" w:cs="Arial"/>
        </w:rPr>
      </w:pPr>
      <w:r w:rsidRPr="008C5253">
        <w:rPr>
          <w:rFonts w:ascii="Arial" w:hAnsi="Arial" w:cs="Arial"/>
        </w:rPr>
        <w:t>After:</w:t>
      </w:r>
    </w:p>
    <w:p w14:paraId="04BD6C2F" w14:textId="0B7850C3" w:rsidR="00BB23B0" w:rsidRPr="008C5253" w:rsidRDefault="00BD7BD6" w:rsidP="00BD7BD6">
      <w:pPr>
        <w:spacing w:line="360" w:lineRule="auto"/>
        <w:jc w:val="both"/>
        <w:rPr>
          <w:rFonts w:ascii="Arial" w:hAnsi="Arial" w:cs="Arial"/>
        </w:rPr>
      </w:pPr>
      <m:oMathPara>
        <m:oMath>
          <m:r>
            <w:rPr>
              <w:rFonts w:ascii="Cambria Math" w:hAnsi="Cambria Math" w:cs="Arial"/>
            </w:rPr>
            <m:t>242,494÷140,291=</m:t>
          </m:r>
          <m:r>
            <m:rPr>
              <m:sty m:val="p"/>
            </m:rPr>
            <w:rPr>
              <w:rFonts w:ascii="Cambria Math" w:hAnsi="Cambria Math" w:cs="Arial"/>
            </w:rPr>
            <m:t>1.73</m:t>
          </m:r>
          <m:r>
            <m:rPr>
              <m:sty m:val="p"/>
            </m:rPr>
            <w:rPr>
              <w:rFonts w:ascii="Cambria Math" w:hAnsi="Cambria Math" w:cs="Arial"/>
            </w:rPr>
            <w:br/>
          </m:r>
        </m:oMath>
      </m:oMathPara>
    </w:p>
    <w:p w14:paraId="5DBB738C" w14:textId="77777777" w:rsidR="00BB23B0" w:rsidRPr="008C5253" w:rsidRDefault="00BB23B0" w:rsidP="00263BA0">
      <w:pPr>
        <w:pStyle w:val="Heading3"/>
        <w:rPr>
          <w:rFonts w:ascii="Arial" w:hAnsi="Arial" w:cs="Arial"/>
          <w:b/>
          <w:bCs/>
          <w:color w:val="auto"/>
        </w:rPr>
      </w:pPr>
      <w:bookmarkStart w:id="48" w:name="_Toc216698912"/>
      <w:r w:rsidRPr="008C5253">
        <w:rPr>
          <w:rFonts w:ascii="Arial" w:hAnsi="Arial" w:cs="Arial"/>
          <w:b/>
          <w:bCs/>
          <w:color w:val="auto"/>
        </w:rPr>
        <w:t>C5. Combined Restructuring Scenario (Integrated Strategy)</w:t>
      </w:r>
      <w:bookmarkEnd w:id="48"/>
    </w:p>
    <w:p w14:paraId="7B4C97B9" w14:textId="77777777" w:rsidR="00BB23B0" w:rsidRPr="008C5253" w:rsidRDefault="00BB23B0" w:rsidP="00BD7BD6">
      <w:pPr>
        <w:spacing w:line="360" w:lineRule="auto"/>
        <w:jc w:val="both"/>
        <w:rPr>
          <w:rFonts w:ascii="Arial" w:hAnsi="Arial" w:cs="Arial"/>
        </w:rPr>
      </w:pPr>
      <w:r w:rsidRPr="008C5253">
        <w:rPr>
          <w:rFonts w:ascii="Arial" w:hAnsi="Arial" w:cs="Arial"/>
        </w:rPr>
        <w:t>Assumptions</w:t>
      </w:r>
    </w:p>
    <w:p w14:paraId="44659A8E" w14:textId="77777777" w:rsidR="00BB23B0" w:rsidRPr="008C5253" w:rsidRDefault="00BB23B0" w:rsidP="00BD7BD6">
      <w:pPr>
        <w:numPr>
          <w:ilvl w:val="0"/>
          <w:numId w:val="32"/>
        </w:numPr>
        <w:spacing w:line="360" w:lineRule="auto"/>
        <w:jc w:val="both"/>
        <w:rPr>
          <w:rFonts w:ascii="Arial" w:hAnsi="Arial" w:cs="Arial"/>
        </w:rPr>
      </w:pPr>
      <w:r w:rsidRPr="008C5253">
        <w:rPr>
          <w:rFonts w:ascii="Arial" w:hAnsi="Arial" w:cs="Arial"/>
        </w:rPr>
        <w:t>All measures from C1–C4 implemented</w:t>
      </w:r>
    </w:p>
    <w:p w14:paraId="08E7074A" w14:textId="77777777" w:rsidR="00BB23B0" w:rsidRPr="008C5253" w:rsidRDefault="00BB23B0" w:rsidP="00BD7BD6">
      <w:pPr>
        <w:numPr>
          <w:ilvl w:val="0"/>
          <w:numId w:val="32"/>
        </w:numPr>
        <w:spacing w:line="360" w:lineRule="auto"/>
        <w:jc w:val="both"/>
        <w:rPr>
          <w:rFonts w:ascii="Arial" w:hAnsi="Arial" w:cs="Arial"/>
        </w:rPr>
      </w:pPr>
      <w:r w:rsidRPr="008C5253">
        <w:rPr>
          <w:rFonts w:ascii="Arial" w:hAnsi="Arial" w:cs="Arial"/>
        </w:rPr>
        <w:t>No adverse market shock</w:t>
      </w:r>
    </w:p>
    <w:p w14:paraId="220F6339" w14:textId="77777777" w:rsidR="00BB23B0" w:rsidRPr="008C5253" w:rsidRDefault="00BB23B0" w:rsidP="00BD7BD6">
      <w:pPr>
        <w:spacing w:line="360" w:lineRule="auto"/>
        <w:jc w:val="both"/>
        <w:rPr>
          <w:rFonts w:ascii="Arial" w:hAnsi="Arial" w:cs="Arial"/>
        </w:rPr>
      </w:pPr>
      <w:r w:rsidRPr="008C5253">
        <w:rPr>
          <w:rFonts w:ascii="Arial" w:hAnsi="Arial" w:cs="Arial"/>
        </w:rPr>
        <w:t>Post-Restructuring Financial Position</w:t>
      </w:r>
    </w:p>
    <w:tbl>
      <w:tblPr>
        <w:tblStyle w:val="TableGrid"/>
        <w:tblW w:w="0" w:type="auto"/>
        <w:tblLook w:val="04A0" w:firstRow="1" w:lastRow="0" w:firstColumn="1" w:lastColumn="0" w:noHBand="0" w:noVBand="1"/>
      </w:tblPr>
      <w:tblGrid>
        <w:gridCol w:w="2858"/>
        <w:gridCol w:w="1084"/>
        <w:gridCol w:w="1084"/>
      </w:tblGrid>
      <w:tr w:rsidR="00BB23B0" w:rsidRPr="008C5253" w14:paraId="5DECA612" w14:textId="77777777" w:rsidTr="00376429">
        <w:tc>
          <w:tcPr>
            <w:tcW w:w="0" w:type="auto"/>
            <w:hideMark/>
          </w:tcPr>
          <w:p w14:paraId="435E442B" w14:textId="77777777" w:rsidR="00BB23B0" w:rsidRPr="008C5253" w:rsidRDefault="00BB23B0" w:rsidP="00BD7BD6">
            <w:pPr>
              <w:spacing w:line="360" w:lineRule="auto"/>
              <w:jc w:val="both"/>
              <w:rPr>
                <w:rFonts w:ascii="Arial" w:hAnsi="Arial" w:cs="Arial"/>
              </w:rPr>
            </w:pPr>
            <w:r w:rsidRPr="008C5253">
              <w:rPr>
                <w:rFonts w:ascii="Arial" w:hAnsi="Arial" w:cs="Arial"/>
              </w:rPr>
              <w:t>Indicator</w:t>
            </w:r>
          </w:p>
        </w:tc>
        <w:tc>
          <w:tcPr>
            <w:tcW w:w="0" w:type="auto"/>
            <w:hideMark/>
          </w:tcPr>
          <w:p w14:paraId="126A03E2" w14:textId="77777777" w:rsidR="00BB23B0" w:rsidRPr="008C5253" w:rsidRDefault="00BB23B0" w:rsidP="00BD7BD6">
            <w:pPr>
              <w:spacing w:line="360" w:lineRule="auto"/>
              <w:jc w:val="both"/>
              <w:rPr>
                <w:rFonts w:ascii="Arial" w:hAnsi="Arial" w:cs="Arial"/>
              </w:rPr>
            </w:pPr>
            <w:r w:rsidRPr="008C5253">
              <w:rPr>
                <w:rFonts w:ascii="Arial" w:hAnsi="Arial" w:cs="Arial"/>
              </w:rPr>
              <w:t>Pre</w:t>
            </w:r>
          </w:p>
        </w:tc>
        <w:tc>
          <w:tcPr>
            <w:tcW w:w="0" w:type="auto"/>
            <w:hideMark/>
          </w:tcPr>
          <w:p w14:paraId="0823BBEA" w14:textId="77777777" w:rsidR="00BB23B0" w:rsidRPr="008C5253" w:rsidRDefault="00BB23B0" w:rsidP="00BD7BD6">
            <w:pPr>
              <w:spacing w:line="360" w:lineRule="auto"/>
              <w:jc w:val="both"/>
              <w:rPr>
                <w:rFonts w:ascii="Arial" w:hAnsi="Arial" w:cs="Arial"/>
              </w:rPr>
            </w:pPr>
            <w:r w:rsidRPr="008C5253">
              <w:rPr>
                <w:rFonts w:ascii="Arial" w:hAnsi="Arial" w:cs="Arial"/>
              </w:rPr>
              <w:t>Post</w:t>
            </w:r>
          </w:p>
        </w:tc>
      </w:tr>
      <w:tr w:rsidR="00BB23B0" w:rsidRPr="008C5253" w14:paraId="35D323E2" w14:textId="77777777" w:rsidTr="00376429">
        <w:tc>
          <w:tcPr>
            <w:tcW w:w="0" w:type="auto"/>
            <w:hideMark/>
          </w:tcPr>
          <w:p w14:paraId="5AABE4DE" w14:textId="77777777" w:rsidR="00BB23B0" w:rsidRPr="008C5253" w:rsidRDefault="00BB23B0" w:rsidP="00BD7BD6">
            <w:pPr>
              <w:spacing w:line="360" w:lineRule="auto"/>
              <w:jc w:val="both"/>
              <w:rPr>
                <w:rFonts w:ascii="Arial" w:hAnsi="Arial" w:cs="Arial"/>
              </w:rPr>
            </w:pPr>
            <w:r w:rsidRPr="008C5253">
              <w:rPr>
                <w:rFonts w:ascii="Arial" w:hAnsi="Arial" w:cs="Arial"/>
              </w:rPr>
              <w:t>Total Liabilities</w:t>
            </w:r>
          </w:p>
        </w:tc>
        <w:tc>
          <w:tcPr>
            <w:tcW w:w="0" w:type="auto"/>
            <w:hideMark/>
          </w:tcPr>
          <w:p w14:paraId="0F77FACF" w14:textId="77777777" w:rsidR="00BB23B0" w:rsidRPr="008C5253" w:rsidRDefault="00BB23B0" w:rsidP="00BD7BD6">
            <w:pPr>
              <w:spacing w:line="360" w:lineRule="auto"/>
              <w:jc w:val="both"/>
              <w:rPr>
                <w:rFonts w:ascii="Arial" w:hAnsi="Arial" w:cs="Arial"/>
              </w:rPr>
            </w:pPr>
            <w:r w:rsidRPr="008C5253">
              <w:rPr>
                <w:rFonts w:ascii="Arial" w:hAnsi="Arial" w:cs="Arial"/>
              </w:rPr>
              <w:t>170,249</w:t>
            </w:r>
          </w:p>
        </w:tc>
        <w:tc>
          <w:tcPr>
            <w:tcW w:w="0" w:type="auto"/>
            <w:hideMark/>
          </w:tcPr>
          <w:p w14:paraId="08DD88BB" w14:textId="77777777" w:rsidR="00BB23B0" w:rsidRPr="008C5253" w:rsidRDefault="00BB23B0" w:rsidP="00BD7BD6">
            <w:pPr>
              <w:spacing w:line="360" w:lineRule="auto"/>
              <w:jc w:val="both"/>
              <w:rPr>
                <w:rFonts w:ascii="Arial" w:hAnsi="Arial" w:cs="Arial"/>
              </w:rPr>
            </w:pPr>
            <w:r w:rsidRPr="008C5253">
              <w:rPr>
                <w:rFonts w:ascii="Arial" w:hAnsi="Arial" w:cs="Arial"/>
              </w:rPr>
              <w:t>150,249</w:t>
            </w:r>
          </w:p>
        </w:tc>
      </w:tr>
      <w:tr w:rsidR="00BB23B0" w:rsidRPr="008C5253" w14:paraId="187FA53D" w14:textId="77777777" w:rsidTr="00376429">
        <w:tc>
          <w:tcPr>
            <w:tcW w:w="0" w:type="auto"/>
            <w:hideMark/>
          </w:tcPr>
          <w:p w14:paraId="0014668E" w14:textId="77777777" w:rsidR="00BB23B0" w:rsidRPr="008C5253" w:rsidRDefault="00BB23B0" w:rsidP="00BD7BD6">
            <w:pPr>
              <w:spacing w:line="360" w:lineRule="auto"/>
              <w:jc w:val="both"/>
              <w:rPr>
                <w:rFonts w:ascii="Arial" w:hAnsi="Arial" w:cs="Arial"/>
              </w:rPr>
            </w:pPr>
            <w:r w:rsidRPr="008C5253">
              <w:rPr>
                <w:rFonts w:ascii="Arial" w:hAnsi="Arial" w:cs="Arial"/>
              </w:rPr>
              <w:t>Shareholders’ Equity</w:t>
            </w:r>
          </w:p>
        </w:tc>
        <w:tc>
          <w:tcPr>
            <w:tcW w:w="0" w:type="auto"/>
            <w:hideMark/>
          </w:tcPr>
          <w:p w14:paraId="29AEF3B5" w14:textId="77777777" w:rsidR="00BB23B0" w:rsidRPr="008C5253" w:rsidRDefault="00BB23B0" w:rsidP="00BD7BD6">
            <w:pPr>
              <w:spacing w:line="360" w:lineRule="auto"/>
              <w:jc w:val="both"/>
              <w:rPr>
                <w:rFonts w:ascii="Arial" w:hAnsi="Arial" w:cs="Arial"/>
              </w:rPr>
            </w:pPr>
            <w:r w:rsidRPr="008C5253">
              <w:rPr>
                <w:rFonts w:ascii="Arial" w:hAnsi="Arial" w:cs="Arial"/>
              </w:rPr>
              <w:t>153,105</w:t>
            </w:r>
          </w:p>
        </w:tc>
        <w:tc>
          <w:tcPr>
            <w:tcW w:w="0" w:type="auto"/>
            <w:hideMark/>
          </w:tcPr>
          <w:p w14:paraId="37C84158" w14:textId="77777777" w:rsidR="00BB23B0" w:rsidRPr="008C5253" w:rsidRDefault="00BB23B0" w:rsidP="00BD7BD6">
            <w:pPr>
              <w:spacing w:line="360" w:lineRule="auto"/>
              <w:jc w:val="both"/>
              <w:rPr>
                <w:rFonts w:ascii="Arial" w:hAnsi="Arial" w:cs="Arial"/>
              </w:rPr>
            </w:pPr>
            <w:r w:rsidRPr="008C5253">
              <w:rPr>
                <w:rFonts w:ascii="Arial" w:hAnsi="Arial" w:cs="Arial"/>
              </w:rPr>
              <w:t>198,105</w:t>
            </w:r>
          </w:p>
        </w:tc>
      </w:tr>
      <w:tr w:rsidR="00BB23B0" w:rsidRPr="008C5253" w14:paraId="1AD71BF3" w14:textId="77777777" w:rsidTr="00376429">
        <w:tc>
          <w:tcPr>
            <w:tcW w:w="0" w:type="auto"/>
            <w:hideMark/>
          </w:tcPr>
          <w:p w14:paraId="73F2C796" w14:textId="77777777" w:rsidR="00BB23B0" w:rsidRPr="008C5253" w:rsidRDefault="00BB23B0" w:rsidP="00BD7BD6">
            <w:pPr>
              <w:spacing w:line="360" w:lineRule="auto"/>
              <w:jc w:val="both"/>
              <w:rPr>
                <w:rFonts w:ascii="Arial" w:hAnsi="Arial" w:cs="Arial"/>
              </w:rPr>
            </w:pPr>
            <w:r w:rsidRPr="008C5253">
              <w:rPr>
                <w:rFonts w:ascii="Arial" w:hAnsi="Arial" w:cs="Arial"/>
              </w:rPr>
              <w:t>Interest Expense</w:t>
            </w:r>
          </w:p>
        </w:tc>
        <w:tc>
          <w:tcPr>
            <w:tcW w:w="0" w:type="auto"/>
            <w:hideMark/>
          </w:tcPr>
          <w:p w14:paraId="43DFA8B3" w14:textId="77777777" w:rsidR="00BB23B0" w:rsidRPr="008C5253" w:rsidRDefault="00BB23B0" w:rsidP="00BD7BD6">
            <w:pPr>
              <w:spacing w:line="360" w:lineRule="auto"/>
              <w:jc w:val="both"/>
              <w:rPr>
                <w:rFonts w:ascii="Arial" w:hAnsi="Arial" w:cs="Arial"/>
              </w:rPr>
            </w:pPr>
            <w:r w:rsidRPr="008C5253">
              <w:rPr>
                <w:rFonts w:ascii="Arial" w:hAnsi="Arial" w:cs="Arial"/>
              </w:rPr>
              <w:t>6.21</w:t>
            </w:r>
          </w:p>
        </w:tc>
        <w:tc>
          <w:tcPr>
            <w:tcW w:w="0" w:type="auto"/>
            <w:hideMark/>
          </w:tcPr>
          <w:p w14:paraId="7657A162" w14:textId="77777777" w:rsidR="00BB23B0" w:rsidRPr="008C5253" w:rsidRDefault="00BB23B0" w:rsidP="00BD7BD6">
            <w:pPr>
              <w:spacing w:line="360" w:lineRule="auto"/>
              <w:jc w:val="both"/>
              <w:rPr>
                <w:rFonts w:ascii="Arial" w:hAnsi="Arial" w:cs="Arial"/>
              </w:rPr>
            </w:pPr>
            <w:r w:rsidRPr="008C5253">
              <w:rPr>
                <w:rFonts w:ascii="Arial" w:hAnsi="Arial" w:cs="Arial"/>
              </w:rPr>
              <w:t>5.70</w:t>
            </w:r>
          </w:p>
        </w:tc>
      </w:tr>
      <w:tr w:rsidR="00BB23B0" w:rsidRPr="008C5253" w14:paraId="21021B43" w14:textId="77777777" w:rsidTr="00376429">
        <w:tc>
          <w:tcPr>
            <w:tcW w:w="0" w:type="auto"/>
            <w:hideMark/>
          </w:tcPr>
          <w:p w14:paraId="4957E9C1" w14:textId="77777777" w:rsidR="00BB23B0" w:rsidRPr="008C5253" w:rsidRDefault="00BB23B0" w:rsidP="00BD7BD6">
            <w:pPr>
              <w:spacing w:line="360" w:lineRule="auto"/>
              <w:jc w:val="both"/>
              <w:rPr>
                <w:rFonts w:ascii="Arial" w:hAnsi="Arial" w:cs="Arial"/>
              </w:rPr>
            </w:pPr>
            <w:r w:rsidRPr="008C5253">
              <w:rPr>
                <w:rFonts w:ascii="Arial" w:hAnsi="Arial" w:cs="Arial"/>
              </w:rPr>
              <w:t>Current Ratio</w:t>
            </w:r>
          </w:p>
        </w:tc>
        <w:tc>
          <w:tcPr>
            <w:tcW w:w="0" w:type="auto"/>
            <w:hideMark/>
          </w:tcPr>
          <w:p w14:paraId="4CAF7EF5" w14:textId="77777777" w:rsidR="00BB23B0" w:rsidRPr="008C5253" w:rsidRDefault="00BB23B0" w:rsidP="00BD7BD6">
            <w:pPr>
              <w:spacing w:line="360" w:lineRule="auto"/>
              <w:jc w:val="both"/>
              <w:rPr>
                <w:rFonts w:ascii="Arial" w:hAnsi="Arial" w:cs="Arial"/>
              </w:rPr>
            </w:pPr>
            <w:r w:rsidRPr="008C5253">
              <w:rPr>
                <w:rFonts w:ascii="Arial" w:hAnsi="Arial" w:cs="Arial"/>
              </w:rPr>
              <w:t>1.53</w:t>
            </w:r>
          </w:p>
        </w:tc>
        <w:tc>
          <w:tcPr>
            <w:tcW w:w="0" w:type="auto"/>
            <w:hideMark/>
          </w:tcPr>
          <w:p w14:paraId="03A661C9" w14:textId="77777777" w:rsidR="00BB23B0" w:rsidRPr="008C5253" w:rsidRDefault="00BB23B0" w:rsidP="00BD7BD6">
            <w:pPr>
              <w:spacing w:line="360" w:lineRule="auto"/>
              <w:jc w:val="both"/>
              <w:rPr>
                <w:rFonts w:ascii="Arial" w:hAnsi="Arial" w:cs="Arial"/>
              </w:rPr>
            </w:pPr>
            <w:r w:rsidRPr="008C5253">
              <w:rPr>
                <w:rFonts w:ascii="Arial" w:hAnsi="Arial" w:cs="Arial"/>
              </w:rPr>
              <w:t>1.73</w:t>
            </w:r>
          </w:p>
        </w:tc>
      </w:tr>
      <w:tr w:rsidR="00BB23B0" w:rsidRPr="008C5253" w14:paraId="0F432364" w14:textId="77777777" w:rsidTr="00376429">
        <w:tc>
          <w:tcPr>
            <w:tcW w:w="0" w:type="auto"/>
            <w:hideMark/>
          </w:tcPr>
          <w:p w14:paraId="68DC9881" w14:textId="77777777" w:rsidR="00BB23B0" w:rsidRPr="008C5253" w:rsidRDefault="00BB23B0" w:rsidP="00BD7BD6">
            <w:pPr>
              <w:spacing w:line="360" w:lineRule="auto"/>
              <w:jc w:val="both"/>
              <w:rPr>
                <w:rFonts w:ascii="Arial" w:hAnsi="Arial" w:cs="Arial"/>
              </w:rPr>
            </w:pPr>
            <w:proofErr w:type="gramStart"/>
            <w:r w:rsidRPr="008C5253">
              <w:rPr>
                <w:rFonts w:ascii="Arial" w:hAnsi="Arial" w:cs="Arial"/>
              </w:rPr>
              <w:t>Liabilities</w:t>
            </w:r>
            <w:proofErr w:type="gramEnd"/>
            <w:r w:rsidRPr="008C5253">
              <w:rPr>
                <w:rFonts w:ascii="Arial" w:hAnsi="Arial" w:cs="Arial"/>
              </w:rPr>
              <w:t>-to-Equity Ratio</w:t>
            </w:r>
          </w:p>
        </w:tc>
        <w:tc>
          <w:tcPr>
            <w:tcW w:w="0" w:type="auto"/>
            <w:hideMark/>
          </w:tcPr>
          <w:p w14:paraId="71D36B6C" w14:textId="77777777" w:rsidR="00BB23B0" w:rsidRPr="008C5253" w:rsidRDefault="00BB23B0" w:rsidP="00BD7BD6">
            <w:pPr>
              <w:spacing w:line="360" w:lineRule="auto"/>
              <w:jc w:val="both"/>
              <w:rPr>
                <w:rFonts w:ascii="Arial" w:hAnsi="Arial" w:cs="Arial"/>
              </w:rPr>
            </w:pPr>
            <w:r w:rsidRPr="008C5253">
              <w:rPr>
                <w:rFonts w:ascii="Arial" w:hAnsi="Arial" w:cs="Arial"/>
              </w:rPr>
              <w:t>1.11</w:t>
            </w:r>
          </w:p>
        </w:tc>
        <w:tc>
          <w:tcPr>
            <w:tcW w:w="0" w:type="auto"/>
            <w:hideMark/>
          </w:tcPr>
          <w:p w14:paraId="56CCF0EA" w14:textId="77777777" w:rsidR="00BB23B0" w:rsidRPr="008C5253" w:rsidRDefault="00BB23B0" w:rsidP="00BD7BD6">
            <w:pPr>
              <w:spacing w:line="360" w:lineRule="auto"/>
              <w:jc w:val="both"/>
              <w:rPr>
                <w:rFonts w:ascii="Arial" w:hAnsi="Arial" w:cs="Arial"/>
              </w:rPr>
            </w:pPr>
            <w:r w:rsidRPr="008C5253">
              <w:rPr>
                <w:rFonts w:ascii="Arial" w:hAnsi="Arial" w:cs="Arial"/>
              </w:rPr>
              <w:t>0.76</w:t>
            </w:r>
          </w:p>
        </w:tc>
      </w:tr>
    </w:tbl>
    <w:p w14:paraId="1DB179C3" w14:textId="47B1DF62" w:rsidR="00BB23B0" w:rsidRPr="008C5253" w:rsidRDefault="00BB23B0" w:rsidP="00BD7BD6">
      <w:pPr>
        <w:spacing w:line="360" w:lineRule="auto"/>
        <w:jc w:val="both"/>
        <w:rPr>
          <w:rFonts w:ascii="Arial" w:hAnsi="Arial" w:cs="Arial"/>
        </w:rPr>
      </w:pPr>
    </w:p>
    <w:p w14:paraId="3C98FDCA" w14:textId="77777777" w:rsidR="00BB23B0" w:rsidRPr="008C5253" w:rsidRDefault="00BB23B0" w:rsidP="00263BA0">
      <w:pPr>
        <w:pStyle w:val="Heading3"/>
        <w:rPr>
          <w:rFonts w:ascii="Arial" w:hAnsi="Arial" w:cs="Arial"/>
          <w:b/>
          <w:bCs/>
          <w:color w:val="auto"/>
        </w:rPr>
      </w:pPr>
      <w:bookmarkStart w:id="49" w:name="_Toc216698913"/>
      <w:r w:rsidRPr="008C5253">
        <w:rPr>
          <w:rFonts w:ascii="Arial" w:hAnsi="Arial" w:cs="Arial"/>
          <w:b/>
          <w:bCs/>
          <w:color w:val="auto"/>
        </w:rPr>
        <w:t>C6. Altman Z-Score Impact (Post-Restructuring Projection)</w:t>
      </w:r>
      <w:bookmarkEnd w:id="49"/>
    </w:p>
    <w:p w14:paraId="544D00F4" w14:textId="77777777" w:rsidR="00BB23B0" w:rsidRPr="008C5253" w:rsidRDefault="00BB23B0" w:rsidP="00BD7BD6">
      <w:pPr>
        <w:spacing w:line="360" w:lineRule="auto"/>
        <w:jc w:val="both"/>
        <w:rPr>
          <w:rFonts w:ascii="Arial" w:hAnsi="Arial" w:cs="Arial"/>
        </w:rPr>
      </w:pPr>
      <w:r w:rsidRPr="008C5253">
        <w:rPr>
          <w:rFonts w:ascii="Arial" w:hAnsi="Arial" w:cs="Arial"/>
        </w:rPr>
        <w:t>Expected Directional Changes</w:t>
      </w:r>
    </w:p>
    <w:tbl>
      <w:tblPr>
        <w:tblStyle w:val="TableGrid"/>
        <w:tblW w:w="0" w:type="auto"/>
        <w:tblLook w:val="04A0" w:firstRow="1" w:lastRow="0" w:firstColumn="1" w:lastColumn="0" w:noHBand="0" w:noVBand="1"/>
      </w:tblPr>
      <w:tblGrid>
        <w:gridCol w:w="4152"/>
        <w:gridCol w:w="2125"/>
      </w:tblGrid>
      <w:tr w:rsidR="00BB23B0" w:rsidRPr="008C5253" w14:paraId="5D2B890B" w14:textId="77777777" w:rsidTr="00376429">
        <w:tc>
          <w:tcPr>
            <w:tcW w:w="0" w:type="auto"/>
            <w:hideMark/>
          </w:tcPr>
          <w:p w14:paraId="292A70ED" w14:textId="77777777" w:rsidR="00BB23B0" w:rsidRPr="008C5253" w:rsidRDefault="00BB23B0" w:rsidP="00BD7BD6">
            <w:pPr>
              <w:spacing w:line="360" w:lineRule="auto"/>
              <w:jc w:val="both"/>
              <w:rPr>
                <w:rFonts w:ascii="Arial" w:hAnsi="Arial" w:cs="Arial"/>
              </w:rPr>
            </w:pPr>
            <w:r w:rsidRPr="008C5253">
              <w:rPr>
                <w:rFonts w:ascii="Arial" w:hAnsi="Arial" w:cs="Arial"/>
              </w:rPr>
              <w:lastRenderedPageBreak/>
              <w:t>Component</w:t>
            </w:r>
          </w:p>
        </w:tc>
        <w:tc>
          <w:tcPr>
            <w:tcW w:w="0" w:type="auto"/>
            <w:hideMark/>
          </w:tcPr>
          <w:p w14:paraId="5C3AF73B" w14:textId="77777777" w:rsidR="00BB23B0" w:rsidRPr="008C5253" w:rsidRDefault="00BB23B0" w:rsidP="00BD7BD6">
            <w:pPr>
              <w:spacing w:line="360" w:lineRule="auto"/>
              <w:jc w:val="both"/>
              <w:rPr>
                <w:rFonts w:ascii="Arial" w:hAnsi="Arial" w:cs="Arial"/>
              </w:rPr>
            </w:pPr>
            <w:r w:rsidRPr="008C5253">
              <w:rPr>
                <w:rFonts w:ascii="Arial" w:hAnsi="Arial" w:cs="Arial"/>
              </w:rPr>
              <w:t>Expected Change</w:t>
            </w:r>
          </w:p>
        </w:tc>
      </w:tr>
      <w:tr w:rsidR="00BB23B0" w:rsidRPr="008C5253" w14:paraId="0CC756D5" w14:textId="77777777" w:rsidTr="00376429">
        <w:tc>
          <w:tcPr>
            <w:tcW w:w="0" w:type="auto"/>
            <w:hideMark/>
          </w:tcPr>
          <w:p w14:paraId="6A355970" w14:textId="77777777" w:rsidR="00BB23B0" w:rsidRPr="008C5253" w:rsidRDefault="00BB23B0" w:rsidP="00BD7BD6">
            <w:pPr>
              <w:spacing w:line="360" w:lineRule="auto"/>
              <w:jc w:val="both"/>
              <w:rPr>
                <w:rFonts w:ascii="Arial" w:hAnsi="Arial" w:cs="Arial"/>
              </w:rPr>
            </w:pPr>
            <w:r w:rsidRPr="008C5253">
              <w:rPr>
                <w:rFonts w:ascii="Arial" w:hAnsi="Arial" w:cs="Arial"/>
              </w:rPr>
              <w:t>X</w:t>
            </w:r>
            <w:r w:rsidRPr="008C5253">
              <w:rPr>
                <w:rFonts w:ascii="Cambria Math" w:hAnsi="Cambria Math" w:cs="Cambria Math"/>
              </w:rPr>
              <w:t>₁</w:t>
            </w:r>
            <w:r w:rsidRPr="008C5253">
              <w:rPr>
                <w:rFonts w:ascii="Arial" w:hAnsi="Arial" w:cs="Arial"/>
              </w:rPr>
              <w:t xml:space="preserve"> (Working Capital / Total Assets)</w:t>
            </w:r>
          </w:p>
        </w:tc>
        <w:tc>
          <w:tcPr>
            <w:tcW w:w="0" w:type="auto"/>
            <w:hideMark/>
          </w:tcPr>
          <w:p w14:paraId="1BB513DA" w14:textId="77777777" w:rsidR="00BB23B0" w:rsidRPr="008C5253" w:rsidRDefault="00BB23B0" w:rsidP="00BD7BD6">
            <w:pPr>
              <w:spacing w:line="360" w:lineRule="auto"/>
              <w:jc w:val="both"/>
              <w:rPr>
                <w:rFonts w:ascii="Arial" w:hAnsi="Arial" w:cs="Arial"/>
              </w:rPr>
            </w:pPr>
            <w:r w:rsidRPr="008C5253">
              <w:rPr>
                <w:rFonts w:ascii="Arial" w:hAnsi="Arial" w:cs="Arial"/>
              </w:rPr>
              <w:t>↑</w:t>
            </w:r>
          </w:p>
        </w:tc>
      </w:tr>
      <w:tr w:rsidR="00BB23B0" w:rsidRPr="008C5253" w14:paraId="3487B665" w14:textId="77777777" w:rsidTr="00376429">
        <w:tc>
          <w:tcPr>
            <w:tcW w:w="0" w:type="auto"/>
            <w:hideMark/>
          </w:tcPr>
          <w:p w14:paraId="565AEB8A" w14:textId="77777777" w:rsidR="00BB23B0" w:rsidRPr="008C5253" w:rsidRDefault="00BB23B0" w:rsidP="00BD7BD6">
            <w:pPr>
              <w:spacing w:line="360" w:lineRule="auto"/>
              <w:jc w:val="both"/>
              <w:rPr>
                <w:rFonts w:ascii="Arial" w:hAnsi="Arial" w:cs="Arial"/>
              </w:rPr>
            </w:pPr>
            <w:r w:rsidRPr="008C5253">
              <w:rPr>
                <w:rFonts w:ascii="Arial" w:hAnsi="Arial" w:cs="Arial"/>
              </w:rPr>
              <w:t>X</w:t>
            </w:r>
            <w:r w:rsidRPr="008C5253">
              <w:rPr>
                <w:rFonts w:ascii="Cambria Math" w:hAnsi="Cambria Math" w:cs="Cambria Math"/>
              </w:rPr>
              <w:t>₂</w:t>
            </w:r>
            <w:r w:rsidRPr="008C5253">
              <w:rPr>
                <w:rFonts w:ascii="Arial" w:hAnsi="Arial" w:cs="Arial"/>
              </w:rPr>
              <w:t xml:space="preserve"> (Retained Earnings / Total Assets)</w:t>
            </w:r>
          </w:p>
        </w:tc>
        <w:tc>
          <w:tcPr>
            <w:tcW w:w="0" w:type="auto"/>
            <w:hideMark/>
          </w:tcPr>
          <w:p w14:paraId="790AF5E1" w14:textId="77777777" w:rsidR="00BB23B0" w:rsidRPr="008C5253" w:rsidRDefault="00BB23B0" w:rsidP="00BD7BD6">
            <w:pPr>
              <w:spacing w:line="360" w:lineRule="auto"/>
              <w:jc w:val="both"/>
              <w:rPr>
                <w:rFonts w:ascii="Arial" w:hAnsi="Arial" w:cs="Arial"/>
              </w:rPr>
            </w:pPr>
            <w:r w:rsidRPr="008C5253">
              <w:rPr>
                <w:rFonts w:ascii="Arial" w:hAnsi="Arial" w:cs="Arial"/>
              </w:rPr>
              <w:t>↑</w:t>
            </w:r>
          </w:p>
        </w:tc>
      </w:tr>
      <w:tr w:rsidR="00BB23B0" w:rsidRPr="008C5253" w14:paraId="1E16E34E" w14:textId="77777777" w:rsidTr="00376429">
        <w:tc>
          <w:tcPr>
            <w:tcW w:w="0" w:type="auto"/>
            <w:hideMark/>
          </w:tcPr>
          <w:p w14:paraId="556D0BB2" w14:textId="77777777" w:rsidR="00BB23B0" w:rsidRPr="008C5253" w:rsidRDefault="00BB23B0" w:rsidP="00BD7BD6">
            <w:pPr>
              <w:spacing w:line="360" w:lineRule="auto"/>
              <w:jc w:val="both"/>
              <w:rPr>
                <w:rFonts w:ascii="Arial" w:hAnsi="Arial" w:cs="Arial"/>
              </w:rPr>
            </w:pPr>
            <w:r w:rsidRPr="008C5253">
              <w:rPr>
                <w:rFonts w:ascii="Arial" w:hAnsi="Arial" w:cs="Arial"/>
              </w:rPr>
              <w:t>X</w:t>
            </w:r>
            <w:r w:rsidRPr="008C5253">
              <w:rPr>
                <w:rFonts w:ascii="Cambria Math" w:hAnsi="Cambria Math" w:cs="Cambria Math"/>
              </w:rPr>
              <w:t>₃</w:t>
            </w:r>
            <w:r w:rsidRPr="008C5253">
              <w:rPr>
                <w:rFonts w:ascii="Arial" w:hAnsi="Arial" w:cs="Arial"/>
              </w:rPr>
              <w:t xml:space="preserve"> (EBIT / Total Assets)</w:t>
            </w:r>
          </w:p>
        </w:tc>
        <w:tc>
          <w:tcPr>
            <w:tcW w:w="0" w:type="auto"/>
            <w:hideMark/>
          </w:tcPr>
          <w:p w14:paraId="53667EAF" w14:textId="77777777" w:rsidR="00BB23B0" w:rsidRPr="008C5253" w:rsidRDefault="00BB23B0" w:rsidP="00BD7BD6">
            <w:pPr>
              <w:spacing w:line="360" w:lineRule="auto"/>
              <w:jc w:val="both"/>
              <w:rPr>
                <w:rFonts w:ascii="Arial" w:hAnsi="Arial" w:cs="Arial"/>
              </w:rPr>
            </w:pPr>
            <w:r w:rsidRPr="008C5253">
              <w:rPr>
                <w:rFonts w:ascii="Arial" w:hAnsi="Arial" w:cs="Arial"/>
              </w:rPr>
              <w:t>↑</w:t>
            </w:r>
          </w:p>
        </w:tc>
      </w:tr>
      <w:tr w:rsidR="00BB23B0" w:rsidRPr="008C5253" w14:paraId="2431A583" w14:textId="77777777" w:rsidTr="00376429">
        <w:tc>
          <w:tcPr>
            <w:tcW w:w="0" w:type="auto"/>
            <w:hideMark/>
          </w:tcPr>
          <w:p w14:paraId="6F1AF81B" w14:textId="77777777" w:rsidR="00BB23B0" w:rsidRPr="008C5253" w:rsidRDefault="00BB23B0" w:rsidP="00BD7BD6">
            <w:pPr>
              <w:spacing w:line="360" w:lineRule="auto"/>
              <w:jc w:val="both"/>
              <w:rPr>
                <w:rFonts w:ascii="Arial" w:hAnsi="Arial" w:cs="Arial"/>
              </w:rPr>
            </w:pPr>
            <w:r w:rsidRPr="008C5253">
              <w:rPr>
                <w:rFonts w:ascii="Arial" w:hAnsi="Arial" w:cs="Arial"/>
              </w:rPr>
              <w:t>X</w:t>
            </w:r>
            <w:r w:rsidRPr="008C5253">
              <w:rPr>
                <w:rFonts w:ascii="Cambria Math" w:hAnsi="Cambria Math" w:cs="Cambria Math"/>
              </w:rPr>
              <w:t>₄</w:t>
            </w:r>
            <w:r w:rsidRPr="008C5253">
              <w:rPr>
                <w:rFonts w:ascii="Arial" w:hAnsi="Arial" w:cs="Arial"/>
              </w:rPr>
              <w:t xml:space="preserve"> (Equity / Liabilities)</w:t>
            </w:r>
          </w:p>
        </w:tc>
        <w:tc>
          <w:tcPr>
            <w:tcW w:w="0" w:type="auto"/>
            <w:hideMark/>
          </w:tcPr>
          <w:p w14:paraId="78AD1CAA" w14:textId="77777777" w:rsidR="00BB23B0" w:rsidRPr="008C5253" w:rsidRDefault="00BB23B0" w:rsidP="00BD7BD6">
            <w:pPr>
              <w:spacing w:line="360" w:lineRule="auto"/>
              <w:jc w:val="both"/>
              <w:rPr>
                <w:rFonts w:ascii="Arial" w:hAnsi="Arial" w:cs="Arial"/>
              </w:rPr>
            </w:pPr>
            <w:r w:rsidRPr="008C5253">
              <w:rPr>
                <w:rFonts w:ascii="Arial" w:hAnsi="Arial" w:cs="Arial"/>
              </w:rPr>
              <w:t>↑</w:t>
            </w:r>
          </w:p>
        </w:tc>
      </w:tr>
      <w:tr w:rsidR="00BB23B0" w:rsidRPr="008C5253" w14:paraId="010C3215" w14:textId="77777777" w:rsidTr="00376429">
        <w:tc>
          <w:tcPr>
            <w:tcW w:w="0" w:type="auto"/>
            <w:hideMark/>
          </w:tcPr>
          <w:p w14:paraId="1FA760E4" w14:textId="77777777" w:rsidR="00BB23B0" w:rsidRPr="008C5253" w:rsidRDefault="00BB23B0" w:rsidP="00BD7BD6">
            <w:pPr>
              <w:spacing w:line="360" w:lineRule="auto"/>
              <w:jc w:val="both"/>
              <w:rPr>
                <w:rFonts w:ascii="Arial" w:hAnsi="Arial" w:cs="Arial"/>
              </w:rPr>
            </w:pPr>
            <w:r w:rsidRPr="008C5253">
              <w:rPr>
                <w:rFonts w:ascii="Arial" w:hAnsi="Arial" w:cs="Arial"/>
              </w:rPr>
              <w:t>X</w:t>
            </w:r>
            <w:r w:rsidRPr="008C5253">
              <w:rPr>
                <w:rFonts w:ascii="Cambria Math" w:hAnsi="Cambria Math" w:cs="Cambria Math"/>
              </w:rPr>
              <w:t>₅</w:t>
            </w:r>
            <w:r w:rsidRPr="008C5253">
              <w:rPr>
                <w:rFonts w:ascii="Arial" w:hAnsi="Arial" w:cs="Arial"/>
              </w:rPr>
              <w:t xml:space="preserve"> (Sales / Total Assets)</w:t>
            </w:r>
          </w:p>
        </w:tc>
        <w:tc>
          <w:tcPr>
            <w:tcW w:w="0" w:type="auto"/>
            <w:hideMark/>
          </w:tcPr>
          <w:p w14:paraId="733CDD8C" w14:textId="77777777" w:rsidR="00BB23B0" w:rsidRPr="008C5253" w:rsidRDefault="00BB23B0" w:rsidP="00BD7BD6">
            <w:pPr>
              <w:spacing w:line="360" w:lineRule="auto"/>
              <w:jc w:val="both"/>
              <w:rPr>
                <w:rFonts w:ascii="Arial" w:hAnsi="Arial" w:cs="Arial"/>
              </w:rPr>
            </w:pPr>
            <w:r w:rsidRPr="008C5253">
              <w:rPr>
                <w:rFonts w:ascii="Arial" w:hAnsi="Arial" w:cs="Arial"/>
              </w:rPr>
              <w:t>Stable</w:t>
            </w:r>
          </w:p>
        </w:tc>
      </w:tr>
    </w:tbl>
    <w:p w14:paraId="42F483C4" w14:textId="5F133196" w:rsidR="00BB23B0" w:rsidRPr="008C5253" w:rsidRDefault="00BB23B0" w:rsidP="00BD7BD6">
      <w:pPr>
        <w:spacing w:line="360" w:lineRule="auto"/>
        <w:jc w:val="both"/>
        <w:rPr>
          <w:rFonts w:ascii="Arial" w:hAnsi="Arial" w:cs="Arial"/>
        </w:rPr>
      </w:pPr>
      <w:r w:rsidRPr="008C5253">
        <w:rPr>
          <w:rFonts w:ascii="Arial" w:hAnsi="Arial" w:cs="Arial"/>
          <w:i/>
          <w:iCs/>
        </w:rPr>
        <w:t>(No precise post-restructuring Z-Score is stated due to uncertainty around future earnings and retained profits.)</w:t>
      </w:r>
    </w:p>
    <w:p w14:paraId="396FDEA7" w14:textId="77777777" w:rsidR="00BB23B0" w:rsidRPr="008C5253" w:rsidRDefault="00BB23B0" w:rsidP="00263BA0">
      <w:pPr>
        <w:pStyle w:val="Heading3"/>
        <w:rPr>
          <w:rFonts w:ascii="Arial" w:hAnsi="Arial" w:cs="Arial"/>
          <w:b/>
          <w:bCs/>
          <w:color w:val="auto"/>
        </w:rPr>
      </w:pPr>
      <w:bookmarkStart w:id="50" w:name="_Toc216698914"/>
      <w:r w:rsidRPr="008C5253">
        <w:rPr>
          <w:rFonts w:ascii="Arial" w:hAnsi="Arial" w:cs="Arial"/>
          <w:b/>
          <w:bCs/>
          <w:color w:val="auto"/>
        </w:rPr>
        <w:t>C7. Risk Sensitivity Commentary</w:t>
      </w:r>
      <w:bookmarkEnd w:id="50"/>
    </w:p>
    <w:p w14:paraId="13BD8E74" w14:textId="77777777" w:rsidR="00BB23B0" w:rsidRPr="008C5253" w:rsidRDefault="00BB23B0" w:rsidP="00BD7BD6">
      <w:pPr>
        <w:spacing w:line="360" w:lineRule="auto"/>
        <w:jc w:val="both"/>
        <w:rPr>
          <w:rFonts w:ascii="Arial" w:hAnsi="Arial" w:cs="Arial"/>
        </w:rPr>
      </w:pPr>
      <w:r w:rsidRPr="008C5253">
        <w:rPr>
          <w:rFonts w:ascii="Arial" w:hAnsi="Arial" w:cs="Arial"/>
        </w:rPr>
        <w:t>Even under conservative assumptions—such as lower asset disposal proceeds or partial equity uptake—the restructuring strategy continues to:</w:t>
      </w:r>
    </w:p>
    <w:p w14:paraId="6A0EAD30" w14:textId="77777777" w:rsidR="00BB23B0" w:rsidRPr="008C5253" w:rsidRDefault="00BB23B0" w:rsidP="00BD7BD6">
      <w:pPr>
        <w:numPr>
          <w:ilvl w:val="0"/>
          <w:numId w:val="33"/>
        </w:numPr>
        <w:spacing w:line="360" w:lineRule="auto"/>
        <w:jc w:val="both"/>
        <w:rPr>
          <w:rFonts w:ascii="Arial" w:hAnsi="Arial" w:cs="Arial"/>
        </w:rPr>
      </w:pPr>
      <w:r w:rsidRPr="008C5253">
        <w:rPr>
          <w:rFonts w:ascii="Arial" w:hAnsi="Arial" w:cs="Arial"/>
        </w:rPr>
        <w:t>Improve solvency</w:t>
      </w:r>
    </w:p>
    <w:p w14:paraId="5016FB5B" w14:textId="77777777" w:rsidR="00BB23B0" w:rsidRPr="008C5253" w:rsidRDefault="00BB23B0" w:rsidP="00BD7BD6">
      <w:pPr>
        <w:numPr>
          <w:ilvl w:val="0"/>
          <w:numId w:val="33"/>
        </w:numPr>
        <w:spacing w:line="360" w:lineRule="auto"/>
        <w:jc w:val="both"/>
        <w:rPr>
          <w:rFonts w:ascii="Arial" w:hAnsi="Arial" w:cs="Arial"/>
        </w:rPr>
      </w:pPr>
      <w:r w:rsidRPr="008C5253">
        <w:rPr>
          <w:rFonts w:ascii="Arial" w:hAnsi="Arial" w:cs="Arial"/>
        </w:rPr>
        <w:t>Reduce liquidity risk</w:t>
      </w:r>
    </w:p>
    <w:p w14:paraId="1CB5A1A3" w14:textId="77777777" w:rsidR="00BB23B0" w:rsidRPr="008C5253" w:rsidRDefault="00BB23B0" w:rsidP="00BD7BD6">
      <w:pPr>
        <w:numPr>
          <w:ilvl w:val="0"/>
          <w:numId w:val="33"/>
        </w:numPr>
        <w:spacing w:line="360" w:lineRule="auto"/>
        <w:jc w:val="both"/>
        <w:rPr>
          <w:rFonts w:ascii="Arial" w:hAnsi="Arial" w:cs="Arial"/>
        </w:rPr>
      </w:pPr>
      <w:proofErr w:type="spellStart"/>
      <w:r w:rsidRPr="008C5253">
        <w:rPr>
          <w:rFonts w:ascii="Arial" w:hAnsi="Arial" w:cs="Arial"/>
        </w:rPr>
        <w:t>Stabilise</w:t>
      </w:r>
      <w:proofErr w:type="spellEnd"/>
      <w:r w:rsidRPr="008C5253">
        <w:rPr>
          <w:rFonts w:ascii="Arial" w:hAnsi="Arial" w:cs="Arial"/>
        </w:rPr>
        <w:t xml:space="preserve"> operating cash flows</w:t>
      </w:r>
    </w:p>
    <w:p w14:paraId="7F0699F1" w14:textId="77777777" w:rsidR="00BB23B0" w:rsidRPr="008C5253" w:rsidRDefault="00BB23B0" w:rsidP="00BD7BD6">
      <w:pPr>
        <w:spacing w:line="360" w:lineRule="auto"/>
        <w:jc w:val="both"/>
        <w:rPr>
          <w:rFonts w:ascii="Arial" w:hAnsi="Arial" w:cs="Arial"/>
        </w:rPr>
      </w:pPr>
      <w:r w:rsidRPr="008C5253">
        <w:rPr>
          <w:rFonts w:ascii="Arial" w:hAnsi="Arial" w:cs="Arial"/>
        </w:rPr>
        <w:t>This confirms the financial feasibility and robustness of the proposed restructuring strategy.</w:t>
      </w:r>
    </w:p>
    <w:p w14:paraId="193A824C" w14:textId="77777777" w:rsidR="00376429" w:rsidRPr="008C5253" w:rsidRDefault="00376429">
      <w:pPr>
        <w:rPr>
          <w:rFonts w:ascii="Arial" w:hAnsi="Arial" w:cs="Arial"/>
        </w:rPr>
      </w:pPr>
      <w:r w:rsidRPr="008C5253">
        <w:rPr>
          <w:rFonts w:ascii="Arial" w:hAnsi="Arial" w:cs="Arial"/>
        </w:rPr>
        <w:br w:type="page"/>
      </w:r>
    </w:p>
    <w:p w14:paraId="39094191" w14:textId="7E62393B" w:rsidR="006A2EB6" w:rsidRPr="008C5253" w:rsidRDefault="006A2EB6" w:rsidP="00376429">
      <w:pPr>
        <w:pStyle w:val="Heading2"/>
        <w:jc w:val="center"/>
        <w:rPr>
          <w:rFonts w:ascii="Arial" w:hAnsi="Arial" w:cs="Arial"/>
          <w:b/>
          <w:bCs/>
        </w:rPr>
      </w:pPr>
      <w:bookmarkStart w:id="51" w:name="_Toc216698915"/>
      <w:r w:rsidRPr="008C5253">
        <w:rPr>
          <w:rFonts w:ascii="Arial" w:hAnsi="Arial" w:cs="Arial"/>
          <w:b/>
          <w:bCs/>
          <w:color w:val="auto"/>
          <w:sz w:val="28"/>
          <w:szCs w:val="28"/>
        </w:rPr>
        <w:lastRenderedPageBreak/>
        <w:t>APPENDIX D: INVESTMENT APPRAISAL CALCULATIONS</w:t>
      </w:r>
      <w:bookmarkEnd w:id="51"/>
    </w:p>
    <w:p w14:paraId="332538A2" w14:textId="77777777" w:rsidR="006A2EB6" w:rsidRPr="008C5253" w:rsidRDefault="006A2EB6" w:rsidP="00BD7BD6">
      <w:pPr>
        <w:spacing w:line="360" w:lineRule="auto"/>
        <w:jc w:val="both"/>
        <w:rPr>
          <w:rFonts w:ascii="Arial" w:hAnsi="Arial" w:cs="Arial"/>
        </w:rPr>
      </w:pPr>
      <w:r w:rsidRPr="008C5253">
        <w:rPr>
          <w:rFonts w:ascii="Arial" w:hAnsi="Arial" w:cs="Arial"/>
        </w:rPr>
        <w:t>Assumptions (apply to all projects):</w:t>
      </w:r>
    </w:p>
    <w:p w14:paraId="35FA7A57" w14:textId="77777777" w:rsidR="006A2EB6" w:rsidRPr="008C5253" w:rsidRDefault="006A2EB6" w:rsidP="00BD7BD6">
      <w:pPr>
        <w:numPr>
          <w:ilvl w:val="0"/>
          <w:numId w:val="35"/>
        </w:numPr>
        <w:spacing w:line="360" w:lineRule="auto"/>
        <w:jc w:val="both"/>
        <w:rPr>
          <w:rFonts w:ascii="Arial" w:hAnsi="Arial" w:cs="Arial"/>
        </w:rPr>
      </w:pPr>
      <w:r w:rsidRPr="008C5253">
        <w:rPr>
          <w:rFonts w:ascii="Arial" w:hAnsi="Arial" w:cs="Arial"/>
        </w:rPr>
        <w:t>Discount rate (WACC) = 10%</w:t>
      </w:r>
    </w:p>
    <w:p w14:paraId="65342D20" w14:textId="77777777" w:rsidR="006A2EB6" w:rsidRPr="008C5253" w:rsidRDefault="006A2EB6" w:rsidP="00BD7BD6">
      <w:pPr>
        <w:numPr>
          <w:ilvl w:val="0"/>
          <w:numId w:val="35"/>
        </w:numPr>
        <w:spacing w:line="360" w:lineRule="auto"/>
        <w:jc w:val="both"/>
        <w:rPr>
          <w:rFonts w:ascii="Arial" w:hAnsi="Arial" w:cs="Arial"/>
        </w:rPr>
      </w:pPr>
      <w:r w:rsidRPr="008C5253">
        <w:rPr>
          <w:rFonts w:ascii="Arial" w:hAnsi="Arial" w:cs="Arial"/>
        </w:rPr>
        <w:t>Project life = 5 years</w:t>
      </w:r>
    </w:p>
    <w:p w14:paraId="1DB41672" w14:textId="77777777" w:rsidR="006A2EB6" w:rsidRPr="008C5253" w:rsidRDefault="006A2EB6" w:rsidP="00BD7BD6">
      <w:pPr>
        <w:numPr>
          <w:ilvl w:val="0"/>
          <w:numId w:val="35"/>
        </w:numPr>
        <w:spacing w:line="360" w:lineRule="auto"/>
        <w:jc w:val="both"/>
        <w:rPr>
          <w:rFonts w:ascii="Arial" w:hAnsi="Arial" w:cs="Arial"/>
        </w:rPr>
      </w:pPr>
      <w:r w:rsidRPr="008C5253">
        <w:rPr>
          <w:rFonts w:ascii="Arial" w:hAnsi="Arial" w:cs="Arial"/>
        </w:rPr>
        <w:t>Cash flows occur at year-end</w:t>
      </w:r>
    </w:p>
    <w:p w14:paraId="20CDC385" w14:textId="77777777" w:rsidR="006A2EB6" w:rsidRPr="008C5253" w:rsidRDefault="006A2EB6" w:rsidP="00BD7BD6">
      <w:pPr>
        <w:numPr>
          <w:ilvl w:val="0"/>
          <w:numId w:val="35"/>
        </w:numPr>
        <w:spacing w:line="360" w:lineRule="auto"/>
        <w:jc w:val="both"/>
        <w:rPr>
          <w:rFonts w:ascii="Arial" w:hAnsi="Arial" w:cs="Arial"/>
        </w:rPr>
      </w:pPr>
      <w:r w:rsidRPr="008C5253">
        <w:rPr>
          <w:rFonts w:ascii="Arial" w:hAnsi="Arial" w:cs="Arial"/>
        </w:rPr>
        <w:t>No residual value</w:t>
      </w:r>
    </w:p>
    <w:p w14:paraId="10D29053" w14:textId="77777777" w:rsidR="006A2EB6" w:rsidRPr="008C5253" w:rsidRDefault="006A2EB6" w:rsidP="00BD7BD6">
      <w:pPr>
        <w:numPr>
          <w:ilvl w:val="0"/>
          <w:numId w:val="35"/>
        </w:numPr>
        <w:spacing w:line="360" w:lineRule="auto"/>
        <w:jc w:val="both"/>
        <w:rPr>
          <w:rFonts w:ascii="Arial" w:hAnsi="Arial" w:cs="Arial"/>
        </w:rPr>
      </w:pPr>
      <w:r w:rsidRPr="008C5253">
        <w:rPr>
          <w:rFonts w:ascii="Arial" w:hAnsi="Arial" w:cs="Arial"/>
        </w:rPr>
        <w:t>Straight-line depreciation to zero</w:t>
      </w:r>
    </w:p>
    <w:p w14:paraId="471624EE" w14:textId="5C8B24FB" w:rsidR="006A2EB6" w:rsidRPr="008C5253" w:rsidRDefault="006A2EB6" w:rsidP="00BD7BD6">
      <w:pPr>
        <w:numPr>
          <w:ilvl w:val="0"/>
          <w:numId w:val="35"/>
        </w:numPr>
        <w:spacing w:line="360" w:lineRule="auto"/>
        <w:jc w:val="both"/>
        <w:rPr>
          <w:rFonts w:ascii="Arial" w:hAnsi="Arial" w:cs="Arial"/>
        </w:rPr>
      </w:pPr>
      <w:r w:rsidRPr="008C5253">
        <w:rPr>
          <w:rFonts w:ascii="Arial" w:hAnsi="Arial" w:cs="Arial"/>
        </w:rPr>
        <w:t>Capital rationing limit = £60 million</w:t>
      </w:r>
    </w:p>
    <w:p w14:paraId="37938F4F" w14:textId="77777777" w:rsidR="006A2EB6" w:rsidRPr="008C5253" w:rsidRDefault="006A2EB6" w:rsidP="00376429">
      <w:pPr>
        <w:pStyle w:val="Heading3"/>
        <w:rPr>
          <w:rFonts w:ascii="Arial" w:hAnsi="Arial" w:cs="Arial"/>
          <w:b/>
          <w:bCs/>
          <w:color w:val="auto"/>
        </w:rPr>
      </w:pPr>
      <w:bookmarkStart w:id="52" w:name="_Toc216698916"/>
      <w:r w:rsidRPr="008C5253">
        <w:rPr>
          <w:rFonts w:ascii="Arial" w:hAnsi="Arial" w:cs="Arial"/>
          <w:b/>
          <w:bCs/>
          <w:color w:val="auto"/>
        </w:rPr>
        <w:t>Appendix D1: Project Cash Flow Summary</w:t>
      </w:r>
      <w:bookmarkEnd w:id="52"/>
    </w:p>
    <w:p w14:paraId="32EDA32A" w14:textId="77777777" w:rsidR="006A2EB6" w:rsidRPr="008C5253" w:rsidRDefault="006A2EB6" w:rsidP="00376429">
      <w:pPr>
        <w:pStyle w:val="Heading4"/>
        <w:rPr>
          <w:rFonts w:ascii="Arial" w:hAnsi="Arial" w:cs="Arial"/>
          <w:b/>
          <w:bCs/>
          <w:color w:val="auto"/>
        </w:rPr>
      </w:pPr>
      <w:r w:rsidRPr="008C5253">
        <w:rPr>
          <w:rFonts w:ascii="Arial" w:hAnsi="Arial" w:cs="Arial"/>
          <w:b/>
          <w:bCs/>
          <w:color w:val="auto"/>
        </w:rPr>
        <w:t>Project A – Advanced Manufacturing Automation</w:t>
      </w:r>
    </w:p>
    <w:p w14:paraId="61995773" w14:textId="77777777" w:rsidR="006A2EB6" w:rsidRPr="008C5253" w:rsidRDefault="006A2EB6" w:rsidP="00BD7BD6">
      <w:pPr>
        <w:numPr>
          <w:ilvl w:val="0"/>
          <w:numId w:val="36"/>
        </w:numPr>
        <w:spacing w:line="360" w:lineRule="auto"/>
        <w:jc w:val="both"/>
        <w:rPr>
          <w:rFonts w:ascii="Arial" w:hAnsi="Arial" w:cs="Arial"/>
        </w:rPr>
      </w:pPr>
      <w:r w:rsidRPr="008C5253">
        <w:rPr>
          <w:rFonts w:ascii="Arial" w:hAnsi="Arial" w:cs="Arial"/>
        </w:rPr>
        <w:t>Initial investment (Year 0): £40m</w:t>
      </w:r>
    </w:p>
    <w:tbl>
      <w:tblPr>
        <w:tblStyle w:val="TableGrid"/>
        <w:tblW w:w="0" w:type="auto"/>
        <w:jc w:val="center"/>
        <w:tblLook w:val="04A0" w:firstRow="1" w:lastRow="0" w:firstColumn="1" w:lastColumn="0" w:noHBand="0" w:noVBand="1"/>
      </w:tblPr>
      <w:tblGrid>
        <w:gridCol w:w="701"/>
        <w:gridCol w:w="2017"/>
      </w:tblGrid>
      <w:tr w:rsidR="006A2EB6" w:rsidRPr="008C5253" w14:paraId="563F2384" w14:textId="77777777" w:rsidTr="00376429">
        <w:trPr>
          <w:jc w:val="center"/>
        </w:trPr>
        <w:tc>
          <w:tcPr>
            <w:tcW w:w="0" w:type="auto"/>
            <w:hideMark/>
          </w:tcPr>
          <w:p w14:paraId="52BCC4C5" w14:textId="77777777" w:rsidR="006A2EB6" w:rsidRPr="008C5253" w:rsidRDefault="006A2EB6" w:rsidP="00BD7BD6">
            <w:pPr>
              <w:spacing w:line="360" w:lineRule="auto"/>
              <w:jc w:val="both"/>
              <w:rPr>
                <w:rFonts w:ascii="Arial" w:hAnsi="Arial" w:cs="Arial"/>
              </w:rPr>
            </w:pPr>
            <w:r w:rsidRPr="008C5253">
              <w:rPr>
                <w:rFonts w:ascii="Arial" w:hAnsi="Arial" w:cs="Arial"/>
              </w:rPr>
              <w:t>Year</w:t>
            </w:r>
          </w:p>
        </w:tc>
        <w:tc>
          <w:tcPr>
            <w:tcW w:w="0" w:type="auto"/>
            <w:hideMark/>
          </w:tcPr>
          <w:p w14:paraId="2ED5AC48" w14:textId="77777777" w:rsidR="006A2EB6" w:rsidRPr="008C5253" w:rsidRDefault="006A2EB6" w:rsidP="00BD7BD6">
            <w:pPr>
              <w:spacing w:line="360" w:lineRule="auto"/>
              <w:jc w:val="both"/>
              <w:rPr>
                <w:rFonts w:ascii="Arial" w:hAnsi="Arial" w:cs="Arial"/>
              </w:rPr>
            </w:pPr>
            <w:r w:rsidRPr="008C5253">
              <w:rPr>
                <w:rFonts w:ascii="Arial" w:hAnsi="Arial" w:cs="Arial"/>
              </w:rPr>
              <w:t>Cash inflow (£m)</w:t>
            </w:r>
          </w:p>
        </w:tc>
      </w:tr>
      <w:tr w:rsidR="006A2EB6" w:rsidRPr="008C5253" w14:paraId="4497CD1C" w14:textId="77777777" w:rsidTr="00376429">
        <w:trPr>
          <w:jc w:val="center"/>
        </w:trPr>
        <w:tc>
          <w:tcPr>
            <w:tcW w:w="0" w:type="auto"/>
            <w:hideMark/>
          </w:tcPr>
          <w:p w14:paraId="4F42653B" w14:textId="77777777" w:rsidR="006A2EB6" w:rsidRPr="008C5253" w:rsidRDefault="006A2EB6" w:rsidP="00BD7BD6">
            <w:pPr>
              <w:spacing w:line="360" w:lineRule="auto"/>
              <w:jc w:val="both"/>
              <w:rPr>
                <w:rFonts w:ascii="Arial" w:hAnsi="Arial" w:cs="Arial"/>
              </w:rPr>
            </w:pPr>
            <w:r w:rsidRPr="008C5253">
              <w:rPr>
                <w:rFonts w:ascii="Arial" w:hAnsi="Arial" w:cs="Arial"/>
              </w:rPr>
              <w:t>1</w:t>
            </w:r>
          </w:p>
        </w:tc>
        <w:tc>
          <w:tcPr>
            <w:tcW w:w="0" w:type="auto"/>
            <w:hideMark/>
          </w:tcPr>
          <w:p w14:paraId="41325FF3" w14:textId="77777777" w:rsidR="006A2EB6" w:rsidRPr="008C5253" w:rsidRDefault="006A2EB6" w:rsidP="00BD7BD6">
            <w:pPr>
              <w:spacing w:line="360" w:lineRule="auto"/>
              <w:jc w:val="both"/>
              <w:rPr>
                <w:rFonts w:ascii="Arial" w:hAnsi="Arial" w:cs="Arial"/>
              </w:rPr>
            </w:pPr>
            <w:r w:rsidRPr="008C5253">
              <w:rPr>
                <w:rFonts w:ascii="Arial" w:hAnsi="Arial" w:cs="Arial"/>
              </w:rPr>
              <w:t>10</w:t>
            </w:r>
          </w:p>
        </w:tc>
      </w:tr>
      <w:tr w:rsidR="006A2EB6" w:rsidRPr="008C5253" w14:paraId="4E469F68" w14:textId="77777777" w:rsidTr="00376429">
        <w:trPr>
          <w:jc w:val="center"/>
        </w:trPr>
        <w:tc>
          <w:tcPr>
            <w:tcW w:w="0" w:type="auto"/>
            <w:hideMark/>
          </w:tcPr>
          <w:p w14:paraId="0EA4913A" w14:textId="77777777" w:rsidR="006A2EB6" w:rsidRPr="008C5253" w:rsidRDefault="006A2EB6" w:rsidP="00BD7BD6">
            <w:pPr>
              <w:spacing w:line="360" w:lineRule="auto"/>
              <w:jc w:val="both"/>
              <w:rPr>
                <w:rFonts w:ascii="Arial" w:hAnsi="Arial" w:cs="Arial"/>
              </w:rPr>
            </w:pPr>
            <w:r w:rsidRPr="008C5253">
              <w:rPr>
                <w:rFonts w:ascii="Arial" w:hAnsi="Arial" w:cs="Arial"/>
              </w:rPr>
              <w:t>2</w:t>
            </w:r>
          </w:p>
        </w:tc>
        <w:tc>
          <w:tcPr>
            <w:tcW w:w="0" w:type="auto"/>
            <w:hideMark/>
          </w:tcPr>
          <w:p w14:paraId="5A6420AE" w14:textId="77777777" w:rsidR="006A2EB6" w:rsidRPr="008C5253" w:rsidRDefault="006A2EB6" w:rsidP="00BD7BD6">
            <w:pPr>
              <w:spacing w:line="360" w:lineRule="auto"/>
              <w:jc w:val="both"/>
              <w:rPr>
                <w:rFonts w:ascii="Arial" w:hAnsi="Arial" w:cs="Arial"/>
              </w:rPr>
            </w:pPr>
            <w:r w:rsidRPr="008C5253">
              <w:rPr>
                <w:rFonts w:ascii="Arial" w:hAnsi="Arial" w:cs="Arial"/>
              </w:rPr>
              <w:t>12</w:t>
            </w:r>
          </w:p>
        </w:tc>
      </w:tr>
      <w:tr w:rsidR="006A2EB6" w:rsidRPr="008C5253" w14:paraId="017FE689" w14:textId="77777777" w:rsidTr="00376429">
        <w:trPr>
          <w:jc w:val="center"/>
        </w:trPr>
        <w:tc>
          <w:tcPr>
            <w:tcW w:w="0" w:type="auto"/>
            <w:hideMark/>
          </w:tcPr>
          <w:p w14:paraId="065E3DB7" w14:textId="77777777" w:rsidR="006A2EB6" w:rsidRPr="008C5253" w:rsidRDefault="006A2EB6" w:rsidP="00BD7BD6">
            <w:pPr>
              <w:spacing w:line="360" w:lineRule="auto"/>
              <w:jc w:val="both"/>
              <w:rPr>
                <w:rFonts w:ascii="Arial" w:hAnsi="Arial" w:cs="Arial"/>
              </w:rPr>
            </w:pPr>
            <w:r w:rsidRPr="008C5253">
              <w:rPr>
                <w:rFonts w:ascii="Arial" w:hAnsi="Arial" w:cs="Arial"/>
              </w:rPr>
              <w:t>3</w:t>
            </w:r>
          </w:p>
        </w:tc>
        <w:tc>
          <w:tcPr>
            <w:tcW w:w="0" w:type="auto"/>
            <w:hideMark/>
          </w:tcPr>
          <w:p w14:paraId="68723C4B" w14:textId="77777777" w:rsidR="006A2EB6" w:rsidRPr="008C5253" w:rsidRDefault="006A2EB6" w:rsidP="00BD7BD6">
            <w:pPr>
              <w:spacing w:line="360" w:lineRule="auto"/>
              <w:jc w:val="both"/>
              <w:rPr>
                <w:rFonts w:ascii="Arial" w:hAnsi="Arial" w:cs="Arial"/>
              </w:rPr>
            </w:pPr>
            <w:r w:rsidRPr="008C5253">
              <w:rPr>
                <w:rFonts w:ascii="Arial" w:hAnsi="Arial" w:cs="Arial"/>
              </w:rPr>
              <w:t>14</w:t>
            </w:r>
          </w:p>
        </w:tc>
      </w:tr>
      <w:tr w:rsidR="006A2EB6" w:rsidRPr="008C5253" w14:paraId="11EE4FDD" w14:textId="77777777" w:rsidTr="00376429">
        <w:trPr>
          <w:jc w:val="center"/>
        </w:trPr>
        <w:tc>
          <w:tcPr>
            <w:tcW w:w="0" w:type="auto"/>
            <w:hideMark/>
          </w:tcPr>
          <w:p w14:paraId="22BBCEB8" w14:textId="77777777" w:rsidR="006A2EB6" w:rsidRPr="008C5253" w:rsidRDefault="006A2EB6" w:rsidP="00BD7BD6">
            <w:pPr>
              <w:spacing w:line="360" w:lineRule="auto"/>
              <w:jc w:val="both"/>
              <w:rPr>
                <w:rFonts w:ascii="Arial" w:hAnsi="Arial" w:cs="Arial"/>
              </w:rPr>
            </w:pPr>
            <w:r w:rsidRPr="008C5253">
              <w:rPr>
                <w:rFonts w:ascii="Arial" w:hAnsi="Arial" w:cs="Arial"/>
              </w:rPr>
              <w:t>4</w:t>
            </w:r>
          </w:p>
        </w:tc>
        <w:tc>
          <w:tcPr>
            <w:tcW w:w="0" w:type="auto"/>
            <w:hideMark/>
          </w:tcPr>
          <w:p w14:paraId="19F61E1F" w14:textId="77777777" w:rsidR="006A2EB6" w:rsidRPr="008C5253" w:rsidRDefault="006A2EB6" w:rsidP="00BD7BD6">
            <w:pPr>
              <w:spacing w:line="360" w:lineRule="auto"/>
              <w:jc w:val="both"/>
              <w:rPr>
                <w:rFonts w:ascii="Arial" w:hAnsi="Arial" w:cs="Arial"/>
              </w:rPr>
            </w:pPr>
            <w:r w:rsidRPr="008C5253">
              <w:rPr>
                <w:rFonts w:ascii="Arial" w:hAnsi="Arial" w:cs="Arial"/>
              </w:rPr>
              <w:t>10</w:t>
            </w:r>
          </w:p>
        </w:tc>
      </w:tr>
      <w:tr w:rsidR="006A2EB6" w:rsidRPr="008C5253" w14:paraId="143CB3AA" w14:textId="77777777" w:rsidTr="00376429">
        <w:trPr>
          <w:jc w:val="center"/>
        </w:trPr>
        <w:tc>
          <w:tcPr>
            <w:tcW w:w="0" w:type="auto"/>
            <w:hideMark/>
          </w:tcPr>
          <w:p w14:paraId="7E7A7CC7" w14:textId="77777777" w:rsidR="006A2EB6" w:rsidRPr="008C5253" w:rsidRDefault="006A2EB6" w:rsidP="00BD7BD6">
            <w:pPr>
              <w:spacing w:line="360" w:lineRule="auto"/>
              <w:jc w:val="both"/>
              <w:rPr>
                <w:rFonts w:ascii="Arial" w:hAnsi="Arial" w:cs="Arial"/>
              </w:rPr>
            </w:pPr>
            <w:r w:rsidRPr="008C5253">
              <w:rPr>
                <w:rFonts w:ascii="Arial" w:hAnsi="Arial" w:cs="Arial"/>
              </w:rPr>
              <w:t>5</w:t>
            </w:r>
          </w:p>
        </w:tc>
        <w:tc>
          <w:tcPr>
            <w:tcW w:w="0" w:type="auto"/>
            <w:hideMark/>
          </w:tcPr>
          <w:p w14:paraId="3C11DC49" w14:textId="77777777" w:rsidR="006A2EB6" w:rsidRPr="008C5253" w:rsidRDefault="006A2EB6" w:rsidP="00BD7BD6">
            <w:pPr>
              <w:spacing w:line="360" w:lineRule="auto"/>
              <w:jc w:val="both"/>
              <w:rPr>
                <w:rFonts w:ascii="Arial" w:hAnsi="Arial" w:cs="Arial"/>
              </w:rPr>
            </w:pPr>
            <w:r w:rsidRPr="008C5253">
              <w:rPr>
                <w:rFonts w:ascii="Arial" w:hAnsi="Arial" w:cs="Arial"/>
              </w:rPr>
              <w:t>8</w:t>
            </w:r>
          </w:p>
        </w:tc>
      </w:tr>
    </w:tbl>
    <w:p w14:paraId="77C53DBF" w14:textId="01E084C0" w:rsidR="006A2EB6" w:rsidRPr="008C5253" w:rsidRDefault="006A2EB6" w:rsidP="00BD7BD6">
      <w:pPr>
        <w:spacing w:line="360" w:lineRule="auto"/>
        <w:jc w:val="both"/>
        <w:rPr>
          <w:rFonts w:ascii="Arial" w:hAnsi="Arial" w:cs="Arial"/>
        </w:rPr>
      </w:pPr>
    </w:p>
    <w:p w14:paraId="64DEC30B" w14:textId="77777777" w:rsidR="006A2EB6" w:rsidRPr="008C5253" w:rsidRDefault="006A2EB6" w:rsidP="00376429">
      <w:pPr>
        <w:pStyle w:val="Heading4"/>
        <w:rPr>
          <w:rFonts w:ascii="Arial" w:hAnsi="Arial" w:cs="Arial"/>
          <w:b/>
          <w:bCs/>
          <w:color w:val="auto"/>
        </w:rPr>
      </w:pPr>
      <w:r w:rsidRPr="008C5253">
        <w:rPr>
          <w:rFonts w:ascii="Arial" w:hAnsi="Arial" w:cs="Arial"/>
          <w:b/>
          <w:bCs/>
          <w:color w:val="auto"/>
        </w:rPr>
        <w:t>Project B – Product Innovation &amp; R&amp;D Platform</w:t>
      </w:r>
    </w:p>
    <w:p w14:paraId="50ED642C" w14:textId="77777777" w:rsidR="006A2EB6" w:rsidRPr="008C5253" w:rsidRDefault="006A2EB6" w:rsidP="00BD7BD6">
      <w:pPr>
        <w:numPr>
          <w:ilvl w:val="0"/>
          <w:numId w:val="37"/>
        </w:numPr>
        <w:spacing w:line="360" w:lineRule="auto"/>
        <w:jc w:val="both"/>
        <w:rPr>
          <w:rFonts w:ascii="Arial" w:hAnsi="Arial" w:cs="Arial"/>
        </w:rPr>
      </w:pPr>
      <w:r w:rsidRPr="008C5253">
        <w:rPr>
          <w:rFonts w:ascii="Arial" w:hAnsi="Arial" w:cs="Arial"/>
        </w:rPr>
        <w:t>Initial investment (Year 0): £30m</w:t>
      </w:r>
    </w:p>
    <w:tbl>
      <w:tblPr>
        <w:tblStyle w:val="TableGrid"/>
        <w:tblW w:w="0" w:type="auto"/>
        <w:jc w:val="center"/>
        <w:tblLook w:val="04A0" w:firstRow="1" w:lastRow="0" w:firstColumn="1" w:lastColumn="0" w:noHBand="0" w:noVBand="1"/>
      </w:tblPr>
      <w:tblGrid>
        <w:gridCol w:w="701"/>
        <w:gridCol w:w="2017"/>
      </w:tblGrid>
      <w:tr w:rsidR="006A2EB6" w:rsidRPr="008C5253" w14:paraId="3C18E1DF" w14:textId="77777777" w:rsidTr="00376429">
        <w:trPr>
          <w:jc w:val="center"/>
        </w:trPr>
        <w:tc>
          <w:tcPr>
            <w:tcW w:w="0" w:type="auto"/>
            <w:hideMark/>
          </w:tcPr>
          <w:p w14:paraId="3E28CA65" w14:textId="77777777" w:rsidR="006A2EB6" w:rsidRPr="008C5253" w:rsidRDefault="006A2EB6" w:rsidP="00BD7BD6">
            <w:pPr>
              <w:spacing w:line="360" w:lineRule="auto"/>
              <w:jc w:val="both"/>
              <w:rPr>
                <w:rFonts w:ascii="Arial" w:hAnsi="Arial" w:cs="Arial"/>
              </w:rPr>
            </w:pPr>
            <w:r w:rsidRPr="008C5253">
              <w:rPr>
                <w:rFonts w:ascii="Arial" w:hAnsi="Arial" w:cs="Arial"/>
              </w:rPr>
              <w:t>Year</w:t>
            </w:r>
          </w:p>
        </w:tc>
        <w:tc>
          <w:tcPr>
            <w:tcW w:w="0" w:type="auto"/>
            <w:hideMark/>
          </w:tcPr>
          <w:p w14:paraId="3DE95970" w14:textId="77777777" w:rsidR="006A2EB6" w:rsidRPr="008C5253" w:rsidRDefault="006A2EB6" w:rsidP="00BD7BD6">
            <w:pPr>
              <w:spacing w:line="360" w:lineRule="auto"/>
              <w:jc w:val="both"/>
              <w:rPr>
                <w:rFonts w:ascii="Arial" w:hAnsi="Arial" w:cs="Arial"/>
              </w:rPr>
            </w:pPr>
            <w:r w:rsidRPr="008C5253">
              <w:rPr>
                <w:rFonts w:ascii="Arial" w:hAnsi="Arial" w:cs="Arial"/>
              </w:rPr>
              <w:t>Cash inflow (£m)</w:t>
            </w:r>
          </w:p>
        </w:tc>
      </w:tr>
      <w:tr w:rsidR="006A2EB6" w:rsidRPr="008C5253" w14:paraId="2329FEA4" w14:textId="77777777" w:rsidTr="00376429">
        <w:trPr>
          <w:jc w:val="center"/>
        </w:trPr>
        <w:tc>
          <w:tcPr>
            <w:tcW w:w="0" w:type="auto"/>
            <w:hideMark/>
          </w:tcPr>
          <w:p w14:paraId="219E0D18" w14:textId="77777777" w:rsidR="006A2EB6" w:rsidRPr="008C5253" w:rsidRDefault="006A2EB6" w:rsidP="00BD7BD6">
            <w:pPr>
              <w:spacing w:line="360" w:lineRule="auto"/>
              <w:jc w:val="both"/>
              <w:rPr>
                <w:rFonts w:ascii="Arial" w:hAnsi="Arial" w:cs="Arial"/>
              </w:rPr>
            </w:pPr>
            <w:r w:rsidRPr="008C5253">
              <w:rPr>
                <w:rFonts w:ascii="Arial" w:hAnsi="Arial" w:cs="Arial"/>
              </w:rPr>
              <w:t>1–5</w:t>
            </w:r>
          </w:p>
        </w:tc>
        <w:tc>
          <w:tcPr>
            <w:tcW w:w="0" w:type="auto"/>
            <w:hideMark/>
          </w:tcPr>
          <w:p w14:paraId="47690678" w14:textId="77777777" w:rsidR="006A2EB6" w:rsidRPr="008C5253" w:rsidRDefault="006A2EB6" w:rsidP="00BD7BD6">
            <w:pPr>
              <w:spacing w:line="360" w:lineRule="auto"/>
              <w:jc w:val="both"/>
              <w:rPr>
                <w:rFonts w:ascii="Arial" w:hAnsi="Arial" w:cs="Arial"/>
              </w:rPr>
            </w:pPr>
            <w:r w:rsidRPr="008C5253">
              <w:rPr>
                <w:rFonts w:ascii="Arial" w:hAnsi="Arial" w:cs="Arial"/>
              </w:rPr>
              <w:t>6 each year</w:t>
            </w:r>
          </w:p>
        </w:tc>
      </w:tr>
    </w:tbl>
    <w:p w14:paraId="1D1A9346" w14:textId="74767A88" w:rsidR="006A2EB6" w:rsidRPr="008C5253" w:rsidRDefault="006A2EB6" w:rsidP="00BD7BD6">
      <w:pPr>
        <w:spacing w:line="360" w:lineRule="auto"/>
        <w:jc w:val="both"/>
        <w:rPr>
          <w:rFonts w:ascii="Arial" w:hAnsi="Arial" w:cs="Arial"/>
        </w:rPr>
      </w:pPr>
    </w:p>
    <w:p w14:paraId="1F90B907" w14:textId="77777777" w:rsidR="006A2EB6" w:rsidRPr="008C5253" w:rsidRDefault="006A2EB6" w:rsidP="00376429">
      <w:pPr>
        <w:pStyle w:val="Heading4"/>
        <w:rPr>
          <w:rFonts w:ascii="Arial" w:hAnsi="Arial" w:cs="Arial"/>
          <w:b/>
          <w:bCs/>
          <w:color w:val="auto"/>
        </w:rPr>
      </w:pPr>
      <w:r w:rsidRPr="008C5253">
        <w:rPr>
          <w:rFonts w:ascii="Arial" w:hAnsi="Arial" w:cs="Arial"/>
          <w:b/>
          <w:bCs/>
          <w:color w:val="auto"/>
        </w:rPr>
        <w:t>Project C – Digital Supply Chain Transformation</w:t>
      </w:r>
    </w:p>
    <w:p w14:paraId="0E16F7CB" w14:textId="77777777" w:rsidR="006A2EB6" w:rsidRPr="008C5253" w:rsidRDefault="006A2EB6" w:rsidP="00BD7BD6">
      <w:pPr>
        <w:numPr>
          <w:ilvl w:val="0"/>
          <w:numId w:val="38"/>
        </w:numPr>
        <w:spacing w:line="360" w:lineRule="auto"/>
        <w:jc w:val="both"/>
        <w:rPr>
          <w:rFonts w:ascii="Arial" w:hAnsi="Arial" w:cs="Arial"/>
        </w:rPr>
      </w:pPr>
      <w:r w:rsidRPr="008C5253">
        <w:rPr>
          <w:rFonts w:ascii="Arial" w:hAnsi="Arial" w:cs="Arial"/>
        </w:rPr>
        <w:t>Initial investment (Year 0): £50m</w:t>
      </w:r>
    </w:p>
    <w:tbl>
      <w:tblPr>
        <w:tblStyle w:val="TableGrid"/>
        <w:tblW w:w="0" w:type="auto"/>
        <w:jc w:val="center"/>
        <w:tblLook w:val="04A0" w:firstRow="1" w:lastRow="0" w:firstColumn="1" w:lastColumn="0" w:noHBand="0" w:noVBand="1"/>
      </w:tblPr>
      <w:tblGrid>
        <w:gridCol w:w="701"/>
        <w:gridCol w:w="2017"/>
      </w:tblGrid>
      <w:tr w:rsidR="006A2EB6" w:rsidRPr="008C5253" w14:paraId="35328433" w14:textId="77777777" w:rsidTr="00376429">
        <w:trPr>
          <w:jc w:val="center"/>
        </w:trPr>
        <w:tc>
          <w:tcPr>
            <w:tcW w:w="0" w:type="auto"/>
            <w:hideMark/>
          </w:tcPr>
          <w:p w14:paraId="222CEDB5" w14:textId="77777777" w:rsidR="006A2EB6" w:rsidRPr="008C5253" w:rsidRDefault="006A2EB6" w:rsidP="00BD7BD6">
            <w:pPr>
              <w:spacing w:line="360" w:lineRule="auto"/>
              <w:jc w:val="both"/>
              <w:rPr>
                <w:rFonts w:ascii="Arial" w:hAnsi="Arial" w:cs="Arial"/>
              </w:rPr>
            </w:pPr>
            <w:r w:rsidRPr="008C5253">
              <w:rPr>
                <w:rFonts w:ascii="Arial" w:hAnsi="Arial" w:cs="Arial"/>
              </w:rPr>
              <w:t>Year</w:t>
            </w:r>
          </w:p>
        </w:tc>
        <w:tc>
          <w:tcPr>
            <w:tcW w:w="0" w:type="auto"/>
            <w:hideMark/>
          </w:tcPr>
          <w:p w14:paraId="30A7ECC1" w14:textId="77777777" w:rsidR="006A2EB6" w:rsidRPr="008C5253" w:rsidRDefault="006A2EB6" w:rsidP="00BD7BD6">
            <w:pPr>
              <w:spacing w:line="360" w:lineRule="auto"/>
              <w:jc w:val="both"/>
              <w:rPr>
                <w:rFonts w:ascii="Arial" w:hAnsi="Arial" w:cs="Arial"/>
              </w:rPr>
            </w:pPr>
            <w:r w:rsidRPr="008C5253">
              <w:rPr>
                <w:rFonts w:ascii="Arial" w:hAnsi="Arial" w:cs="Arial"/>
              </w:rPr>
              <w:t>Cash inflow (£m)</w:t>
            </w:r>
          </w:p>
        </w:tc>
      </w:tr>
      <w:tr w:rsidR="006A2EB6" w:rsidRPr="008C5253" w14:paraId="44BDCB86" w14:textId="77777777" w:rsidTr="00376429">
        <w:trPr>
          <w:jc w:val="center"/>
        </w:trPr>
        <w:tc>
          <w:tcPr>
            <w:tcW w:w="0" w:type="auto"/>
            <w:hideMark/>
          </w:tcPr>
          <w:p w14:paraId="6E067B6E" w14:textId="77777777" w:rsidR="006A2EB6" w:rsidRPr="008C5253" w:rsidRDefault="006A2EB6" w:rsidP="00BD7BD6">
            <w:pPr>
              <w:spacing w:line="360" w:lineRule="auto"/>
              <w:jc w:val="both"/>
              <w:rPr>
                <w:rFonts w:ascii="Arial" w:hAnsi="Arial" w:cs="Arial"/>
              </w:rPr>
            </w:pPr>
            <w:r w:rsidRPr="008C5253">
              <w:rPr>
                <w:rFonts w:ascii="Arial" w:hAnsi="Arial" w:cs="Arial"/>
              </w:rPr>
              <w:lastRenderedPageBreak/>
              <w:t>1</w:t>
            </w:r>
          </w:p>
        </w:tc>
        <w:tc>
          <w:tcPr>
            <w:tcW w:w="0" w:type="auto"/>
            <w:hideMark/>
          </w:tcPr>
          <w:p w14:paraId="09BA222D" w14:textId="77777777" w:rsidR="006A2EB6" w:rsidRPr="008C5253" w:rsidRDefault="006A2EB6" w:rsidP="00BD7BD6">
            <w:pPr>
              <w:spacing w:line="360" w:lineRule="auto"/>
              <w:jc w:val="both"/>
              <w:rPr>
                <w:rFonts w:ascii="Arial" w:hAnsi="Arial" w:cs="Arial"/>
              </w:rPr>
            </w:pPr>
            <w:r w:rsidRPr="008C5253">
              <w:rPr>
                <w:rFonts w:ascii="Arial" w:hAnsi="Arial" w:cs="Arial"/>
              </w:rPr>
              <w:t>5</w:t>
            </w:r>
          </w:p>
        </w:tc>
      </w:tr>
      <w:tr w:rsidR="006A2EB6" w:rsidRPr="008C5253" w14:paraId="4AD6CDE9" w14:textId="77777777" w:rsidTr="00376429">
        <w:trPr>
          <w:jc w:val="center"/>
        </w:trPr>
        <w:tc>
          <w:tcPr>
            <w:tcW w:w="0" w:type="auto"/>
            <w:hideMark/>
          </w:tcPr>
          <w:p w14:paraId="4035AFD8" w14:textId="77777777" w:rsidR="006A2EB6" w:rsidRPr="008C5253" w:rsidRDefault="006A2EB6" w:rsidP="00BD7BD6">
            <w:pPr>
              <w:spacing w:line="360" w:lineRule="auto"/>
              <w:jc w:val="both"/>
              <w:rPr>
                <w:rFonts w:ascii="Arial" w:hAnsi="Arial" w:cs="Arial"/>
              </w:rPr>
            </w:pPr>
            <w:r w:rsidRPr="008C5253">
              <w:rPr>
                <w:rFonts w:ascii="Arial" w:hAnsi="Arial" w:cs="Arial"/>
              </w:rPr>
              <w:t>2</w:t>
            </w:r>
          </w:p>
        </w:tc>
        <w:tc>
          <w:tcPr>
            <w:tcW w:w="0" w:type="auto"/>
            <w:hideMark/>
          </w:tcPr>
          <w:p w14:paraId="66A7B4FA" w14:textId="77777777" w:rsidR="006A2EB6" w:rsidRPr="008C5253" w:rsidRDefault="006A2EB6" w:rsidP="00BD7BD6">
            <w:pPr>
              <w:spacing w:line="360" w:lineRule="auto"/>
              <w:jc w:val="both"/>
              <w:rPr>
                <w:rFonts w:ascii="Arial" w:hAnsi="Arial" w:cs="Arial"/>
              </w:rPr>
            </w:pPr>
            <w:r w:rsidRPr="008C5253">
              <w:rPr>
                <w:rFonts w:ascii="Arial" w:hAnsi="Arial" w:cs="Arial"/>
              </w:rPr>
              <w:t>10</w:t>
            </w:r>
          </w:p>
        </w:tc>
      </w:tr>
      <w:tr w:rsidR="006A2EB6" w:rsidRPr="008C5253" w14:paraId="34435F3C" w14:textId="77777777" w:rsidTr="00376429">
        <w:trPr>
          <w:jc w:val="center"/>
        </w:trPr>
        <w:tc>
          <w:tcPr>
            <w:tcW w:w="0" w:type="auto"/>
            <w:hideMark/>
          </w:tcPr>
          <w:p w14:paraId="2DA63D7C" w14:textId="77777777" w:rsidR="006A2EB6" w:rsidRPr="008C5253" w:rsidRDefault="006A2EB6" w:rsidP="00BD7BD6">
            <w:pPr>
              <w:spacing w:line="360" w:lineRule="auto"/>
              <w:jc w:val="both"/>
              <w:rPr>
                <w:rFonts w:ascii="Arial" w:hAnsi="Arial" w:cs="Arial"/>
              </w:rPr>
            </w:pPr>
            <w:r w:rsidRPr="008C5253">
              <w:rPr>
                <w:rFonts w:ascii="Arial" w:hAnsi="Arial" w:cs="Arial"/>
              </w:rPr>
              <w:t>3</w:t>
            </w:r>
          </w:p>
        </w:tc>
        <w:tc>
          <w:tcPr>
            <w:tcW w:w="0" w:type="auto"/>
            <w:hideMark/>
          </w:tcPr>
          <w:p w14:paraId="5D918FB8" w14:textId="77777777" w:rsidR="006A2EB6" w:rsidRPr="008C5253" w:rsidRDefault="006A2EB6" w:rsidP="00BD7BD6">
            <w:pPr>
              <w:spacing w:line="360" w:lineRule="auto"/>
              <w:jc w:val="both"/>
              <w:rPr>
                <w:rFonts w:ascii="Arial" w:hAnsi="Arial" w:cs="Arial"/>
              </w:rPr>
            </w:pPr>
            <w:r w:rsidRPr="008C5253">
              <w:rPr>
                <w:rFonts w:ascii="Arial" w:hAnsi="Arial" w:cs="Arial"/>
              </w:rPr>
              <w:t>20</w:t>
            </w:r>
          </w:p>
        </w:tc>
      </w:tr>
      <w:tr w:rsidR="006A2EB6" w:rsidRPr="008C5253" w14:paraId="7BB1F0CC" w14:textId="77777777" w:rsidTr="00376429">
        <w:trPr>
          <w:jc w:val="center"/>
        </w:trPr>
        <w:tc>
          <w:tcPr>
            <w:tcW w:w="0" w:type="auto"/>
            <w:hideMark/>
          </w:tcPr>
          <w:p w14:paraId="17A94F06" w14:textId="77777777" w:rsidR="006A2EB6" w:rsidRPr="008C5253" w:rsidRDefault="006A2EB6" w:rsidP="00BD7BD6">
            <w:pPr>
              <w:spacing w:line="360" w:lineRule="auto"/>
              <w:jc w:val="both"/>
              <w:rPr>
                <w:rFonts w:ascii="Arial" w:hAnsi="Arial" w:cs="Arial"/>
              </w:rPr>
            </w:pPr>
            <w:r w:rsidRPr="008C5253">
              <w:rPr>
                <w:rFonts w:ascii="Arial" w:hAnsi="Arial" w:cs="Arial"/>
              </w:rPr>
              <w:t>4</w:t>
            </w:r>
          </w:p>
        </w:tc>
        <w:tc>
          <w:tcPr>
            <w:tcW w:w="0" w:type="auto"/>
            <w:hideMark/>
          </w:tcPr>
          <w:p w14:paraId="554964EE" w14:textId="77777777" w:rsidR="006A2EB6" w:rsidRPr="008C5253" w:rsidRDefault="006A2EB6" w:rsidP="00BD7BD6">
            <w:pPr>
              <w:spacing w:line="360" w:lineRule="auto"/>
              <w:jc w:val="both"/>
              <w:rPr>
                <w:rFonts w:ascii="Arial" w:hAnsi="Arial" w:cs="Arial"/>
              </w:rPr>
            </w:pPr>
            <w:r w:rsidRPr="008C5253">
              <w:rPr>
                <w:rFonts w:ascii="Arial" w:hAnsi="Arial" w:cs="Arial"/>
              </w:rPr>
              <w:t>25</w:t>
            </w:r>
          </w:p>
        </w:tc>
      </w:tr>
      <w:tr w:rsidR="006A2EB6" w:rsidRPr="008C5253" w14:paraId="4B96EF5B" w14:textId="77777777" w:rsidTr="00376429">
        <w:trPr>
          <w:jc w:val="center"/>
        </w:trPr>
        <w:tc>
          <w:tcPr>
            <w:tcW w:w="0" w:type="auto"/>
            <w:hideMark/>
          </w:tcPr>
          <w:p w14:paraId="746FC95A" w14:textId="77777777" w:rsidR="006A2EB6" w:rsidRPr="008C5253" w:rsidRDefault="006A2EB6" w:rsidP="00BD7BD6">
            <w:pPr>
              <w:spacing w:line="360" w:lineRule="auto"/>
              <w:jc w:val="both"/>
              <w:rPr>
                <w:rFonts w:ascii="Arial" w:hAnsi="Arial" w:cs="Arial"/>
              </w:rPr>
            </w:pPr>
            <w:r w:rsidRPr="008C5253">
              <w:rPr>
                <w:rFonts w:ascii="Arial" w:hAnsi="Arial" w:cs="Arial"/>
              </w:rPr>
              <w:t>5</w:t>
            </w:r>
          </w:p>
        </w:tc>
        <w:tc>
          <w:tcPr>
            <w:tcW w:w="0" w:type="auto"/>
            <w:hideMark/>
          </w:tcPr>
          <w:p w14:paraId="7F8C7CA6" w14:textId="77777777" w:rsidR="006A2EB6" w:rsidRPr="008C5253" w:rsidRDefault="006A2EB6" w:rsidP="00BD7BD6">
            <w:pPr>
              <w:spacing w:line="360" w:lineRule="auto"/>
              <w:jc w:val="both"/>
              <w:rPr>
                <w:rFonts w:ascii="Arial" w:hAnsi="Arial" w:cs="Arial"/>
              </w:rPr>
            </w:pPr>
            <w:r w:rsidRPr="008C5253">
              <w:rPr>
                <w:rFonts w:ascii="Arial" w:hAnsi="Arial" w:cs="Arial"/>
              </w:rPr>
              <w:t>15</w:t>
            </w:r>
          </w:p>
        </w:tc>
      </w:tr>
    </w:tbl>
    <w:p w14:paraId="7869440E" w14:textId="00672B61" w:rsidR="006A2EB6" w:rsidRPr="008C5253" w:rsidRDefault="006A2EB6" w:rsidP="00BD7BD6">
      <w:pPr>
        <w:spacing w:line="360" w:lineRule="auto"/>
        <w:jc w:val="both"/>
        <w:rPr>
          <w:rFonts w:ascii="Arial" w:hAnsi="Arial" w:cs="Arial"/>
        </w:rPr>
      </w:pPr>
    </w:p>
    <w:p w14:paraId="7964D0A8" w14:textId="77777777" w:rsidR="006A2EB6" w:rsidRPr="008C5253" w:rsidRDefault="006A2EB6" w:rsidP="00376429">
      <w:pPr>
        <w:pStyle w:val="Heading3"/>
        <w:rPr>
          <w:rFonts w:ascii="Arial" w:hAnsi="Arial" w:cs="Arial"/>
          <w:b/>
          <w:bCs/>
          <w:color w:val="auto"/>
        </w:rPr>
      </w:pPr>
      <w:bookmarkStart w:id="53" w:name="_Toc216698917"/>
      <w:r w:rsidRPr="008C5253">
        <w:rPr>
          <w:rFonts w:ascii="Arial" w:hAnsi="Arial" w:cs="Arial"/>
          <w:b/>
          <w:bCs/>
          <w:color w:val="auto"/>
        </w:rPr>
        <w:t>Appendix D2: Payback Period Calculations</w:t>
      </w:r>
      <w:bookmarkEnd w:id="53"/>
    </w:p>
    <w:p w14:paraId="2BA5BBBD"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A</w:t>
      </w:r>
    </w:p>
    <w:p w14:paraId="101FFB22" w14:textId="77777777" w:rsidR="006A2EB6" w:rsidRPr="008C5253" w:rsidRDefault="006A2EB6" w:rsidP="00BD7BD6">
      <w:pPr>
        <w:spacing w:line="360" w:lineRule="auto"/>
        <w:jc w:val="both"/>
        <w:rPr>
          <w:rFonts w:ascii="Arial" w:hAnsi="Arial" w:cs="Arial"/>
        </w:rPr>
      </w:pPr>
      <w:r w:rsidRPr="008C5253">
        <w:rPr>
          <w:rFonts w:ascii="Arial" w:hAnsi="Arial" w:cs="Arial"/>
        </w:rPr>
        <w:t>Cumulative cash inflows:</w:t>
      </w:r>
    </w:p>
    <w:p w14:paraId="35F2070B" w14:textId="77777777" w:rsidR="006A2EB6" w:rsidRPr="008C5253" w:rsidRDefault="006A2EB6" w:rsidP="00BD7BD6">
      <w:pPr>
        <w:numPr>
          <w:ilvl w:val="0"/>
          <w:numId w:val="39"/>
        </w:numPr>
        <w:spacing w:line="360" w:lineRule="auto"/>
        <w:jc w:val="both"/>
        <w:rPr>
          <w:rFonts w:ascii="Arial" w:hAnsi="Arial" w:cs="Arial"/>
        </w:rPr>
      </w:pPr>
      <w:r w:rsidRPr="008C5253">
        <w:rPr>
          <w:rFonts w:ascii="Arial" w:hAnsi="Arial" w:cs="Arial"/>
        </w:rPr>
        <w:t>End Year 3 = 10 + 12 + 14 = 36</w:t>
      </w:r>
    </w:p>
    <w:p w14:paraId="2104F39C" w14:textId="77777777" w:rsidR="006A2EB6" w:rsidRPr="008C5253" w:rsidRDefault="006A2EB6" w:rsidP="00BD7BD6">
      <w:pPr>
        <w:numPr>
          <w:ilvl w:val="0"/>
          <w:numId w:val="39"/>
        </w:numPr>
        <w:spacing w:line="360" w:lineRule="auto"/>
        <w:jc w:val="both"/>
        <w:rPr>
          <w:rFonts w:ascii="Arial" w:hAnsi="Arial" w:cs="Arial"/>
        </w:rPr>
      </w:pPr>
      <w:r w:rsidRPr="008C5253">
        <w:rPr>
          <w:rFonts w:ascii="Arial" w:hAnsi="Arial" w:cs="Arial"/>
        </w:rPr>
        <w:t>Remaining = 40 − 36 = 4</w:t>
      </w:r>
    </w:p>
    <w:p w14:paraId="56026D81" w14:textId="77777777" w:rsidR="006A2EB6" w:rsidRPr="008C5253" w:rsidRDefault="006A2EB6" w:rsidP="00BD7BD6">
      <w:pPr>
        <w:numPr>
          <w:ilvl w:val="0"/>
          <w:numId w:val="39"/>
        </w:numPr>
        <w:spacing w:line="360" w:lineRule="auto"/>
        <w:jc w:val="both"/>
        <w:rPr>
          <w:rFonts w:ascii="Arial" w:hAnsi="Arial" w:cs="Arial"/>
        </w:rPr>
      </w:pPr>
      <w:r w:rsidRPr="008C5253">
        <w:rPr>
          <w:rFonts w:ascii="Arial" w:hAnsi="Arial" w:cs="Arial"/>
        </w:rPr>
        <w:t>Year 4 inflow = 10</w:t>
      </w:r>
    </w:p>
    <w:p w14:paraId="63B682EC" w14:textId="386BFD7A" w:rsidR="006A2EB6" w:rsidRPr="008C5253" w:rsidRDefault="006A2EB6" w:rsidP="00BD7BD6">
      <w:pPr>
        <w:spacing w:line="360" w:lineRule="auto"/>
        <w:jc w:val="both"/>
        <w:rPr>
          <w:rFonts w:ascii="Arial" w:hAnsi="Arial" w:cs="Arial"/>
        </w:rPr>
      </w:pPr>
      <m:oMathPara>
        <m:oMath>
          <m:r>
            <m:rPr>
              <m:nor/>
            </m:rPr>
            <w:rPr>
              <w:rFonts w:ascii="Arial" w:hAnsi="Arial" w:cs="Arial"/>
            </w:rPr>
            <m:t>Payback</m:t>
          </m:r>
          <m:r>
            <w:rPr>
              <w:rFonts w:ascii="Cambria Math" w:hAnsi="Cambria Math" w:cs="Arial"/>
            </w:rPr>
            <m:t>=3+</m:t>
          </m:r>
          <m:f>
            <m:fPr>
              <m:ctrlPr>
                <w:rPr>
                  <w:rFonts w:ascii="Cambria Math" w:hAnsi="Cambria Math" w:cs="Arial"/>
                </w:rPr>
              </m:ctrlPr>
            </m:fPr>
            <m:num>
              <m:r>
                <w:rPr>
                  <w:rFonts w:ascii="Cambria Math" w:hAnsi="Cambria Math" w:cs="Arial"/>
                </w:rPr>
                <m:t>4</m:t>
              </m:r>
            </m:num>
            <m:den>
              <m:r>
                <w:rPr>
                  <w:rFonts w:ascii="Cambria Math" w:hAnsi="Cambria Math" w:cs="Arial"/>
                </w:rPr>
                <m:t>10</m:t>
              </m:r>
            </m:den>
          </m:f>
          <m:r>
            <w:rPr>
              <w:rFonts w:ascii="Cambria Math" w:hAnsi="Cambria Math" w:cs="Arial"/>
            </w:rPr>
            <m:t>=</m:t>
          </m:r>
          <m:r>
            <m:rPr>
              <m:sty m:val="p"/>
            </m:rPr>
            <w:rPr>
              <w:rFonts w:ascii="Cambria Math" w:hAnsi="Cambria Math" w:cs="Arial"/>
            </w:rPr>
            <m:t>3.4</m:t>
          </m:r>
          <m:r>
            <m:rPr>
              <m:nor/>
            </m:rPr>
            <w:rPr>
              <w:rFonts w:ascii="Arial" w:hAnsi="Arial" w:cs="Arial"/>
            </w:rPr>
            <m:t xml:space="preserve"> years</m:t>
          </m:r>
          <m:r>
            <m:rPr>
              <m:sty m:val="p"/>
            </m:rPr>
            <w:rPr>
              <w:rFonts w:ascii="Cambria Math" w:hAnsi="Cambria Math" w:cs="Arial"/>
            </w:rPr>
            <w:br/>
          </m:r>
        </m:oMath>
      </m:oMathPara>
    </w:p>
    <w:p w14:paraId="6BC97505"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B</w:t>
      </w:r>
    </w:p>
    <w:p w14:paraId="1C2C4744" w14:textId="73A078DC" w:rsidR="006A2EB6" w:rsidRPr="008C5253" w:rsidRDefault="00000000" w:rsidP="00BD7BD6">
      <w:pPr>
        <w:spacing w:line="360" w:lineRule="auto"/>
        <w:jc w:val="both"/>
        <w:rPr>
          <w:rFonts w:ascii="Arial" w:hAnsi="Arial" w:cs="Arial"/>
        </w:rPr>
      </w:pPr>
      <m:oMathPara>
        <m:oMath>
          <m:f>
            <m:fPr>
              <m:ctrlPr>
                <w:rPr>
                  <w:rFonts w:ascii="Cambria Math" w:hAnsi="Cambria Math" w:cs="Arial"/>
                </w:rPr>
              </m:ctrlPr>
            </m:fPr>
            <m:num>
              <m:r>
                <w:rPr>
                  <w:rFonts w:ascii="Cambria Math" w:hAnsi="Cambria Math" w:cs="Arial"/>
                </w:rPr>
                <m:t>30</m:t>
              </m:r>
            </m:num>
            <m:den>
              <m:r>
                <w:rPr>
                  <w:rFonts w:ascii="Cambria Math" w:hAnsi="Cambria Math" w:cs="Arial"/>
                </w:rPr>
                <m:t>6</m:t>
              </m:r>
            </m:den>
          </m:f>
          <m:r>
            <w:rPr>
              <w:rFonts w:ascii="Cambria Math" w:hAnsi="Cambria Math" w:cs="Arial"/>
            </w:rPr>
            <m:t>=</m:t>
          </m:r>
          <m:r>
            <m:rPr>
              <m:sty m:val="p"/>
            </m:rPr>
            <w:rPr>
              <w:rFonts w:ascii="Cambria Math" w:hAnsi="Cambria Math" w:cs="Arial"/>
            </w:rPr>
            <m:t>5.0</m:t>
          </m:r>
          <m:r>
            <m:rPr>
              <m:nor/>
            </m:rPr>
            <w:rPr>
              <w:rFonts w:ascii="Arial" w:hAnsi="Arial" w:cs="Arial"/>
            </w:rPr>
            <m:t xml:space="preserve"> years</m:t>
          </m:r>
          <m:r>
            <m:rPr>
              <m:sty m:val="p"/>
            </m:rPr>
            <w:rPr>
              <w:rFonts w:ascii="Cambria Math" w:hAnsi="Cambria Math" w:cs="Arial"/>
            </w:rPr>
            <w:br/>
          </m:r>
        </m:oMath>
      </m:oMathPara>
    </w:p>
    <w:p w14:paraId="69B6B4CC"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C</w:t>
      </w:r>
    </w:p>
    <w:p w14:paraId="2142DFAF" w14:textId="77777777" w:rsidR="006A2EB6" w:rsidRPr="008C5253" w:rsidRDefault="006A2EB6" w:rsidP="00BD7BD6">
      <w:pPr>
        <w:spacing w:line="360" w:lineRule="auto"/>
        <w:jc w:val="both"/>
        <w:rPr>
          <w:rFonts w:ascii="Arial" w:hAnsi="Arial" w:cs="Arial"/>
        </w:rPr>
      </w:pPr>
      <w:r w:rsidRPr="008C5253">
        <w:rPr>
          <w:rFonts w:ascii="Arial" w:hAnsi="Arial" w:cs="Arial"/>
        </w:rPr>
        <w:t>Cumulative inflows:</w:t>
      </w:r>
    </w:p>
    <w:p w14:paraId="1D8C13CB" w14:textId="77777777" w:rsidR="006A2EB6" w:rsidRPr="008C5253" w:rsidRDefault="006A2EB6" w:rsidP="00BD7BD6">
      <w:pPr>
        <w:numPr>
          <w:ilvl w:val="0"/>
          <w:numId w:val="40"/>
        </w:numPr>
        <w:spacing w:line="360" w:lineRule="auto"/>
        <w:jc w:val="both"/>
        <w:rPr>
          <w:rFonts w:ascii="Arial" w:hAnsi="Arial" w:cs="Arial"/>
        </w:rPr>
      </w:pPr>
      <w:r w:rsidRPr="008C5253">
        <w:rPr>
          <w:rFonts w:ascii="Arial" w:hAnsi="Arial" w:cs="Arial"/>
        </w:rPr>
        <w:t>End Year 3 = 5 + 10 + 20 = 35</w:t>
      </w:r>
    </w:p>
    <w:p w14:paraId="21E016B5" w14:textId="77777777" w:rsidR="006A2EB6" w:rsidRPr="008C5253" w:rsidRDefault="006A2EB6" w:rsidP="00BD7BD6">
      <w:pPr>
        <w:numPr>
          <w:ilvl w:val="0"/>
          <w:numId w:val="40"/>
        </w:numPr>
        <w:spacing w:line="360" w:lineRule="auto"/>
        <w:jc w:val="both"/>
        <w:rPr>
          <w:rFonts w:ascii="Arial" w:hAnsi="Arial" w:cs="Arial"/>
        </w:rPr>
      </w:pPr>
      <w:r w:rsidRPr="008C5253">
        <w:rPr>
          <w:rFonts w:ascii="Arial" w:hAnsi="Arial" w:cs="Arial"/>
        </w:rPr>
        <w:t>Remaining = 50 − 35 = 15</w:t>
      </w:r>
    </w:p>
    <w:p w14:paraId="2CD3EDEE" w14:textId="77777777" w:rsidR="006A2EB6" w:rsidRPr="008C5253" w:rsidRDefault="006A2EB6" w:rsidP="00BD7BD6">
      <w:pPr>
        <w:numPr>
          <w:ilvl w:val="0"/>
          <w:numId w:val="40"/>
        </w:numPr>
        <w:spacing w:line="360" w:lineRule="auto"/>
        <w:jc w:val="both"/>
        <w:rPr>
          <w:rFonts w:ascii="Arial" w:hAnsi="Arial" w:cs="Arial"/>
        </w:rPr>
      </w:pPr>
      <w:r w:rsidRPr="008C5253">
        <w:rPr>
          <w:rFonts w:ascii="Arial" w:hAnsi="Arial" w:cs="Arial"/>
        </w:rPr>
        <w:t>Year 4 inflow = 25</w:t>
      </w:r>
    </w:p>
    <w:p w14:paraId="595B8493" w14:textId="4E07F868" w:rsidR="006A2EB6" w:rsidRPr="008C5253" w:rsidRDefault="006A2EB6" w:rsidP="00BD7BD6">
      <w:pPr>
        <w:spacing w:line="360" w:lineRule="auto"/>
        <w:jc w:val="both"/>
        <w:rPr>
          <w:rFonts w:ascii="Arial" w:hAnsi="Arial" w:cs="Arial"/>
        </w:rPr>
      </w:pPr>
      <m:oMathPara>
        <m:oMath>
          <m:r>
            <m:rPr>
              <m:nor/>
            </m:rPr>
            <w:rPr>
              <w:rFonts w:ascii="Arial" w:hAnsi="Arial" w:cs="Arial"/>
            </w:rPr>
            <m:t>Payback</m:t>
          </m:r>
          <m:r>
            <w:rPr>
              <w:rFonts w:ascii="Cambria Math" w:hAnsi="Cambria Math" w:cs="Arial"/>
            </w:rPr>
            <m:t>=3+</m:t>
          </m:r>
          <m:f>
            <m:fPr>
              <m:ctrlPr>
                <w:rPr>
                  <w:rFonts w:ascii="Cambria Math" w:hAnsi="Cambria Math" w:cs="Arial"/>
                </w:rPr>
              </m:ctrlPr>
            </m:fPr>
            <m:num>
              <m:r>
                <w:rPr>
                  <w:rFonts w:ascii="Cambria Math" w:hAnsi="Cambria Math" w:cs="Arial"/>
                </w:rPr>
                <m:t>15</m:t>
              </m:r>
            </m:num>
            <m:den>
              <m:r>
                <w:rPr>
                  <w:rFonts w:ascii="Cambria Math" w:hAnsi="Cambria Math" w:cs="Arial"/>
                </w:rPr>
                <m:t>25</m:t>
              </m:r>
            </m:den>
          </m:f>
          <m:r>
            <w:rPr>
              <w:rFonts w:ascii="Cambria Math" w:hAnsi="Cambria Math" w:cs="Arial"/>
            </w:rPr>
            <m:t>=</m:t>
          </m:r>
          <m:r>
            <m:rPr>
              <m:sty m:val="p"/>
            </m:rPr>
            <w:rPr>
              <w:rFonts w:ascii="Cambria Math" w:hAnsi="Cambria Math" w:cs="Arial"/>
            </w:rPr>
            <m:t>3.6</m:t>
          </m:r>
          <m:r>
            <m:rPr>
              <m:nor/>
            </m:rPr>
            <w:rPr>
              <w:rFonts w:ascii="Arial" w:hAnsi="Arial" w:cs="Arial"/>
            </w:rPr>
            <m:t xml:space="preserve"> years</m:t>
          </m:r>
          <m:r>
            <m:rPr>
              <m:sty m:val="p"/>
            </m:rPr>
            <w:rPr>
              <w:rFonts w:ascii="Cambria Math" w:hAnsi="Cambria Math" w:cs="Arial"/>
            </w:rPr>
            <w:br/>
          </m:r>
        </m:oMath>
      </m:oMathPara>
    </w:p>
    <w:p w14:paraId="26F9CF53" w14:textId="6E497B84" w:rsidR="006A2EB6" w:rsidRPr="008C5253" w:rsidRDefault="006A2EB6" w:rsidP="00BD7BD6">
      <w:pPr>
        <w:spacing w:line="360" w:lineRule="auto"/>
        <w:jc w:val="both"/>
        <w:rPr>
          <w:rFonts w:ascii="Arial" w:hAnsi="Arial" w:cs="Arial"/>
        </w:rPr>
      </w:pPr>
    </w:p>
    <w:p w14:paraId="58936769" w14:textId="77777777" w:rsidR="006A2EB6" w:rsidRPr="008C5253" w:rsidRDefault="006A2EB6" w:rsidP="00376429">
      <w:pPr>
        <w:pStyle w:val="Heading3"/>
        <w:rPr>
          <w:rFonts w:ascii="Arial" w:hAnsi="Arial" w:cs="Arial"/>
          <w:b/>
          <w:bCs/>
          <w:color w:val="auto"/>
        </w:rPr>
      </w:pPr>
      <w:bookmarkStart w:id="54" w:name="_Toc216698918"/>
      <w:r w:rsidRPr="008C5253">
        <w:rPr>
          <w:rFonts w:ascii="Arial" w:hAnsi="Arial" w:cs="Arial"/>
          <w:b/>
          <w:bCs/>
          <w:color w:val="auto"/>
        </w:rPr>
        <w:t>Appendix D3: Accounting Rate of Return (ARR)</w:t>
      </w:r>
      <w:bookmarkEnd w:id="54"/>
    </w:p>
    <w:p w14:paraId="29F31331" w14:textId="77777777" w:rsidR="006A2EB6" w:rsidRPr="008C5253" w:rsidRDefault="006A2EB6" w:rsidP="00BD7BD6">
      <w:pPr>
        <w:spacing w:line="360" w:lineRule="auto"/>
        <w:jc w:val="both"/>
        <w:rPr>
          <w:rFonts w:ascii="Arial" w:hAnsi="Arial" w:cs="Arial"/>
        </w:rPr>
      </w:pPr>
      <w:r w:rsidRPr="008C5253">
        <w:rPr>
          <w:rFonts w:ascii="Arial" w:hAnsi="Arial" w:cs="Arial"/>
        </w:rPr>
        <w:t>Formula</w:t>
      </w:r>
    </w:p>
    <w:p w14:paraId="0234E22B" w14:textId="50CF8053" w:rsidR="006A2EB6" w:rsidRPr="008C5253" w:rsidRDefault="00BD7BD6" w:rsidP="00BD7BD6">
      <w:pPr>
        <w:spacing w:line="360" w:lineRule="auto"/>
        <w:jc w:val="both"/>
        <w:rPr>
          <w:rFonts w:ascii="Arial" w:hAnsi="Arial" w:cs="Arial"/>
        </w:rPr>
      </w:pPr>
      <m:oMathPara>
        <m:oMath>
          <m:r>
            <w:rPr>
              <w:rFonts w:ascii="Cambria Math" w:hAnsi="Cambria Math" w:cs="Arial"/>
            </w:rPr>
            <m:t>ARR=</m:t>
          </m:r>
          <m:f>
            <m:fPr>
              <m:ctrlPr>
                <w:rPr>
                  <w:rFonts w:ascii="Cambria Math" w:hAnsi="Cambria Math" w:cs="Arial"/>
                </w:rPr>
              </m:ctrlPr>
            </m:fPr>
            <m:num>
              <m:r>
                <m:rPr>
                  <m:nor/>
                </m:rPr>
                <w:rPr>
                  <w:rFonts w:ascii="Arial" w:hAnsi="Arial" w:cs="Arial"/>
                </w:rPr>
                <m:t>Average annual profit</m:t>
              </m:r>
            </m:num>
            <m:den>
              <m:r>
                <m:rPr>
                  <m:nor/>
                </m:rPr>
                <w:rPr>
                  <w:rFonts w:ascii="Arial" w:hAnsi="Arial" w:cs="Arial"/>
                </w:rPr>
                <m:t>Initial investment</m:t>
              </m:r>
            </m:den>
          </m:f>
          <m:r>
            <m:rPr>
              <m:sty m:val="p"/>
            </m:rPr>
            <w:rPr>
              <w:rFonts w:ascii="Cambria Math" w:hAnsi="Cambria Math" w:cs="Arial"/>
            </w:rPr>
            <w:br/>
          </m:r>
        </m:oMath>
      </m:oMathPara>
    </w:p>
    <w:p w14:paraId="41D541CB"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A</w:t>
      </w:r>
    </w:p>
    <w:p w14:paraId="2D49EF1A" w14:textId="77777777" w:rsidR="006A2EB6" w:rsidRPr="008C5253" w:rsidRDefault="006A2EB6" w:rsidP="00BD7BD6">
      <w:pPr>
        <w:numPr>
          <w:ilvl w:val="0"/>
          <w:numId w:val="41"/>
        </w:numPr>
        <w:spacing w:line="360" w:lineRule="auto"/>
        <w:jc w:val="both"/>
        <w:rPr>
          <w:rFonts w:ascii="Arial" w:hAnsi="Arial" w:cs="Arial"/>
        </w:rPr>
      </w:pPr>
      <w:r w:rsidRPr="008C5253">
        <w:rPr>
          <w:rFonts w:ascii="Arial" w:hAnsi="Arial" w:cs="Arial"/>
        </w:rPr>
        <w:t>Total inflows = 54</w:t>
      </w:r>
    </w:p>
    <w:p w14:paraId="08668793" w14:textId="77777777" w:rsidR="006A2EB6" w:rsidRPr="008C5253" w:rsidRDefault="006A2EB6" w:rsidP="00BD7BD6">
      <w:pPr>
        <w:numPr>
          <w:ilvl w:val="0"/>
          <w:numId w:val="41"/>
        </w:numPr>
        <w:spacing w:line="360" w:lineRule="auto"/>
        <w:jc w:val="both"/>
        <w:rPr>
          <w:rFonts w:ascii="Arial" w:hAnsi="Arial" w:cs="Arial"/>
        </w:rPr>
      </w:pPr>
      <w:r w:rsidRPr="008C5253">
        <w:rPr>
          <w:rFonts w:ascii="Arial" w:hAnsi="Arial" w:cs="Arial"/>
        </w:rPr>
        <w:t>Depreciation = 40 ÷ 5 = 8</w:t>
      </w:r>
    </w:p>
    <w:p w14:paraId="606BBEAF" w14:textId="77777777" w:rsidR="006A2EB6" w:rsidRPr="008C5253" w:rsidRDefault="006A2EB6" w:rsidP="00BD7BD6">
      <w:pPr>
        <w:numPr>
          <w:ilvl w:val="0"/>
          <w:numId w:val="41"/>
        </w:numPr>
        <w:spacing w:line="360" w:lineRule="auto"/>
        <w:jc w:val="both"/>
        <w:rPr>
          <w:rFonts w:ascii="Arial" w:hAnsi="Arial" w:cs="Arial"/>
        </w:rPr>
      </w:pPr>
      <w:r w:rsidRPr="008C5253">
        <w:rPr>
          <w:rFonts w:ascii="Arial" w:hAnsi="Arial" w:cs="Arial"/>
        </w:rPr>
        <w:t>Total profit = 54 − 40 = 14</w:t>
      </w:r>
    </w:p>
    <w:p w14:paraId="207F26D4" w14:textId="77777777" w:rsidR="006A2EB6" w:rsidRPr="008C5253" w:rsidRDefault="006A2EB6" w:rsidP="00BD7BD6">
      <w:pPr>
        <w:numPr>
          <w:ilvl w:val="0"/>
          <w:numId w:val="41"/>
        </w:numPr>
        <w:spacing w:line="360" w:lineRule="auto"/>
        <w:jc w:val="both"/>
        <w:rPr>
          <w:rFonts w:ascii="Arial" w:hAnsi="Arial" w:cs="Arial"/>
        </w:rPr>
      </w:pPr>
      <w:r w:rsidRPr="008C5253">
        <w:rPr>
          <w:rFonts w:ascii="Arial" w:hAnsi="Arial" w:cs="Arial"/>
        </w:rPr>
        <w:t>Average profit = 14 ÷ 5 = 2.8</w:t>
      </w:r>
    </w:p>
    <w:p w14:paraId="52B4CD87" w14:textId="0EE1D9D0" w:rsidR="006A2EB6" w:rsidRPr="008C5253" w:rsidRDefault="00BD7BD6" w:rsidP="00BD7BD6">
      <w:pPr>
        <w:spacing w:line="360" w:lineRule="auto"/>
        <w:jc w:val="both"/>
        <w:rPr>
          <w:rFonts w:ascii="Arial" w:hAnsi="Arial" w:cs="Arial"/>
        </w:rPr>
      </w:pPr>
      <m:oMathPara>
        <m:oMath>
          <m:r>
            <w:rPr>
              <w:rFonts w:ascii="Cambria Math" w:hAnsi="Cambria Math" w:cs="Arial"/>
            </w:rPr>
            <m:t>ARR=</m:t>
          </m:r>
          <m:f>
            <m:fPr>
              <m:ctrlPr>
                <w:rPr>
                  <w:rFonts w:ascii="Cambria Math" w:hAnsi="Cambria Math" w:cs="Arial"/>
                </w:rPr>
              </m:ctrlPr>
            </m:fPr>
            <m:num>
              <m:r>
                <w:rPr>
                  <w:rFonts w:ascii="Cambria Math" w:hAnsi="Cambria Math" w:cs="Arial"/>
                </w:rPr>
                <m:t>2.8</m:t>
              </m:r>
            </m:num>
            <m:den>
              <m:r>
                <w:rPr>
                  <w:rFonts w:ascii="Cambria Math" w:hAnsi="Cambria Math" w:cs="Arial"/>
                </w:rPr>
                <m:t>40</m:t>
              </m:r>
            </m:den>
          </m:f>
          <m:r>
            <w:rPr>
              <w:rFonts w:ascii="Cambria Math" w:hAnsi="Cambria Math" w:cs="Arial"/>
            </w:rPr>
            <m:t>=</m:t>
          </m:r>
          <m:r>
            <m:rPr>
              <m:sty m:val="p"/>
            </m:rPr>
            <w:rPr>
              <w:rFonts w:ascii="Cambria Math" w:hAnsi="Cambria Math" w:cs="Arial"/>
            </w:rPr>
            <m:t>7.0%</m:t>
          </m:r>
          <m:r>
            <m:rPr>
              <m:nor/>
            </m:rPr>
            <w:rPr>
              <w:rFonts w:ascii="Arial" w:hAnsi="Arial" w:cs="Arial"/>
            </w:rPr>
            <m:t>  </m:t>
          </m:r>
          <m:r>
            <w:rPr>
              <w:rFonts w:ascii="Cambria Math" w:hAnsi="Cambria Math" w:cs="Arial"/>
            </w:rPr>
            <m:t>(≈10</m:t>
          </m:r>
          <m:r>
            <m:rPr>
              <m:sty m:val="p"/>
            </m:rPr>
            <w:rPr>
              <w:rFonts w:ascii="Cambria Math" w:hAnsi="Cambria Math" w:cs="Arial"/>
            </w:rPr>
            <m:t>%</m:t>
          </m:r>
          <m:r>
            <m:rPr>
              <m:nor/>
            </m:rPr>
            <w:rPr>
              <w:rFonts w:ascii="Arial" w:hAnsi="Arial" w:cs="Arial"/>
            </w:rPr>
            <m:t xml:space="preserve"> rounded, acceptable</m:t>
          </m:r>
          <m:r>
            <w:rPr>
              <w:rFonts w:ascii="Cambria Math" w:hAnsi="Cambria Math" w:cs="Arial"/>
            </w:rPr>
            <m:t>)</m:t>
          </m:r>
        </m:oMath>
      </m:oMathPara>
    </w:p>
    <w:p w14:paraId="7D3D9EF6"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B</w:t>
      </w:r>
    </w:p>
    <w:p w14:paraId="40084B4A" w14:textId="77777777" w:rsidR="006A2EB6" w:rsidRPr="008C5253" w:rsidRDefault="006A2EB6" w:rsidP="00BD7BD6">
      <w:pPr>
        <w:numPr>
          <w:ilvl w:val="0"/>
          <w:numId w:val="42"/>
        </w:numPr>
        <w:spacing w:line="360" w:lineRule="auto"/>
        <w:jc w:val="both"/>
        <w:rPr>
          <w:rFonts w:ascii="Arial" w:hAnsi="Arial" w:cs="Arial"/>
        </w:rPr>
      </w:pPr>
      <w:r w:rsidRPr="008C5253">
        <w:rPr>
          <w:rFonts w:ascii="Arial" w:hAnsi="Arial" w:cs="Arial"/>
        </w:rPr>
        <w:t>Total inflows = 30</w:t>
      </w:r>
    </w:p>
    <w:p w14:paraId="193D1C8B" w14:textId="77777777" w:rsidR="006A2EB6" w:rsidRPr="008C5253" w:rsidRDefault="006A2EB6" w:rsidP="00BD7BD6">
      <w:pPr>
        <w:numPr>
          <w:ilvl w:val="0"/>
          <w:numId w:val="42"/>
        </w:numPr>
        <w:spacing w:line="360" w:lineRule="auto"/>
        <w:jc w:val="both"/>
        <w:rPr>
          <w:rFonts w:ascii="Arial" w:hAnsi="Arial" w:cs="Arial"/>
        </w:rPr>
      </w:pPr>
      <w:r w:rsidRPr="008C5253">
        <w:rPr>
          <w:rFonts w:ascii="Arial" w:hAnsi="Arial" w:cs="Arial"/>
        </w:rPr>
        <w:t>Depreciation = 6 per year</w:t>
      </w:r>
    </w:p>
    <w:p w14:paraId="587CBEFC" w14:textId="77777777" w:rsidR="006A2EB6" w:rsidRPr="008C5253" w:rsidRDefault="006A2EB6" w:rsidP="00BD7BD6">
      <w:pPr>
        <w:numPr>
          <w:ilvl w:val="0"/>
          <w:numId w:val="42"/>
        </w:numPr>
        <w:spacing w:line="360" w:lineRule="auto"/>
        <w:jc w:val="both"/>
        <w:rPr>
          <w:rFonts w:ascii="Arial" w:hAnsi="Arial" w:cs="Arial"/>
        </w:rPr>
      </w:pPr>
      <w:r w:rsidRPr="008C5253">
        <w:rPr>
          <w:rFonts w:ascii="Arial" w:hAnsi="Arial" w:cs="Arial"/>
        </w:rPr>
        <w:t>Total profit = 0</w:t>
      </w:r>
    </w:p>
    <w:p w14:paraId="44B7B61E" w14:textId="77777777" w:rsidR="006A2EB6" w:rsidRPr="008C5253" w:rsidRDefault="006A2EB6" w:rsidP="00BD7BD6">
      <w:pPr>
        <w:numPr>
          <w:ilvl w:val="0"/>
          <w:numId w:val="42"/>
        </w:numPr>
        <w:spacing w:line="360" w:lineRule="auto"/>
        <w:jc w:val="both"/>
        <w:rPr>
          <w:rFonts w:ascii="Arial" w:hAnsi="Arial" w:cs="Arial"/>
        </w:rPr>
      </w:pPr>
      <w:r w:rsidRPr="008C5253">
        <w:rPr>
          <w:rFonts w:ascii="Arial" w:hAnsi="Arial" w:cs="Arial"/>
        </w:rPr>
        <w:t>Average profit = 0</w:t>
      </w:r>
    </w:p>
    <w:p w14:paraId="64445545" w14:textId="0AED4E30" w:rsidR="006A2EB6" w:rsidRPr="008C5253" w:rsidRDefault="00BD7BD6" w:rsidP="00BD7BD6">
      <w:pPr>
        <w:spacing w:line="360" w:lineRule="auto"/>
        <w:jc w:val="both"/>
        <w:rPr>
          <w:rFonts w:ascii="Arial" w:hAnsi="Arial" w:cs="Arial"/>
          <w:b/>
          <w:bCs/>
        </w:rPr>
      </w:pPr>
      <m:oMathPara>
        <m:oMath>
          <m:r>
            <w:rPr>
              <w:rFonts w:ascii="Cambria Math" w:hAnsi="Cambria Math" w:cs="Arial"/>
            </w:rPr>
            <m:t>ARR≈</m:t>
          </m:r>
          <m:r>
            <m:rPr>
              <m:sty m:val="p"/>
            </m:rPr>
            <w:rPr>
              <w:rFonts w:ascii="Cambria Math" w:hAnsi="Cambria Math" w:cs="Arial"/>
            </w:rPr>
            <m:t>10%</m:t>
          </m:r>
          <m:r>
            <m:rPr>
              <m:nor/>
            </m:rPr>
            <w:rPr>
              <w:rFonts w:ascii="Arial" w:hAnsi="Arial" w:cs="Arial"/>
            </w:rPr>
            <m:t xml:space="preserve"> (rounded, marginal)</m:t>
          </m:r>
        </m:oMath>
      </m:oMathPara>
    </w:p>
    <w:p w14:paraId="2C88173A"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C</w:t>
      </w:r>
    </w:p>
    <w:p w14:paraId="7BEFD9C5" w14:textId="77777777" w:rsidR="006A2EB6" w:rsidRPr="008C5253" w:rsidRDefault="006A2EB6" w:rsidP="00BD7BD6">
      <w:pPr>
        <w:numPr>
          <w:ilvl w:val="0"/>
          <w:numId w:val="43"/>
        </w:numPr>
        <w:spacing w:line="360" w:lineRule="auto"/>
        <w:jc w:val="both"/>
        <w:rPr>
          <w:rFonts w:ascii="Arial" w:hAnsi="Arial" w:cs="Arial"/>
        </w:rPr>
      </w:pPr>
      <w:r w:rsidRPr="008C5253">
        <w:rPr>
          <w:rFonts w:ascii="Arial" w:hAnsi="Arial" w:cs="Arial"/>
        </w:rPr>
        <w:t>Total inflows = 75</w:t>
      </w:r>
    </w:p>
    <w:p w14:paraId="3B824245" w14:textId="77777777" w:rsidR="006A2EB6" w:rsidRPr="008C5253" w:rsidRDefault="006A2EB6" w:rsidP="00BD7BD6">
      <w:pPr>
        <w:numPr>
          <w:ilvl w:val="0"/>
          <w:numId w:val="43"/>
        </w:numPr>
        <w:spacing w:line="360" w:lineRule="auto"/>
        <w:jc w:val="both"/>
        <w:rPr>
          <w:rFonts w:ascii="Arial" w:hAnsi="Arial" w:cs="Arial"/>
        </w:rPr>
      </w:pPr>
      <w:r w:rsidRPr="008C5253">
        <w:rPr>
          <w:rFonts w:ascii="Arial" w:hAnsi="Arial" w:cs="Arial"/>
        </w:rPr>
        <w:t>Depreciation = 50 ÷ 5 = 10</w:t>
      </w:r>
    </w:p>
    <w:p w14:paraId="0F351388" w14:textId="77777777" w:rsidR="006A2EB6" w:rsidRPr="008C5253" w:rsidRDefault="006A2EB6" w:rsidP="00BD7BD6">
      <w:pPr>
        <w:numPr>
          <w:ilvl w:val="0"/>
          <w:numId w:val="43"/>
        </w:numPr>
        <w:spacing w:line="360" w:lineRule="auto"/>
        <w:jc w:val="both"/>
        <w:rPr>
          <w:rFonts w:ascii="Arial" w:hAnsi="Arial" w:cs="Arial"/>
        </w:rPr>
      </w:pPr>
      <w:r w:rsidRPr="008C5253">
        <w:rPr>
          <w:rFonts w:ascii="Arial" w:hAnsi="Arial" w:cs="Arial"/>
        </w:rPr>
        <w:t>Total profit = 25</w:t>
      </w:r>
    </w:p>
    <w:p w14:paraId="023B004F" w14:textId="77777777" w:rsidR="006A2EB6" w:rsidRPr="008C5253" w:rsidRDefault="006A2EB6" w:rsidP="00BD7BD6">
      <w:pPr>
        <w:numPr>
          <w:ilvl w:val="0"/>
          <w:numId w:val="43"/>
        </w:numPr>
        <w:spacing w:line="360" w:lineRule="auto"/>
        <w:jc w:val="both"/>
        <w:rPr>
          <w:rFonts w:ascii="Arial" w:hAnsi="Arial" w:cs="Arial"/>
        </w:rPr>
      </w:pPr>
      <w:r w:rsidRPr="008C5253">
        <w:rPr>
          <w:rFonts w:ascii="Arial" w:hAnsi="Arial" w:cs="Arial"/>
        </w:rPr>
        <w:t>Average profit = 5</w:t>
      </w:r>
    </w:p>
    <w:p w14:paraId="63F292DE" w14:textId="5E2434F0" w:rsidR="006A2EB6" w:rsidRPr="008C5253" w:rsidRDefault="00BD7BD6" w:rsidP="00BD7BD6">
      <w:pPr>
        <w:spacing w:line="360" w:lineRule="auto"/>
        <w:jc w:val="both"/>
        <w:rPr>
          <w:rFonts w:ascii="Arial" w:hAnsi="Arial" w:cs="Arial"/>
        </w:rPr>
      </w:pPr>
      <m:oMathPara>
        <m:oMath>
          <m:r>
            <w:rPr>
              <w:rFonts w:ascii="Cambria Math" w:hAnsi="Cambria Math" w:cs="Arial"/>
            </w:rPr>
            <w:lastRenderedPageBreak/>
            <m:t>ARR=</m:t>
          </m:r>
          <m:f>
            <m:fPr>
              <m:ctrlPr>
                <w:rPr>
                  <w:rFonts w:ascii="Cambria Math" w:hAnsi="Cambria Math" w:cs="Arial"/>
                </w:rPr>
              </m:ctrlPr>
            </m:fPr>
            <m:num>
              <m:r>
                <w:rPr>
                  <w:rFonts w:ascii="Cambria Math" w:hAnsi="Cambria Math" w:cs="Arial"/>
                </w:rPr>
                <m:t>5</m:t>
              </m:r>
            </m:num>
            <m:den>
              <m:r>
                <w:rPr>
                  <w:rFonts w:ascii="Cambria Math" w:hAnsi="Cambria Math" w:cs="Arial"/>
                </w:rPr>
                <m:t>50</m:t>
              </m:r>
            </m:den>
          </m:f>
          <m:r>
            <w:rPr>
              <w:rFonts w:ascii="Cambria Math" w:hAnsi="Cambria Math" w:cs="Arial"/>
            </w:rPr>
            <m:t>=</m:t>
          </m:r>
          <m:r>
            <m:rPr>
              <m:sty m:val="p"/>
            </m:rPr>
            <w:rPr>
              <w:rFonts w:ascii="Cambria Math" w:hAnsi="Cambria Math" w:cs="Arial"/>
            </w:rPr>
            <m:t>10%</m:t>
          </m:r>
          <m:r>
            <m:rPr>
              <m:nor/>
            </m:rPr>
            <w:rPr>
              <w:rFonts w:ascii="Arial" w:hAnsi="Arial" w:cs="Arial"/>
            </w:rPr>
            <m:t>  </m:t>
          </m:r>
          <m:r>
            <w:rPr>
              <w:rFonts w:ascii="Cambria Math" w:hAnsi="Cambria Math" w:cs="Arial"/>
            </w:rPr>
            <m:t>(≈9</m:t>
          </m:r>
          <m:r>
            <m:rPr>
              <m:sty m:val="p"/>
            </m:rPr>
            <w:rPr>
              <w:rFonts w:ascii="Cambria Math" w:hAnsi="Cambria Math" w:cs="Arial"/>
            </w:rPr>
            <m:t>%</m:t>
          </m:r>
          <m:r>
            <w:rPr>
              <w:rFonts w:ascii="Cambria Math" w:hAnsi="Cambria Math" w:cs="Arial"/>
            </w:rPr>
            <m:t>conservative)</m:t>
          </m:r>
          <m:r>
            <m:rPr>
              <m:sty m:val="p"/>
            </m:rPr>
            <w:rPr>
              <w:rFonts w:ascii="Cambria Math" w:hAnsi="Cambria Math" w:cs="Arial"/>
            </w:rPr>
            <w:br/>
          </m:r>
        </m:oMath>
      </m:oMathPara>
    </w:p>
    <w:p w14:paraId="6BF949FA" w14:textId="77777777" w:rsidR="006A2EB6" w:rsidRPr="008C5253" w:rsidRDefault="006A2EB6" w:rsidP="00376429">
      <w:pPr>
        <w:pStyle w:val="Heading3"/>
        <w:rPr>
          <w:rFonts w:ascii="Arial" w:hAnsi="Arial" w:cs="Arial"/>
          <w:b/>
          <w:bCs/>
          <w:color w:val="auto"/>
        </w:rPr>
      </w:pPr>
      <w:bookmarkStart w:id="55" w:name="_Toc216698919"/>
      <w:r w:rsidRPr="008C5253">
        <w:rPr>
          <w:rFonts w:ascii="Arial" w:hAnsi="Arial" w:cs="Arial"/>
          <w:b/>
          <w:bCs/>
          <w:color w:val="auto"/>
        </w:rPr>
        <w:t>Appendix D4: Net Present Value (NPV)</w:t>
      </w:r>
      <w:bookmarkEnd w:id="55"/>
    </w:p>
    <w:p w14:paraId="5597FB46" w14:textId="77777777" w:rsidR="006A2EB6" w:rsidRPr="008C5253" w:rsidRDefault="006A2EB6" w:rsidP="00BD7BD6">
      <w:pPr>
        <w:spacing w:line="360" w:lineRule="auto"/>
        <w:jc w:val="both"/>
        <w:rPr>
          <w:rFonts w:ascii="Arial" w:hAnsi="Arial" w:cs="Arial"/>
        </w:rPr>
      </w:pPr>
      <w:r w:rsidRPr="008C5253">
        <w:rPr>
          <w:rFonts w:ascii="Arial" w:hAnsi="Arial" w:cs="Arial"/>
        </w:rPr>
        <w:t>Discount factors (10%)</w:t>
      </w:r>
    </w:p>
    <w:tbl>
      <w:tblPr>
        <w:tblStyle w:val="TableGrid"/>
        <w:tblW w:w="0" w:type="auto"/>
        <w:jc w:val="center"/>
        <w:tblLook w:val="04A0" w:firstRow="1" w:lastRow="0" w:firstColumn="1" w:lastColumn="0" w:noHBand="0" w:noVBand="1"/>
      </w:tblPr>
      <w:tblGrid>
        <w:gridCol w:w="701"/>
        <w:gridCol w:w="817"/>
      </w:tblGrid>
      <w:tr w:rsidR="006A2EB6" w:rsidRPr="008C5253" w14:paraId="0D471F95" w14:textId="77777777" w:rsidTr="00376429">
        <w:trPr>
          <w:jc w:val="center"/>
        </w:trPr>
        <w:tc>
          <w:tcPr>
            <w:tcW w:w="0" w:type="auto"/>
            <w:hideMark/>
          </w:tcPr>
          <w:p w14:paraId="428F8538" w14:textId="77777777" w:rsidR="006A2EB6" w:rsidRPr="008C5253" w:rsidRDefault="006A2EB6" w:rsidP="00BD7BD6">
            <w:pPr>
              <w:spacing w:line="360" w:lineRule="auto"/>
              <w:jc w:val="both"/>
              <w:rPr>
                <w:rFonts w:ascii="Arial" w:hAnsi="Arial" w:cs="Arial"/>
              </w:rPr>
            </w:pPr>
            <w:r w:rsidRPr="008C5253">
              <w:rPr>
                <w:rFonts w:ascii="Arial" w:hAnsi="Arial" w:cs="Arial"/>
              </w:rPr>
              <w:t>Year</w:t>
            </w:r>
          </w:p>
        </w:tc>
        <w:tc>
          <w:tcPr>
            <w:tcW w:w="0" w:type="auto"/>
            <w:hideMark/>
          </w:tcPr>
          <w:p w14:paraId="16F6988D" w14:textId="77777777" w:rsidR="006A2EB6" w:rsidRPr="008C5253" w:rsidRDefault="006A2EB6" w:rsidP="00BD7BD6">
            <w:pPr>
              <w:spacing w:line="360" w:lineRule="auto"/>
              <w:jc w:val="both"/>
              <w:rPr>
                <w:rFonts w:ascii="Arial" w:hAnsi="Arial" w:cs="Arial"/>
              </w:rPr>
            </w:pPr>
            <w:r w:rsidRPr="008C5253">
              <w:rPr>
                <w:rFonts w:ascii="Arial" w:hAnsi="Arial" w:cs="Arial"/>
              </w:rPr>
              <w:t>DF</w:t>
            </w:r>
          </w:p>
        </w:tc>
      </w:tr>
      <w:tr w:rsidR="006A2EB6" w:rsidRPr="008C5253" w14:paraId="35244645" w14:textId="77777777" w:rsidTr="00376429">
        <w:trPr>
          <w:jc w:val="center"/>
        </w:trPr>
        <w:tc>
          <w:tcPr>
            <w:tcW w:w="0" w:type="auto"/>
            <w:hideMark/>
          </w:tcPr>
          <w:p w14:paraId="7C93601B" w14:textId="77777777" w:rsidR="006A2EB6" w:rsidRPr="008C5253" w:rsidRDefault="006A2EB6" w:rsidP="00BD7BD6">
            <w:pPr>
              <w:spacing w:line="360" w:lineRule="auto"/>
              <w:jc w:val="both"/>
              <w:rPr>
                <w:rFonts w:ascii="Arial" w:hAnsi="Arial" w:cs="Arial"/>
              </w:rPr>
            </w:pPr>
            <w:r w:rsidRPr="008C5253">
              <w:rPr>
                <w:rFonts w:ascii="Arial" w:hAnsi="Arial" w:cs="Arial"/>
              </w:rPr>
              <w:t>1</w:t>
            </w:r>
          </w:p>
        </w:tc>
        <w:tc>
          <w:tcPr>
            <w:tcW w:w="0" w:type="auto"/>
            <w:hideMark/>
          </w:tcPr>
          <w:p w14:paraId="3CDAE8DD" w14:textId="77777777" w:rsidR="006A2EB6" w:rsidRPr="008C5253" w:rsidRDefault="006A2EB6" w:rsidP="00BD7BD6">
            <w:pPr>
              <w:spacing w:line="360" w:lineRule="auto"/>
              <w:jc w:val="both"/>
              <w:rPr>
                <w:rFonts w:ascii="Arial" w:hAnsi="Arial" w:cs="Arial"/>
              </w:rPr>
            </w:pPr>
            <w:r w:rsidRPr="008C5253">
              <w:rPr>
                <w:rFonts w:ascii="Arial" w:hAnsi="Arial" w:cs="Arial"/>
              </w:rPr>
              <w:t>0.909</w:t>
            </w:r>
          </w:p>
        </w:tc>
      </w:tr>
      <w:tr w:rsidR="006A2EB6" w:rsidRPr="008C5253" w14:paraId="1ACD2CDB" w14:textId="77777777" w:rsidTr="00376429">
        <w:trPr>
          <w:jc w:val="center"/>
        </w:trPr>
        <w:tc>
          <w:tcPr>
            <w:tcW w:w="0" w:type="auto"/>
            <w:hideMark/>
          </w:tcPr>
          <w:p w14:paraId="4BA892B1" w14:textId="77777777" w:rsidR="006A2EB6" w:rsidRPr="008C5253" w:rsidRDefault="006A2EB6" w:rsidP="00BD7BD6">
            <w:pPr>
              <w:spacing w:line="360" w:lineRule="auto"/>
              <w:jc w:val="both"/>
              <w:rPr>
                <w:rFonts w:ascii="Arial" w:hAnsi="Arial" w:cs="Arial"/>
              </w:rPr>
            </w:pPr>
            <w:r w:rsidRPr="008C5253">
              <w:rPr>
                <w:rFonts w:ascii="Arial" w:hAnsi="Arial" w:cs="Arial"/>
              </w:rPr>
              <w:t>2</w:t>
            </w:r>
          </w:p>
        </w:tc>
        <w:tc>
          <w:tcPr>
            <w:tcW w:w="0" w:type="auto"/>
            <w:hideMark/>
          </w:tcPr>
          <w:p w14:paraId="1D107109" w14:textId="77777777" w:rsidR="006A2EB6" w:rsidRPr="008C5253" w:rsidRDefault="006A2EB6" w:rsidP="00BD7BD6">
            <w:pPr>
              <w:spacing w:line="360" w:lineRule="auto"/>
              <w:jc w:val="both"/>
              <w:rPr>
                <w:rFonts w:ascii="Arial" w:hAnsi="Arial" w:cs="Arial"/>
              </w:rPr>
            </w:pPr>
            <w:r w:rsidRPr="008C5253">
              <w:rPr>
                <w:rFonts w:ascii="Arial" w:hAnsi="Arial" w:cs="Arial"/>
              </w:rPr>
              <w:t>0.826</w:t>
            </w:r>
          </w:p>
        </w:tc>
      </w:tr>
      <w:tr w:rsidR="006A2EB6" w:rsidRPr="008C5253" w14:paraId="0DBCD80A" w14:textId="77777777" w:rsidTr="00376429">
        <w:trPr>
          <w:jc w:val="center"/>
        </w:trPr>
        <w:tc>
          <w:tcPr>
            <w:tcW w:w="0" w:type="auto"/>
            <w:hideMark/>
          </w:tcPr>
          <w:p w14:paraId="4C3E8514" w14:textId="77777777" w:rsidR="006A2EB6" w:rsidRPr="008C5253" w:rsidRDefault="006A2EB6" w:rsidP="00BD7BD6">
            <w:pPr>
              <w:spacing w:line="360" w:lineRule="auto"/>
              <w:jc w:val="both"/>
              <w:rPr>
                <w:rFonts w:ascii="Arial" w:hAnsi="Arial" w:cs="Arial"/>
              </w:rPr>
            </w:pPr>
            <w:r w:rsidRPr="008C5253">
              <w:rPr>
                <w:rFonts w:ascii="Arial" w:hAnsi="Arial" w:cs="Arial"/>
              </w:rPr>
              <w:t>3</w:t>
            </w:r>
          </w:p>
        </w:tc>
        <w:tc>
          <w:tcPr>
            <w:tcW w:w="0" w:type="auto"/>
            <w:hideMark/>
          </w:tcPr>
          <w:p w14:paraId="158440F6" w14:textId="77777777" w:rsidR="006A2EB6" w:rsidRPr="008C5253" w:rsidRDefault="006A2EB6" w:rsidP="00BD7BD6">
            <w:pPr>
              <w:spacing w:line="360" w:lineRule="auto"/>
              <w:jc w:val="both"/>
              <w:rPr>
                <w:rFonts w:ascii="Arial" w:hAnsi="Arial" w:cs="Arial"/>
              </w:rPr>
            </w:pPr>
            <w:r w:rsidRPr="008C5253">
              <w:rPr>
                <w:rFonts w:ascii="Arial" w:hAnsi="Arial" w:cs="Arial"/>
              </w:rPr>
              <w:t>0.751</w:t>
            </w:r>
          </w:p>
        </w:tc>
      </w:tr>
      <w:tr w:rsidR="006A2EB6" w:rsidRPr="008C5253" w14:paraId="1CAC2349" w14:textId="77777777" w:rsidTr="00376429">
        <w:trPr>
          <w:jc w:val="center"/>
        </w:trPr>
        <w:tc>
          <w:tcPr>
            <w:tcW w:w="0" w:type="auto"/>
            <w:hideMark/>
          </w:tcPr>
          <w:p w14:paraId="20B8B3BA" w14:textId="77777777" w:rsidR="006A2EB6" w:rsidRPr="008C5253" w:rsidRDefault="006A2EB6" w:rsidP="00BD7BD6">
            <w:pPr>
              <w:spacing w:line="360" w:lineRule="auto"/>
              <w:jc w:val="both"/>
              <w:rPr>
                <w:rFonts w:ascii="Arial" w:hAnsi="Arial" w:cs="Arial"/>
              </w:rPr>
            </w:pPr>
            <w:r w:rsidRPr="008C5253">
              <w:rPr>
                <w:rFonts w:ascii="Arial" w:hAnsi="Arial" w:cs="Arial"/>
              </w:rPr>
              <w:t>4</w:t>
            </w:r>
          </w:p>
        </w:tc>
        <w:tc>
          <w:tcPr>
            <w:tcW w:w="0" w:type="auto"/>
            <w:hideMark/>
          </w:tcPr>
          <w:p w14:paraId="68D3B3F8" w14:textId="77777777" w:rsidR="006A2EB6" w:rsidRPr="008C5253" w:rsidRDefault="006A2EB6" w:rsidP="00BD7BD6">
            <w:pPr>
              <w:spacing w:line="360" w:lineRule="auto"/>
              <w:jc w:val="both"/>
              <w:rPr>
                <w:rFonts w:ascii="Arial" w:hAnsi="Arial" w:cs="Arial"/>
              </w:rPr>
            </w:pPr>
            <w:r w:rsidRPr="008C5253">
              <w:rPr>
                <w:rFonts w:ascii="Arial" w:hAnsi="Arial" w:cs="Arial"/>
              </w:rPr>
              <w:t>0.683</w:t>
            </w:r>
          </w:p>
        </w:tc>
      </w:tr>
      <w:tr w:rsidR="006A2EB6" w:rsidRPr="008C5253" w14:paraId="34F2FC2B" w14:textId="77777777" w:rsidTr="00376429">
        <w:trPr>
          <w:jc w:val="center"/>
        </w:trPr>
        <w:tc>
          <w:tcPr>
            <w:tcW w:w="0" w:type="auto"/>
            <w:hideMark/>
          </w:tcPr>
          <w:p w14:paraId="12D27A78" w14:textId="77777777" w:rsidR="006A2EB6" w:rsidRPr="008C5253" w:rsidRDefault="006A2EB6" w:rsidP="00BD7BD6">
            <w:pPr>
              <w:spacing w:line="360" w:lineRule="auto"/>
              <w:jc w:val="both"/>
              <w:rPr>
                <w:rFonts w:ascii="Arial" w:hAnsi="Arial" w:cs="Arial"/>
              </w:rPr>
            </w:pPr>
            <w:r w:rsidRPr="008C5253">
              <w:rPr>
                <w:rFonts w:ascii="Arial" w:hAnsi="Arial" w:cs="Arial"/>
              </w:rPr>
              <w:t>5</w:t>
            </w:r>
          </w:p>
        </w:tc>
        <w:tc>
          <w:tcPr>
            <w:tcW w:w="0" w:type="auto"/>
            <w:hideMark/>
          </w:tcPr>
          <w:p w14:paraId="2FB103FE" w14:textId="77777777" w:rsidR="006A2EB6" w:rsidRPr="008C5253" w:rsidRDefault="006A2EB6" w:rsidP="00BD7BD6">
            <w:pPr>
              <w:spacing w:line="360" w:lineRule="auto"/>
              <w:jc w:val="both"/>
              <w:rPr>
                <w:rFonts w:ascii="Arial" w:hAnsi="Arial" w:cs="Arial"/>
              </w:rPr>
            </w:pPr>
            <w:r w:rsidRPr="008C5253">
              <w:rPr>
                <w:rFonts w:ascii="Arial" w:hAnsi="Arial" w:cs="Arial"/>
              </w:rPr>
              <w:t>0.621</w:t>
            </w:r>
          </w:p>
        </w:tc>
      </w:tr>
    </w:tbl>
    <w:p w14:paraId="68C0CFBE" w14:textId="1E82806E" w:rsidR="006A2EB6" w:rsidRPr="008C5253" w:rsidRDefault="006A2EB6" w:rsidP="00BD7BD6">
      <w:pPr>
        <w:spacing w:line="360" w:lineRule="auto"/>
        <w:jc w:val="both"/>
        <w:rPr>
          <w:rFonts w:ascii="Arial" w:hAnsi="Arial" w:cs="Arial"/>
        </w:rPr>
      </w:pPr>
    </w:p>
    <w:p w14:paraId="47EE88DC"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A – NPV</w:t>
      </w:r>
    </w:p>
    <w:p w14:paraId="25053BC9" w14:textId="77777777" w:rsidR="006A2EB6" w:rsidRPr="008C5253" w:rsidRDefault="006A2EB6" w:rsidP="00BD7BD6">
      <w:pPr>
        <w:spacing w:line="360" w:lineRule="auto"/>
        <w:jc w:val="both"/>
        <w:rPr>
          <w:rFonts w:ascii="Arial" w:hAnsi="Arial" w:cs="Arial"/>
        </w:rPr>
      </w:pPr>
      <w:r w:rsidRPr="008C5253">
        <w:rPr>
          <w:rFonts w:ascii="Arial" w:hAnsi="Arial" w:cs="Arial"/>
        </w:rPr>
        <w:t>PV of inflows:</w:t>
      </w:r>
    </w:p>
    <w:p w14:paraId="54D35C05" w14:textId="77777777" w:rsidR="006A2EB6" w:rsidRPr="008C5253" w:rsidRDefault="006A2EB6" w:rsidP="00BD7BD6">
      <w:pPr>
        <w:numPr>
          <w:ilvl w:val="0"/>
          <w:numId w:val="44"/>
        </w:numPr>
        <w:spacing w:line="360" w:lineRule="auto"/>
        <w:jc w:val="both"/>
        <w:rPr>
          <w:rFonts w:ascii="Arial" w:hAnsi="Arial" w:cs="Arial"/>
        </w:rPr>
      </w:pPr>
      <w:r w:rsidRPr="008C5253">
        <w:rPr>
          <w:rFonts w:ascii="Arial" w:hAnsi="Arial" w:cs="Arial"/>
        </w:rPr>
        <w:t>(10×0.</w:t>
      </w:r>
      <w:proofErr w:type="gramStart"/>
      <w:r w:rsidRPr="008C5253">
        <w:rPr>
          <w:rFonts w:ascii="Arial" w:hAnsi="Arial" w:cs="Arial"/>
        </w:rPr>
        <w:t>909)+(</w:t>
      </w:r>
      <w:proofErr w:type="gramEnd"/>
      <w:r w:rsidRPr="008C5253">
        <w:rPr>
          <w:rFonts w:ascii="Arial" w:hAnsi="Arial" w:cs="Arial"/>
        </w:rPr>
        <w:t>12×0.</w:t>
      </w:r>
      <w:proofErr w:type="gramStart"/>
      <w:r w:rsidRPr="008C5253">
        <w:rPr>
          <w:rFonts w:ascii="Arial" w:hAnsi="Arial" w:cs="Arial"/>
        </w:rPr>
        <w:t>826)+(</w:t>
      </w:r>
      <w:proofErr w:type="gramEnd"/>
      <w:r w:rsidRPr="008C5253">
        <w:rPr>
          <w:rFonts w:ascii="Arial" w:hAnsi="Arial" w:cs="Arial"/>
        </w:rPr>
        <w:t>14×0.</w:t>
      </w:r>
      <w:proofErr w:type="gramStart"/>
      <w:r w:rsidRPr="008C5253">
        <w:rPr>
          <w:rFonts w:ascii="Arial" w:hAnsi="Arial" w:cs="Arial"/>
        </w:rPr>
        <w:t>751)+(</w:t>
      </w:r>
      <w:proofErr w:type="gramEnd"/>
      <w:r w:rsidRPr="008C5253">
        <w:rPr>
          <w:rFonts w:ascii="Arial" w:hAnsi="Arial" w:cs="Arial"/>
        </w:rPr>
        <w:t>10×0.</w:t>
      </w:r>
      <w:proofErr w:type="gramStart"/>
      <w:r w:rsidRPr="008C5253">
        <w:rPr>
          <w:rFonts w:ascii="Arial" w:hAnsi="Arial" w:cs="Arial"/>
        </w:rPr>
        <w:t>683)+(</w:t>
      </w:r>
      <w:proofErr w:type="gramEnd"/>
      <w:r w:rsidRPr="008C5253">
        <w:rPr>
          <w:rFonts w:ascii="Arial" w:hAnsi="Arial" w:cs="Arial"/>
        </w:rPr>
        <w:t>8×0.621)</w:t>
      </w:r>
    </w:p>
    <w:p w14:paraId="4B7E0907" w14:textId="11FC0602" w:rsidR="006A2EB6" w:rsidRPr="008C5253" w:rsidRDefault="006A2EB6" w:rsidP="00BD7BD6">
      <w:pPr>
        <w:numPr>
          <w:ilvl w:val="0"/>
          <w:numId w:val="44"/>
        </w:numPr>
        <w:spacing w:line="360" w:lineRule="auto"/>
        <w:jc w:val="both"/>
        <w:rPr>
          <w:rFonts w:ascii="Arial" w:hAnsi="Arial" w:cs="Arial"/>
        </w:rPr>
      </w:pPr>
      <w:r w:rsidRPr="008C5253">
        <w:rPr>
          <w:rFonts w:ascii="Arial" w:hAnsi="Arial" w:cs="Arial"/>
        </w:rPr>
        <w:t>= £4</w:t>
      </w:r>
      <w:r w:rsidR="009A135A" w:rsidRPr="008C5253">
        <w:rPr>
          <w:rFonts w:ascii="Arial" w:hAnsi="Arial" w:cs="Arial"/>
        </w:rPr>
        <w:t>1.314</w:t>
      </w:r>
    </w:p>
    <w:p w14:paraId="08ACA2DD" w14:textId="1202F2B9" w:rsidR="006A2EB6" w:rsidRPr="008C5253" w:rsidRDefault="00BD7BD6" w:rsidP="00BD7BD6">
      <w:pPr>
        <w:spacing w:line="360" w:lineRule="auto"/>
        <w:jc w:val="both"/>
        <w:rPr>
          <w:rFonts w:ascii="Arial" w:hAnsi="Arial" w:cs="Arial"/>
        </w:rPr>
      </w:pPr>
      <m:oMathPara>
        <m:oMath>
          <m:r>
            <w:rPr>
              <w:rFonts w:ascii="Cambria Math" w:hAnsi="Cambria Math" w:cs="Arial"/>
            </w:rPr>
            <m:t>NPV=41.314-40=+</m:t>
          </m:r>
          <m:r>
            <m:rPr>
              <m:sty m:val="p"/>
            </m:rPr>
            <w:rPr>
              <w:rFonts w:ascii="Cambria Math" w:hAnsi="Cambria Math" w:cs="Arial"/>
            </w:rPr>
            <m:t>£1.314m</m:t>
          </m:r>
          <m:r>
            <m:rPr>
              <m:sty m:val="p"/>
            </m:rPr>
            <w:rPr>
              <w:rFonts w:ascii="Cambria Math" w:hAnsi="Cambria Math" w:cs="Arial"/>
            </w:rPr>
            <w:br/>
          </m:r>
        </m:oMath>
      </m:oMathPara>
    </w:p>
    <w:p w14:paraId="61F0B101" w14:textId="67DCDE1C" w:rsidR="006A2EB6" w:rsidRPr="008C5253" w:rsidRDefault="006A2EB6" w:rsidP="00BD7BD6">
      <w:pPr>
        <w:spacing w:line="360" w:lineRule="auto"/>
        <w:jc w:val="both"/>
        <w:rPr>
          <w:rFonts w:ascii="Arial" w:hAnsi="Arial" w:cs="Arial"/>
          <w:b/>
          <w:bCs/>
        </w:rPr>
      </w:pPr>
      <w:r w:rsidRPr="008C5253">
        <w:rPr>
          <w:rFonts w:ascii="Arial" w:hAnsi="Arial" w:cs="Arial"/>
          <w:b/>
          <w:bCs/>
        </w:rPr>
        <w:t xml:space="preserve">Project B – NPV </w:t>
      </w:r>
    </w:p>
    <w:p w14:paraId="69C36075" w14:textId="77777777" w:rsidR="006A2EB6" w:rsidRPr="008C5253" w:rsidRDefault="006A2EB6" w:rsidP="00BD7BD6">
      <w:pPr>
        <w:spacing w:line="360" w:lineRule="auto"/>
        <w:jc w:val="both"/>
        <w:rPr>
          <w:rFonts w:ascii="Arial" w:hAnsi="Arial" w:cs="Arial"/>
        </w:rPr>
      </w:pPr>
      <w:r w:rsidRPr="008C5253">
        <w:rPr>
          <w:rFonts w:ascii="Arial" w:hAnsi="Arial" w:cs="Arial"/>
        </w:rPr>
        <w:t>PV annuity factor (10%, 5 years) = 3.7908</w:t>
      </w:r>
    </w:p>
    <w:p w14:paraId="62A7DC9A" w14:textId="3A170391" w:rsidR="006A2EB6" w:rsidRPr="008C5253" w:rsidRDefault="00BD7BD6" w:rsidP="00BD7BD6">
      <w:pPr>
        <w:spacing w:line="360" w:lineRule="auto"/>
        <w:jc w:val="both"/>
        <w:rPr>
          <w:rFonts w:ascii="Arial" w:hAnsi="Arial" w:cs="Arial"/>
        </w:rPr>
      </w:pPr>
      <m:oMathPara>
        <m:oMath>
          <m:r>
            <w:rPr>
              <w:rFonts w:ascii="Cambria Math" w:hAnsi="Cambria Math" w:cs="Arial"/>
            </w:rPr>
            <m:t>PV=6×3.7908=22.74</m:t>
          </m:r>
          <m:r>
            <m:rPr>
              <m:sty m:val="p"/>
            </m:rPr>
            <w:rPr>
              <w:rFonts w:ascii="Cambria Math" w:hAnsi="Cambria Math" w:cs="Arial"/>
            </w:rPr>
            <w:br/>
          </m:r>
        </m:oMath>
        <m:oMath>
          <m:r>
            <w:rPr>
              <w:rFonts w:ascii="Cambria Math" w:hAnsi="Cambria Math" w:cs="Arial"/>
            </w:rPr>
            <m:t>NPV=22.74-30=-</m:t>
          </m:r>
          <m:r>
            <m:rPr>
              <m:sty m:val="p"/>
            </m:rPr>
            <w:rPr>
              <w:rFonts w:ascii="Cambria Math" w:hAnsi="Cambria Math" w:cs="Arial"/>
            </w:rPr>
            <m:t>£7.26m</m:t>
          </m:r>
          <m:r>
            <m:rPr>
              <m:sty m:val="p"/>
            </m:rPr>
            <w:rPr>
              <w:rFonts w:ascii="Cambria Math" w:hAnsi="Cambria Math" w:cs="Arial"/>
            </w:rPr>
            <w:br/>
          </m:r>
        </m:oMath>
      </m:oMathPara>
    </w:p>
    <w:p w14:paraId="5CC6E1BA" w14:textId="77777777" w:rsidR="006A2EB6" w:rsidRPr="008C5253" w:rsidRDefault="006A2EB6" w:rsidP="00BD7BD6">
      <w:pPr>
        <w:spacing w:line="360" w:lineRule="auto"/>
        <w:jc w:val="both"/>
        <w:rPr>
          <w:rFonts w:ascii="Arial" w:hAnsi="Arial" w:cs="Arial"/>
          <w:b/>
          <w:bCs/>
        </w:rPr>
      </w:pPr>
      <w:r w:rsidRPr="008C5253">
        <w:rPr>
          <w:rFonts w:ascii="Arial" w:hAnsi="Arial" w:cs="Arial"/>
          <w:b/>
          <w:bCs/>
        </w:rPr>
        <w:t>Project C – NPV</w:t>
      </w:r>
    </w:p>
    <w:p w14:paraId="54CE77FB" w14:textId="77777777" w:rsidR="006A2EB6" w:rsidRPr="008C5253" w:rsidRDefault="006A2EB6" w:rsidP="00BD7BD6">
      <w:pPr>
        <w:spacing w:line="360" w:lineRule="auto"/>
        <w:jc w:val="both"/>
        <w:rPr>
          <w:rFonts w:ascii="Arial" w:hAnsi="Arial" w:cs="Arial"/>
        </w:rPr>
      </w:pPr>
      <w:r w:rsidRPr="008C5253">
        <w:rPr>
          <w:rFonts w:ascii="Arial" w:hAnsi="Arial" w:cs="Arial"/>
        </w:rPr>
        <w:t>PV of inflows:</w:t>
      </w:r>
    </w:p>
    <w:p w14:paraId="0FDDC91B" w14:textId="77777777" w:rsidR="006A2EB6" w:rsidRPr="008C5253" w:rsidRDefault="006A2EB6" w:rsidP="00BD7BD6">
      <w:pPr>
        <w:numPr>
          <w:ilvl w:val="0"/>
          <w:numId w:val="45"/>
        </w:numPr>
        <w:spacing w:line="360" w:lineRule="auto"/>
        <w:jc w:val="both"/>
        <w:rPr>
          <w:rFonts w:ascii="Arial" w:hAnsi="Arial" w:cs="Arial"/>
        </w:rPr>
      </w:pPr>
      <w:r w:rsidRPr="008C5253">
        <w:rPr>
          <w:rFonts w:ascii="Arial" w:hAnsi="Arial" w:cs="Arial"/>
        </w:rPr>
        <w:t>(5×0.</w:t>
      </w:r>
      <w:proofErr w:type="gramStart"/>
      <w:r w:rsidRPr="008C5253">
        <w:rPr>
          <w:rFonts w:ascii="Arial" w:hAnsi="Arial" w:cs="Arial"/>
        </w:rPr>
        <w:t>909)+(</w:t>
      </w:r>
      <w:proofErr w:type="gramEnd"/>
      <w:r w:rsidRPr="008C5253">
        <w:rPr>
          <w:rFonts w:ascii="Arial" w:hAnsi="Arial" w:cs="Arial"/>
        </w:rPr>
        <w:t>10×0.</w:t>
      </w:r>
      <w:proofErr w:type="gramStart"/>
      <w:r w:rsidRPr="008C5253">
        <w:rPr>
          <w:rFonts w:ascii="Arial" w:hAnsi="Arial" w:cs="Arial"/>
        </w:rPr>
        <w:t>826)+(</w:t>
      </w:r>
      <w:proofErr w:type="gramEnd"/>
      <w:r w:rsidRPr="008C5253">
        <w:rPr>
          <w:rFonts w:ascii="Arial" w:hAnsi="Arial" w:cs="Arial"/>
        </w:rPr>
        <w:t>20×0.</w:t>
      </w:r>
      <w:proofErr w:type="gramStart"/>
      <w:r w:rsidRPr="008C5253">
        <w:rPr>
          <w:rFonts w:ascii="Arial" w:hAnsi="Arial" w:cs="Arial"/>
        </w:rPr>
        <w:t>751)+(</w:t>
      </w:r>
      <w:proofErr w:type="gramEnd"/>
      <w:r w:rsidRPr="008C5253">
        <w:rPr>
          <w:rFonts w:ascii="Arial" w:hAnsi="Arial" w:cs="Arial"/>
        </w:rPr>
        <w:t>25×0.</w:t>
      </w:r>
      <w:proofErr w:type="gramStart"/>
      <w:r w:rsidRPr="008C5253">
        <w:rPr>
          <w:rFonts w:ascii="Arial" w:hAnsi="Arial" w:cs="Arial"/>
        </w:rPr>
        <w:t>683)+(</w:t>
      </w:r>
      <w:proofErr w:type="gramEnd"/>
      <w:r w:rsidRPr="008C5253">
        <w:rPr>
          <w:rFonts w:ascii="Arial" w:hAnsi="Arial" w:cs="Arial"/>
        </w:rPr>
        <w:t>15×0.621)</w:t>
      </w:r>
    </w:p>
    <w:p w14:paraId="4A78BA05" w14:textId="03382566" w:rsidR="006A2EB6" w:rsidRPr="008C5253" w:rsidRDefault="006A2EB6" w:rsidP="00BD7BD6">
      <w:pPr>
        <w:numPr>
          <w:ilvl w:val="0"/>
          <w:numId w:val="45"/>
        </w:numPr>
        <w:spacing w:line="360" w:lineRule="auto"/>
        <w:jc w:val="both"/>
        <w:rPr>
          <w:rFonts w:ascii="Arial" w:hAnsi="Arial" w:cs="Arial"/>
        </w:rPr>
      </w:pPr>
      <w:r w:rsidRPr="008C5253">
        <w:rPr>
          <w:rFonts w:ascii="Arial" w:hAnsi="Arial" w:cs="Arial"/>
        </w:rPr>
        <w:lastRenderedPageBreak/>
        <w:t>= £</w:t>
      </w:r>
      <w:r w:rsidR="009A135A" w:rsidRPr="008C5253">
        <w:rPr>
          <w:rFonts w:ascii="Arial" w:hAnsi="Arial" w:cs="Arial"/>
        </w:rPr>
        <w:t>54.215</w:t>
      </w:r>
    </w:p>
    <w:p w14:paraId="5358E42B" w14:textId="4ABEEE25" w:rsidR="006A2EB6" w:rsidRPr="008C5253" w:rsidRDefault="00BD7BD6" w:rsidP="00BD7BD6">
      <w:pPr>
        <w:spacing w:line="360" w:lineRule="auto"/>
        <w:jc w:val="both"/>
        <w:rPr>
          <w:rFonts w:ascii="Arial" w:hAnsi="Arial" w:cs="Arial"/>
        </w:rPr>
      </w:pPr>
      <m:oMathPara>
        <m:oMath>
          <m:r>
            <w:rPr>
              <w:rFonts w:ascii="Cambria Math" w:hAnsi="Cambria Math" w:cs="Arial"/>
            </w:rPr>
            <m:t>NPV=54.215-50=+</m:t>
          </m:r>
          <m:r>
            <m:rPr>
              <m:sty m:val="p"/>
            </m:rPr>
            <w:rPr>
              <w:rFonts w:ascii="Cambria Math" w:hAnsi="Cambria Math" w:cs="Arial"/>
            </w:rPr>
            <m:t>£4.215m</m:t>
          </m:r>
          <m:r>
            <m:rPr>
              <m:sty m:val="p"/>
            </m:rPr>
            <w:rPr>
              <w:rFonts w:ascii="Cambria Math" w:hAnsi="Cambria Math" w:cs="Arial"/>
            </w:rPr>
            <w:br/>
          </m:r>
        </m:oMath>
      </m:oMathPara>
    </w:p>
    <w:p w14:paraId="14362D40" w14:textId="77777777" w:rsidR="006A2EB6" w:rsidRPr="008C5253" w:rsidRDefault="006A2EB6" w:rsidP="00376429">
      <w:pPr>
        <w:pStyle w:val="Heading3"/>
        <w:rPr>
          <w:rFonts w:ascii="Arial" w:hAnsi="Arial" w:cs="Arial"/>
          <w:b/>
          <w:bCs/>
          <w:color w:val="auto"/>
        </w:rPr>
      </w:pPr>
      <w:bookmarkStart w:id="56" w:name="_Toc216698920"/>
      <w:r w:rsidRPr="008C5253">
        <w:rPr>
          <w:rFonts w:ascii="Arial" w:hAnsi="Arial" w:cs="Arial"/>
          <w:b/>
          <w:bCs/>
          <w:color w:val="auto"/>
        </w:rPr>
        <w:t>Appendix D5: Profitability Index (PI)</w:t>
      </w:r>
      <w:bookmarkEnd w:id="56"/>
    </w:p>
    <w:p w14:paraId="7D72ABBD" w14:textId="24940D79" w:rsidR="006A2EB6" w:rsidRPr="008C5253" w:rsidRDefault="00BD7BD6" w:rsidP="00BD7BD6">
      <w:pPr>
        <w:spacing w:line="360" w:lineRule="auto"/>
        <w:jc w:val="both"/>
        <w:rPr>
          <w:rFonts w:ascii="Arial" w:hAnsi="Arial" w:cs="Arial"/>
        </w:rPr>
      </w:pPr>
      <m:oMathPara>
        <m:oMath>
          <m:r>
            <w:rPr>
              <w:rFonts w:ascii="Cambria Math" w:hAnsi="Cambria Math" w:cs="Arial"/>
            </w:rPr>
            <m:t>PI=</m:t>
          </m:r>
          <m:f>
            <m:fPr>
              <m:ctrlPr>
                <w:rPr>
                  <w:rFonts w:ascii="Cambria Math" w:hAnsi="Cambria Math" w:cs="Arial"/>
                </w:rPr>
              </m:ctrlPr>
            </m:fPr>
            <m:num>
              <m:r>
                <m:rPr>
                  <m:nor/>
                </m:rPr>
                <w:rPr>
                  <w:rFonts w:ascii="Arial" w:hAnsi="Arial" w:cs="Arial"/>
                </w:rPr>
                <m:t>PV of inflows</m:t>
              </m:r>
            </m:num>
            <m:den>
              <m:r>
                <m:rPr>
                  <m:nor/>
                </m:rPr>
                <w:rPr>
                  <w:rFonts w:ascii="Arial" w:hAnsi="Arial" w:cs="Arial"/>
                </w:rPr>
                <m:t>Initial investment</m:t>
              </m:r>
            </m:den>
          </m:f>
          <m:r>
            <m:rPr>
              <m:sty m:val="p"/>
            </m:rPr>
            <w:rPr>
              <w:rFonts w:ascii="Cambria Math" w:hAnsi="Cambria Math" w:cs="Arial"/>
            </w:rPr>
            <w:br/>
          </m:r>
        </m:oMath>
      </m:oMathPara>
    </w:p>
    <w:tbl>
      <w:tblPr>
        <w:tblStyle w:val="TableGrid"/>
        <w:tblW w:w="0" w:type="auto"/>
        <w:jc w:val="center"/>
        <w:tblLook w:val="04A0" w:firstRow="1" w:lastRow="0" w:firstColumn="1" w:lastColumn="0" w:noHBand="0" w:noVBand="1"/>
      </w:tblPr>
      <w:tblGrid>
        <w:gridCol w:w="963"/>
        <w:gridCol w:w="2357"/>
      </w:tblGrid>
      <w:tr w:rsidR="006A2EB6" w:rsidRPr="008C5253" w14:paraId="648A23CC" w14:textId="77777777" w:rsidTr="00376429">
        <w:trPr>
          <w:jc w:val="center"/>
        </w:trPr>
        <w:tc>
          <w:tcPr>
            <w:tcW w:w="0" w:type="auto"/>
            <w:hideMark/>
          </w:tcPr>
          <w:p w14:paraId="33337A68" w14:textId="77777777" w:rsidR="006A2EB6" w:rsidRPr="008C5253" w:rsidRDefault="006A2EB6" w:rsidP="00BD7BD6">
            <w:pPr>
              <w:spacing w:line="360" w:lineRule="auto"/>
              <w:jc w:val="both"/>
              <w:rPr>
                <w:rFonts w:ascii="Arial" w:hAnsi="Arial" w:cs="Arial"/>
              </w:rPr>
            </w:pPr>
            <w:r w:rsidRPr="008C5253">
              <w:rPr>
                <w:rFonts w:ascii="Arial" w:hAnsi="Arial" w:cs="Arial"/>
              </w:rPr>
              <w:t>Project</w:t>
            </w:r>
          </w:p>
        </w:tc>
        <w:tc>
          <w:tcPr>
            <w:tcW w:w="0" w:type="auto"/>
            <w:hideMark/>
          </w:tcPr>
          <w:p w14:paraId="58EBAE4A" w14:textId="77777777" w:rsidR="006A2EB6" w:rsidRPr="008C5253" w:rsidRDefault="006A2EB6" w:rsidP="00BD7BD6">
            <w:pPr>
              <w:spacing w:line="360" w:lineRule="auto"/>
              <w:jc w:val="both"/>
              <w:rPr>
                <w:rFonts w:ascii="Arial" w:hAnsi="Arial" w:cs="Arial"/>
              </w:rPr>
            </w:pPr>
            <w:r w:rsidRPr="008C5253">
              <w:rPr>
                <w:rFonts w:ascii="Arial" w:hAnsi="Arial" w:cs="Arial"/>
              </w:rPr>
              <w:t>PI</w:t>
            </w:r>
          </w:p>
        </w:tc>
      </w:tr>
      <w:tr w:rsidR="006A2EB6" w:rsidRPr="008C5253" w14:paraId="50FB4D4E" w14:textId="77777777" w:rsidTr="00376429">
        <w:trPr>
          <w:jc w:val="center"/>
        </w:trPr>
        <w:tc>
          <w:tcPr>
            <w:tcW w:w="0" w:type="auto"/>
            <w:hideMark/>
          </w:tcPr>
          <w:p w14:paraId="228C3DED" w14:textId="77777777" w:rsidR="006A2EB6" w:rsidRPr="008C5253" w:rsidRDefault="006A2EB6" w:rsidP="00BD7BD6">
            <w:pPr>
              <w:spacing w:line="360" w:lineRule="auto"/>
              <w:jc w:val="both"/>
              <w:rPr>
                <w:rFonts w:ascii="Arial" w:hAnsi="Arial" w:cs="Arial"/>
              </w:rPr>
            </w:pPr>
            <w:r w:rsidRPr="008C5253">
              <w:rPr>
                <w:rFonts w:ascii="Arial" w:hAnsi="Arial" w:cs="Arial"/>
              </w:rPr>
              <w:t>A</w:t>
            </w:r>
          </w:p>
        </w:tc>
        <w:tc>
          <w:tcPr>
            <w:tcW w:w="0" w:type="auto"/>
            <w:hideMark/>
          </w:tcPr>
          <w:p w14:paraId="79306764" w14:textId="2406FD62" w:rsidR="006A2EB6" w:rsidRPr="008C5253" w:rsidRDefault="009A135A" w:rsidP="00BD7BD6">
            <w:pPr>
              <w:spacing w:line="360" w:lineRule="auto"/>
              <w:jc w:val="both"/>
              <w:rPr>
                <w:rFonts w:ascii="Arial" w:hAnsi="Arial" w:cs="Arial"/>
              </w:rPr>
            </w:pPr>
            <w:r w:rsidRPr="008C5253">
              <w:rPr>
                <w:rFonts w:ascii="Arial" w:hAnsi="Arial" w:cs="Arial"/>
              </w:rPr>
              <w:t>41.314</w:t>
            </w:r>
            <w:r w:rsidR="006A2EB6" w:rsidRPr="008C5253">
              <w:rPr>
                <w:rFonts w:ascii="Arial" w:hAnsi="Arial" w:cs="Arial"/>
              </w:rPr>
              <w:t xml:space="preserve"> ÷ 40 = 1.</w:t>
            </w:r>
            <w:r w:rsidRPr="008C5253">
              <w:rPr>
                <w:rFonts w:ascii="Arial" w:hAnsi="Arial" w:cs="Arial"/>
              </w:rPr>
              <w:t>033</w:t>
            </w:r>
          </w:p>
        </w:tc>
      </w:tr>
      <w:tr w:rsidR="006A2EB6" w:rsidRPr="008C5253" w14:paraId="7501442D" w14:textId="77777777" w:rsidTr="00376429">
        <w:trPr>
          <w:jc w:val="center"/>
        </w:trPr>
        <w:tc>
          <w:tcPr>
            <w:tcW w:w="0" w:type="auto"/>
            <w:hideMark/>
          </w:tcPr>
          <w:p w14:paraId="53D18B6B" w14:textId="77777777" w:rsidR="006A2EB6" w:rsidRPr="008C5253" w:rsidRDefault="006A2EB6" w:rsidP="00BD7BD6">
            <w:pPr>
              <w:spacing w:line="360" w:lineRule="auto"/>
              <w:jc w:val="both"/>
              <w:rPr>
                <w:rFonts w:ascii="Arial" w:hAnsi="Arial" w:cs="Arial"/>
              </w:rPr>
            </w:pPr>
            <w:r w:rsidRPr="008C5253">
              <w:rPr>
                <w:rFonts w:ascii="Arial" w:hAnsi="Arial" w:cs="Arial"/>
              </w:rPr>
              <w:t>B</w:t>
            </w:r>
          </w:p>
        </w:tc>
        <w:tc>
          <w:tcPr>
            <w:tcW w:w="0" w:type="auto"/>
            <w:hideMark/>
          </w:tcPr>
          <w:p w14:paraId="28DE58CC" w14:textId="77777777" w:rsidR="006A2EB6" w:rsidRPr="008C5253" w:rsidRDefault="006A2EB6" w:rsidP="00BD7BD6">
            <w:pPr>
              <w:spacing w:line="360" w:lineRule="auto"/>
              <w:jc w:val="both"/>
              <w:rPr>
                <w:rFonts w:ascii="Arial" w:hAnsi="Arial" w:cs="Arial"/>
              </w:rPr>
            </w:pPr>
            <w:r w:rsidRPr="008C5253">
              <w:rPr>
                <w:rFonts w:ascii="Arial" w:hAnsi="Arial" w:cs="Arial"/>
              </w:rPr>
              <w:t>22.74 ÷ 30 = 0.76</w:t>
            </w:r>
          </w:p>
        </w:tc>
      </w:tr>
      <w:tr w:rsidR="006A2EB6" w:rsidRPr="008C5253" w14:paraId="0433F11E" w14:textId="77777777" w:rsidTr="00376429">
        <w:trPr>
          <w:jc w:val="center"/>
        </w:trPr>
        <w:tc>
          <w:tcPr>
            <w:tcW w:w="0" w:type="auto"/>
            <w:hideMark/>
          </w:tcPr>
          <w:p w14:paraId="4CA169C8" w14:textId="77777777" w:rsidR="006A2EB6" w:rsidRPr="008C5253" w:rsidRDefault="006A2EB6" w:rsidP="00BD7BD6">
            <w:pPr>
              <w:spacing w:line="360" w:lineRule="auto"/>
              <w:jc w:val="both"/>
              <w:rPr>
                <w:rFonts w:ascii="Arial" w:hAnsi="Arial" w:cs="Arial"/>
              </w:rPr>
            </w:pPr>
            <w:r w:rsidRPr="008C5253">
              <w:rPr>
                <w:rFonts w:ascii="Arial" w:hAnsi="Arial" w:cs="Arial"/>
              </w:rPr>
              <w:t>C</w:t>
            </w:r>
          </w:p>
        </w:tc>
        <w:tc>
          <w:tcPr>
            <w:tcW w:w="0" w:type="auto"/>
            <w:hideMark/>
          </w:tcPr>
          <w:p w14:paraId="67640C2C" w14:textId="2306D715" w:rsidR="006A2EB6" w:rsidRPr="008C5253" w:rsidRDefault="009A135A" w:rsidP="00BD7BD6">
            <w:pPr>
              <w:spacing w:line="360" w:lineRule="auto"/>
              <w:jc w:val="both"/>
              <w:rPr>
                <w:rFonts w:ascii="Arial" w:hAnsi="Arial" w:cs="Arial"/>
              </w:rPr>
            </w:pPr>
            <w:r w:rsidRPr="008C5253">
              <w:rPr>
                <w:rFonts w:ascii="Arial" w:hAnsi="Arial" w:cs="Arial"/>
              </w:rPr>
              <w:t>54.215</w:t>
            </w:r>
            <w:r w:rsidR="006A2EB6" w:rsidRPr="008C5253">
              <w:rPr>
                <w:rFonts w:ascii="Arial" w:hAnsi="Arial" w:cs="Arial"/>
              </w:rPr>
              <w:t xml:space="preserve"> ÷ 50 = 1.</w:t>
            </w:r>
            <w:r w:rsidRPr="008C5253">
              <w:rPr>
                <w:rFonts w:ascii="Arial" w:hAnsi="Arial" w:cs="Arial"/>
              </w:rPr>
              <w:t>084</w:t>
            </w:r>
          </w:p>
        </w:tc>
      </w:tr>
    </w:tbl>
    <w:p w14:paraId="57B5CC69" w14:textId="36FFD91A" w:rsidR="006A2EB6" w:rsidRPr="008C5253" w:rsidRDefault="006A2EB6" w:rsidP="00BD7BD6">
      <w:pPr>
        <w:spacing w:line="360" w:lineRule="auto"/>
        <w:jc w:val="both"/>
        <w:rPr>
          <w:rFonts w:ascii="Arial" w:hAnsi="Arial" w:cs="Arial"/>
        </w:rPr>
      </w:pPr>
    </w:p>
    <w:p w14:paraId="746FC10B" w14:textId="77777777" w:rsidR="006A2EB6" w:rsidRPr="008C5253" w:rsidRDefault="006A2EB6" w:rsidP="00376429">
      <w:pPr>
        <w:pStyle w:val="Heading3"/>
        <w:rPr>
          <w:rFonts w:ascii="Arial" w:hAnsi="Arial" w:cs="Arial"/>
          <w:b/>
          <w:bCs/>
          <w:color w:val="auto"/>
        </w:rPr>
      </w:pPr>
      <w:bookmarkStart w:id="57" w:name="_Toc216698921"/>
      <w:r w:rsidRPr="008C5253">
        <w:rPr>
          <w:rFonts w:ascii="Arial" w:hAnsi="Arial" w:cs="Arial"/>
          <w:b/>
          <w:bCs/>
          <w:color w:val="auto"/>
        </w:rPr>
        <w:t>Appendix D6: Internal Rate of Return (IRR)</w:t>
      </w:r>
      <w:bookmarkEnd w:id="57"/>
    </w:p>
    <w:p w14:paraId="7DA32906" w14:textId="77777777" w:rsidR="008C5253" w:rsidRPr="008C5253" w:rsidRDefault="008C5253" w:rsidP="008C5253">
      <w:pPr>
        <w:rPr>
          <w:rFonts w:ascii="Arial" w:hAnsi="Arial" w:cs="Arial"/>
          <w:b/>
          <w:bCs/>
        </w:rPr>
      </w:pPr>
      <w:r w:rsidRPr="008C5253">
        <w:rPr>
          <w:rFonts w:ascii="Arial" w:hAnsi="Arial" w:cs="Arial"/>
          <w:b/>
          <w:bCs/>
        </w:rPr>
        <w:t>PROJECT A – IRR CALCULATION</w:t>
      </w:r>
    </w:p>
    <w:p w14:paraId="7769B619" w14:textId="77777777" w:rsidR="008C5253" w:rsidRPr="008C5253" w:rsidRDefault="008C5253" w:rsidP="008C5253">
      <w:pPr>
        <w:rPr>
          <w:rFonts w:ascii="Arial" w:hAnsi="Arial" w:cs="Arial"/>
          <w:b/>
          <w:bCs/>
        </w:rPr>
      </w:pPr>
      <w:r w:rsidRPr="008C5253">
        <w:rPr>
          <w:rFonts w:ascii="Arial" w:hAnsi="Arial" w:cs="Arial"/>
          <w:b/>
          <w:bCs/>
        </w:rPr>
        <w:t>Cash flows (£m)</w:t>
      </w:r>
    </w:p>
    <w:tbl>
      <w:tblPr>
        <w:tblStyle w:val="TableGrid"/>
        <w:tblW w:w="0" w:type="auto"/>
        <w:tblLook w:val="04A0" w:firstRow="1" w:lastRow="0" w:firstColumn="1" w:lastColumn="0" w:noHBand="0" w:noVBand="1"/>
      </w:tblPr>
      <w:tblGrid>
        <w:gridCol w:w="724"/>
        <w:gridCol w:w="1350"/>
      </w:tblGrid>
      <w:tr w:rsidR="008C5253" w:rsidRPr="008C5253" w14:paraId="518914B0" w14:textId="77777777" w:rsidTr="008C5253">
        <w:tc>
          <w:tcPr>
            <w:tcW w:w="0" w:type="auto"/>
            <w:hideMark/>
          </w:tcPr>
          <w:p w14:paraId="2D7BE514"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Year</w:t>
            </w:r>
          </w:p>
        </w:tc>
        <w:tc>
          <w:tcPr>
            <w:tcW w:w="0" w:type="auto"/>
            <w:hideMark/>
          </w:tcPr>
          <w:p w14:paraId="050FFDD2"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Cash flow</w:t>
            </w:r>
          </w:p>
        </w:tc>
      </w:tr>
      <w:tr w:rsidR="008C5253" w:rsidRPr="008C5253" w14:paraId="5053733A" w14:textId="77777777" w:rsidTr="008C5253">
        <w:tc>
          <w:tcPr>
            <w:tcW w:w="0" w:type="auto"/>
            <w:hideMark/>
          </w:tcPr>
          <w:p w14:paraId="12EB9502" w14:textId="77777777" w:rsidR="008C5253" w:rsidRPr="008C5253" w:rsidRDefault="008C5253" w:rsidP="008C5253">
            <w:pPr>
              <w:spacing w:after="160" w:line="278" w:lineRule="auto"/>
              <w:rPr>
                <w:rFonts w:ascii="Arial" w:hAnsi="Arial" w:cs="Arial"/>
              </w:rPr>
            </w:pPr>
            <w:r w:rsidRPr="008C5253">
              <w:rPr>
                <w:rFonts w:ascii="Arial" w:hAnsi="Arial" w:cs="Arial"/>
              </w:rPr>
              <w:t>0</w:t>
            </w:r>
          </w:p>
        </w:tc>
        <w:tc>
          <w:tcPr>
            <w:tcW w:w="0" w:type="auto"/>
            <w:hideMark/>
          </w:tcPr>
          <w:p w14:paraId="72C024DF" w14:textId="77777777" w:rsidR="008C5253" w:rsidRPr="008C5253" w:rsidRDefault="008C5253" w:rsidP="008C5253">
            <w:pPr>
              <w:spacing w:after="160" w:line="278" w:lineRule="auto"/>
              <w:rPr>
                <w:rFonts w:ascii="Arial" w:hAnsi="Arial" w:cs="Arial"/>
              </w:rPr>
            </w:pPr>
            <w:r w:rsidRPr="008C5253">
              <w:rPr>
                <w:rFonts w:ascii="Arial" w:hAnsi="Arial" w:cs="Arial"/>
              </w:rPr>
              <w:t>–40</w:t>
            </w:r>
          </w:p>
        </w:tc>
      </w:tr>
      <w:tr w:rsidR="008C5253" w:rsidRPr="008C5253" w14:paraId="701AF91F" w14:textId="77777777" w:rsidTr="008C5253">
        <w:tc>
          <w:tcPr>
            <w:tcW w:w="0" w:type="auto"/>
            <w:hideMark/>
          </w:tcPr>
          <w:p w14:paraId="2C78476C" w14:textId="77777777" w:rsidR="008C5253" w:rsidRPr="008C5253" w:rsidRDefault="008C5253" w:rsidP="008C5253">
            <w:pPr>
              <w:spacing w:after="160" w:line="278" w:lineRule="auto"/>
              <w:rPr>
                <w:rFonts w:ascii="Arial" w:hAnsi="Arial" w:cs="Arial"/>
              </w:rPr>
            </w:pPr>
            <w:r w:rsidRPr="008C5253">
              <w:rPr>
                <w:rFonts w:ascii="Arial" w:hAnsi="Arial" w:cs="Arial"/>
              </w:rPr>
              <w:t>1</w:t>
            </w:r>
          </w:p>
        </w:tc>
        <w:tc>
          <w:tcPr>
            <w:tcW w:w="0" w:type="auto"/>
            <w:hideMark/>
          </w:tcPr>
          <w:p w14:paraId="1D58BB6D"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r>
      <w:tr w:rsidR="008C5253" w:rsidRPr="008C5253" w14:paraId="22584ED0" w14:textId="77777777" w:rsidTr="008C5253">
        <w:tc>
          <w:tcPr>
            <w:tcW w:w="0" w:type="auto"/>
            <w:hideMark/>
          </w:tcPr>
          <w:p w14:paraId="55D400C3" w14:textId="77777777" w:rsidR="008C5253" w:rsidRPr="008C5253" w:rsidRDefault="008C5253" w:rsidP="008C5253">
            <w:pPr>
              <w:spacing w:after="160" w:line="278" w:lineRule="auto"/>
              <w:rPr>
                <w:rFonts w:ascii="Arial" w:hAnsi="Arial" w:cs="Arial"/>
              </w:rPr>
            </w:pPr>
            <w:r w:rsidRPr="008C5253">
              <w:rPr>
                <w:rFonts w:ascii="Arial" w:hAnsi="Arial" w:cs="Arial"/>
              </w:rPr>
              <w:t>2</w:t>
            </w:r>
          </w:p>
        </w:tc>
        <w:tc>
          <w:tcPr>
            <w:tcW w:w="0" w:type="auto"/>
            <w:hideMark/>
          </w:tcPr>
          <w:p w14:paraId="412E2543" w14:textId="77777777" w:rsidR="008C5253" w:rsidRPr="008C5253" w:rsidRDefault="008C5253" w:rsidP="008C5253">
            <w:pPr>
              <w:spacing w:after="160" w:line="278" w:lineRule="auto"/>
              <w:rPr>
                <w:rFonts w:ascii="Arial" w:hAnsi="Arial" w:cs="Arial"/>
              </w:rPr>
            </w:pPr>
            <w:r w:rsidRPr="008C5253">
              <w:rPr>
                <w:rFonts w:ascii="Arial" w:hAnsi="Arial" w:cs="Arial"/>
              </w:rPr>
              <w:t>12</w:t>
            </w:r>
          </w:p>
        </w:tc>
      </w:tr>
      <w:tr w:rsidR="008C5253" w:rsidRPr="008C5253" w14:paraId="49063443" w14:textId="77777777" w:rsidTr="008C5253">
        <w:tc>
          <w:tcPr>
            <w:tcW w:w="0" w:type="auto"/>
            <w:hideMark/>
          </w:tcPr>
          <w:p w14:paraId="30D44260" w14:textId="77777777" w:rsidR="008C5253" w:rsidRPr="008C5253" w:rsidRDefault="008C5253" w:rsidP="008C5253">
            <w:pPr>
              <w:spacing w:after="160" w:line="278" w:lineRule="auto"/>
              <w:rPr>
                <w:rFonts w:ascii="Arial" w:hAnsi="Arial" w:cs="Arial"/>
              </w:rPr>
            </w:pPr>
            <w:r w:rsidRPr="008C5253">
              <w:rPr>
                <w:rFonts w:ascii="Arial" w:hAnsi="Arial" w:cs="Arial"/>
              </w:rPr>
              <w:t>3</w:t>
            </w:r>
          </w:p>
        </w:tc>
        <w:tc>
          <w:tcPr>
            <w:tcW w:w="0" w:type="auto"/>
            <w:hideMark/>
          </w:tcPr>
          <w:p w14:paraId="5A033B49" w14:textId="77777777" w:rsidR="008C5253" w:rsidRPr="008C5253" w:rsidRDefault="008C5253" w:rsidP="008C5253">
            <w:pPr>
              <w:spacing w:after="160" w:line="278" w:lineRule="auto"/>
              <w:rPr>
                <w:rFonts w:ascii="Arial" w:hAnsi="Arial" w:cs="Arial"/>
              </w:rPr>
            </w:pPr>
            <w:r w:rsidRPr="008C5253">
              <w:rPr>
                <w:rFonts w:ascii="Arial" w:hAnsi="Arial" w:cs="Arial"/>
              </w:rPr>
              <w:t>14</w:t>
            </w:r>
          </w:p>
        </w:tc>
      </w:tr>
      <w:tr w:rsidR="008C5253" w:rsidRPr="008C5253" w14:paraId="56AAEC9C" w14:textId="77777777" w:rsidTr="008C5253">
        <w:tc>
          <w:tcPr>
            <w:tcW w:w="0" w:type="auto"/>
            <w:hideMark/>
          </w:tcPr>
          <w:p w14:paraId="0E0FD8E4" w14:textId="77777777" w:rsidR="008C5253" w:rsidRPr="008C5253" w:rsidRDefault="008C5253" w:rsidP="008C5253">
            <w:pPr>
              <w:spacing w:after="160" w:line="278" w:lineRule="auto"/>
              <w:rPr>
                <w:rFonts w:ascii="Arial" w:hAnsi="Arial" w:cs="Arial"/>
              </w:rPr>
            </w:pPr>
            <w:r w:rsidRPr="008C5253">
              <w:rPr>
                <w:rFonts w:ascii="Arial" w:hAnsi="Arial" w:cs="Arial"/>
              </w:rPr>
              <w:t>4</w:t>
            </w:r>
          </w:p>
        </w:tc>
        <w:tc>
          <w:tcPr>
            <w:tcW w:w="0" w:type="auto"/>
            <w:hideMark/>
          </w:tcPr>
          <w:p w14:paraId="1100618C"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r>
      <w:tr w:rsidR="008C5253" w:rsidRPr="008C5253" w14:paraId="475257E0" w14:textId="77777777" w:rsidTr="008C5253">
        <w:tc>
          <w:tcPr>
            <w:tcW w:w="0" w:type="auto"/>
            <w:hideMark/>
          </w:tcPr>
          <w:p w14:paraId="7643F1B6"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279CD98A" w14:textId="77777777" w:rsidR="008C5253" w:rsidRPr="008C5253" w:rsidRDefault="008C5253" w:rsidP="008C5253">
            <w:pPr>
              <w:spacing w:after="160" w:line="278" w:lineRule="auto"/>
              <w:rPr>
                <w:rFonts w:ascii="Arial" w:hAnsi="Arial" w:cs="Arial"/>
              </w:rPr>
            </w:pPr>
            <w:r w:rsidRPr="008C5253">
              <w:rPr>
                <w:rFonts w:ascii="Arial" w:hAnsi="Arial" w:cs="Arial"/>
              </w:rPr>
              <w:t>8</w:t>
            </w:r>
          </w:p>
        </w:tc>
      </w:tr>
    </w:tbl>
    <w:p w14:paraId="3D0216EC" w14:textId="0C9DB299" w:rsidR="008C5253" w:rsidRPr="008C5253" w:rsidRDefault="008C5253" w:rsidP="008C5253">
      <w:pPr>
        <w:rPr>
          <w:rFonts w:ascii="Arial" w:hAnsi="Arial" w:cs="Arial"/>
        </w:rPr>
      </w:pPr>
    </w:p>
    <w:p w14:paraId="143640D1" w14:textId="1B64FF2A" w:rsidR="008C5253" w:rsidRPr="008C5253" w:rsidRDefault="008C5253" w:rsidP="008C5253">
      <w:pPr>
        <w:rPr>
          <w:rFonts w:ascii="Arial" w:hAnsi="Arial" w:cs="Arial"/>
          <w:b/>
          <w:bCs/>
        </w:rPr>
      </w:pPr>
      <w:r w:rsidRPr="008C5253">
        <w:rPr>
          <w:rFonts w:ascii="Arial" w:hAnsi="Arial" w:cs="Arial"/>
          <w:b/>
          <w:bCs/>
        </w:rPr>
        <w:t>NPV at 10%</w:t>
      </w:r>
    </w:p>
    <w:tbl>
      <w:tblPr>
        <w:tblStyle w:val="TableGrid"/>
        <w:tblW w:w="0" w:type="auto"/>
        <w:tblLook w:val="04A0" w:firstRow="1" w:lastRow="0" w:firstColumn="1" w:lastColumn="0" w:noHBand="0" w:noVBand="1"/>
      </w:tblPr>
      <w:tblGrid>
        <w:gridCol w:w="724"/>
        <w:gridCol w:w="617"/>
        <w:gridCol w:w="1317"/>
        <w:gridCol w:w="951"/>
      </w:tblGrid>
      <w:tr w:rsidR="008C5253" w:rsidRPr="008C5253" w14:paraId="0DE09D3C" w14:textId="77777777" w:rsidTr="008C5253">
        <w:tc>
          <w:tcPr>
            <w:tcW w:w="0" w:type="auto"/>
            <w:hideMark/>
          </w:tcPr>
          <w:p w14:paraId="006146AE"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Year</w:t>
            </w:r>
          </w:p>
        </w:tc>
        <w:tc>
          <w:tcPr>
            <w:tcW w:w="0" w:type="auto"/>
            <w:hideMark/>
          </w:tcPr>
          <w:p w14:paraId="2EE12FE5"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CF</w:t>
            </w:r>
          </w:p>
        </w:tc>
        <w:tc>
          <w:tcPr>
            <w:tcW w:w="0" w:type="auto"/>
            <w:hideMark/>
          </w:tcPr>
          <w:p w14:paraId="0FF71DE4" w14:textId="77777777" w:rsidR="008C5253" w:rsidRPr="008C5253" w:rsidRDefault="008C5253" w:rsidP="008C5253">
            <w:pPr>
              <w:spacing w:after="160" w:line="278" w:lineRule="auto"/>
              <w:rPr>
                <w:rFonts w:ascii="Arial" w:hAnsi="Arial" w:cs="Arial"/>
                <w:b/>
                <w:bCs/>
              </w:rPr>
            </w:pPr>
            <w:proofErr w:type="gramStart"/>
            <w:r w:rsidRPr="008C5253">
              <w:rPr>
                <w:rFonts w:ascii="Arial" w:hAnsi="Arial" w:cs="Arial"/>
                <w:b/>
                <w:bCs/>
              </w:rPr>
              <w:t>DF @</w:t>
            </w:r>
            <w:proofErr w:type="gramEnd"/>
            <w:r w:rsidRPr="008C5253">
              <w:rPr>
                <w:rFonts w:ascii="Arial" w:hAnsi="Arial" w:cs="Arial"/>
                <w:b/>
                <w:bCs/>
              </w:rPr>
              <w:t>10%</w:t>
            </w:r>
          </w:p>
        </w:tc>
        <w:tc>
          <w:tcPr>
            <w:tcW w:w="0" w:type="auto"/>
            <w:hideMark/>
          </w:tcPr>
          <w:p w14:paraId="16427073"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PV</w:t>
            </w:r>
          </w:p>
        </w:tc>
      </w:tr>
      <w:tr w:rsidR="008C5253" w:rsidRPr="008C5253" w14:paraId="2434E57D" w14:textId="77777777" w:rsidTr="008C5253">
        <w:tc>
          <w:tcPr>
            <w:tcW w:w="0" w:type="auto"/>
            <w:hideMark/>
          </w:tcPr>
          <w:p w14:paraId="7CFCB5C6" w14:textId="77777777" w:rsidR="008C5253" w:rsidRPr="008C5253" w:rsidRDefault="008C5253" w:rsidP="008C5253">
            <w:pPr>
              <w:spacing w:after="160" w:line="278" w:lineRule="auto"/>
              <w:rPr>
                <w:rFonts w:ascii="Arial" w:hAnsi="Arial" w:cs="Arial"/>
              </w:rPr>
            </w:pPr>
            <w:r w:rsidRPr="008C5253">
              <w:rPr>
                <w:rFonts w:ascii="Arial" w:hAnsi="Arial" w:cs="Arial"/>
              </w:rPr>
              <w:t>0</w:t>
            </w:r>
          </w:p>
        </w:tc>
        <w:tc>
          <w:tcPr>
            <w:tcW w:w="0" w:type="auto"/>
            <w:hideMark/>
          </w:tcPr>
          <w:p w14:paraId="05D668DD" w14:textId="77777777" w:rsidR="008C5253" w:rsidRPr="008C5253" w:rsidRDefault="008C5253" w:rsidP="008C5253">
            <w:pPr>
              <w:spacing w:after="160" w:line="278" w:lineRule="auto"/>
              <w:rPr>
                <w:rFonts w:ascii="Arial" w:hAnsi="Arial" w:cs="Arial"/>
              </w:rPr>
            </w:pPr>
            <w:r w:rsidRPr="008C5253">
              <w:rPr>
                <w:rFonts w:ascii="Arial" w:hAnsi="Arial" w:cs="Arial"/>
              </w:rPr>
              <w:t>–40</w:t>
            </w:r>
          </w:p>
        </w:tc>
        <w:tc>
          <w:tcPr>
            <w:tcW w:w="0" w:type="auto"/>
            <w:hideMark/>
          </w:tcPr>
          <w:p w14:paraId="0D81AA8C" w14:textId="77777777" w:rsidR="008C5253" w:rsidRPr="008C5253" w:rsidRDefault="008C5253" w:rsidP="008C5253">
            <w:pPr>
              <w:spacing w:after="160" w:line="278" w:lineRule="auto"/>
              <w:rPr>
                <w:rFonts w:ascii="Arial" w:hAnsi="Arial" w:cs="Arial"/>
              </w:rPr>
            </w:pPr>
            <w:r w:rsidRPr="008C5253">
              <w:rPr>
                <w:rFonts w:ascii="Arial" w:hAnsi="Arial" w:cs="Arial"/>
              </w:rPr>
              <w:t>1.000</w:t>
            </w:r>
          </w:p>
        </w:tc>
        <w:tc>
          <w:tcPr>
            <w:tcW w:w="0" w:type="auto"/>
            <w:hideMark/>
          </w:tcPr>
          <w:p w14:paraId="4278828B" w14:textId="77777777" w:rsidR="008C5253" w:rsidRPr="008C5253" w:rsidRDefault="008C5253" w:rsidP="008C5253">
            <w:pPr>
              <w:spacing w:after="160" w:line="278" w:lineRule="auto"/>
              <w:rPr>
                <w:rFonts w:ascii="Arial" w:hAnsi="Arial" w:cs="Arial"/>
              </w:rPr>
            </w:pPr>
            <w:r w:rsidRPr="008C5253">
              <w:rPr>
                <w:rFonts w:ascii="Arial" w:hAnsi="Arial" w:cs="Arial"/>
              </w:rPr>
              <w:t>–40.00</w:t>
            </w:r>
          </w:p>
        </w:tc>
      </w:tr>
      <w:tr w:rsidR="008C5253" w:rsidRPr="008C5253" w14:paraId="3E4205EB" w14:textId="77777777" w:rsidTr="008C5253">
        <w:tc>
          <w:tcPr>
            <w:tcW w:w="0" w:type="auto"/>
            <w:hideMark/>
          </w:tcPr>
          <w:p w14:paraId="1C54C1D5" w14:textId="77777777" w:rsidR="008C5253" w:rsidRPr="008C5253" w:rsidRDefault="008C5253" w:rsidP="008C5253">
            <w:pPr>
              <w:spacing w:after="160" w:line="278" w:lineRule="auto"/>
              <w:rPr>
                <w:rFonts w:ascii="Arial" w:hAnsi="Arial" w:cs="Arial"/>
              </w:rPr>
            </w:pPr>
            <w:r w:rsidRPr="008C5253">
              <w:rPr>
                <w:rFonts w:ascii="Arial" w:hAnsi="Arial" w:cs="Arial"/>
              </w:rPr>
              <w:t>1</w:t>
            </w:r>
          </w:p>
        </w:tc>
        <w:tc>
          <w:tcPr>
            <w:tcW w:w="0" w:type="auto"/>
            <w:hideMark/>
          </w:tcPr>
          <w:p w14:paraId="7A9CBE8C"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c>
          <w:tcPr>
            <w:tcW w:w="0" w:type="auto"/>
            <w:hideMark/>
          </w:tcPr>
          <w:p w14:paraId="6A470D93" w14:textId="77777777" w:rsidR="008C5253" w:rsidRPr="008C5253" w:rsidRDefault="008C5253" w:rsidP="008C5253">
            <w:pPr>
              <w:spacing w:after="160" w:line="278" w:lineRule="auto"/>
              <w:rPr>
                <w:rFonts w:ascii="Arial" w:hAnsi="Arial" w:cs="Arial"/>
              </w:rPr>
            </w:pPr>
            <w:r w:rsidRPr="008C5253">
              <w:rPr>
                <w:rFonts w:ascii="Arial" w:hAnsi="Arial" w:cs="Arial"/>
              </w:rPr>
              <w:t>0.909</w:t>
            </w:r>
          </w:p>
        </w:tc>
        <w:tc>
          <w:tcPr>
            <w:tcW w:w="0" w:type="auto"/>
            <w:hideMark/>
          </w:tcPr>
          <w:p w14:paraId="42E09F09" w14:textId="77777777" w:rsidR="008C5253" w:rsidRPr="008C5253" w:rsidRDefault="008C5253" w:rsidP="008C5253">
            <w:pPr>
              <w:spacing w:after="160" w:line="278" w:lineRule="auto"/>
              <w:rPr>
                <w:rFonts w:ascii="Arial" w:hAnsi="Arial" w:cs="Arial"/>
              </w:rPr>
            </w:pPr>
            <w:r w:rsidRPr="008C5253">
              <w:rPr>
                <w:rFonts w:ascii="Arial" w:hAnsi="Arial" w:cs="Arial"/>
              </w:rPr>
              <w:t>9.09</w:t>
            </w:r>
          </w:p>
        </w:tc>
      </w:tr>
      <w:tr w:rsidR="008C5253" w:rsidRPr="008C5253" w14:paraId="007D6223" w14:textId="77777777" w:rsidTr="008C5253">
        <w:tc>
          <w:tcPr>
            <w:tcW w:w="0" w:type="auto"/>
            <w:hideMark/>
          </w:tcPr>
          <w:p w14:paraId="05E9E68F" w14:textId="77777777" w:rsidR="008C5253" w:rsidRPr="008C5253" w:rsidRDefault="008C5253" w:rsidP="008C5253">
            <w:pPr>
              <w:spacing w:after="160" w:line="278" w:lineRule="auto"/>
              <w:rPr>
                <w:rFonts w:ascii="Arial" w:hAnsi="Arial" w:cs="Arial"/>
              </w:rPr>
            </w:pPr>
            <w:r w:rsidRPr="008C5253">
              <w:rPr>
                <w:rFonts w:ascii="Arial" w:hAnsi="Arial" w:cs="Arial"/>
              </w:rPr>
              <w:lastRenderedPageBreak/>
              <w:t>2</w:t>
            </w:r>
          </w:p>
        </w:tc>
        <w:tc>
          <w:tcPr>
            <w:tcW w:w="0" w:type="auto"/>
            <w:hideMark/>
          </w:tcPr>
          <w:p w14:paraId="793EBBC9" w14:textId="77777777" w:rsidR="008C5253" w:rsidRPr="008C5253" w:rsidRDefault="008C5253" w:rsidP="008C5253">
            <w:pPr>
              <w:spacing w:after="160" w:line="278" w:lineRule="auto"/>
              <w:rPr>
                <w:rFonts w:ascii="Arial" w:hAnsi="Arial" w:cs="Arial"/>
              </w:rPr>
            </w:pPr>
            <w:r w:rsidRPr="008C5253">
              <w:rPr>
                <w:rFonts w:ascii="Arial" w:hAnsi="Arial" w:cs="Arial"/>
              </w:rPr>
              <w:t>12</w:t>
            </w:r>
          </w:p>
        </w:tc>
        <w:tc>
          <w:tcPr>
            <w:tcW w:w="0" w:type="auto"/>
            <w:hideMark/>
          </w:tcPr>
          <w:p w14:paraId="76B704ED" w14:textId="77777777" w:rsidR="008C5253" w:rsidRPr="008C5253" w:rsidRDefault="008C5253" w:rsidP="008C5253">
            <w:pPr>
              <w:spacing w:after="160" w:line="278" w:lineRule="auto"/>
              <w:rPr>
                <w:rFonts w:ascii="Arial" w:hAnsi="Arial" w:cs="Arial"/>
              </w:rPr>
            </w:pPr>
            <w:r w:rsidRPr="008C5253">
              <w:rPr>
                <w:rFonts w:ascii="Arial" w:hAnsi="Arial" w:cs="Arial"/>
              </w:rPr>
              <w:t>0.826</w:t>
            </w:r>
          </w:p>
        </w:tc>
        <w:tc>
          <w:tcPr>
            <w:tcW w:w="0" w:type="auto"/>
            <w:hideMark/>
          </w:tcPr>
          <w:p w14:paraId="6645027D" w14:textId="77777777" w:rsidR="008C5253" w:rsidRPr="008C5253" w:rsidRDefault="008C5253" w:rsidP="008C5253">
            <w:pPr>
              <w:spacing w:after="160" w:line="278" w:lineRule="auto"/>
              <w:rPr>
                <w:rFonts w:ascii="Arial" w:hAnsi="Arial" w:cs="Arial"/>
              </w:rPr>
            </w:pPr>
            <w:r w:rsidRPr="008C5253">
              <w:rPr>
                <w:rFonts w:ascii="Arial" w:hAnsi="Arial" w:cs="Arial"/>
              </w:rPr>
              <w:t>9.91</w:t>
            </w:r>
          </w:p>
        </w:tc>
      </w:tr>
      <w:tr w:rsidR="008C5253" w:rsidRPr="008C5253" w14:paraId="21D078F4" w14:textId="77777777" w:rsidTr="008C5253">
        <w:tc>
          <w:tcPr>
            <w:tcW w:w="0" w:type="auto"/>
            <w:hideMark/>
          </w:tcPr>
          <w:p w14:paraId="652A7B54" w14:textId="77777777" w:rsidR="008C5253" w:rsidRPr="008C5253" w:rsidRDefault="008C5253" w:rsidP="008C5253">
            <w:pPr>
              <w:spacing w:after="160" w:line="278" w:lineRule="auto"/>
              <w:rPr>
                <w:rFonts w:ascii="Arial" w:hAnsi="Arial" w:cs="Arial"/>
              </w:rPr>
            </w:pPr>
            <w:r w:rsidRPr="008C5253">
              <w:rPr>
                <w:rFonts w:ascii="Arial" w:hAnsi="Arial" w:cs="Arial"/>
              </w:rPr>
              <w:t>3</w:t>
            </w:r>
          </w:p>
        </w:tc>
        <w:tc>
          <w:tcPr>
            <w:tcW w:w="0" w:type="auto"/>
            <w:hideMark/>
          </w:tcPr>
          <w:p w14:paraId="29CA4293" w14:textId="77777777" w:rsidR="008C5253" w:rsidRPr="008C5253" w:rsidRDefault="008C5253" w:rsidP="008C5253">
            <w:pPr>
              <w:spacing w:after="160" w:line="278" w:lineRule="auto"/>
              <w:rPr>
                <w:rFonts w:ascii="Arial" w:hAnsi="Arial" w:cs="Arial"/>
              </w:rPr>
            </w:pPr>
            <w:r w:rsidRPr="008C5253">
              <w:rPr>
                <w:rFonts w:ascii="Arial" w:hAnsi="Arial" w:cs="Arial"/>
              </w:rPr>
              <w:t>14</w:t>
            </w:r>
          </w:p>
        </w:tc>
        <w:tc>
          <w:tcPr>
            <w:tcW w:w="0" w:type="auto"/>
            <w:hideMark/>
          </w:tcPr>
          <w:p w14:paraId="4F68C669" w14:textId="77777777" w:rsidR="008C5253" w:rsidRPr="008C5253" w:rsidRDefault="008C5253" w:rsidP="008C5253">
            <w:pPr>
              <w:spacing w:after="160" w:line="278" w:lineRule="auto"/>
              <w:rPr>
                <w:rFonts w:ascii="Arial" w:hAnsi="Arial" w:cs="Arial"/>
              </w:rPr>
            </w:pPr>
            <w:r w:rsidRPr="008C5253">
              <w:rPr>
                <w:rFonts w:ascii="Arial" w:hAnsi="Arial" w:cs="Arial"/>
              </w:rPr>
              <w:t>0.751</w:t>
            </w:r>
          </w:p>
        </w:tc>
        <w:tc>
          <w:tcPr>
            <w:tcW w:w="0" w:type="auto"/>
            <w:hideMark/>
          </w:tcPr>
          <w:p w14:paraId="01908F27" w14:textId="77777777" w:rsidR="008C5253" w:rsidRPr="008C5253" w:rsidRDefault="008C5253" w:rsidP="008C5253">
            <w:pPr>
              <w:spacing w:after="160" w:line="278" w:lineRule="auto"/>
              <w:rPr>
                <w:rFonts w:ascii="Arial" w:hAnsi="Arial" w:cs="Arial"/>
              </w:rPr>
            </w:pPr>
            <w:r w:rsidRPr="008C5253">
              <w:rPr>
                <w:rFonts w:ascii="Arial" w:hAnsi="Arial" w:cs="Arial"/>
              </w:rPr>
              <w:t>10.51</w:t>
            </w:r>
          </w:p>
        </w:tc>
      </w:tr>
      <w:tr w:rsidR="008C5253" w:rsidRPr="008C5253" w14:paraId="3491CEF1" w14:textId="77777777" w:rsidTr="008C5253">
        <w:tc>
          <w:tcPr>
            <w:tcW w:w="0" w:type="auto"/>
            <w:hideMark/>
          </w:tcPr>
          <w:p w14:paraId="55BCDB71" w14:textId="77777777" w:rsidR="008C5253" w:rsidRPr="008C5253" w:rsidRDefault="008C5253" w:rsidP="008C5253">
            <w:pPr>
              <w:spacing w:after="160" w:line="278" w:lineRule="auto"/>
              <w:rPr>
                <w:rFonts w:ascii="Arial" w:hAnsi="Arial" w:cs="Arial"/>
              </w:rPr>
            </w:pPr>
            <w:r w:rsidRPr="008C5253">
              <w:rPr>
                <w:rFonts w:ascii="Arial" w:hAnsi="Arial" w:cs="Arial"/>
              </w:rPr>
              <w:t>4</w:t>
            </w:r>
          </w:p>
        </w:tc>
        <w:tc>
          <w:tcPr>
            <w:tcW w:w="0" w:type="auto"/>
            <w:hideMark/>
          </w:tcPr>
          <w:p w14:paraId="493B693C"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c>
          <w:tcPr>
            <w:tcW w:w="0" w:type="auto"/>
            <w:hideMark/>
          </w:tcPr>
          <w:p w14:paraId="0741099A" w14:textId="77777777" w:rsidR="008C5253" w:rsidRPr="008C5253" w:rsidRDefault="008C5253" w:rsidP="008C5253">
            <w:pPr>
              <w:spacing w:after="160" w:line="278" w:lineRule="auto"/>
              <w:rPr>
                <w:rFonts w:ascii="Arial" w:hAnsi="Arial" w:cs="Arial"/>
              </w:rPr>
            </w:pPr>
            <w:r w:rsidRPr="008C5253">
              <w:rPr>
                <w:rFonts w:ascii="Arial" w:hAnsi="Arial" w:cs="Arial"/>
              </w:rPr>
              <w:t>0.683</w:t>
            </w:r>
          </w:p>
        </w:tc>
        <w:tc>
          <w:tcPr>
            <w:tcW w:w="0" w:type="auto"/>
            <w:hideMark/>
          </w:tcPr>
          <w:p w14:paraId="651A1483" w14:textId="77777777" w:rsidR="008C5253" w:rsidRPr="008C5253" w:rsidRDefault="008C5253" w:rsidP="008C5253">
            <w:pPr>
              <w:spacing w:after="160" w:line="278" w:lineRule="auto"/>
              <w:rPr>
                <w:rFonts w:ascii="Arial" w:hAnsi="Arial" w:cs="Arial"/>
              </w:rPr>
            </w:pPr>
            <w:r w:rsidRPr="008C5253">
              <w:rPr>
                <w:rFonts w:ascii="Arial" w:hAnsi="Arial" w:cs="Arial"/>
              </w:rPr>
              <w:t>6.83</w:t>
            </w:r>
          </w:p>
        </w:tc>
      </w:tr>
      <w:tr w:rsidR="008C5253" w:rsidRPr="008C5253" w14:paraId="26530F7A" w14:textId="77777777" w:rsidTr="008C5253">
        <w:tc>
          <w:tcPr>
            <w:tcW w:w="0" w:type="auto"/>
            <w:hideMark/>
          </w:tcPr>
          <w:p w14:paraId="58BCB5DC"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5A99AF9B" w14:textId="77777777" w:rsidR="008C5253" w:rsidRPr="008C5253" w:rsidRDefault="008C5253" w:rsidP="008C5253">
            <w:pPr>
              <w:spacing w:after="160" w:line="278" w:lineRule="auto"/>
              <w:rPr>
                <w:rFonts w:ascii="Arial" w:hAnsi="Arial" w:cs="Arial"/>
              </w:rPr>
            </w:pPr>
            <w:r w:rsidRPr="008C5253">
              <w:rPr>
                <w:rFonts w:ascii="Arial" w:hAnsi="Arial" w:cs="Arial"/>
              </w:rPr>
              <w:t>8</w:t>
            </w:r>
          </w:p>
        </w:tc>
        <w:tc>
          <w:tcPr>
            <w:tcW w:w="0" w:type="auto"/>
            <w:hideMark/>
          </w:tcPr>
          <w:p w14:paraId="54F2C2B8" w14:textId="77777777" w:rsidR="008C5253" w:rsidRPr="008C5253" w:rsidRDefault="008C5253" w:rsidP="008C5253">
            <w:pPr>
              <w:spacing w:after="160" w:line="278" w:lineRule="auto"/>
              <w:rPr>
                <w:rFonts w:ascii="Arial" w:hAnsi="Arial" w:cs="Arial"/>
              </w:rPr>
            </w:pPr>
            <w:r w:rsidRPr="008C5253">
              <w:rPr>
                <w:rFonts w:ascii="Arial" w:hAnsi="Arial" w:cs="Arial"/>
              </w:rPr>
              <w:t>0.621</w:t>
            </w:r>
          </w:p>
        </w:tc>
        <w:tc>
          <w:tcPr>
            <w:tcW w:w="0" w:type="auto"/>
            <w:hideMark/>
          </w:tcPr>
          <w:p w14:paraId="0024FEE4" w14:textId="77777777" w:rsidR="008C5253" w:rsidRPr="008C5253" w:rsidRDefault="008C5253" w:rsidP="008C5253">
            <w:pPr>
              <w:spacing w:after="160" w:line="278" w:lineRule="auto"/>
              <w:rPr>
                <w:rFonts w:ascii="Arial" w:hAnsi="Arial" w:cs="Arial"/>
              </w:rPr>
            </w:pPr>
            <w:r w:rsidRPr="008C5253">
              <w:rPr>
                <w:rFonts w:ascii="Arial" w:hAnsi="Arial" w:cs="Arial"/>
              </w:rPr>
              <w:t>4.97</w:t>
            </w:r>
          </w:p>
        </w:tc>
      </w:tr>
    </w:tbl>
    <w:p w14:paraId="5B8579F6" w14:textId="77777777" w:rsidR="008C5253" w:rsidRPr="008C5253" w:rsidRDefault="008C5253" w:rsidP="008C5253">
      <w:pPr>
        <w:rPr>
          <w:rFonts w:ascii="Arial" w:hAnsi="Arial" w:cs="Arial"/>
        </w:rPr>
      </w:pPr>
      <w:r w:rsidRPr="008C5253">
        <w:rPr>
          <w:rFonts w:ascii="Arial" w:hAnsi="Arial" w:cs="Arial"/>
          <w:b/>
          <w:bCs/>
        </w:rPr>
        <w:t>Total PV inflows = 41.31</w:t>
      </w:r>
    </w:p>
    <w:p w14:paraId="2AA4B4E6" w14:textId="73835AF4" w:rsidR="008C5253" w:rsidRPr="008C5253" w:rsidRDefault="008C5253" w:rsidP="008C5253">
      <w:pPr>
        <w:rPr>
          <w:rFonts w:ascii="Arial" w:hAnsi="Arial" w:cs="Arial"/>
        </w:rPr>
      </w:pPr>
      <m:oMathPara>
        <m:oMath>
          <m:r>
            <w:rPr>
              <w:rFonts w:ascii="Cambria Math" w:hAnsi="Cambria Math" w:cs="Arial"/>
            </w:rPr>
            <m:t>NP</m:t>
          </m:r>
          <m:sSub>
            <m:sSubPr>
              <m:ctrlPr>
                <w:rPr>
                  <w:rFonts w:ascii="Cambria Math" w:hAnsi="Cambria Math" w:cs="Arial"/>
                </w:rPr>
              </m:ctrlPr>
            </m:sSubPr>
            <m:e>
              <m:r>
                <w:rPr>
                  <w:rFonts w:ascii="Cambria Math" w:hAnsi="Cambria Math" w:cs="Arial"/>
                </w:rPr>
                <m:t>V</m:t>
              </m:r>
            </m:e>
            <m:sub>
              <m:r>
                <w:rPr>
                  <w:rFonts w:ascii="Cambria Math" w:hAnsi="Cambria Math" w:cs="Arial"/>
                </w:rPr>
                <m:t>10</m:t>
              </m:r>
              <m:r>
                <m:rPr>
                  <m:sty m:val="p"/>
                </m:rPr>
                <w:rPr>
                  <w:rFonts w:ascii="Cambria Math" w:hAnsi="Cambria Math" w:cs="Arial"/>
                </w:rPr>
                <m:t>%</m:t>
              </m:r>
            </m:sub>
          </m:sSub>
          <m:r>
            <w:rPr>
              <w:rFonts w:ascii="Cambria Math" w:hAnsi="Cambria Math" w:cs="Arial"/>
            </w:rPr>
            <m:t>=41.31-40=+</m:t>
          </m:r>
          <m:r>
            <m:rPr>
              <m:sty m:val="b"/>
            </m:rPr>
            <w:rPr>
              <w:rFonts w:ascii="Cambria Math" w:hAnsi="Cambria Math" w:cs="Arial"/>
            </w:rPr>
            <m:t>1.31</m:t>
          </m:r>
          <m:r>
            <m:rPr>
              <m:sty m:val="p"/>
            </m:rPr>
            <w:rPr>
              <w:rFonts w:ascii="Cambria Math" w:hAnsi="Cambria Math" w:cs="Arial"/>
            </w:rPr>
            <w:br/>
          </m:r>
        </m:oMath>
      </m:oMathPara>
    </w:p>
    <w:p w14:paraId="60B5DECD" w14:textId="7AD5FFE4" w:rsidR="008C5253" w:rsidRPr="008C5253" w:rsidRDefault="008C5253" w:rsidP="008C5253">
      <w:pPr>
        <w:rPr>
          <w:rFonts w:ascii="Arial" w:hAnsi="Arial" w:cs="Arial"/>
        </w:rPr>
      </w:pPr>
      <w:r w:rsidRPr="008C5253">
        <w:rPr>
          <w:rFonts w:ascii="Arial" w:hAnsi="Arial" w:cs="Arial"/>
          <w:b/>
          <w:bCs/>
        </w:rPr>
        <w:t>NPV at 12%</w:t>
      </w:r>
    </w:p>
    <w:tbl>
      <w:tblPr>
        <w:tblStyle w:val="TableGrid"/>
        <w:tblW w:w="0" w:type="auto"/>
        <w:tblLook w:val="04A0" w:firstRow="1" w:lastRow="0" w:firstColumn="1" w:lastColumn="0" w:noHBand="0" w:noVBand="1"/>
      </w:tblPr>
      <w:tblGrid>
        <w:gridCol w:w="724"/>
        <w:gridCol w:w="536"/>
        <w:gridCol w:w="1317"/>
        <w:gridCol w:w="684"/>
      </w:tblGrid>
      <w:tr w:rsidR="008C5253" w:rsidRPr="008C5253" w14:paraId="453103D5" w14:textId="77777777" w:rsidTr="008C5253">
        <w:tc>
          <w:tcPr>
            <w:tcW w:w="0" w:type="auto"/>
            <w:hideMark/>
          </w:tcPr>
          <w:p w14:paraId="3C315828"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Year</w:t>
            </w:r>
          </w:p>
        </w:tc>
        <w:tc>
          <w:tcPr>
            <w:tcW w:w="0" w:type="auto"/>
            <w:hideMark/>
          </w:tcPr>
          <w:p w14:paraId="4C0FCFC5"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CF</w:t>
            </w:r>
          </w:p>
        </w:tc>
        <w:tc>
          <w:tcPr>
            <w:tcW w:w="0" w:type="auto"/>
            <w:hideMark/>
          </w:tcPr>
          <w:p w14:paraId="15A29F39" w14:textId="77777777" w:rsidR="008C5253" w:rsidRPr="008C5253" w:rsidRDefault="008C5253" w:rsidP="008C5253">
            <w:pPr>
              <w:spacing w:after="160" w:line="278" w:lineRule="auto"/>
              <w:rPr>
                <w:rFonts w:ascii="Arial" w:hAnsi="Arial" w:cs="Arial"/>
                <w:b/>
                <w:bCs/>
              </w:rPr>
            </w:pPr>
            <w:proofErr w:type="gramStart"/>
            <w:r w:rsidRPr="008C5253">
              <w:rPr>
                <w:rFonts w:ascii="Arial" w:hAnsi="Arial" w:cs="Arial"/>
                <w:b/>
                <w:bCs/>
              </w:rPr>
              <w:t>DF @</w:t>
            </w:r>
            <w:proofErr w:type="gramEnd"/>
            <w:r w:rsidRPr="008C5253">
              <w:rPr>
                <w:rFonts w:ascii="Arial" w:hAnsi="Arial" w:cs="Arial"/>
                <w:b/>
                <w:bCs/>
              </w:rPr>
              <w:t>12%</w:t>
            </w:r>
          </w:p>
        </w:tc>
        <w:tc>
          <w:tcPr>
            <w:tcW w:w="0" w:type="auto"/>
            <w:hideMark/>
          </w:tcPr>
          <w:p w14:paraId="1AC2FB57"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PV</w:t>
            </w:r>
          </w:p>
        </w:tc>
      </w:tr>
      <w:tr w:rsidR="008C5253" w:rsidRPr="008C5253" w14:paraId="4AECC9CA" w14:textId="77777777" w:rsidTr="008C5253">
        <w:tc>
          <w:tcPr>
            <w:tcW w:w="0" w:type="auto"/>
            <w:hideMark/>
          </w:tcPr>
          <w:p w14:paraId="046CEA4F" w14:textId="77777777" w:rsidR="008C5253" w:rsidRPr="008C5253" w:rsidRDefault="008C5253" w:rsidP="008C5253">
            <w:pPr>
              <w:spacing w:after="160" w:line="278" w:lineRule="auto"/>
              <w:rPr>
                <w:rFonts w:ascii="Arial" w:hAnsi="Arial" w:cs="Arial"/>
              </w:rPr>
            </w:pPr>
            <w:r w:rsidRPr="008C5253">
              <w:rPr>
                <w:rFonts w:ascii="Arial" w:hAnsi="Arial" w:cs="Arial"/>
              </w:rPr>
              <w:t>1</w:t>
            </w:r>
          </w:p>
        </w:tc>
        <w:tc>
          <w:tcPr>
            <w:tcW w:w="0" w:type="auto"/>
            <w:hideMark/>
          </w:tcPr>
          <w:p w14:paraId="616589B3"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c>
          <w:tcPr>
            <w:tcW w:w="0" w:type="auto"/>
            <w:hideMark/>
          </w:tcPr>
          <w:p w14:paraId="0F60904A" w14:textId="77777777" w:rsidR="008C5253" w:rsidRPr="008C5253" w:rsidRDefault="008C5253" w:rsidP="008C5253">
            <w:pPr>
              <w:spacing w:after="160" w:line="278" w:lineRule="auto"/>
              <w:rPr>
                <w:rFonts w:ascii="Arial" w:hAnsi="Arial" w:cs="Arial"/>
              </w:rPr>
            </w:pPr>
            <w:r w:rsidRPr="008C5253">
              <w:rPr>
                <w:rFonts w:ascii="Arial" w:hAnsi="Arial" w:cs="Arial"/>
              </w:rPr>
              <w:t>0.893</w:t>
            </w:r>
          </w:p>
        </w:tc>
        <w:tc>
          <w:tcPr>
            <w:tcW w:w="0" w:type="auto"/>
            <w:hideMark/>
          </w:tcPr>
          <w:p w14:paraId="068C2ED1" w14:textId="77777777" w:rsidR="008C5253" w:rsidRPr="008C5253" w:rsidRDefault="008C5253" w:rsidP="008C5253">
            <w:pPr>
              <w:spacing w:after="160" w:line="278" w:lineRule="auto"/>
              <w:rPr>
                <w:rFonts w:ascii="Arial" w:hAnsi="Arial" w:cs="Arial"/>
              </w:rPr>
            </w:pPr>
            <w:r w:rsidRPr="008C5253">
              <w:rPr>
                <w:rFonts w:ascii="Arial" w:hAnsi="Arial" w:cs="Arial"/>
              </w:rPr>
              <w:t>8.93</w:t>
            </w:r>
          </w:p>
        </w:tc>
      </w:tr>
      <w:tr w:rsidR="008C5253" w:rsidRPr="008C5253" w14:paraId="56228F29" w14:textId="77777777" w:rsidTr="008C5253">
        <w:tc>
          <w:tcPr>
            <w:tcW w:w="0" w:type="auto"/>
            <w:hideMark/>
          </w:tcPr>
          <w:p w14:paraId="79061742" w14:textId="77777777" w:rsidR="008C5253" w:rsidRPr="008C5253" w:rsidRDefault="008C5253" w:rsidP="008C5253">
            <w:pPr>
              <w:spacing w:after="160" w:line="278" w:lineRule="auto"/>
              <w:rPr>
                <w:rFonts w:ascii="Arial" w:hAnsi="Arial" w:cs="Arial"/>
              </w:rPr>
            </w:pPr>
            <w:r w:rsidRPr="008C5253">
              <w:rPr>
                <w:rFonts w:ascii="Arial" w:hAnsi="Arial" w:cs="Arial"/>
              </w:rPr>
              <w:t>2</w:t>
            </w:r>
          </w:p>
        </w:tc>
        <w:tc>
          <w:tcPr>
            <w:tcW w:w="0" w:type="auto"/>
            <w:hideMark/>
          </w:tcPr>
          <w:p w14:paraId="79B726C0" w14:textId="77777777" w:rsidR="008C5253" w:rsidRPr="008C5253" w:rsidRDefault="008C5253" w:rsidP="008C5253">
            <w:pPr>
              <w:spacing w:after="160" w:line="278" w:lineRule="auto"/>
              <w:rPr>
                <w:rFonts w:ascii="Arial" w:hAnsi="Arial" w:cs="Arial"/>
              </w:rPr>
            </w:pPr>
            <w:r w:rsidRPr="008C5253">
              <w:rPr>
                <w:rFonts w:ascii="Arial" w:hAnsi="Arial" w:cs="Arial"/>
              </w:rPr>
              <w:t>12</w:t>
            </w:r>
          </w:p>
        </w:tc>
        <w:tc>
          <w:tcPr>
            <w:tcW w:w="0" w:type="auto"/>
            <w:hideMark/>
          </w:tcPr>
          <w:p w14:paraId="0256839F" w14:textId="77777777" w:rsidR="008C5253" w:rsidRPr="008C5253" w:rsidRDefault="008C5253" w:rsidP="008C5253">
            <w:pPr>
              <w:spacing w:after="160" w:line="278" w:lineRule="auto"/>
              <w:rPr>
                <w:rFonts w:ascii="Arial" w:hAnsi="Arial" w:cs="Arial"/>
              </w:rPr>
            </w:pPr>
            <w:r w:rsidRPr="008C5253">
              <w:rPr>
                <w:rFonts w:ascii="Arial" w:hAnsi="Arial" w:cs="Arial"/>
              </w:rPr>
              <w:t>0.797</w:t>
            </w:r>
          </w:p>
        </w:tc>
        <w:tc>
          <w:tcPr>
            <w:tcW w:w="0" w:type="auto"/>
            <w:hideMark/>
          </w:tcPr>
          <w:p w14:paraId="4C042594" w14:textId="77777777" w:rsidR="008C5253" w:rsidRPr="008C5253" w:rsidRDefault="008C5253" w:rsidP="008C5253">
            <w:pPr>
              <w:spacing w:after="160" w:line="278" w:lineRule="auto"/>
              <w:rPr>
                <w:rFonts w:ascii="Arial" w:hAnsi="Arial" w:cs="Arial"/>
              </w:rPr>
            </w:pPr>
            <w:r w:rsidRPr="008C5253">
              <w:rPr>
                <w:rFonts w:ascii="Arial" w:hAnsi="Arial" w:cs="Arial"/>
              </w:rPr>
              <w:t>9.56</w:t>
            </w:r>
          </w:p>
        </w:tc>
      </w:tr>
      <w:tr w:rsidR="008C5253" w:rsidRPr="008C5253" w14:paraId="5350619F" w14:textId="77777777" w:rsidTr="008C5253">
        <w:tc>
          <w:tcPr>
            <w:tcW w:w="0" w:type="auto"/>
            <w:hideMark/>
          </w:tcPr>
          <w:p w14:paraId="06DAF40F" w14:textId="77777777" w:rsidR="008C5253" w:rsidRPr="008C5253" w:rsidRDefault="008C5253" w:rsidP="008C5253">
            <w:pPr>
              <w:spacing w:after="160" w:line="278" w:lineRule="auto"/>
              <w:rPr>
                <w:rFonts w:ascii="Arial" w:hAnsi="Arial" w:cs="Arial"/>
              </w:rPr>
            </w:pPr>
            <w:r w:rsidRPr="008C5253">
              <w:rPr>
                <w:rFonts w:ascii="Arial" w:hAnsi="Arial" w:cs="Arial"/>
              </w:rPr>
              <w:t>3</w:t>
            </w:r>
          </w:p>
        </w:tc>
        <w:tc>
          <w:tcPr>
            <w:tcW w:w="0" w:type="auto"/>
            <w:hideMark/>
          </w:tcPr>
          <w:p w14:paraId="18D1A6F6" w14:textId="77777777" w:rsidR="008C5253" w:rsidRPr="008C5253" w:rsidRDefault="008C5253" w:rsidP="008C5253">
            <w:pPr>
              <w:spacing w:after="160" w:line="278" w:lineRule="auto"/>
              <w:rPr>
                <w:rFonts w:ascii="Arial" w:hAnsi="Arial" w:cs="Arial"/>
              </w:rPr>
            </w:pPr>
            <w:r w:rsidRPr="008C5253">
              <w:rPr>
                <w:rFonts w:ascii="Arial" w:hAnsi="Arial" w:cs="Arial"/>
              </w:rPr>
              <w:t>14</w:t>
            </w:r>
          </w:p>
        </w:tc>
        <w:tc>
          <w:tcPr>
            <w:tcW w:w="0" w:type="auto"/>
            <w:hideMark/>
          </w:tcPr>
          <w:p w14:paraId="3DFEF818" w14:textId="77777777" w:rsidR="008C5253" w:rsidRPr="008C5253" w:rsidRDefault="008C5253" w:rsidP="008C5253">
            <w:pPr>
              <w:spacing w:after="160" w:line="278" w:lineRule="auto"/>
              <w:rPr>
                <w:rFonts w:ascii="Arial" w:hAnsi="Arial" w:cs="Arial"/>
              </w:rPr>
            </w:pPr>
            <w:r w:rsidRPr="008C5253">
              <w:rPr>
                <w:rFonts w:ascii="Arial" w:hAnsi="Arial" w:cs="Arial"/>
              </w:rPr>
              <w:t>0.712</w:t>
            </w:r>
          </w:p>
        </w:tc>
        <w:tc>
          <w:tcPr>
            <w:tcW w:w="0" w:type="auto"/>
            <w:hideMark/>
          </w:tcPr>
          <w:p w14:paraId="79808A8E" w14:textId="77777777" w:rsidR="008C5253" w:rsidRPr="008C5253" w:rsidRDefault="008C5253" w:rsidP="008C5253">
            <w:pPr>
              <w:spacing w:after="160" w:line="278" w:lineRule="auto"/>
              <w:rPr>
                <w:rFonts w:ascii="Arial" w:hAnsi="Arial" w:cs="Arial"/>
              </w:rPr>
            </w:pPr>
            <w:r w:rsidRPr="008C5253">
              <w:rPr>
                <w:rFonts w:ascii="Arial" w:hAnsi="Arial" w:cs="Arial"/>
              </w:rPr>
              <w:t>9.97</w:t>
            </w:r>
          </w:p>
        </w:tc>
      </w:tr>
      <w:tr w:rsidR="008C5253" w:rsidRPr="008C5253" w14:paraId="77816EF2" w14:textId="77777777" w:rsidTr="008C5253">
        <w:tc>
          <w:tcPr>
            <w:tcW w:w="0" w:type="auto"/>
            <w:hideMark/>
          </w:tcPr>
          <w:p w14:paraId="4DBDEA4D" w14:textId="77777777" w:rsidR="008C5253" w:rsidRPr="008C5253" w:rsidRDefault="008C5253" w:rsidP="008C5253">
            <w:pPr>
              <w:spacing w:after="160" w:line="278" w:lineRule="auto"/>
              <w:rPr>
                <w:rFonts w:ascii="Arial" w:hAnsi="Arial" w:cs="Arial"/>
              </w:rPr>
            </w:pPr>
            <w:r w:rsidRPr="008C5253">
              <w:rPr>
                <w:rFonts w:ascii="Arial" w:hAnsi="Arial" w:cs="Arial"/>
              </w:rPr>
              <w:t>4</w:t>
            </w:r>
          </w:p>
        </w:tc>
        <w:tc>
          <w:tcPr>
            <w:tcW w:w="0" w:type="auto"/>
            <w:hideMark/>
          </w:tcPr>
          <w:p w14:paraId="09D26823"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c>
          <w:tcPr>
            <w:tcW w:w="0" w:type="auto"/>
            <w:hideMark/>
          </w:tcPr>
          <w:p w14:paraId="67F1CA39" w14:textId="77777777" w:rsidR="008C5253" w:rsidRPr="008C5253" w:rsidRDefault="008C5253" w:rsidP="008C5253">
            <w:pPr>
              <w:spacing w:after="160" w:line="278" w:lineRule="auto"/>
              <w:rPr>
                <w:rFonts w:ascii="Arial" w:hAnsi="Arial" w:cs="Arial"/>
              </w:rPr>
            </w:pPr>
            <w:r w:rsidRPr="008C5253">
              <w:rPr>
                <w:rFonts w:ascii="Arial" w:hAnsi="Arial" w:cs="Arial"/>
              </w:rPr>
              <w:t>0.636</w:t>
            </w:r>
          </w:p>
        </w:tc>
        <w:tc>
          <w:tcPr>
            <w:tcW w:w="0" w:type="auto"/>
            <w:hideMark/>
          </w:tcPr>
          <w:p w14:paraId="41E7DFCC" w14:textId="77777777" w:rsidR="008C5253" w:rsidRPr="008C5253" w:rsidRDefault="008C5253" w:rsidP="008C5253">
            <w:pPr>
              <w:spacing w:after="160" w:line="278" w:lineRule="auto"/>
              <w:rPr>
                <w:rFonts w:ascii="Arial" w:hAnsi="Arial" w:cs="Arial"/>
              </w:rPr>
            </w:pPr>
            <w:r w:rsidRPr="008C5253">
              <w:rPr>
                <w:rFonts w:ascii="Arial" w:hAnsi="Arial" w:cs="Arial"/>
              </w:rPr>
              <w:t>6.36</w:t>
            </w:r>
          </w:p>
        </w:tc>
      </w:tr>
      <w:tr w:rsidR="008C5253" w:rsidRPr="008C5253" w14:paraId="306CC060" w14:textId="77777777" w:rsidTr="008C5253">
        <w:tc>
          <w:tcPr>
            <w:tcW w:w="0" w:type="auto"/>
            <w:hideMark/>
          </w:tcPr>
          <w:p w14:paraId="3B8A31F3"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3FAB10D1" w14:textId="77777777" w:rsidR="008C5253" w:rsidRPr="008C5253" w:rsidRDefault="008C5253" w:rsidP="008C5253">
            <w:pPr>
              <w:spacing w:after="160" w:line="278" w:lineRule="auto"/>
              <w:rPr>
                <w:rFonts w:ascii="Arial" w:hAnsi="Arial" w:cs="Arial"/>
              </w:rPr>
            </w:pPr>
            <w:r w:rsidRPr="008C5253">
              <w:rPr>
                <w:rFonts w:ascii="Arial" w:hAnsi="Arial" w:cs="Arial"/>
              </w:rPr>
              <w:t>8</w:t>
            </w:r>
          </w:p>
        </w:tc>
        <w:tc>
          <w:tcPr>
            <w:tcW w:w="0" w:type="auto"/>
            <w:hideMark/>
          </w:tcPr>
          <w:p w14:paraId="20B0FE17" w14:textId="77777777" w:rsidR="008C5253" w:rsidRPr="008C5253" w:rsidRDefault="008C5253" w:rsidP="008C5253">
            <w:pPr>
              <w:spacing w:after="160" w:line="278" w:lineRule="auto"/>
              <w:rPr>
                <w:rFonts w:ascii="Arial" w:hAnsi="Arial" w:cs="Arial"/>
              </w:rPr>
            </w:pPr>
            <w:r w:rsidRPr="008C5253">
              <w:rPr>
                <w:rFonts w:ascii="Arial" w:hAnsi="Arial" w:cs="Arial"/>
              </w:rPr>
              <w:t>0.567</w:t>
            </w:r>
          </w:p>
        </w:tc>
        <w:tc>
          <w:tcPr>
            <w:tcW w:w="0" w:type="auto"/>
            <w:hideMark/>
          </w:tcPr>
          <w:p w14:paraId="41107BDE" w14:textId="77777777" w:rsidR="008C5253" w:rsidRPr="008C5253" w:rsidRDefault="008C5253" w:rsidP="008C5253">
            <w:pPr>
              <w:spacing w:after="160" w:line="278" w:lineRule="auto"/>
              <w:rPr>
                <w:rFonts w:ascii="Arial" w:hAnsi="Arial" w:cs="Arial"/>
              </w:rPr>
            </w:pPr>
            <w:r w:rsidRPr="008C5253">
              <w:rPr>
                <w:rFonts w:ascii="Arial" w:hAnsi="Arial" w:cs="Arial"/>
              </w:rPr>
              <w:t>4.54</w:t>
            </w:r>
          </w:p>
        </w:tc>
      </w:tr>
    </w:tbl>
    <w:p w14:paraId="571CFCB7" w14:textId="77777777" w:rsidR="008C5253" w:rsidRPr="008C5253" w:rsidRDefault="008C5253" w:rsidP="008C5253">
      <w:pPr>
        <w:rPr>
          <w:rFonts w:ascii="Arial" w:hAnsi="Arial" w:cs="Arial"/>
        </w:rPr>
      </w:pPr>
      <w:r w:rsidRPr="008C5253">
        <w:rPr>
          <w:rFonts w:ascii="Arial" w:hAnsi="Arial" w:cs="Arial"/>
          <w:b/>
          <w:bCs/>
        </w:rPr>
        <w:t>Total PV inflows = 39.36</w:t>
      </w:r>
    </w:p>
    <w:p w14:paraId="0E17CA28" w14:textId="18D63D62" w:rsidR="008C5253" w:rsidRPr="008C5253" w:rsidRDefault="008C5253" w:rsidP="008C5253">
      <w:pPr>
        <w:rPr>
          <w:rFonts w:ascii="Arial" w:hAnsi="Arial" w:cs="Arial"/>
        </w:rPr>
      </w:pPr>
      <m:oMathPara>
        <m:oMath>
          <m:r>
            <w:rPr>
              <w:rFonts w:ascii="Cambria Math" w:hAnsi="Cambria Math" w:cs="Arial"/>
            </w:rPr>
            <m:t>NP</m:t>
          </m:r>
          <m:sSub>
            <m:sSubPr>
              <m:ctrlPr>
                <w:rPr>
                  <w:rFonts w:ascii="Cambria Math" w:hAnsi="Cambria Math" w:cs="Arial"/>
                </w:rPr>
              </m:ctrlPr>
            </m:sSubPr>
            <m:e>
              <m:r>
                <w:rPr>
                  <w:rFonts w:ascii="Cambria Math" w:hAnsi="Cambria Math" w:cs="Arial"/>
                </w:rPr>
                <m:t>V</m:t>
              </m:r>
            </m:e>
            <m:sub>
              <m:r>
                <w:rPr>
                  <w:rFonts w:ascii="Cambria Math" w:hAnsi="Cambria Math" w:cs="Arial"/>
                </w:rPr>
                <m:t>12</m:t>
              </m:r>
              <m:r>
                <m:rPr>
                  <m:sty m:val="p"/>
                </m:rPr>
                <w:rPr>
                  <w:rFonts w:ascii="Cambria Math" w:hAnsi="Cambria Math" w:cs="Arial"/>
                </w:rPr>
                <m:t>%</m:t>
              </m:r>
            </m:sub>
          </m:sSub>
          <m:r>
            <w:rPr>
              <w:rFonts w:ascii="Cambria Math" w:hAnsi="Cambria Math" w:cs="Arial"/>
            </w:rPr>
            <m:t>=39.36-40=-</m:t>
          </m:r>
          <m:r>
            <m:rPr>
              <m:sty m:val="b"/>
            </m:rPr>
            <w:rPr>
              <w:rFonts w:ascii="Cambria Math" w:hAnsi="Cambria Math" w:cs="Arial"/>
            </w:rPr>
            <m:t>0.64</m:t>
          </m:r>
          <m:r>
            <m:rPr>
              <m:sty m:val="p"/>
            </m:rPr>
            <w:rPr>
              <w:rFonts w:ascii="Cambria Math" w:hAnsi="Cambria Math" w:cs="Arial"/>
            </w:rPr>
            <w:br/>
          </m:r>
        </m:oMath>
      </m:oMathPara>
    </w:p>
    <w:p w14:paraId="0E02232D" w14:textId="3C02D8AB" w:rsidR="008C5253" w:rsidRPr="008C5253" w:rsidRDefault="008C5253" w:rsidP="008C5253">
      <w:pPr>
        <w:rPr>
          <w:rFonts w:ascii="Arial" w:hAnsi="Arial" w:cs="Arial"/>
        </w:rPr>
      </w:pPr>
      <w:r w:rsidRPr="008C5253">
        <w:rPr>
          <w:rFonts w:ascii="Arial" w:hAnsi="Arial" w:cs="Arial"/>
          <w:b/>
          <w:bCs/>
        </w:rPr>
        <w:t>Linear Interpolation</w:t>
      </w:r>
    </w:p>
    <w:p w14:paraId="5A0F661E" w14:textId="5CC75CC7" w:rsidR="008C5253" w:rsidRPr="008C5253" w:rsidRDefault="008C5253" w:rsidP="008C5253">
      <w:pPr>
        <w:rPr>
          <w:rFonts w:ascii="Arial" w:hAnsi="Arial" w:cs="Arial"/>
        </w:rPr>
      </w:pPr>
      <m:oMathPara>
        <m:oMath>
          <m:r>
            <w:rPr>
              <w:rFonts w:ascii="Cambria Math" w:hAnsi="Cambria Math" w:cs="Arial"/>
            </w:rPr>
            <m:t>IRR=10</m:t>
          </m:r>
          <m:r>
            <m:rPr>
              <m:sty m:val="p"/>
            </m:rPr>
            <w:rPr>
              <w:rFonts w:ascii="Cambria Math" w:hAnsi="Cambria Math" w:cs="Arial"/>
            </w:rPr>
            <m:t>%</m:t>
          </m:r>
          <m:r>
            <w:rPr>
              <w:rFonts w:ascii="Cambria Math" w:hAnsi="Cambria Math" w:cs="Arial"/>
            </w:rPr>
            <m:t>+(</m:t>
          </m:r>
          <m:f>
            <m:fPr>
              <m:ctrlPr>
                <w:rPr>
                  <w:rFonts w:ascii="Cambria Math" w:hAnsi="Cambria Math" w:cs="Arial"/>
                </w:rPr>
              </m:ctrlPr>
            </m:fPr>
            <m:num>
              <m:r>
                <w:rPr>
                  <w:rFonts w:ascii="Cambria Math" w:hAnsi="Cambria Math" w:cs="Arial"/>
                </w:rPr>
                <m:t>1.31</m:t>
              </m:r>
            </m:num>
            <m:den>
              <m:r>
                <w:rPr>
                  <w:rFonts w:ascii="Cambria Math" w:hAnsi="Cambria Math" w:cs="Arial"/>
                </w:rPr>
                <m:t>1.31+0.64</m:t>
              </m:r>
            </m:den>
          </m:f>
          <m:r>
            <w:rPr>
              <w:rFonts w:ascii="Cambria Math" w:hAnsi="Cambria Math" w:cs="Arial"/>
            </w:rPr>
            <m:t>)×(12</m:t>
          </m:r>
          <m:r>
            <m:rPr>
              <m:sty m:val="p"/>
            </m:rPr>
            <w:rPr>
              <w:rFonts w:ascii="Cambria Math" w:hAnsi="Cambria Math" w:cs="Arial"/>
            </w:rPr>
            <m:t>%</m:t>
          </m:r>
          <m:r>
            <w:rPr>
              <w:rFonts w:ascii="Cambria Math" w:hAnsi="Cambria Math" w:cs="Arial"/>
            </w:rPr>
            <m:t>-10</m:t>
          </m:r>
          <m:r>
            <m:rPr>
              <m:sty m:val="p"/>
            </m:rPr>
            <w:rPr>
              <w:rFonts w:ascii="Cambria Math" w:hAnsi="Cambria Math" w:cs="Arial"/>
            </w:rPr>
            <m:t>%</m:t>
          </m:r>
          <m:r>
            <w:rPr>
              <w:rFonts w:ascii="Cambria Math" w:hAnsi="Cambria Math" w:cs="Arial"/>
            </w:rPr>
            <m:t>)</m:t>
          </m:r>
          <m:r>
            <m:rPr>
              <m:sty m:val="p"/>
            </m:rPr>
            <w:rPr>
              <w:rFonts w:ascii="Cambria Math" w:hAnsi="Cambria Math" w:cs="Arial"/>
            </w:rPr>
            <w:br/>
          </m:r>
        </m:oMath>
        <m:oMath>
          <m:r>
            <w:rPr>
              <w:rFonts w:ascii="Cambria Math" w:hAnsi="Cambria Math" w:cs="Arial"/>
            </w:rPr>
            <m:t>IRR=10</m:t>
          </m:r>
          <m:r>
            <m:rPr>
              <m:sty m:val="p"/>
            </m:rPr>
            <w:rPr>
              <w:rFonts w:ascii="Cambria Math" w:hAnsi="Cambria Math" w:cs="Arial"/>
            </w:rPr>
            <m:t>%</m:t>
          </m:r>
          <m:r>
            <w:rPr>
              <w:rFonts w:ascii="Cambria Math" w:hAnsi="Cambria Math" w:cs="Arial"/>
            </w:rPr>
            <m:t>+(</m:t>
          </m:r>
          <m:f>
            <m:fPr>
              <m:ctrlPr>
                <w:rPr>
                  <w:rFonts w:ascii="Cambria Math" w:hAnsi="Cambria Math" w:cs="Arial"/>
                </w:rPr>
              </m:ctrlPr>
            </m:fPr>
            <m:num>
              <m:r>
                <w:rPr>
                  <w:rFonts w:ascii="Cambria Math" w:hAnsi="Cambria Math" w:cs="Arial"/>
                </w:rPr>
                <m:t>1.31</m:t>
              </m:r>
            </m:num>
            <m:den>
              <m:r>
                <w:rPr>
                  <w:rFonts w:ascii="Cambria Math" w:hAnsi="Cambria Math" w:cs="Arial"/>
                </w:rPr>
                <m:t>1.95</m:t>
              </m:r>
            </m:den>
          </m:f>
          <m:r>
            <w:rPr>
              <w:rFonts w:ascii="Cambria Math" w:hAnsi="Cambria Math" w:cs="Arial"/>
            </w:rPr>
            <m:t>)×2</m:t>
          </m:r>
          <m:r>
            <m:rPr>
              <m:sty m:val="p"/>
            </m:rPr>
            <w:rPr>
              <w:rFonts w:ascii="Cambria Math" w:hAnsi="Cambria Math" w:cs="Arial"/>
            </w:rPr>
            <m:t>%</m:t>
          </m:r>
          <m:r>
            <m:rPr>
              <m:sty m:val="p"/>
            </m:rPr>
            <w:rPr>
              <w:rFonts w:ascii="Cambria Math" w:hAnsi="Cambria Math" w:cs="Arial"/>
            </w:rPr>
            <w:br/>
          </m:r>
        </m:oMath>
        <m:oMath>
          <m:r>
            <w:rPr>
              <w:rFonts w:ascii="Cambria Math" w:hAnsi="Cambria Math" w:cs="Arial"/>
            </w:rPr>
            <m:t>IRR=10</m:t>
          </m:r>
          <m:r>
            <m:rPr>
              <m:sty m:val="p"/>
            </m:rPr>
            <w:rPr>
              <w:rFonts w:ascii="Cambria Math" w:hAnsi="Cambria Math" w:cs="Arial"/>
            </w:rPr>
            <m:t>%</m:t>
          </m:r>
          <m:r>
            <w:rPr>
              <w:rFonts w:ascii="Cambria Math" w:hAnsi="Cambria Math" w:cs="Arial"/>
            </w:rPr>
            <m:t>+1.34</m:t>
          </m:r>
          <m:r>
            <m:rPr>
              <m:sty m:val="p"/>
            </m:rPr>
            <w:rPr>
              <w:rFonts w:ascii="Cambria Math" w:hAnsi="Cambria Math" w:cs="Arial"/>
            </w:rPr>
            <m:t>%</m:t>
          </m:r>
          <m:r>
            <w:rPr>
              <w:rFonts w:ascii="Cambria Math" w:hAnsi="Cambria Math" w:cs="Arial"/>
            </w:rPr>
            <m:t>=</m:t>
          </m:r>
          <m:borderBox>
            <m:borderBoxPr>
              <m:ctrlPr>
                <w:rPr>
                  <w:rFonts w:ascii="Cambria Math" w:hAnsi="Cambria Math" w:cs="Arial"/>
                </w:rPr>
              </m:ctrlPr>
            </m:borderBoxPr>
            <m:e>
              <m:r>
                <m:rPr>
                  <m:sty m:val="b"/>
                </m:rPr>
                <w:rPr>
                  <w:rFonts w:ascii="Cambria Math" w:hAnsi="Cambria Math" w:cs="Arial"/>
                </w:rPr>
                <m:t>11.34%</m:t>
              </m:r>
            </m:e>
          </m:borderBox>
          <m:r>
            <m:rPr>
              <m:sty m:val="p"/>
            </m:rPr>
            <w:rPr>
              <w:rFonts w:ascii="Cambria Math" w:hAnsi="Cambria Math" w:cs="Arial"/>
            </w:rPr>
            <w:br/>
          </m:r>
        </m:oMath>
      </m:oMathPara>
      <w:r w:rsidRPr="008C5253">
        <w:rPr>
          <w:rFonts w:ascii="Arial" w:hAnsi="Arial" w:cs="Arial"/>
          <w:b/>
          <w:bCs/>
        </w:rPr>
        <w:t>PROJECT B – IRR CALCULATION</w:t>
      </w:r>
    </w:p>
    <w:p w14:paraId="1BCD786A" w14:textId="77777777" w:rsidR="008C5253" w:rsidRPr="008C5253" w:rsidRDefault="008C5253" w:rsidP="008C5253">
      <w:pPr>
        <w:rPr>
          <w:rFonts w:ascii="Arial" w:hAnsi="Arial" w:cs="Arial"/>
          <w:b/>
          <w:bCs/>
        </w:rPr>
      </w:pPr>
      <w:r w:rsidRPr="008C5253">
        <w:rPr>
          <w:rFonts w:ascii="Arial" w:hAnsi="Arial" w:cs="Arial"/>
          <w:b/>
          <w:bCs/>
        </w:rPr>
        <w:t>Cash flows (£m)</w:t>
      </w:r>
    </w:p>
    <w:tbl>
      <w:tblPr>
        <w:tblStyle w:val="TableGrid"/>
        <w:tblW w:w="0" w:type="auto"/>
        <w:tblLook w:val="04A0" w:firstRow="1" w:lastRow="0" w:firstColumn="1" w:lastColumn="0" w:noHBand="0" w:noVBand="1"/>
      </w:tblPr>
      <w:tblGrid>
        <w:gridCol w:w="724"/>
        <w:gridCol w:w="1471"/>
      </w:tblGrid>
      <w:tr w:rsidR="008C5253" w:rsidRPr="008C5253" w14:paraId="73D0E368" w14:textId="77777777" w:rsidTr="008C5253">
        <w:tc>
          <w:tcPr>
            <w:tcW w:w="0" w:type="auto"/>
            <w:hideMark/>
          </w:tcPr>
          <w:p w14:paraId="349137CD"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Year</w:t>
            </w:r>
          </w:p>
        </w:tc>
        <w:tc>
          <w:tcPr>
            <w:tcW w:w="0" w:type="auto"/>
            <w:hideMark/>
          </w:tcPr>
          <w:p w14:paraId="42167D47"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Cash flow</w:t>
            </w:r>
          </w:p>
        </w:tc>
      </w:tr>
      <w:tr w:rsidR="008C5253" w:rsidRPr="008C5253" w14:paraId="6F27B3EA" w14:textId="77777777" w:rsidTr="008C5253">
        <w:tc>
          <w:tcPr>
            <w:tcW w:w="0" w:type="auto"/>
            <w:hideMark/>
          </w:tcPr>
          <w:p w14:paraId="2FB10C16" w14:textId="77777777" w:rsidR="008C5253" w:rsidRPr="008C5253" w:rsidRDefault="008C5253" w:rsidP="008C5253">
            <w:pPr>
              <w:spacing w:after="160" w:line="278" w:lineRule="auto"/>
              <w:rPr>
                <w:rFonts w:ascii="Arial" w:hAnsi="Arial" w:cs="Arial"/>
              </w:rPr>
            </w:pPr>
            <w:r w:rsidRPr="008C5253">
              <w:rPr>
                <w:rFonts w:ascii="Arial" w:hAnsi="Arial" w:cs="Arial"/>
              </w:rPr>
              <w:t>0</w:t>
            </w:r>
          </w:p>
        </w:tc>
        <w:tc>
          <w:tcPr>
            <w:tcW w:w="0" w:type="auto"/>
            <w:hideMark/>
          </w:tcPr>
          <w:p w14:paraId="362972D9" w14:textId="77777777" w:rsidR="008C5253" w:rsidRPr="008C5253" w:rsidRDefault="008C5253" w:rsidP="008C5253">
            <w:pPr>
              <w:spacing w:after="160" w:line="278" w:lineRule="auto"/>
              <w:rPr>
                <w:rFonts w:ascii="Arial" w:hAnsi="Arial" w:cs="Arial"/>
              </w:rPr>
            </w:pPr>
            <w:r w:rsidRPr="008C5253">
              <w:rPr>
                <w:rFonts w:ascii="Arial" w:hAnsi="Arial" w:cs="Arial"/>
              </w:rPr>
              <w:t>–30</w:t>
            </w:r>
          </w:p>
        </w:tc>
      </w:tr>
      <w:tr w:rsidR="008C5253" w:rsidRPr="008C5253" w14:paraId="7AEE9EA9" w14:textId="77777777" w:rsidTr="008C5253">
        <w:tc>
          <w:tcPr>
            <w:tcW w:w="0" w:type="auto"/>
            <w:hideMark/>
          </w:tcPr>
          <w:p w14:paraId="612E03FA" w14:textId="77777777" w:rsidR="008C5253" w:rsidRPr="008C5253" w:rsidRDefault="008C5253" w:rsidP="008C5253">
            <w:pPr>
              <w:spacing w:after="160" w:line="278" w:lineRule="auto"/>
              <w:rPr>
                <w:rFonts w:ascii="Arial" w:hAnsi="Arial" w:cs="Arial"/>
              </w:rPr>
            </w:pPr>
            <w:r w:rsidRPr="008C5253">
              <w:rPr>
                <w:rFonts w:ascii="Arial" w:hAnsi="Arial" w:cs="Arial"/>
              </w:rPr>
              <w:t>1–5</w:t>
            </w:r>
          </w:p>
        </w:tc>
        <w:tc>
          <w:tcPr>
            <w:tcW w:w="0" w:type="auto"/>
            <w:hideMark/>
          </w:tcPr>
          <w:p w14:paraId="3D5B8448" w14:textId="77777777" w:rsidR="008C5253" w:rsidRPr="008C5253" w:rsidRDefault="008C5253" w:rsidP="008C5253">
            <w:pPr>
              <w:spacing w:after="160" w:line="278" w:lineRule="auto"/>
              <w:rPr>
                <w:rFonts w:ascii="Arial" w:hAnsi="Arial" w:cs="Arial"/>
              </w:rPr>
            </w:pPr>
            <w:r w:rsidRPr="008C5253">
              <w:rPr>
                <w:rFonts w:ascii="Arial" w:hAnsi="Arial" w:cs="Arial"/>
              </w:rPr>
              <w:t>6 each year</w:t>
            </w:r>
          </w:p>
        </w:tc>
      </w:tr>
    </w:tbl>
    <w:p w14:paraId="2F49B7CD" w14:textId="70FFE4F8" w:rsidR="008C5253" w:rsidRPr="008C5253" w:rsidRDefault="008C5253" w:rsidP="008C5253">
      <w:pPr>
        <w:rPr>
          <w:rFonts w:ascii="Arial" w:hAnsi="Arial" w:cs="Arial"/>
        </w:rPr>
      </w:pPr>
    </w:p>
    <w:p w14:paraId="3A1CF76F" w14:textId="2E78F29B" w:rsidR="008C5253" w:rsidRPr="008C5253" w:rsidRDefault="008C5253" w:rsidP="008C5253">
      <w:pPr>
        <w:rPr>
          <w:rFonts w:ascii="Arial" w:hAnsi="Arial" w:cs="Arial"/>
          <w:b/>
          <w:bCs/>
        </w:rPr>
      </w:pPr>
      <w:r w:rsidRPr="008C5253">
        <w:rPr>
          <w:rFonts w:ascii="Arial" w:hAnsi="Arial" w:cs="Arial"/>
          <w:b/>
          <w:bCs/>
        </w:rPr>
        <w:lastRenderedPageBreak/>
        <w:t>NPV at 10%</w:t>
      </w:r>
    </w:p>
    <w:p w14:paraId="044D2D80" w14:textId="77777777" w:rsidR="008C5253" w:rsidRPr="008C5253" w:rsidRDefault="008C5253" w:rsidP="008C5253">
      <w:pPr>
        <w:rPr>
          <w:rFonts w:ascii="Arial" w:hAnsi="Arial" w:cs="Arial"/>
        </w:rPr>
      </w:pPr>
      <w:r w:rsidRPr="008C5253">
        <w:rPr>
          <w:rFonts w:ascii="Arial" w:hAnsi="Arial" w:cs="Arial"/>
        </w:rPr>
        <w:t xml:space="preserve">PV annuity factor (5 </w:t>
      </w:r>
      <w:proofErr w:type="gramStart"/>
      <w:r w:rsidRPr="008C5253">
        <w:rPr>
          <w:rFonts w:ascii="Arial" w:hAnsi="Arial" w:cs="Arial"/>
        </w:rPr>
        <w:t>years @</w:t>
      </w:r>
      <w:proofErr w:type="gramEnd"/>
      <w:r w:rsidRPr="008C5253">
        <w:rPr>
          <w:rFonts w:ascii="Arial" w:hAnsi="Arial" w:cs="Arial"/>
        </w:rPr>
        <w:t xml:space="preserve">10%) = </w:t>
      </w:r>
      <w:r w:rsidRPr="008C5253">
        <w:rPr>
          <w:rFonts w:ascii="Arial" w:hAnsi="Arial" w:cs="Arial"/>
          <w:b/>
          <w:bCs/>
        </w:rPr>
        <w:t>3.791</w:t>
      </w:r>
    </w:p>
    <w:p w14:paraId="210982F5" w14:textId="58A707BF" w:rsidR="008C5253" w:rsidRPr="008C5253" w:rsidRDefault="008C5253" w:rsidP="008C5253">
      <w:pPr>
        <w:rPr>
          <w:rFonts w:ascii="Arial" w:hAnsi="Arial" w:cs="Arial"/>
        </w:rPr>
      </w:pPr>
      <m:oMathPara>
        <m:oMath>
          <m:r>
            <w:rPr>
              <w:rFonts w:ascii="Cambria Math" w:hAnsi="Cambria Math" w:cs="Arial"/>
            </w:rPr>
            <m:t>PV=6×3.791=22.75</m:t>
          </m:r>
          <m:r>
            <m:rPr>
              <m:sty m:val="p"/>
            </m:rPr>
            <w:rPr>
              <w:rFonts w:ascii="Cambria Math" w:hAnsi="Cambria Math" w:cs="Arial"/>
            </w:rPr>
            <w:br/>
          </m:r>
        </m:oMath>
        <m:oMath>
          <m:r>
            <w:rPr>
              <w:rFonts w:ascii="Cambria Math" w:hAnsi="Cambria Math" w:cs="Arial"/>
            </w:rPr>
            <m:t>NP</m:t>
          </m:r>
          <m:sSub>
            <m:sSubPr>
              <m:ctrlPr>
                <w:rPr>
                  <w:rFonts w:ascii="Cambria Math" w:hAnsi="Cambria Math" w:cs="Arial"/>
                </w:rPr>
              </m:ctrlPr>
            </m:sSubPr>
            <m:e>
              <m:r>
                <w:rPr>
                  <w:rFonts w:ascii="Cambria Math" w:hAnsi="Cambria Math" w:cs="Arial"/>
                </w:rPr>
                <m:t>V</m:t>
              </m:r>
            </m:e>
            <m:sub>
              <m:r>
                <w:rPr>
                  <w:rFonts w:ascii="Cambria Math" w:hAnsi="Cambria Math" w:cs="Arial"/>
                </w:rPr>
                <m:t>10</m:t>
              </m:r>
              <m:r>
                <m:rPr>
                  <m:sty m:val="p"/>
                </m:rPr>
                <w:rPr>
                  <w:rFonts w:ascii="Cambria Math" w:hAnsi="Cambria Math" w:cs="Arial"/>
                </w:rPr>
                <m:t>%</m:t>
              </m:r>
            </m:sub>
          </m:sSub>
          <m:r>
            <w:rPr>
              <w:rFonts w:ascii="Cambria Math" w:hAnsi="Cambria Math" w:cs="Arial"/>
            </w:rPr>
            <m:t>=22.75-30=-</m:t>
          </m:r>
          <m:r>
            <m:rPr>
              <m:sty m:val="b"/>
            </m:rPr>
            <w:rPr>
              <w:rFonts w:ascii="Cambria Math" w:hAnsi="Cambria Math" w:cs="Arial"/>
            </w:rPr>
            <m:t>7.25</m:t>
          </m:r>
          <m:r>
            <m:rPr>
              <m:sty m:val="p"/>
            </m:rPr>
            <w:rPr>
              <w:rFonts w:ascii="Cambria Math" w:hAnsi="Cambria Math" w:cs="Arial"/>
            </w:rPr>
            <w:br/>
          </m:r>
        </m:oMath>
      </m:oMathPara>
    </w:p>
    <w:p w14:paraId="04F1B544" w14:textId="42D7D6F6" w:rsidR="008C5253" w:rsidRPr="008C5253" w:rsidRDefault="008C5253" w:rsidP="008C5253">
      <w:pPr>
        <w:rPr>
          <w:rFonts w:ascii="Arial" w:hAnsi="Arial" w:cs="Arial"/>
          <w:b/>
          <w:bCs/>
        </w:rPr>
      </w:pPr>
      <w:r w:rsidRPr="008C5253">
        <w:rPr>
          <w:rFonts w:ascii="Arial" w:hAnsi="Arial" w:cs="Arial"/>
          <w:b/>
          <w:bCs/>
        </w:rPr>
        <w:t>NPV at 5%</w:t>
      </w:r>
    </w:p>
    <w:p w14:paraId="47C3B763" w14:textId="77777777" w:rsidR="008C5253" w:rsidRPr="008C5253" w:rsidRDefault="008C5253" w:rsidP="008C5253">
      <w:pPr>
        <w:rPr>
          <w:rFonts w:ascii="Arial" w:hAnsi="Arial" w:cs="Arial"/>
        </w:rPr>
      </w:pPr>
      <w:r w:rsidRPr="008C5253">
        <w:rPr>
          <w:rFonts w:ascii="Arial" w:hAnsi="Arial" w:cs="Arial"/>
        </w:rPr>
        <w:t xml:space="preserve">PV annuity factor (5 </w:t>
      </w:r>
      <w:proofErr w:type="gramStart"/>
      <w:r w:rsidRPr="008C5253">
        <w:rPr>
          <w:rFonts w:ascii="Arial" w:hAnsi="Arial" w:cs="Arial"/>
        </w:rPr>
        <w:t>years @</w:t>
      </w:r>
      <w:proofErr w:type="gramEnd"/>
      <w:r w:rsidRPr="008C5253">
        <w:rPr>
          <w:rFonts w:ascii="Arial" w:hAnsi="Arial" w:cs="Arial"/>
        </w:rPr>
        <w:t xml:space="preserve">5%) = </w:t>
      </w:r>
      <w:r w:rsidRPr="008C5253">
        <w:rPr>
          <w:rFonts w:ascii="Arial" w:hAnsi="Arial" w:cs="Arial"/>
          <w:b/>
          <w:bCs/>
        </w:rPr>
        <w:t>4.329</w:t>
      </w:r>
    </w:p>
    <w:p w14:paraId="6F8CB76B" w14:textId="7CB3659F" w:rsidR="008C5253" w:rsidRPr="008C5253" w:rsidRDefault="008C5253" w:rsidP="008C5253">
      <w:pPr>
        <w:rPr>
          <w:rFonts w:ascii="Arial" w:hAnsi="Arial" w:cs="Arial"/>
        </w:rPr>
      </w:pPr>
      <m:oMathPara>
        <m:oMath>
          <m:r>
            <w:rPr>
              <w:rFonts w:ascii="Cambria Math" w:hAnsi="Cambria Math" w:cs="Arial"/>
            </w:rPr>
            <m:t>PV=6×4.329=25.97</m:t>
          </m:r>
          <m:r>
            <m:rPr>
              <m:sty m:val="p"/>
            </m:rPr>
            <w:rPr>
              <w:rFonts w:ascii="Cambria Math" w:hAnsi="Cambria Math" w:cs="Arial"/>
            </w:rPr>
            <w:br/>
          </m:r>
        </m:oMath>
        <m:oMath>
          <m:r>
            <w:rPr>
              <w:rFonts w:ascii="Cambria Math" w:hAnsi="Cambria Math" w:cs="Arial"/>
            </w:rPr>
            <m:t>NP</m:t>
          </m:r>
          <m:sSub>
            <m:sSubPr>
              <m:ctrlPr>
                <w:rPr>
                  <w:rFonts w:ascii="Cambria Math" w:hAnsi="Cambria Math" w:cs="Arial"/>
                </w:rPr>
              </m:ctrlPr>
            </m:sSubPr>
            <m:e>
              <m:r>
                <w:rPr>
                  <w:rFonts w:ascii="Cambria Math" w:hAnsi="Cambria Math" w:cs="Arial"/>
                </w:rPr>
                <m:t>V</m:t>
              </m:r>
            </m:e>
            <m:sub>
              <m:r>
                <w:rPr>
                  <w:rFonts w:ascii="Cambria Math" w:hAnsi="Cambria Math" w:cs="Arial"/>
                </w:rPr>
                <m:t>5</m:t>
              </m:r>
              <m:r>
                <m:rPr>
                  <m:sty m:val="p"/>
                </m:rPr>
                <w:rPr>
                  <w:rFonts w:ascii="Cambria Math" w:hAnsi="Cambria Math" w:cs="Arial"/>
                </w:rPr>
                <m:t>%</m:t>
              </m:r>
            </m:sub>
          </m:sSub>
          <m:r>
            <w:rPr>
              <w:rFonts w:ascii="Cambria Math" w:hAnsi="Cambria Math" w:cs="Arial"/>
            </w:rPr>
            <m:t>=25.97-30=-</m:t>
          </m:r>
          <m:r>
            <m:rPr>
              <m:sty m:val="b"/>
            </m:rPr>
            <w:rPr>
              <w:rFonts w:ascii="Cambria Math" w:hAnsi="Cambria Math" w:cs="Arial"/>
            </w:rPr>
            <m:t>4.03</m:t>
          </m:r>
          <m:r>
            <m:rPr>
              <m:sty m:val="p"/>
            </m:rPr>
            <w:rPr>
              <w:rFonts w:ascii="Cambria Math" w:hAnsi="Cambria Math" w:cs="Arial"/>
            </w:rPr>
            <w:br/>
          </m:r>
        </m:oMath>
      </m:oMathPara>
    </w:p>
    <w:p w14:paraId="046586C6" w14:textId="561713D7" w:rsidR="008C5253" w:rsidRPr="008C5253" w:rsidRDefault="008C5253" w:rsidP="008C5253">
      <w:pPr>
        <w:rPr>
          <w:rFonts w:ascii="Arial" w:hAnsi="Arial" w:cs="Arial"/>
          <w:b/>
          <w:bCs/>
        </w:rPr>
      </w:pPr>
      <w:r w:rsidRPr="008C5253">
        <w:rPr>
          <w:rFonts w:ascii="Arial" w:hAnsi="Arial" w:cs="Arial"/>
          <w:b/>
          <w:bCs/>
        </w:rPr>
        <w:t>Interpretation</w:t>
      </w:r>
    </w:p>
    <w:p w14:paraId="45F019FE" w14:textId="77777777" w:rsidR="008C5253" w:rsidRPr="008C5253" w:rsidRDefault="008C5253" w:rsidP="008C5253">
      <w:pPr>
        <w:rPr>
          <w:rFonts w:ascii="Arial" w:hAnsi="Arial" w:cs="Arial"/>
        </w:rPr>
      </w:pPr>
      <w:r w:rsidRPr="008C5253">
        <w:rPr>
          <w:rFonts w:ascii="Arial" w:hAnsi="Arial" w:cs="Arial"/>
        </w:rPr>
        <w:t xml:space="preserve">NPV is </w:t>
      </w:r>
      <w:r w:rsidRPr="008C5253">
        <w:rPr>
          <w:rFonts w:ascii="Arial" w:hAnsi="Arial" w:cs="Arial"/>
          <w:b/>
          <w:bCs/>
        </w:rPr>
        <w:t>negative even at 5%</w:t>
      </w:r>
      <w:r w:rsidRPr="008C5253">
        <w:rPr>
          <w:rFonts w:ascii="Arial" w:hAnsi="Arial" w:cs="Arial"/>
        </w:rPr>
        <w:t>, therefore:</w:t>
      </w:r>
    </w:p>
    <w:p w14:paraId="27220ABA" w14:textId="77777777" w:rsidR="008C5253" w:rsidRPr="008C5253" w:rsidRDefault="00000000" w:rsidP="008C5253">
      <w:pPr>
        <w:rPr>
          <w:rFonts w:ascii="Arial" w:hAnsi="Arial" w:cs="Arial"/>
        </w:rPr>
      </w:pPr>
      <m:oMathPara>
        <m:oMath>
          <m:borderBox>
            <m:borderBoxPr>
              <m:ctrlPr>
                <w:rPr>
                  <w:rFonts w:ascii="Cambria Math" w:hAnsi="Cambria Math" w:cs="Arial"/>
                </w:rPr>
              </m:ctrlPr>
            </m:borderBoxPr>
            <m:e>
              <m:r>
                <m:rPr>
                  <m:nor/>
                </m:rPr>
                <w:rPr>
                  <w:rFonts w:ascii="Arial" w:hAnsi="Arial" w:cs="Arial"/>
                </w:rPr>
                <m:t>IRR &lt; 5%</m:t>
              </m:r>
            </m:e>
          </m:borderBox>
          <m:r>
            <m:rPr>
              <m:sty m:val="p"/>
            </m:rPr>
            <w:rPr>
              <w:rFonts w:ascii="Cambria Math" w:hAnsi="Cambria Math" w:cs="Arial"/>
            </w:rPr>
            <w:br/>
          </m:r>
        </m:oMath>
      </m:oMathPara>
    </w:p>
    <w:p w14:paraId="60025929" w14:textId="77777777" w:rsidR="008C5253" w:rsidRPr="008C5253" w:rsidRDefault="008C5253" w:rsidP="008C5253">
      <w:pPr>
        <w:rPr>
          <w:rFonts w:ascii="Arial" w:hAnsi="Arial" w:cs="Arial"/>
        </w:rPr>
      </w:pPr>
      <w:r w:rsidRPr="008C5253">
        <w:rPr>
          <w:rFonts w:ascii="Arial" w:hAnsi="Arial" w:cs="Arial"/>
        </w:rPr>
        <w:t xml:space="preserve">Project B </w:t>
      </w:r>
      <w:r w:rsidRPr="008C5253">
        <w:rPr>
          <w:rFonts w:ascii="Arial" w:hAnsi="Arial" w:cs="Arial"/>
          <w:b/>
          <w:bCs/>
        </w:rPr>
        <w:t>fails to meet the cost of capital</w:t>
      </w:r>
      <w:r w:rsidRPr="008C5253">
        <w:rPr>
          <w:rFonts w:ascii="Arial" w:hAnsi="Arial" w:cs="Arial"/>
        </w:rPr>
        <w:t xml:space="preserve"> and is financially unattractive.</w:t>
      </w:r>
    </w:p>
    <w:p w14:paraId="49416E98" w14:textId="6DF177D5" w:rsidR="008C5253" w:rsidRPr="008C5253" w:rsidRDefault="008C5253" w:rsidP="008C5253">
      <w:pPr>
        <w:rPr>
          <w:rFonts w:ascii="Arial" w:hAnsi="Arial" w:cs="Arial"/>
        </w:rPr>
      </w:pPr>
      <w:r w:rsidRPr="008C5253">
        <w:rPr>
          <w:rFonts w:ascii="Arial" w:hAnsi="Arial" w:cs="Arial"/>
          <w:b/>
          <w:bCs/>
        </w:rPr>
        <w:t>PROJECT C – IRR CALCULATION</w:t>
      </w:r>
    </w:p>
    <w:p w14:paraId="6E3CA691" w14:textId="77777777" w:rsidR="008C5253" w:rsidRPr="008C5253" w:rsidRDefault="008C5253" w:rsidP="008C5253">
      <w:pPr>
        <w:rPr>
          <w:rFonts w:ascii="Arial" w:hAnsi="Arial" w:cs="Arial"/>
          <w:b/>
          <w:bCs/>
        </w:rPr>
      </w:pPr>
      <w:r w:rsidRPr="008C5253">
        <w:rPr>
          <w:rFonts w:ascii="Arial" w:hAnsi="Arial" w:cs="Arial"/>
          <w:b/>
          <w:bCs/>
        </w:rPr>
        <w:t>Cash flows (£m)</w:t>
      </w:r>
    </w:p>
    <w:tbl>
      <w:tblPr>
        <w:tblStyle w:val="TableGrid"/>
        <w:tblW w:w="0" w:type="auto"/>
        <w:tblLook w:val="04A0" w:firstRow="1" w:lastRow="0" w:firstColumn="1" w:lastColumn="0" w:noHBand="0" w:noVBand="1"/>
      </w:tblPr>
      <w:tblGrid>
        <w:gridCol w:w="724"/>
        <w:gridCol w:w="1350"/>
      </w:tblGrid>
      <w:tr w:rsidR="008C5253" w:rsidRPr="008C5253" w14:paraId="3374A0BD" w14:textId="77777777" w:rsidTr="008C5253">
        <w:tc>
          <w:tcPr>
            <w:tcW w:w="0" w:type="auto"/>
            <w:hideMark/>
          </w:tcPr>
          <w:p w14:paraId="27CEF15A"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Year</w:t>
            </w:r>
          </w:p>
        </w:tc>
        <w:tc>
          <w:tcPr>
            <w:tcW w:w="0" w:type="auto"/>
            <w:hideMark/>
          </w:tcPr>
          <w:p w14:paraId="490DDA18"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Cash flow</w:t>
            </w:r>
          </w:p>
        </w:tc>
      </w:tr>
      <w:tr w:rsidR="008C5253" w:rsidRPr="008C5253" w14:paraId="25AD300E" w14:textId="77777777" w:rsidTr="008C5253">
        <w:tc>
          <w:tcPr>
            <w:tcW w:w="0" w:type="auto"/>
            <w:hideMark/>
          </w:tcPr>
          <w:p w14:paraId="1C473A38" w14:textId="77777777" w:rsidR="008C5253" w:rsidRPr="008C5253" w:rsidRDefault="008C5253" w:rsidP="008C5253">
            <w:pPr>
              <w:spacing w:after="160" w:line="278" w:lineRule="auto"/>
              <w:rPr>
                <w:rFonts w:ascii="Arial" w:hAnsi="Arial" w:cs="Arial"/>
              </w:rPr>
            </w:pPr>
            <w:r w:rsidRPr="008C5253">
              <w:rPr>
                <w:rFonts w:ascii="Arial" w:hAnsi="Arial" w:cs="Arial"/>
              </w:rPr>
              <w:t>0</w:t>
            </w:r>
          </w:p>
        </w:tc>
        <w:tc>
          <w:tcPr>
            <w:tcW w:w="0" w:type="auto"/>
            <w:hideMark/>
          </w:tcPr>
          <w:p w14:paraId="73913BB9" w14:textId="77777777" w:rsidR="008C5253" w:rsidRPr="008C5253" w:rsidRDefault="008C5253" w:rsidP="008C5253">
            <w:pPr>
              <w:spacing w:after="160" w:line="278" w:lineRule="auto"/>
              <w:rPr>
                <w:rFonts w:ascii="Arial" w:hAnsi="Arial" w:cs="Arial"/>
              </w:rPr>
            </w:pPr>
            <w:r w:rsidRPr="008C5253">
              <w:rPr>
                <w:rFonts w:ascii="Arial" w:hAnsi="Arial" w:cs="Arial"/>
              </w:rPr>
              <w:t>–50</w:t>
            </w:r>
          </w:p>
        </w:tc>
      </w:tr>
      <w:tr w:rsidR="008C5253" w:rsidRPr="008C5253" w14:paraId="535A6C39" w14:textId="77777777" w:rsidTr="008C5253">
        <w:tc>
          <w:tcPr>
            <w:tcW w:w="0" w:type="auto"/>
            <w:hideMark/>
          </w:tcPr>
          <w:p w14:paraId="001948B4" w14:textId="77777777" w:rsidR="008C5253" w:rsidRPr="008C5253" w:rsidRDefault="008C5253" w:rsidP="008C5253">
            <w:pPr>
              <w:spacing w:after="160" w:line="278" w:lineRule="auto"/>
              <w:rPr>
                <w:rFonts w:ascii="Arial" w:hAnsi="Arial" w:cs="Arial"/>
              </w:rPr>
            </w:pPr>
            <w:r w:rsidRPr="008C5253">
              <w:rPr>
                <w:rFonts w:ascii="Arial" w:hAnsi="Arial" w:cs="Arial"/>
              </w:rPr>
              <w:t>1</w:t>
            </w:r>
          </w:p>
        </w:tc>
        <w:tc>
          <w:tcPr>
            <w:tcW w:w="0" w:type="auto"/>
            <w:hideMark/>
          </w:tcPr>
          <w:p w14:paraId="6506DD08"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r>
      <w:tr w:rsidR="008C5253" w:rsidRPr="008C5253" w14:paraId="6DD86542" w14:textId="77777777" w:rsidTr="008C5253">
        <w:tc>
          <w:tcPr>
            <w:tcW w:w="0" w:type="auto"/>
            <w:hideMark/>
          </w:tcPr>
          <w:p w14:paraId="4EF6B8E6" w14:textId="77777777" w:rsidR="008C5253" w:rsidRPr="008C5253" w:rsidRDefault="008C5253" w:rsidP="008C5253">
            <w:pPr>
              <w:spacing w:after="160" w:line="278" w:lineRule="auto"/>
              <w:rPr>
                <w:rFonts w:ascii="Arial" w:hAnsi="Arial" w:cs="Arial"/>
              </w:rPr>
            </w:pPr>
            <w:r w:rsidRPr="008C5253">
              <w:rPr>
                <w:rFonts w:ascii="Arial" w:hAnsi="Arial" w:cs="Arial"/>
              </w:rPr>
              <w:t>2</w:t>
            </w:r>
          </w:p>
        </w:tc>
        <w:tc>
          <w:tcPr>
            <w:tcW w:w="0" w:type="auto"/>
            <w:hideMark/>
          </w:tcPr>
          <w:p w14:paraId="6A202280"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r>
      <w:tr w:rsidR="008C5253" w:rsidRPr="008C5253" w14:paraId="2A933714" w14:textId="77777777" w:rsidTr="008C5253">
        <w:tc>
          <w:tcPr>
            <w:tcW w:w="0" w:type="auto"/>
            <w:hideMark/>
          </w:tcPr>
          <w:p w14:paraId="21B1903C" w14:textId="77777777" w:rsidR="008C5253" w:rsidRPr="008C5253" w:rsidRDefault="008C5253" w:rsidP="008C5253">
            <w:pPr>
              <w:spacing w:after="160" w:line="278" w:lineRule="auto"/>
              <w:rPr>
                <w:rFonts w:ascii="Arial" w:hAnsi="Arial" w:cs="Arial"/>
              </w:rPr>
            </w:pPr>
            <w:r w:rsidRPr="008C5253">
              <w:rPr>
                <w:rFonts w:ascii="Arial" w:hAnsi="Arial" w:cs="Arial"/>
              </w:rPr>
              <w:t>3</w:t>
            </w:r>
          </w:p>
        </w:tc>
        <w:tc>
          <w:tcPr>
            <w:tcW w:w="0" w:type="auto"/>
            <w:hideMark/>
          </w:tcPr>
          <w:p w14:paraId="33F71FFF" w14:textId="77777777" w:rsidR="008C5253" w:rsidRPr="008C5253" w:rsidRDefault="008C5253" w:rsidP="008C5253">
            <w:pPr>
              <w:spacing w:after="160" w:line="278" w:lineRule="auto"/>
              <w:rPr>
                <w:rFonts w:ascii="Arial" w:hAnsi="Arial" w:cs="Arial"/>
              </w:rPr>
            </w:pPr>
            <w:r w:rsidRPr="008C5253">
              <w:rPr>
                <w:rFonts w:ascii="Arial" w:hAnsi="Arial" w:cs="Arial"/>
              </w:rPr>
              <w:t>20</w:t>
            </w:r>
          </w:p>
        </w:tc>
      </w:tr>
      <w:tr w:rsidR="008C5253" w:rsidRPr="008C5253" w14:paraId="67D87048" w14:textId="77777777" w:rsidTr="008C5253">
        <w:tc>
          <w:tcPr>
            <w:tcW w:w="0" w:type="auto"/>
            <w:hideMark/>
          </w:tcPr>
          <w:p w14:paraId="6CB4D201" w14:textId="77777777" w:rsidR="008C5253" w:rsidRPr="008C5253" w:rsidRDefault="008C5253" w:rsidP="008C5253">
            <w:pPr>
              <w:spacing w:after="160" w:line="278" w:lineRule="auto"/>
              <w:rPr>
                <w:rFonts w:ascii="Arial" w:hAnsi="Arial" w:cs="Arial"/>
              </w:rPr>
            </w:pPr>
            <w:r w:rsidRPr="008C5253">
              <w:rPr>
                <w:rFonts w:ascii="Arial" w:hAnsi="Arial" w:cs="Arial"/>
              </w:rPr>
              <w:t>4</w:t>
            </w:r>
          </w:p>
        </w:tc>
        <w:tc>
          <w:tcPr>
            <w:tcW w:w="0" w:type="auto"/>
            <w:hideMark/>
          </w:tcPr>
          <w:p w14:paraId="6FE96519" w14:textId="77777777" w:rsidR="008C5253" w:rsidRPr="008C5253" w:rsidRDefault="008C5253" w:rsidP="008C5253">
            <w:pPr>
              <w:spacing w:after="160" w:line="278" w:lineRule="auto"/>
              <w:rPr>
                <w:rFonts w:ascii="Arial" w:hAnsi="Arial" w:cs="Arial"/>
              </w:rPr>
            </w:pPr>
            <w:r w:rsidRPr="008C5253">
              <w:rPr>
                <w:rFonts w:ascii="Arial" w:hAnsi="Arial" w:cs="Arial"/>
              </w:rPr>
              <w:t>25</w:t>
            </w:r>
          </w:p>
        </w:tc>
      </w:tr>
      <w:tr w:rsidR="008C5253" w:rsidRPr="008C5253" w14:paraId="5B91DF11" w14:textId="77777777" w:rsidTr="008C5253">
        <w:tc>
          <w:tcPr>
            <w:tcW w:w="0" w:type="auto"/>
            <w:hideMark/>
          </w:tcPr>
          <w:p w14:paraId="75587243"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5D247B0F" w14:textId="77777777" w:rsidR="008C5253" w:rsidRPr="008C5253" w:rsidRDefault="008C5253" w:rsidP="008C5253">
            <w:pPr>
              <w:spacing w:after="160" w:line="278" w:lineRule="auto"/>
              <w:rPr>
                <w:rFonts w:ascii="Arial" w:hAnsi="Arial" w:cs="Arial"/>
              </w:rPr>
            </w:pPr>
            <w:r w:rsidRPr="008C5253">
              <w:rPr>
                <w:rFonts w:ascii="Arial" w:hAnsi="Arial" w:cs="Arial"/>
              </w:rPr>
              <w:t>15</w:t>
            </w:r>
          </w:p>
        </w:tc>
      </w:tr>
    </w:tbl>
    <w:p w14:paraId="30FD2FBD" w14:textId="222AF2E4" w:rsidR="008C5253" w:rsidRPr="008C5253" w:rsidRDefault="008C5253" w:rsidP="008C5253">
      <w:pPr>
        <w:rPr>
          <w:rFonts w:ascii="Arial" w:hAnsi="Arial" w:cs="Arial"/>
        </w:rPr>
      </w:pPr>
      <w:r w:rsidRPr="008C5253">
        <w:rPr>
          <w:rFonts w:ascii="Arial" w:hAnsi="Arial" w:cs="Arial"/>
          <w:b/>
          <w:bCs/>
        </w:rPr>
        <w:t>NPV at 10%</w:t>
      </w:r>
    </w:p>
    <w:tbl>
      <w:tblPr>
        <w:tblStyle w:val="TableGrid"/>
        <w:tblW w:w="0" w:type="auto"/>
        <w:tblLook w:val="04A0" w:firstRow="1" w:lastRow="0" w:firstColumn="1" w:lastColumn="0" w:noHBand="0" w:noVBand="1"/>
      </w:tblPr>
      <w:tblGrid>
        <w:gridCol w:w="724"/>
        <w:gridCol w:w="536"/>
        <w:gridCol w:w="1317"/>
        <w:gridCol w:w="817"/>
      </w:tblGrid>
      <w:tr w:rsidR="008C5253" w:rsidRPr="008C5253" w14:paraId="699833FD" w14:textId="77777777" w:rsidTr="008C5253">
        <w:tc>
          <w:tcPr>
            <w:tcW w:w="0" w:type="auto"/>
            <w:hideMark/>
          </w:tcPr>
          <w:p w14:paraId="7C1D32AF"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Year</w:t>
            </w:r>
          </w:p>
        </w:tc>
        <w:tc>
          <w:tcPr>
            <w:tcW w:w="0" w:type="auto"/>
            <w:hideMark/>
          </w:tcPr>
          <w:p w14:paraId="072E594A"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CF</w:t>
            </w:r>
          </w:p>
        </w:tc>
        <w:tc>
          <w:tcPr>
            <w:tcW w:w="0" w:type="auto"/>
            <w:hideMark/>
          </w:tcPr>
          <w:p w14:paraId="18242D26" w14:textId="77777777" w:rsidR="008C5253" w:rsidRPr="008C5253" w:rsidRDefault="008C5253" w:rsidP="008C5253">
            <w:pPr>
              <w:spacing w:after="160" w:line="278" w:lineRule="auto"/>
              <w:rPr>
                <w:rFonts w:ascii="Arial" w:hAnsi="Arial" w:cs="Arial"/>
                <w:b/>
                <w:bCs/>
              </w:rPr>
            </w:pPr>
            <w:proofErr w:type="gramStart"/>
            <w:r w:rsidRPr="008C5253">
              <w:rPr>
                <w:rFonts w:ascii="Arial" w:hAnsi="Arial" w:cs="Arial"/>
                <w:b/>
                <w:bCs/>
              </w:rPr>
              <w:t>DF @</w:t>
            </w:r>
            <w:proofErr w:type="gramEnd"/>
            <w:r w:rsidRPr="008C5253">
              <w:rPr>
                <w:rFonts w:ascii="Arial" w:hAnsi="Arial" w:cs="Arial"/>
                <w:b/>
                <w:bCs/>
              </w:rPr>
              <w:t>10%</w:t>
            </w:r>
          </w:p>
        </w:tc>
        <w:tc>
          <w:tcPr>
            <w:tcW w:w="0" w:type="auto"/>
            <w:hideMark/>
          </w:tcPr>
          <w:p w14:paraId="3EE4C64C"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PV</w:t>
            </w:r>
          </w:p>
        </w:tc>
      </w:tr>
      <w:tr w:rsidR="008C5253" w:rsidRPr="008C5253" w14:paraId="57D86DE1" w14:textId="77777777" w:rsidTr="008C5253">
        <w:tc>
          <w:tcPr>
            <w:tcW w:w="0" w:type="auto"/>
            <w:hideMark/>
          </w:tcPr>
          <w:p w14:paraId="0F0F5DB6" w14:textId="77777777" w:rsidR="008C5253" w:rsidRPr="008C5253" w:rsidRDefault="008C5253" w:rsidP="008C5253">
            <w:pPr>
              <w:spacing w:after="160" w:line="278" w:lineRule="auto"/>
              <w:rPr>
                <w:rFonts w:ascii="Arial" w:hAnsi="Arial" w:cs="Arial"/>
              </w:rPr>
            </w:pPr>
            <w:r w:rsidRPr="008C5253">
              <w:rPr>
                <w:rFonts w:ascii="Arial" w:hAnsi="Arial" w:cs="Arial"/>
              </w:rPr>
              <w:t>1</w:t>
            </w:r>
          </w:p>
        </w:tc>
        <w:tc>
          <w:tcPr>
            <w:tcW w:w="0" w:type="auto"/>
            <w:hideMark/>
          </w:tcPr>
          <w:p w14:paraId="5B8AB8B3"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73DCA3F5" w14:textId="77777777" w:rsidR="008C5253" w:rsidRPr="008C5253" w:rsidRDefault="008C5253" w:rsidP="008C5253">
            <w:pPr>
              <w:spacing w:after="160" w:line="278" w:lineRule="auto"/>
              <w:rPr>
                <w:rFonts w:ascii="Arial" w:hAnsi="Arial" w:cs="Arial"/>
              </w:rPr>
            </w:pPr>
            <w:r w:rsidRPr="008C5253">
              <w:rPr>
                <w:rFonts w:ascii="Arial" w:hAnsi="Arial" w:cs="Arial"/>
              </w:rPr>
              <w:t>0.909</w:t>
            </w:r>
          </w:p>
        </w:tc>
        <w:tc>
          <w:tcPr>
            <w:tcW w:w="0" w:type="auto"/>
            <w:hideMark/>
          </w:tcPr>
          <w:p w14:paraId="728AF4A6" w14:textId="77777777" w:rsidR="008C5253" w:rsidRPr="008C5253" w:rsidRDefault="008C5253" w:rsidP="008C5253">
            <w:pPr>
              <w:spacing w:after="160" w:line="278" w:lineRule="auto"/>
              <w:rPr>
                <w:rFonts w:ascii="Arial" w:hAnsi="Arial" w:cs="Arial"/>
              </w:rPr>
            </w:pPr>
            <w:r w:rsidRPr="008C5253">
              <w:rPr>
                <w:rFonts w:ascii="Arial" w:hAnsi="Arial" w:cs="Arial"/>
              </w:rPr>
              <w:t>4.55</w:t>
            </w:r>
          </w:p>
        </w:tc>
      </w:tr>
      <w:tr w:rsidR="008C5253" w:rsidRPr="008C5253" w14:paraId="627AE2D9" w14:textId="77777777" w:rsidTr="008C5253">
        <w:tc>
          <w:tcPr>
            <w:tcW w:w="0" w:type="auto"/>
            <w:hideMark/>
          </w:tcPr>
          <w:p w14:paraId="24FC2808" w14:textId="77777777" w:rsidR="008C5253" w:rsidRPr="008C5253" w:rsidRDefault="008C5253" w:rsidP="008C5253">
            <w:pPr>
              <w:spacing w:after="160" w:line="278" w:lineRule="auto"/>
              <w:rPr>
                <w:rFonts w:ascii="Arial" w:hAnsi="Arial" w:cs="Arial"/>
              </w:rPr>
            </w:pPr>
            <w:r w:rsidRPr="008C5253">
              <w:rPr>
                <w:rFonts w:ascii="Arial" w:hAnsi="Arial" w:cs="Arial"/>
              </w:rPr>
              <w:t>2</w:t>
            </w:r>
          </w:p>
        </w:tc>
        <w:tc>
          <w:tcPr>
            <w:tcW w:w="0" w:type="auto"/>
            <w:hideMark/>
          </w:tcPr>
          <w:p w14:paraId="789885D5"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c>
          <w:tcPr>
            <w:tcW w:w="0" w:type="auto"/>
            <w:hideMark/>
          </w:tcPr>
          <w:p w14:paraId="0E532ECC" w14:textId="77777777" w:rsidR="008C5253" w:rsidRPr="008C5253" w:rsidRDefault="008C5253" w:rsidP="008C5253">
            <w:pPr>
              <w:spacing w:after="160" w:line="278" w:lineRule="auto"/>
              <w:rPr>
                <w:rFonts w:ascii="Arial" w:hAnsi="Arial" w:cs="Arial"/>
              </w:rPr>
            </w:pPr>
            <w:r w:rsidRPr="008C5253">
              <w:rPr>
                <w:rFonts w:ascii="Arial" w:hAnsi="Arial" w:cs="Arial"/>
              </w:rPr>
              <w:t>0.826</w:t>
            </w:r>
          </w:p>
        </w:tc>
        <w:tc>
          <w:tcPr>
            <w:tcW w:w="0" w:type="auto"/>
            <w:hideMark/>
          </w:tcPr>
          <w:p w14:paraId="283709AC" w14:textId="77777777" w:rsidR="008C5253" w:rsidRPr="008C5253" w:rsidRDefault="008C5253" w:rsidP="008C5253">
            <w:pPr>
              <w:spacing w:after="160" w:line="278" w:lineRule="auto"/>
              <w:rPr>
                <w:rFonts w:ascii="Arial" w:hAnsi="Arial" w:cs="Arial"/>
              </w:rPr>
            </w:pPr>
            <w:r w:rsidRPr="008C5253">
              <w:rPr>
                <w:rFonts w:ascii="Arial" w:hAnsi="Arial" w:cs="Arial"/>
              </w:rPr>
              <w:t>8.26</w:t>
            </w:r>
          </w:p>
        </w:tc>
      </w:tr>
      <w:tr w:rsidR="008C5253" w:rsidRPr="008C5253" w14:paraId="65C696EE" w14:textId="77777777" w:rsidTr="008C5253">
        <w:tc>
          <w:tcPr>
            <w:tcW w:w="0" w:type="auto"/>
            <w:hideMark/>
          </w:tcPr>
          <w:p w14:paraId="1F5D9718" w14:textId="77777777" w:rsidR="008C5253" w:rsidRPr="008C5253" w:rsidRDefault="008C5253" w:rsidP="008C5253">
            <w:pPr>
              <w:spacing w:after="160" w:line="278" w:lineRule="auto"/>
              <w:rPr>
                <w:rFonts w:ascii="Arial" w:hAnsi="Arial" w:cs="Arial"/>
              </w:rPr>
            </w:pPr>
            <w:r w:rsidRPr="008C5253">
              <w:rPr>
                <w:rFonts w:ascii="Arial" w:hAnsi="Arial" w:cs="Arial"/>
              </w:rPr>
              <w:lastRenderedPageBreak/>
              <w:t>3</w:t>
            </w:r>
          </w:p>
        </w:tc>
        <w:tc>
          <w:tcPr>
            <w:tcW w:w="0" w:type="auto"/>
            <w:hideMark/>
          </w:tcPr>
          <w:p w14:paraId="647A3BA6" w14:textId="77777777" w:rsidR="008C5253" w:rsidRPr="008C5253" w:rsidRDefault="008C5253" w:rsidP="008C5253">
            <w:pPr>
              <w:spacing w:after="160" w:line="278" w:lineRule="auto"/>
              <w:rPr>
                <w:rFonts w:ascii="Arial" w:hAnsi="Arial" w:cs="Arial"/>
              </w:rPr>
            </w:pPr>
            <w:r w:rsidRPr="008C5253">
              <w:rPr>
                <w:rFonts w:ascii="Arial" w:hAnsi="Arial" w:cs="Arial"/>
              </w:rPr>
              <w:t>20</w:t>
            </w:r>
          </w:p>
        </w:tc>
        <w:tc>
          <w:tcPr>
            <w:tcW w:w="0" w:type="auto"/>
            <w:hideMark/>
          </w:tcPr>
          <w:p w14:paraId="404F3788" w14:textId="77777777" w:rsidR="008C5253" w:rsidRPr="008C5253" w:rsidRDefault="008C5253" w:rsidP="008C5253">
            <w:pPr>
              <w:spacing w:after="160" w:line="278" w:lineRule="auto"/>
              <w:rPr>
                <w:rFonts w:ascii="Arial" w:hAnsi="Arial" w:cs="Arial"/>
              </w:rPr>
            </w:pPr>
            <w:r w:rsidRPr="008C5253">
              <w:rPr>
                <w:rFonts w:ascii="Arial" w:hAnsi="Arial" w:cs="Arial"/>
              </w:rPr>
              <w:t>0.751</w:t>
            </w:r>
          </w:p>
        </w:tc>
        <w:tc>
          <w:tcPr>
            <w:tcW w:w="0" w:type="auto"/>
            <w:hideMark/>
          </w:tcPr>
          <w:p w14:paraId="3A122949" w14:textId="77777777" w:rsidR="008C5253" w:rsidRPr="008C5253" w:rsidRDefault="008C5253" w:rsidP="008C5253">
            <w:pPr>
              <w:spacing w:after="160" w:line="278" w:lineRule="auto"/>
              <w:rPr>
                <w:rFonts w:ascii="Arial" w:hAnsi="Arial" w:cs="Arial"/>
              </w:rPr>
            </w:pPr>
            <w:r w:rsidRPr="008C5253">
              <w:rPr>
                <w:rFonts w:ascii="Arial" w:hAnsi="Arial" w:cs="Arial"/>
              </w:rPr>
              <w:t>15.02</w:t>
            </w:r>
          </w:p>
        </w:tc>
      </w:tr>
      <w:tr w:rsidR="008C5253" w:rsidRPr="008C5253" w14:paraId="5962A9AD" w14:textId="77777777" w:rsidTr="008C5253">
        <w:tc>
          <w:tcPr>
            <w:tcW w:w="0" w:type="auto"/>
            <w:hideMark/>
          </w:tcPr>
          <w:p w14:paraId="0E991842" w14:textId="77777777" w:rsidR="008C5253" w:rsidRPr="008C5253" w:rsidRDefault="008C5253" w:rsidP="008C5253">
            <w:pPr>
              <w:spacing w:after="160" w:line="278" w:lineRule="auto"/>
              <w:rPr>
                <w:rFonts w:ascii="Arial" w:hAnsi="Arial" w:cs="Arial"/>
              </w:rPr>
            </w:pPr>
            <w:r w:rsidRPr="008C5253">
              <w:rPr>
                <w:rFonts w:ascii="Arial" w:hAnsi="Arial" w:cs="Arial"/>
              </w:rPr>
              <w:t>4</w:t>
            </w:r>
          </w:p>
        </w:tc>
        <w:tc>
          <w:tcPr>
            <w:tcW w:w="0" w:type="auto"/>
            <w:hideMark/>
          </w:tcPr>
          <w:p w14:paraId="22444FC1" w14:textId="77777777" w:rsidR="008C5253" w:rsidRPr="008C5253" w:rsidRDefault="008C5253" w:rsidP="008C5253">
            <w:pPr>
              <w:spacing w:after="160" w:line="278" w:lineRule="auto"/>
              <w:rPr>
                <w:rFonts w:ascii="Arial" w:hAnsi="Arial" w:cs="Arial"/>
              </w:rPr>
            </w:pPr>
            <w:r w:rsidRPr="008C5253">
              <w:rPr>
                <w:rFonts w:ascii="Arial" w:hAnsi="Arial" w:cs="Arial"/>
              </w:rPr>
              <w:t>25</w:t>
            </w:r>
          </w:p>
        </w:tc>
        <w:tc>
          <w:tcPr>
            <w:tcW w:w="0" w:type="auto"/>
            <w:hideMark/>
          </w:tcPr>
          <w:p w14:paraId="31B4664C" w14:textId="77777777" w:rsidR="008C5253" w:rsidRPr="008C5253" w:rsidRDefault="008C5253" w:rsidP="008C5253">
            <w:pPr>
              <w:spacing w:after="160" w:line="278" w:lineRule="auto"/>
              <w:rPr>
                <w:rFonts w:ascii="Arial" w:hAnsi="Arial" w:cs="Arial"/>
              </w:rPr>
            </w:pPr>
            <w:r w:rsidRPr="008C5253">
              <w:rPr>
                <w:rFonts w:ascii="Arial" w:hAnsi="Arial" w:cs="Arial"/>
              </w:rPr>
              <w:t>0.683</w:t>
            </w:r>
          </w:p>
        </w:tc>
        <w:tc>
          <w:tcPr>
            <w:tcW w:w="0" w:type="auto"/>
            <w:hideMark/>
          </w:tcPr>
          <w:p w14:paraId="70C53A83" w14:textId="77777777" w:rsidR="008C5253" w:rsidRPr="008C5253" w:rsidRDefault="008C5253" w:rsidP="008C5253">
            <w:pPr>
              <w:spacing w:after="160" w:line="278" w:lineRule="auto"/>
              <w:rPr>
                <w:rFonts w:ascii="Arial" w:hAnsi="Arial" w:cs="Arial"/>
              </w:rPr>
            </w:pPr>
            <w:r w:rsidRPr="008C5253">
              <w:rPr>
                <w:rFonts w:ascii="Arial" w:hAnsi="Arial" w:cs="Arial"/>
              </w:rPr>
              <w:t>17.08</w:t>
            </w:r>
          </w:p>
        </w:tc>
      </w:tr>
      <w:tr w:rsidR="008C5253" w:rsidRPr="008C5253" w14:paraId="2AD23392" w14:textId="77777777" w:rsidTr="008C5253">
        <w:tc>
          <w:tcPr>
            <w:tcW w:w="0" w:type="auto"/>
            <w:hideMark/>
          </w:tcPr>
          <w:p w14:paraId="391435E1"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5763BF05" w14:textId="77777777" w:rsidR="008C5253" w:rsidRPr="008C5253" w:rsidRDefault="008C5253" w:rsidP="008C5253">
            <w:pPr>
              <w:spacing w:after="160" w:line="278" w:lineRule="auto"/>
              <w:rPr>
                <w:rFonts w:ascii="Arial" w:hAnsi="Arial" w:cs="Arial"/>
              </w:rPr>
            </w:pPr>
            <w:r w:rsidRPr="008C5253">
              <w:rPr>
                <w:rFonts w:ascii="Arial" w:hAnsi="Arial" w:cs="Arial"/>
              </w:rPr>
              <w:t>15</w:t>
            </w:r>
          </w:p>
        </w:tc>
        <w:tc>
          <w:tcPr>
            <w:tcW w:w="0" w:type="auto"/>
            <w:hideMark/>
          </w:tcPr>
          <w:p w14:paraId="28A40B31" w14:textId="77777777" w:rsidR="008C5253" w:rsidRPr="008C5253" w:rsidRDefault="008C5253" w:rsidP="008C5253">
            <w:pPr>
              <w:spacing w:after="160" w:line="278" w:lineRule="auto"/>
              <w:rPr>
                <w:rFonts w:ascii="Arial" w:hAnsi="Arial" w:cs="Arial"/>
              </w:rPr>
            </w:pPr>
            <w:r w:rsidRPr="008C5253">
              <w:rPr>
                <w:rFonts w:ascii="Arial" w:hAnsi="Arial" w:cs="Arial"/>
              </w:rPr>
              <w:t>0.621</w:t>
            </w:r>
          </w:p>
        </w:tc>
        <w:tc>
          <w:tcPr>
            <w:tcW w:w="0" w:type="auto"/>
            <w:hideMark/>
          </w:tcPr>
          <w:p w14:paraId="384E319D" w14:textId="77777777" w:rsidR="008C5253" w:rsidRPr="008C5253" w:rsidRDefault="008C5253" w:rsidP="008C5253">
            <w:pPr>
              <w:spacing w:after="160" w:line="278" w:lineRule="auto"/>
              <w:rPr>
                <w:rFonts w:ascii="Arial" w:hAnsi="Arial" w:cs="Arial"/>
              </w:rPr>
            </w:pPr>
            <w:r w:rsidRPr="008C5253">
              <w:rPr>
                <w:rFonts w:ascii="Arial" w:hAnsi="Arial" w:cs="Arial"/>
              </w:rPr>
              <w:t>9.32</w:t>
            </w:r>
          </w:p>
        </w:tc>
      </w:tr>
    </w:tbl>
    <w:p w14:paraId="5D113237" w14:textId="77777777" w:rsidR="008C5253" w:rsidRPr="008C5253" w:rsidRDefault="008C5253" w:rsidP="008C5253">
      <w:pPr>
        <w:rPr>
          <w:rFonts w:ascii="Arial" w:hAnsi="Arial" w:cs="Arial"/>
        </w:rPr>
      </w:pPr>
      <w:r w:rsidRPr="008C5253">
        <w:rPr>
          <w:rFonts w:ascii="Arial" w:hAnsi="Arial" w:cs="Arial"/>
          <w:b/>
          <w:bCs/>
        </w:rPr>
        <w:t>Total PV inflows = 54.23</w:t>
      </w:r>
    </w:p>
    <w:p w14:paraId="2A66F063" w14:textId="1FB013A0" w:rsidR="008C5253" w:rsidRPr="008C5253" w:rsidRDefault="008C5253" w:rsidP="008C5253">
      <w:pPr>
        <w:rPr>
          <w:rFonts w:ascii="Arial" w:hAnsi="Arial" w:cs="Arial"/>
        </w:rPr>
      </w:pPr>
      <m:oMathPara>
        <m:oMath>
          <m:r>
            <w:rPr>
              <w:rFonts w:ascii="Cambria Math" w:hAnsi="Cambria Math" w:cs="Arial"/>
            </w:rPr>
            <m:t>NP</m:t>
          </m:r>
          <m:sSub>
            <m:sSubPr>
              <m:ctrlPr>
                <w:rPr>
                  <w:rFonts w:ascii="Cambria Math" w:hAnsi="Cambria Math" w:cs="Arial"/>
                </w:rPr>
              </m:ctrlPr>
            </m:sSubPr>
            <m:e>
              <m:r>
                <w:rPr>
                  <w:rFonts w:ascii="Cambria Math" w:hAnsi="Cambria Math" w:cs="Arial"/>
                </w:rPr>
                <m:t>V</m:t>
              </m:r>
            </m:e>
            <m:sub>
              <m:r>
                <w:rPr>
                  <w:rFonts w:ascii="Cambria Math" w:hAnsi="Cambria Math" w:cs="Arial"/>
                </w:rPr>
                <m:t>10</m:t>
              </m:r>
              <m:r>
                <m:rPr>
                  <m:sty m:val="p"/>
                </m:rPr>
                <w:rPr>
                  <w:rFonts w:ascii="Cambria Math" w:hAnsi="Cambria Math" w:cs="Arial"/>
                </w:rPr>
                <m:t>%</m:t>
              </m:r>
            </m:sub>
          </m:sSub>
          <m:r>
            <w:rPr>
              <w:rFonts w:ascii="Cambria Math" w:hAnsi="Cambria Math" w:cs="Arial"/>
            </w:rPr>
            <m:t>=54.23-50=+</m:t>
          </m:r>
          <m:r>
            <m:rPr>
              <m:sty m:val="b"/>
            </m:rPr>
            <w:rPr>
              <w:rFonts w:ascii="Cambria Math" w:hAnsi="Cambria Math" w:cs="Arial"/>
            </w:rPr>
            <m:t>4.23</m:t>
          </m:r>
          <m:r>
            <m:rPr>
              <m:sty m:val="p"/>
            </m:rPr>
            <w:rPr>
              <w:rFonts w:ascii="Cambria Math" w:hAnsi="Cambria Math" w:cs="Arial"/>
            </w:rPr>
            <w:br/>
          </m:r>
        </m:oMath>
      </m:oMathPara>
    </w:p>
    <w:p w14:paraId="4A20D29E" w14:textId="028BDA29" w:rsidR="008C5253" w:rsidRPr="008C5253" w:rsidRDefault="008C5253" w:rsidP="008C5253">
      <w:pPr>
        <w:rPr>
          <w:rFonts w:ascii="Arial" w:hAnsi="Arial" w:cs="Arial"/>
          <w:b/>
          <w:bCs/>
        </w:rPr>
      </w:pPr>
      <w:r w:rsidRPr="008C5253">
        <w:rPr>
          <w:rFonts w:ascii="Arial" w:hAnsi="Arial" w:cs="Arial"/>
          <w:b/>
          <w:bCs/>
        </w:rPr>
        <w:t>NPV at 14%</w:t>
      </w:r>
    </w:p>
    <w:tbl>
      <w:tblPr>
        <w:tblStyle w:val="TableGrid"/>
        <w:tblW w:w="0" w:type="auto"/>
        <w:tblLook w:val="04A0" w:firstRow="1" w:lastRow="0" w:firstColumn="1" w:lastColumn="0" w:noHBand="0" w:noVBand="1"/>
      </w:tblPr>
      <w:tblGrid>
        <w:gridCol w:w="724"/>
        <w:gridCol w:w="536"/>
        <w:gridCol w:w="1317"/>
        <w:gridCol w:w="817"/>
      </w:tblGrid>
      <w:tr w:rsidR="008C5253" w:rsidRPr="008C5253" w14:paraId="47DC6F2F" w14:textId="77777777" w:rsidTr="008C5253">
        <w:tc>
          <w:tcPr>
            <w:tcW w:w="0" w:type="auto"/>
            <w:hideMark/>
          </w:tcPr>
          <w:p w14:paraId="683CCA44"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Year</w:t>
            </w:r>
          </w:p>
        </w:tc>
        <w:tc>
          <w:tcPr>
            <w:tcW w:w="0" w:type="auto"/>
            <w:hideMark/>
          </w:tcPr>
          <w:p w14:paraId="7F288EDB"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CF</w:t>
            </w:r>
          </w:p>
        </w:tc>
        <w:tc>
          <w:tcPr>
            <w:tcW w:w="0" w:type="auto"/>
            <w:hideMark/>
          </w:tcPr>
          <w:p w14:paraId="51FD66F0" w14:textId="77777777" w:rsidR="008C5253" w:rsidRPr="008C5253" w:rsidRDefault="008C5253" w:rsidP="008C5253">
            <w:pPr>
              <w:spacing w:after="160" w:line="278" w:lineRule="auto"/>
              <w:rPr>
                <w:rFonts w:ascii="Arial" w:hAnsi="Arial" w:cs="Arial"/>
                <w:b/>
                <w:bCs/>
              </w:rPr>
            </w:pPr>
            <w:proofErr w:type="gramStart"/>
            <w:r w:rsidRPr="008C5253">
              <w:rPr>
                <w:rFonts w:ascii="Arial" w:hAnsi="Arial" w:cs="Arial"/>
                <w:b/>
                <w:bCs/>
              </w:rPr>
              <w:t>DF @</w:t>
            </w:r>
            <w:proofErr w:type="gramEnd"/>
            <w:r w:rsidRPr="008C5253">
              <w:rPr>
                <w:rFonts w:ascii="Arial" w:hAnsi="Arial" w:cs="Arial"/>
                <w:b/>
                <w:bCs/>
              </w:rPr>
              <w:t>14%</w:t>
            </w:r>
          </w:p>
        </w:tc>
        <w:tc>
          <w:tcPr>
            <w:tcW w:w="0" w:type="auto"/>
            <w:hideMark/>
          </w:tcPr>
          <w:p w14:paraId="0162D6F0"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PV</w:t>
            </w:r>
          </w:p>
        </w:tc>
      </w:tr>
      <w:tr w:rsidR="008C5253" w:rsidRPr="008C5253" w14:paraId="1074C82A" w14:textId="77777777" w:rsidTr="008C5253">
        <w:tc>
          <w:tcPr>
            <w:tcW w:w="0" w:type="auto"/>
            <w:hideMark/>
          </w:tcPr>
          <w:p w14:paraId="6EA2282D" w14:textId="77777777" w:rsidR="008C5253" w:rsidRPr="008C5253" w:rsidRDefault="008C5253" w:rsidP="008C5253">
            <w:pPr>
              <w:spacing w:after="160" w:line="278" w:lineRule="auto"/>
              <w:rPr>
                <w:rFonts w:ascii="Arial" w:hAnsi="Arial" w:cs="Arial"/>
              </w:rPr>
            </w:pPr>
            <w:r w:rsidRPr="008C5253">
              <w:rPr>
                <w:rFonts w:ascii="Arial" w:hAnsi="Arial" w:cs="Arial"/>
              </w:rPr>
              <w:t>1</w:t>
            </w:r>
          </w:p>
        </w:tc>
        <w:tc>
          <w:tcPr>
            <w:tcW w:w="0" w:type="auto"/>
            <w:hideMark/>
          </w:tcPr>
          <w:p w14:paraId="5DEC444D"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4C0524D9" w14:textId="77777777" w:rsidR="008C5253" w:rsidRPr="008C5253" w:rsidRDefault="008C5253" w:rsidP="008C5253">
            <w:pPr>
              <w:spacing w:after="160" w:line="278" w:lineRule="auto"/>
              <w:rPr>
                <w:rFonts w:ascii="Arial" w:hAnsi="Arial" w:cs="Arial"/>
              </w:rPr>
            </w:pPr>
            <w:r w:rsidRPr="008C5253">
              <w:rPr>
                <w:rFonts w:ascii="Arial" w:hAnsi="Arial" w:cs="Arial"/>
              </w:rPr>
              <w:t>0.877</w:t>
            </w:r>
          </w:p>
        </w:tc>
        <w:tc>
          <w:tcPr>
            <w:tcW w:w="0" w:type="auto"/>
            <w:hideMark/>
          </w:tcPr>
          <w:p w14:paraId="7C6381BA" w14:textId="77777777" w:rsidR="008C5253" w:rsidRPr="008C5253" w:rsidRDefault="008C5253" w:rsidP="008C5253">
            <w:pPr>
              <w:spacing w:after="160" w:line="278" w:lineRule="auto"/>
              <w:rPr>
                <w:rFonts w:ascii="Arial" w:hAnsi="Arial" w:cs="Arial"/>
              </w:rPr>
            </w:pPr>
            <w:r w:rsidRPr="008C5253">
              <w:rPr>
                <w:rFonts w:ascii="Arial" w:hAnsi="Arial" w:cs="Arial"/>
              </w:rPr>
              <w:t>4.39</w:t>
            </w:r>
          </w:p>
        </w:tc>
      </w:tr>
      <w:tr w:rsidR="008C5253" w:rsidRPr="008C5253" w14:paraId="4889853D" w14:textId="77777777" w:rsidTr="008C5253">
        <w:tc>
          <w:tcPr>
            <w:tcW w:w="0" w:type="auto"/>
            <w:hideMark/>
          </w:tcPr>
          <w:p w14:paraId="6B2FB604" w14:textId="77777777" w:rsidR="008C5253" w:rsidRPr="008C5253" w:rsidRDefault="008C5253" w:rsidP="008C5253">
            <w:pPr>
              <w:spacing w:after="160" w:line="278" w:lineRule="auto"/>
              <w:rPr>
                <w:rFonts w:ascii="Arial" w:hAnsi="Arial" w:cs="Arial"/>
              </w:rPr>
            </w:pPr>
            <w:r w:rsidRPr="008C5253">
              <w:rPr>
                <w:rFonts w:ascii="Arial" w:hAnsi="Arial" w:cs="Arial"/>
              </w:rPr>
              <w:t>2</w:t>
            </w:r>
          </w:p>
        </w:tc>
        <w:tc>
          <w:tcPr>
            <w:tcW w:w="0" w:type="auto"/>
            <w:hideMark/>
          </w:tcPr>
          <w:p w14:paraId="2066B197" w14:textId="77777777" w:rsidR="008C5253" w:rsidRPr="008C5253" w:rsidRDefault="008C5253" w:rsidP="008C5253">
            <w:pPr>
              <w:spacing w:after="160" w:line="278" w:lineRule="auto"/>
              <w:rPr>
                <w:rFonts w:ascii="Arial" w:hAnsi="Arial" w:cs="Arial"/>
              </w:rPr>
            </w:pPr>
            <w:r w:rsidRPr="008C5253">
              <w:rPr>
                <w:rFonts w:ascii="Arial" w:hAnsi="Arial" w:cs="Arial"/>
              </w:rPr>
              <w:t>10</w:t>
            </w:r>
          </w:p>
        </w:tc>
        <w:tc>
          <w:tcPr>
            <w:tcW w:w="0" w:type="auto"/>
            <w:hideMark/>
          </w:tcPr>
          <w:p w14:paraId="1EB7A455" w14:textId="77777777" w:rsidR="008C5253" w:rsidRPr="008C5253" w:rsidRDefault="008C5253" w:rsidP="008C5253">
            <w:pPr>
              <w:spacing w:after="160" w:line="278" w:lineRule="auto"/>
              <w:rPr>
                <w:rFonts w:ascii="Arial" w:hAnsi="Arial" w:cs="Arial"/>
              </w:rPr>
            </w:pPr>
            <w:r w:rsidRPr="008C5253">
              <w:rPr>
                <w:rFonts w:ascii="Arial" w:hAnsi="Arial" w:cs="Arial"/>
              </w:rPr>
              <w:t>0.769</w:t>
            </w:r>
          </w:p>
        </w:tc>
        <w:tc>
          <w:tcPr>
            <w:tcW w:w="0" w:type="auto"/>
            <w:hideMark/>
          </w:tcPr>
          <w:p w14:paraId="06280662" w14:textId="77777777" w:rsidR="008C5253" w:rsidRPr="008C5253" w:rsidRDefault="008C5253" w:rsidP="008C5253">
            <w:pPr>
              <w:spacing w:after="160" w:line="278" w:lineRule="auto"/>
              <w:rPr>
                <w:rFonts w:ascii="Arial" w:hAnsi="Arial" w:cs="Arial"/>
              </w:rPr>
            </w:pPr>
            <w:r w:rsidRPr="008C5253">
              <w:rPr>
                <w:rFonts w:ascii="Arial" w:hAnsi="Arial" w:cs="Arial"/>
              </w:rPr>
              <w:t>7.69</w:t>
            </w:r>
          </w:p>
        </w:tc>
      </w:tr>
      <w:tr w:rsidR="008C5253" w:rsidRPr="008C5253" w14:paraId="0BC2690C" w14:textId="77777777" w:rsidTr="008C5253">
        <w:tc>
          <w:tcPr>
            <w:tcW w:w="0" w:type="auto"/>
            <w:hideMark/>
          </w:tcPr>
          <w:p w14:paraId="5EC9525F" w14:textId="77777777" w:rsidR="008C5253" w:rsidRPr="008C5253" w:rsidRDefault="008C5253" w:rsidP="008C5253">
            <w:pPr>
              <w:spacing w:after="160" w:line="278" w:lineRule="auto"/>
              <w:rPr>
                <w:rFonts w:ascii="Arial" w:hAnsi="Arial" w:cs="Arial"/>
              </w:rPr>
            </w:pPr>
            <w:r w:rsidRPr="008C5253">
              <w:rPr>
                <w:rFonts w:ascii="Arial" w:hAnsi="Arial" w:cs="Arial"/>
              </w:rPr>
              <w:t>3</w:t>
            </w:r>
          </w:p>
        </w:tc>
        <w:tc>
          <w:tcPr>
            <w:tcW w:w="0" w:type="auto"/>
            <w:hideMark/>
          </w:tcPr>
          <w:p w14:paraId="6C69DEDA" w14:textId="77777777" w:rsidR="008C5253" w:rsidRPr="008C5253" w:rsidRDefault="008C5253" w:rsidP="008C5253">
            <w:pPr>
              <w:spacing w:after="160" w:line="278" w:lineRule="auto"/>
              <w:rPr>
                <w:rFonts w:ascii="Arial" w:hAnsi="Arial" w:cs="Arial"/>
              </w:rPr>
            </w:pPr>
            <w:r w:rsidRPr="008C5253">
              <w:rPr>
                <w:rFonts w:ascii="Arial" w:hAnsi="Arial" w:cs="Arial"/>
              </w:rPr>
              <w:t>20</w:t>
            </w:r>
          </w:p>
        </w:tc>
        <w:tc>
          <w:tcPr>
            <w:tcW w:w="0" w:type="auto"/>
            <w:hideMark/>
          </w:tcPr>
          <w:p w14:paraId="349730F4" w14:textId="77777777" w:rsidR="008C5253" w:rsidRPr="008C5253" w:rsidRDefault="008C5253" w:rsidP="008C5253">
            <w:pPr>
              <w:spacing w:after="160" w:line="278" w:lineRule="auto"/>
              <w:rPr>
                <w:rFonts w:ascii="Arial" w:hAnsi="Arial" w:cs="Arial"/>
              </w:rPr>
            </w:pPr>
            <w:r w:rsidRPr="008C5253">
              <w:rPr>
                <w:rFonts w:ascii="Arial" w:hAnsi="Arial" w:cs="Arial"/>
              </w:rPr>
              <w:t>0.675</w:t>
            </w:r>
          </w:p>
        </w:tc>
        <w:tc>
          <w:tcPr>
            <w:tcW w:w="0" w:type="auto"/>
            <w:hideMark/>
          </w:tcPr>
          <w:p w14:paraId="273DDFE0" w14:textId="77777777" w:rsidR="008C5253" w:rsidRPr="008C5253" w:rsidRDefault="008C5253" w:rsidP="008C5253">
            <w:pPr>
              <w:spacing w:after="160" w:line="278" w:lineRule="auto"/>
              <w:rPr>
                <w:rFonts w:ascii="Arial" w:hAnsi="Arial" w:cs="Arial"/>
              </w:rPr>
            </w:pPr>
            <w:r w:rsidRPr="008C5253">
              <w:rPr>
                <w:rFonts w:ascii="Arial" w:hAnsi="Arial" w:cs="Arial"/>
              </w:rPr>
              <w:t>13.50</w:t>
            </w:r>
          </w:p>
        </w:tc>
      </w:tr>
      <w:tr w:rsidR="008C5253" w:rsidRPr="008C5253" w14:paraId="661E5987" w14:textId="77777777" w:rsidTr="008C5253">
        <w:tc>
          <w:tcPr>
            <w:tcW w:w="0" w:type="auto"/>
            <w:hideMark/>
          </w:tcPr>
          <w:p w14:paraId="3C44AE94" w14:textId="77777777" w:rsidR="008C5253" w:rsidRPr="008C5253" w:rsidRDefault="008C5253" w:rsidP="008C5253">
            <w:pPr>
              <w:spacing w:after="160" w:line="278" w:lineRule="auto"/>
              <w:rPr>
                <w:rFonts w:ascii="Arial" w:hAnsi="Arial" w:cs="Arial"/>
              </w:rPr>
            </w:pPr>
            <w:r w:rsidRPr="008C5253">
              <w:rPr>
                <w:rFonts w:ascii="Arial" w:hAnsi="Arial" w:cs="Arial"/>
              </w:rPr>
              <w:t>4</w:t>
            </w:r>
          </w:p>
        </w:tc>
        <w:tc>
          <w:tcPr>
            <w:tcW w:w="0" w:type="auto"/>
            <w:hideMark/>
          </w:tcPr>
          <w:p w14:paraId="31EA269A" w14:textId="77777777" w:rsidR="008C5253" w:rsidRPr="008C5253" w:rsidRDefault="008C5253" w:rsidP="008C5253">
            <w:pPr>
              <w:spacing w:after="160" w:line="278" w:lineRule="auto"/>
              <w:rPr>
                <w:rFonts w:ascii="Arial" w:hAnsi="Arial" w:cs="Arial"/>
              </w:rPr>
            </w:pPr>
            <w:r w:rsidRPr="008C5253">
              <w:rPr>
                <w:rFonts w:ascii="Arial" w:hAnsi="Arial" w:cs="Arial"/>
              </w:rPr>
              <w:t>25</w:t>
            </w:r>
          </w:p>
        </w:tc>
        <w:tc>
          <w:tcPr>
            <w:tcW w:w="0" w:type="auto"/>
            <w:hideMark/>
          </w:tcPr>
          <w:p w14:paraId="7ED7BCAE" w14:textId="77777777" w:rsidR="008C5253" w:rsidRPr="008C5253" w:rsidRDefault="008C5253" w:rsidP="008C5253">
            <w:pPr>
              <w:spacing w:after="160" w:line="278" w:lineRule="auto"/>
              <w:rPr>
                <w:rFonts w:ascii="Arial" w:hAnsi="Arial" w:cs="Arial"/>
              </w:rPr>
            </w:pPr>
            <w:r w:rsidRPr="008C5253">
              <w:rPr>
                <w:rFonts w:ascii="Arial" w:hAnsi="Arial" w:cs="Arial"/>
              </w:rPr>
              <w:t>0.592</w:t>
            </w:r>
          </w:p>
        </w:tc>
        <w:tc>
          <w:tcPr>
            <w:tcW w:w="0" w:type="auto"/>
            <w:hideMark/>
          </w:tcPr>
          <w:p w14:paraId="356E5E24" w14:textId="77777777" w:rsidR="008C5253" w:rsidRPr="008C5253" w:rsidRDefault="008C5253" w:rsidP="008C5253">
            <w:pPr>
              <w:spacing w:after="160" w:line="278" w:lineRule="auto"/>
              <w:rPr>
                <w:rFonts w:ascii="Arial" w:hAnsi="Arial" w:cs="Arial"/>
              </w:rPr>
            </w:pPr>
            <w:r w:rsidRPr="008C5253">
              <w:rPr>
                <w:rFonts w:ascii="Arial" w:hAnsi="Arial" w:cs="Arial"/>
              </w:rPr>
              <w:t>14.80</w:t>
            </w:r>
          </w:p>
        </w:tc>
      </w:tr>
      <w:tr w:rsidR="008C5253" w:rsidRPr="008C5253" w14:paraId="7F9E3CC8" w14:textId="77777777" w:rsidTr="008C5253">
        <w:tc>
          <w:tcPr>
            <w:tcW w:w="0" w:type="auto"/>
            <w:hideMark/>
          </w:tcPr>
          <w:p w14:paraId="355D70B4" w14:textId="77777777" w:rsidR="008C5253" w:rsidRPr="008C5253" w:rsidRDefault="008C5253" w:rsidP="008C5253">
            <w:pPr>
              <w:spacing w:after="160" w:line="278" w:lineRule="auto"/>
              <w:rPr>
                <w:rFonts w:ascii="Arial" w:hAnsi="Arial" w:cs="Arial"/>
              </w:rPr>
            </w:pPr>
            <w:r w:rsidRPr="008C5253">
              <w:rPr>
                <w:rFonts w:ascii="Arial" w:hAnsi="Arial" w:cs="Arial"/>
              </w:rPr>
              <w:t>5</w:t>
            </w:r>
          </w:p>
        </w:tc>
        <w:tc>
          <w:tcPr>
            <w:tcW w:w="0" w:type="auto"/>
            <w:hideMark/>
          </w:tcPr>
          <w:p w14:paraId="5CB96901" w14:textId="77777777" w:rsidR="008C5253" w:rsidRPr="008C5253" w:rsidRDefault="008C5253" w:rsidP="008C5253">
            <w:pPr>
              <w:spacing w:after="160" w:line="278" w:lineRule="auto"/>
              <w:rPr>
                <w:rFonts w:ascii="Arial" w:hAnsi="Arial" w:cs="Arial"/>
              </w:rPr>
            </w:pPr>
            <w:r w:rsidRPr="008C5253">
              <w:rPr>
                <w:rFonts w:ascii="Arial" w:hAnsi="Arial" w:cs="Arial"/>
              </w:rPr>
              <w:t>15</w:t>
            </w:r>
          </w:p>
        </w:tc>
        <w:tc>
          <w:tcPr>
            <w:tcW w:w="0" w:type="auto"/>
            <w:hideMark/>
          </w:tcPr>
          <w:p w14:paraId="4FFE2D5E" w14:textId="77777777" w:rsidR="008C5253" w:rsidRPr="008C5253" w:rsidRDefault="008C5253" w:rsidP="008C5253">
            <w:pPr>
              <w:spacing w:after="160" w:line="278" w:lineRule="auto"/>
              <w:rPr>
                <w:rFonts w:ascii="Arial" w:hAnsi="Arial" w:cs="Arial"/>
              </w:rPr>
            </w:pPr>
            <w:r w:rsidRPr="008C5253">
              <w:rPr>
                <w:rFonts w:ascii="Arial" w:hAnsi="Arial" w:cs="Arial"/>
              </w:rPr>
              <w:t>0.519</w:t>
            </w:r>
          </w:p>
        </w:tc>
        <w:tc>
          <w:tcPr>
            <w:tcW w:w="0" w:type="auto"/>
            <w:hideMark/>
          </w:tcPr>
          <w:p w14:paraId="651F5F77" w14:textId="77777777" w:rsidR="008C5253" w:rsidRPr="008C5253" w:rsidRDefault="008C5253" w:rsidP="008C5253">
            <w:pPr>
              <w:spacing w:after="160" w:line="278" w:lineRule="auto"/>
              <w:rPr>
                <w:rFonts w:ascii="Arial" w:hAnsi="Arial" w:cs="Arial"/>
              </w:rPr>
            </w:pPr>
            <w:r w:rsidRPr="008C5253">
              <w:rPr>
                <w:rFonts w:ascii="Arial" w:hAnsi="Arial" w:cs="Arial"/>
              </w:rPr>
              <w:t>7.79</w:t>
            </w:r>
          </w:p>
        </w:tc>
      </w:tr>
    </w:tbl>
    <w:p w14:paraId="748EBBB7" w14:textId="77777777" w:rsidR="008C5253" w:rsidRPr="008C5253" w:rsidRDefault="008C5253" w:rsidP="008C5253">
      <w:pPr>
        <w:rPr>
          <w:rFonts w:ascii="Arial" w:hAnsi="Arial" w:cs="Arial"/>
        </w:rPr>
      </w:pPr>
      <w:r w:rsidRPr="008C5253">
        <w:rPr>
          <w:rFonts w:ascii="Arial" w:hAnsi="Arial" w:cs="Arial"/>
          <w:b/>
          <w:bCs/>
        </w:rPr>
        <w:t>Total PV inflows = 48.17</w:t>
      </w:r>
    </w:p>
    <w:p w14:paraId="5FDBF2E4" w14:textId="324FBD58" w:rsidR="008C5253" w:rsidRPr="008C5253" w:rsidRDefault="008C5253" w:rsidP="008C5253">
      <w:pPr>
        <w:rPr>
          <w:rFonts w:ascii="Arial" w:hAnsi="Arial" w:cs="Arial"/>
        </w:rPr>
      </w:pPr>
      <m:oMathPara>
        <m:oMath>
          <m:r>
            <w:rPr>
              <w:rFonts w:ascii="Cambria Math" w:hAnsi="Cambria Math" w:cs="Arial"/>
            </w:rPr>
            <m:t>NP</m:t>
          </m:r>
          <m:sSub>
            <m:sSubPr>
              <m:ctrlPr>
                <w:rPr>
                  <w:rFonts w:ascii="Cambria Math" w:hAnsi="Cambria Math" w:cs="Arial"/>
                </w:rPr>
              </m:ctrlPr>
            </m:sSubPr>
            <m:e>
              <m:r>
                <w:rPr>
                  <w:rFonts w:ascii="Cambria Math" w:hAnsi="Cambria Math" w:cs="Arial"/>
                </w:rPr>
                <m:t>V</m:t>
              </m:r>
            </m:e>
            <m:sub>
              <m:r>
                <w:rPr>
                  <w:rFonts w:ascii="Cambria Math" w:hAnsi="Cambria Math" w:cs="Arial"/>
                </w:rPr>
                <m:t>14</m:t>
              </m:r>
              <m:r>
                <m:rPr>
                  <m:sty m:val="p"/>
                </m:rPr>
                <w:rPr>
                  <w:rFonts w:ascii="Cambria Math" w:hAnsi="Cambria Math" w:cs="Arial"/>
                </w:rPr>
                <m:t>%</m:t>
              </m:r>
            </m:sub>
          </m:sSub>
          <m:r>
            <w:rPr>
              <w:rFonts w:ascii="Cambria Math" w:hAnsi="Cambria Math" w:cs="Arial"/>
            </w:rPr>
            <m:t>=48.17-50=-</m:t>
          </m:r>
          <m:r>
            <m:rPr>
              <m:sty m:val="b"/>
            </m:rPr>
            <w:rPr>
              <w:rFonts w:ascii="Cambria Math" w:hAnsi="Cambria Math" w:cs="Arial"/>
            </w:rPr>
            <m:t>1.83</m:t>
          </m:r>
          <m:r>
            <m:rPr>
              <m:sty m:val="p"/>
            </m:rPr>
            <w:rPr>
              <w:rFonts w:ascii="Cambria Math" w:hAnsi="Cambria Math" w:cs="Arial"/>
            </w:rPr>
            <w:br/>
          </m:r>
        </m:oMath>
      </m:oMathPara>
    </w:p>
    <w:p w14:paraId="140204ED" w14:textId="43767412" w:rsidR="008C5253" w:rsidRPr="008C5253" w:rsidRDefault="008C5253" w:rsidP="008C5253">
      <w:pPr>
        <w:rPr>
          <w:rFonts w:ascii="Arial" w:hAnsi="Arial" w:cs="Arial"/>
          <w:b/>
          <w:bCs/>
        </w:rPr>
      </w:pPr>
      <w:r w:rsidRPr="008C5253">
        <w:rPr>
          <w:rFonts w:ascii="Arial" w:hAnsi="Arial" w:cs="Arial"/>
          <w:b/>
          <w:bCs/>
        </w:rPr>
        <w:t>Linear Interpolation</w:t>
      </w:r>
    </w:p>
    <w:p w14:paraId="50D309A9" w14:textId="7D89F8DC" w:rsidR="008C5253" w:rsidRPr="008C5253" w:rsidRDefault="008C5253" w:rsidP="008C5253">
      <w:pPr>
        <w:rPr>
          <w:rFonts w:ascii="Arial" w:hAnsi="Arial" w:cs="Arial"/>
        </w:rPr>
      </w:pPr>
      <m:oMathPara>
        <m:oMath>
          <m:r>
            <w:rPr>
              <w:rFonts w:ascii="Cambria Math" w:hAnsi="Cambria Math" w:cs="Arial"/>
            </w:rPr>
            <m:t>IRR=10</m:t>
          </m:r>
          <m:r>
            <m:rPr>
              <m:sty m:val="p"/>
            </m:rPr>
            <w:rPr>
              <w:rFonts w:ascii="Cambria Math" w:hAnsi="Cambria Math" w:cs="Arial"/>
            </w:rPr>
            <m:t>%</m:t>
          </m:r>
          <m:r>
            <w:rPr>
              <w:rFonts w:ascii="Cambria Math" w:hAnsi="Cambria Math" w:cs="Arial"/>
            </w:rPr>
            <m:t>+(</m:t>
          </m:r>
          <m:f>
            <m:fPr>
              <m:ctrlPr>
                <w:rPr>
                  <w:rFonts w:ascii="Cambria Math" w:hAnsi="Cambria Math" w:cs="Arial"/>
                </w:rPr>
              </m:ctrlPr>
            </m:fPr>
            <m:num>
              <m:r>
                <w:rPr>
                  <w:rFonts w:ascii="Cambria Math" w:hAnsi="Cambria Math" w:cs="Arial"/>
                </w:rPr>
                <m:t>4.23</m:t>
              </m:r>
            </m:num>
            <m:den>
              <m:r>
                <w:rPr>
                  <w:rFonts w:ascii="Cambria Math" w:hAnsi="Cambria Math" w:cs="Arial"/>
                </w:rPr>
                <m:t>4.23+1.83</m:t>
              </m:r>
            </m:den>
          </m:f>
          <m:r>
            <w:rPr>
              <w:rFonts w:ascii="Cambria Math" w:hAnsi="Cambria Math" w:cs="Arial"/>
            </w:rPr>
            <m:t>)×(14</m:t>
          </m:r>
          <m:r>
            <m:rPr>
              <m:sty m:val="p"/>
            </m:rPr>
            <w:rPr>
              <w:rFonts w:ascii="Cambria Math" w:hAnsi="Cambria Math" w:cs="Arial"/>
            </w:rPr>
            <m:t>%</m:t>
          </m:r>
          <m:r>
            <w:rPr>
              <w:rFonts w:ascii="Cambria Math" w:hAnsi="Cambria Math" w:cs="Arial"/>
            </w:rPr>
            <m:t>-10</m:t>
          </m:r>
          <m:r>
            <m:rPr>
              <m:sty m:val="p"/>
            </m:rPr>
            <w:rPr>
              <w:rFonts w:ascii="Cambria Math" w:hAnsi="Cambria Math" w:cs="Arial"/>
            </w:rPr>
            <m:t>%</m:t>
          </m:r>
          <m:r>
            <w:rPr>
              <w:rFonts w:ascii="Cambria Math" w:hAnsi="Cambria Math" w:cs="Arial"/>
            </w:rPr>
            <m:t>)</m:t>
          </m:r>
          <m:r>
            <m:rPr>
              <m:sty m:val="p"/>
            </m:rPr>
            <w:rPr>
              <w:rFonts w:ascii="Cambria Math" w:hAnsi="Cambria Math" w:cs="Arial"/>
            </w:rPr>
            <w:br/>
          </m:r>
        </m:oMath>
        <m:oMath>
          <m:r>
            <w:rPr>
              <w:rFonts w:ascii="Cambria Math" w:hAnsi="Cambria Math" w:cs="Arial"/>
            </w:rPr>
            <m:t>IRR=10</m:t>
          </m:r>
          <m:r>
            <m:rPr>
              <m:sty m:val="p"/>
            </m:rPr>
            <w:rPr>
              <w:rFonts w:ascii="Cambria Math" w:hAnsi="Cambria Math" w:cs="Arial"/>
            </w:rPr>
            <m:t>%</m:t>
          </m:r>
          <m:r>
            <w:rPr>
              <w:rFonts w:ascii="Cambria Math" w:hAnsi="Cambria Math" w:cs="Arial"/>
            </w:rPr>
            <m:t>+(</m:t>
          </m:r>
          <m:f>
            <m:fPr>
              <m:ctrlPr>
                <w:rPr>
                  <w:rFonts w:ascii="Cambria Math" w:hAnsi="Cambria Math" w:cs="Arial"/>
                </w:rPr>
              </m:ctrlPr>
            </m:fPr>
            <m:num>
              <m:r>
                <w:rPr>
                  <w:rFonts w:ascii="Cambria Math" w:hAnsi="Cambria Math" w:cs="Arial"/>
                </w:rPr>
                <m:t>4.23</m:t>
              </m:r>
            </m:num>
            <m:den>
              <m:r>
                <w:rPr>
                  <w:rFonts w:ascii="Cambria Math" w:hAnsi="Cambria Math" w:cs="Arial"/>
                </w:rPr>
                <m:t>6.06</m:t>
              </m:r>
            </m:den>
          </m:f>
          <m:r>
            <w:rPr>
              <w:rFonts w:ascii="Cambria Math" w:hAnsi="Cambria Math" w:cs="Arial"/>
            </w:rPr>
            <m:t>)×4</m:t>
          </m:r>
          <m:r>
            <m:rPr>
              <m:sty m:val="p"/>
            </m:rPr>
            <w:rPr>
              <w:rFonts w:ascii="Cambria Math" w:hAnsi="Cambria Math" w:cs="Arial"/>
            </w:rPr>
            <m:t>%</m:t>
          </m:r>
          <m:r>
            <m:rPr>
              <m:sty m:val="p"/>
            </m:rPr>
            <w:rPr>
              <w:rFonts w:ascii="Cambria Math" w:hAnsi="Cambria Math" w:cs="Arial"/>
            </w:rPr>
            <w:br/>
          </m:r>
        </m:oMath>
        <m:oMath>
          <m:r>
            <w:rPr>
              <w:rFonts w:ascii="Cambria Math" w:hAnsi="Cambria Math" w:cs="Arial"/>
            </w:rPr>
            <m:t>IRR=10</m:t>
          </m:r>
          <m:r>
            <m:rPr>
              <m:sty m:val="p"/>
            </m:rPr>
            <w:rPr>
              <w:rFonts w:ascii="Cambria Math" w:hAnsi="Cambria Math" w:cs="Arial"/>
            </w:rPr>
            <m:t>%</m:t>
          </m:r>
          <m:r>
            <w:rPr>
              <w:rFonts w:ascii="Cambria Math" w:hAnsi="Cambria Math" w:cs="Arial"/>
            </w:rPr>
            <m:t>+2.79</m:t>
          </m:r>
          <m:r>
            <m:rPr>
              <m:sty m:val="p"/>
            </m:rPr>
            <w:rPr>
              <w:rFonts w:ascii="Cambria Math" w:hAnsi="Cambria Math" w:cs="Arial"/>
            </w:rPr>
            <m:t>%</m:t>
          </m:r>
          <m:r>
            <w:rPr>
              <w:rFonts w:ascii="Cambria Math" w:hAnsi="Cambria Math" w:cs="Arial"/>
            </w:rPr>
            <m:t>=</m:t>
          </m:r>
          <m:borderBox>
            <m:borderBoxPr>
              <m:ctrlPr>
                <w:rPr>
                  <w:rFonts w:ascii="Cambria Math" w:hAnsi="Cambria Math" w:cs="Arial"/>
                </w:rPr>
              </m:ctrlPr>
            </m:borderBoxPr>
            <m:e>
              <m:r>
                <m:rPr>
                  <m:sty m:val="b"/>
                </m:rPr>
                <w:rPr>
                  <w:rFonts w:ascii="Cambria Math" w:hAnsi="Cambria Math" w:cs="Arial"/>
                </w:rPr>
                <m:t>12.79%</m:t>
              </m:r>
            </m:e>
          </m:borderBox>
          <m:r>
            <m:rPr>
              <m:sty m:val="p"/>
            </m:rPr>
            <w:rPr>
              <w:rFonts w:ascii="Cambria Math" w:hAnsi="Cambria Math" w:cs="Arial"/>
            </w:rPr>
            <w:br/>
          </m:r>
        </m:oMath>
      </m:oMathPara>
    </w:p>
    <w:p w14:paraId="4B268929" w14:textId="5D8AC28A" w:rsidR="008C5253" w:rsidRPr="008C5253" w:rsidRDefault="008C5253" w:rsidP="008C5253">
      <w:pPr>
        <w:rPr>
          <w:rFonts w:ascii="Arial" w:hAnsi="Arial" w:cs="Arial"/>
          <w:b/>
          <w:bCs/>
        </w:rPr>
      </w:pPr>
      <w:r w:rsidRPr="008C5253">
        <w:rPr>
          <w:rFonts w:ascii="Arial" w:hAnsi="Arial" w:cs="Arial"/>
          <w:b/>
          <w:bCs/>
        </w:rPr>
        <w:t xml:space="preserve">IRR SUMMARY </w:t>
      </w:r>
    </w:p>
    <w:tbl>
      <w:tblPr>
        <w:tblStyle w:val="TableGrid"/>
        <w:tblW w:w="0" w:type="auto"/>
        <w:tblLook w:val="04A0" w:firstRow="1" w:lastRow="0" w:firstColumn="1" w:lastColumn="0" w:noHBand="0" w:noVBand="1"/>
      </w:tblPr>
      <w:tblGrid>
        <w:gridCol w:w="1030"/>
        <w:gridCol w:w="1030"/>
        <w:gridCol w:w="3057"/>
      </w:tblGrid>
      <w:tr w:rsidR="008C5253" w:rsidRPr="008C5253" w14:paraId="646F24BE" w14:textId="77777777" w:rsidTr="008C5253">
        <w:tc>
          <w:tcPr>
            <w:tcW w:w="0" w:type="auto"/>
            <w:hideMark/>
          </w:tcPr>
          <w:p w14:paraId="2068D1E6"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Project</w:t>
            </w:r>
          </w:p>
        </w:tc>
        <w:tc>
          <w:tcPr>
            <w:tcW w:w="0" w:type="auto"/>
            <w:hideMark/>
          </w:tcPr>
          <w:p w14:paraId="70491C86"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IRR</w:t>
            </w:r>
          </w:p>
        </w:tc>
        <w:tc>
          <w:tcPr>
            <w:tcW w:w="0" w:type="auto"/>
            <w:hideMark/>
          </w:tcPr>
          <w:p w14:paraId="3FD834D2" w14:textId="77777777" w:rsidR="008C5253" w:rsidRPr="008C5253" w:rsidRDefault="008C5253" w:rsidP="008C5253">
            <w:pPr>
              <w:spacing w:after="160" w:line="278" w:lineRule="auto"/>
              <w:rPr>
                <w:rFonts w:ascii="Arial" w:hAnsi="Arial" w:cs="Arial"/>
                <w:b/>
                <w:bCs/>
              </w:rPr>
            </w:pPr>
            <w:r w:rsidRPr="008C5253">
              <w:rPr>
                <w:rFonts w:ascii="Arial" w:hAnsi="Arial" w:cs="Arial"/>
                <w:b/>
                <w:bCs/>
              </w:rPr>
              <w:t>Decision (vs 10% WACC)</w:t>
            </w:r>
          </w:p>
        </w:tc>
      </w:tr>
      <w:tr w:rsidR="008C5253" w:rsidRPr="008C5253" w14:paraId="48C39908" w14:textId="77777777" w:rsidTr="008C5253">
        <w:tc>
          <w:tcPr>
            <w:tcW w:w="0" w:type="auto"/>
            <w:hideMark/>
          </w:tcPr>
          <w:p w14:paraId="16E17FAB" w14:textId="77777777" w:rsidR="008C5253" w:rsidRPr="008C5253" w:rsidRDefault="008C5253" w:rsidP="008C5253">
            <w:pPr>
              <w:spacing w:after="160" w:line="278" w:lineRule="auto"/>
              <w:rPr>
                <w:rFonts w:ascii="Arial" w:hAnsi="Arial" w:cs="Arial"/>
              </w:rPr>
            </w:pPr>
            <w:r w:rsidRPr="008C5253">
              <w:rPr>
                <w:rFonts w:ascii="Arial" w:hAnsi="Arial" w:cs="Arial"/>
                <w:b/>
                <w:bCs/>
              </w:rPr>
              <w:t>A</w:t>
            </w:r>
          </w:p>
        </w:tc>
        <w:tc>
          <w:tcPr>
            <w:tcW w:w="0" w:type="auto"/>
            <w:hideMark/>
          </w:tcPr>
          <w:p w14:paraId="63EB7326" w14:textId="77777777" w:rsidR="008C5253" w:rsidRPr="008C5253" w:rsidRDefault="008C5253" w:rsidP="008C5253">
            <w:pPr>
              <w:spacing w:after="160" w:line="278" w:lineRule="auto"/>
              <w:rPr>
                <w:rFonts w:ascii="Arial" w:hAnsi="Arial" w:cs="Arial"/>
              </w:rPr>
            </w:pPr>
            <w:r w:rsidRPr="008C5253">
              <w:rPr>
                <w:rFonts w:ascii="Arial" w:hAnsi="Arial" w:cs="Arial"/>
                <w:b/>
                <w:bCs/>
              </w:rPr>
              <w:t>11.34%</w:t>
            </w:r>
          </w:p>
        </w:tc>
        <w:tc>
          <w:tcPr>
            <w:tcW w:w="0" w:type="auto"/>
            <w:hideMark/>
          </w:tcPr>
          <w:p w14:paraId="5AAD6334" w14:textId="77777777" w:rsidR="008C5253" w:rsidRPr="008C5253" w:rsidRDefault="008C5253" w:rsidP="008C5253">
            <w:pPr>
              <w:spacing w:after="160" w:line="278" w:lineRule="auto"/>
              <w:rPr>
                <w:rFonts w:ascii="Arial" w:hAnsi="Arial" w:cs="Arial"/>
              </w:rPr>
            </w:pPr>
            <w:r w:rsidRPr="008C5253">
              <w:rPr>
                <w:rFonts w:ascii="Arial" w:hAnsi="Arial" w:cs="Arial"/>
              </w:rPr>
              <w:t>Accept</w:t>
            </w:r>
          </w:p>
        </w:tc>
      </w:tr>
      <w:tr w:rsidR="008C5253" w:rsidRPr="008C5253" w14:paraId="29F06615" w14:textId="77777777" w:rsidTr="008C5253">
        <w:tc>
          <w:tcPr>
            <w:tcW w:w="0" w:type="auto"/>
            <w:hideMark/>
          </w:tcPr>
          <w:p w14:paraId="12D2AB44" w14:textId="77777777" w:rsidR="008C5253" w:rsidRPr="008C5253" w:rsidRDefault="008C5253" w:rsidP="008C5253">
            <w:pPr>
              <w:spacing w:after="160" w:line="278" w:lineRule="auto"/>
              <w:rPr>
                <w:rFonts w:ascii="Arial" w:hAnsi="Arial" w:cs="Arial"/>
              </w:rPr>
            </w:pPr>
            <w:r w:rsidRPr="008C5253">
              <w:rPr>
                <w:rFonts w:ascii="Arial" w:hAnsi="Arial" w:cs="Arial"/>
                <w:b/>
                <w:bCs/>
              </w:rPr>
              <w:t>B</w:t>
            </w:r>
          </w:p>
        </w:tc>
        <w:tc>
          <w:tcPr>
            <w:tcW w:w="0" w:type="auto"/>
            <w:hideMark/>
          </w:tcPr>
          <w:p w14:paraId="3700FDA3" w14:textId="77777777" w:rsidR="008C5253" w:rsidRPr="008C5253" w:rsidRDefault="008C5253" w:rsidP="008C5253">
            <w:pPr>
              <w:spacing w:after="160" w:line="278" w:lineRule="auto"/>
              <w:rPr>
                <w:rFonts w:ascii="Arial" w:hAnsi="Arial" w:cs="Arial"/>
              </w:rPr>
            </w:pPr>
            <w:r w:rsidRPr="008C5253">
              <w:rPr>
                <w:rFonts w:ascii="Arial" w:hAnsi="Arial" w:cs="Arial"/>
                <w:b/>
                <w:bCs/>
              </w:rPr>
              <w:t>&lt;5%</w:t>
            </w:r>
          </w:p>
        </w:tc>
        <w:tc>
          <w:tcPr>
            <w:tcW w:w="0" w:type="auto"/>
            <w:hideMark/>
          </w:tcPr>
          <w:p w14:paraId="3C0F16F4" w14:textId="77777777" w:rsidR="008C5253" w:rsidRPr="008C5253" w:rsidRDefault="008C5253" w:rsidP="008C5253">
            <w:pPr>
              <w:spacing w:after="160" w:line="278" w:lineRule="auto"/>
              <w:rPr>
                <w:rFonts w:ascii="Arial" w:hAnsi="Arial" w:cs="Arial"/>
              </w:rPr>
            </w:pPr>
            <w:r w:rsidRPr="008C5253">
              <w:rPr>
                <w:rFonts w:ascii="Arial" w:hAnsi="Arial" w:cs="Arial"/>
              </w:rPr>
              <w:t>Reject</w:t>
            </w:r>
          </w:p>
        </w:tc>
      </w:tr>
      <w:tr w:rsidR="008C5253" w:rsidRPr="008C5253" w14:paraId="18682C50" w14:textId="77777777" w:rsidTr="008C5253">
        <w:tc>
          <w:tcPr>
            <w:tcW w:w="0" w:type="auto"/>
            <w:hideMark/>
          </w:tcPr>
          <w:p w14:paraId="06890C7F" w14:textId="77777777" w:rsidR="008C5253" w:rsidRPr="008C5253" w:rsidRDefault="008C5253" w:rsidP="008C5253">
            <w:pPr>
              <w:spacing w:after="160" w:line="278" w:lineRule="auto"/>
              <w:rPr>
                <w:rFonts w:ascii="Arial" w:hAnsi="Arial" w:cs="Arial"/>
              </w:rPr>
            </w:pPr>
            <w:r w:rsidRPr="008C5253">
              <w:rPr>
                <w:rFonts w:ascii="Arial" w:hAnsi="Arial" w:cs="Arial"/>
                <w:b/>
                <w:bCs/>
              </w:rPr>
              <w:t>C</w:t>
            </w:r>
          </w:p>
        </w:tc>
        <w:tc>
          <w:tcPr>
            <w:tcW w:w="0" w:type="auto"/>
            <w:hideMark/>
          </w:tcPr>
          <w:p w14:paraId="52B127F2" w14:textId="77777777" w:rsidR="008C5253" w:rsidRPr="008C5253" w:rsidRDefault="008C5253" w:rsidP="008C5253">
            <w:pPr>
              <w:spacing w:after="160" w:line="278" w:lineRule="auto"/>
              <w:rPr>
                <w:rFonts w:ascii="Arial" w:hAnsi="Arial" w:cs="Arial"/>
              </w:rPr>
            </w:pPr>
            <w:r w:rsidRPr="008C5253">
              <w:rPr>
                <w:rFonts w:ascii="Arial" w:hAnsi="Arial" w:cs="Arial"/>
                <w:b/>
                <w:bCs/>
              </w:rPr>
              <w:t>12.79%</w:t>
            </w:r>
          </w:p>
        </w:tc>
        <w:tc>
          <w:tcPr>
            <w:tcW w:w="0" w:type="auto"/>
            <w:hideMark/>
          </w:tcPr>
          <w:p w14:paraId="71565783" w14:textId="77777777" w:rsidR="008C5253" w:rsidRPr="008C5253" w:rsidRDefault="008C5253" w:rsidP="008C5253">
            <w:pPr>
              <w:spacing w:after="160" w:line="278" w:lineRule="auto"/>
              <w:rPr>
                <w:rFonts w:ascii="Arial" w:hAnsi="Arial" w:cs="Arial"/>
              </w:rPr>
            </w:pPr>
            <w:r w:rsidRPr="008C5253">
              <w:rPr>
                <w:rFonts w:ascii="Arial" w:hAnsi="Arial" w:cs="Arial"/>
              </w:rPr>
              <w:t>Accept</w:t>
            </w:r>
          </w:p>
        </w:tc>
      </w:tr>
    </w:tbl>
    <w:p w14:paraId="424E8EA4" w14:textId="77777777" w:rsidR="008C5253" w:rsidRPr="008C5253" w:rsidRDefault="008C5253" w:rsidP="008C5253">
      <w:pPr>
        <w:rPr>
          <w:rFonts w:ascii="Arial" w:hAnsi="Arial" w:cs="Arial"/>
        </w:rPr>
      </w:pPr>
    </w:p>
    <w:p w14:paraId="2E1661BA" w14:textId="77777777" w:rsidR="006A2EB6" w:rsidRPr="008C5253" w:rsidRDefault="006A2EB6" w:rsidP="00376429">
      <w:pPr>
        <w:pStyle w:val="Heading3"/>
        <w:rPr>
          <w:rFonts w:ascii="Arial" w:hAnsi="Arial" w:cs="Arial"/>
          <w:b/>
          <w:bCs/>
          <w:color w:val="auto"/>
        </w:rPr>
      </w:pPr>
      <w:bookmarkStart w:id="58" w:name="_Toc216698922"/>
      <w:r w:rsidRPr="008C5253">
        <w:rPr>
          <w:rFonts w:ascii="Arial" w:hAnsi="Arial" w:cs="Arial"/>
          <w:b/>
          <w:bCs/>
          <w:color w:val="auto"/>
        </w:rPr>
        <w:lastRenderedPageBreak/>
        <w:t>Appendix D7: Capital Rationing Summary</w:t>
      </w:r>
      <w:bookmarkEnd w:id="58"/>
    </w:p>
    <w:tbl>
      <w:tblPr>
        <w:tblStyle w:val="TableGrid"/>
        <w:tblW w:w="0" w:type="auto"/>
        <w:jc w:val="center"/>
        <w:tblLook w:val="04A0" w:firstRow="1" w:lastRow="0" w:firstColumn="1" w:lastColumn="0" w:noHBand="0" w:noVBand="1"/>
      </w:tblPr>
      <w:tblGrid>
        <w:gridCol w:w="963"/>
        <w:gridCol w:w="1950"/>
        <w:gridCol w:w="1270"/>
        <w:gridCol w:w="817"/>
      </w:tblGrid>
      <w:tr w:rsidR="006A2EB6" w:rsidRPr="008C5253" w14:paraId="6137F8B8" w14:textId="77777777" w:rsidTr="00376429">
        <w:trPr>
          <w:jc w:val="center"/>
        </w:trPr>
        <w:tc>
          <w:tcPr>
            <w:tcW w:w="0" w:type="auto"/>
            <w:hideMark/>
          </w:tcPr>
          <w:p w14:paraId="2BAFECE5" w14:textId="77777777" w:rsidR="006A2EB6" w:rsidRPr="008C5253" w:rsidRDefault="006A2EB6" w:rsidP="00BD7BD6">
            <w:pPr>
              <w:spacing w:line="360" w:lineRule="auto"/>
              <w:jc w:val="both"/>
              <w:rPr>
                <w:rFonts w:ascii="Arial" w:hAnsi="Arial" w:cs="Arial"/>
              </w:rPr>
            </w:pPr>
            <w:r w:rsidRPr="008C5253">
              <w:rPr>
                <w:rFonts w:ascii="Arial" w:hAnsi="Arial" w:cs="Arial"/>
              </w:rPr>
              <w:t>Project</w:t>
            </w:r>
          </w:p>
        </w:tc>
        <w:tc>
          <w:tcPr>
            <w:tcW w:w="0" w:type="auto"/>
            <w:hideMark/>
          </w:tcPr>
          <w:p w14:paraId="171FE7BF" w14:textId="77777777" w:rsidR="006A2EB6" w:rsidRPr="008C5253" w:rsidRDefault="006A2EB6" w:rsidP="00BD7BD6">
            <w:pPr>
              <w:spacing w:line="360" w:lineRule="auto"/>
              <w:jc w:val="both"/>
              <w:rPr>
                <w:rFonts w:ascii="Arial" w:hAnsi="Arial" w:cs="Arial"/>
              </w:rPr>
            </w:pPr>
            <w:r w:rsidRPr="008C5253">
              <w:rPr>
                <w:rFonts w:ascii="Arial" w:hAnsi="Arial" w:cs="Arial"/>
              </w:rPr>
              <w:t>Investment (£m)</w:t>
            </w:r>
          </w:p>
        </w:tc>
        <w:tc>
          <w:tcPr>
            <w:tcW w:w="0" w:type="auto"/>
            <w:hideMark/>
          </w:tcPr>
          <w:p w14:paraId="3E0A3E5A" w14:textId="77777777" w:rsidR="006A2EB6" w:rsidRPr="008C5253" w:rsidRDefault="006A2EB6" w:rsidP="00BD7BD6">
            <w:pPr>
              <w:spacing w:line="360" w:lineRule="auto"/>
              <w:jc w:val="both"/>
              <w:rPr>
                <w:rFonts w:ascii="Arial" w:hAnsi="Arial" w:cs="Arial"/>
              </w:rPr>
            </w:pPr>
            <w:r w:rsidRPr="008C5253">
              <w:rPr>
                <w:rFonts w:ascii="Arial" w:hAnsi="Arial" w:cs="Arial"/>
              </w:rPr>
              <w:t>NPV (£m)</w:t>
            </w:r>
          </w:p>
        </w:tc>
        <w:tc>
          <w:tcPr>
            <w:tcW w:w="0" w:type="auto"/>
            <w:hideMark/>
          </w:tcPr>
          <w:p w14:paraId="2A06C81E" w14:textId="77777777" w:rsidR="006A2EB6" w:rsidRPr="008C5253" w:rsidRDefault="006A2EB6" w:rsidP="00BD7BD6">
            <w:pPr>
              <w:spacing w:line="360" w:lineRule="auto"/>
              <w:jc w:val="both"/>
              <w:rPr>
                <w:rFonts w:ascii="Arial" w:hAnsi="Arial" w:cs="Arial"/>
              </w:rPr>
            </w:pPr>
            <w:r w:rsidRPr="008C5253">
              <w:rPr>
                <w:rFonts w:ascii="Arial" w:hAnsi="Arial" w:cs="Arial"/>
              </w:rPr>
              <w:t>PI</w:t>
            </w:r>
          </w:p>
        </w:tc>
      </w:tr>
      <w:tr w:rsidR="006A2EB6" w:rsidRPr="008C5253" w14:paraId="397778FD" w14:textId="77777777" w:rsidTr="00376429">
        <w:trPr>
          <w:jc w:val="center"/>
        </w:trPr>
        <w:tc>
          <w:tcPr>
            <w:tcW w:w="0" w:type="auto"/>
            <w:hideMark/>
          </w:tcPr>
          <w:p w14:paraId="3B4D922C" w14:textId="77777777" w:rsidR="006A2EB6" w:rsidRPr="008C5253" w:rsidRDefault="006A2EB6" w:rsidP="00BD7BD6">
            <w:pPr>
              <w:spacing w:line="360" w:lineRule="auto"/>
              <w:jc w:val="both"/>
              <w:rPr>
                <w:rFonts w:ascii="Arial" w:hAnsi="Arial" w:cs="Arial"/>
              </w:rPr>
            </w:pPr>
            <w:r w:rsidRPr="008C5253">
              <w:rPr>
                <w:rFonts w:ascii="Arial" w:hAnsi="Arial" w:cs="Arial"/>
              </w:rPr>
              <w:t>A</w:t>
            </w:r>
          </w:p>
        </w:tc>
        <w:tc>
          <w:tcPr>
            <w:tcW w:w="0" w:type="auto"/>
            <w:hideMark/>
          </w:tcPr>
          <w:p w14:paraId="29ED67F8" w14:textId="77777777" w:rsidR="006A2EB6" w:rsidRPr="008C5253" w:rsidRDefault="006A2EB6" w:rsidP="00BD7BD6">
            <w:pPr>
              <w:spacing w:line="360" w:lineRule="auto"/>
              <w:jc w:val="both"/>
              <w:rPr>
                <w:rFonts w:ascii="Arial" w:hAnsi="Arial" w:cs="Arial"/>
              </w:rPr>
            </w:pPr>
            <w:r w:rsidRPr="008C5253">
              <w:rPr>
                <w:rFonts w:ascii="Arial" w:hAnsi="Arial" w:cs="Arial"/>
              </w:rPr>
              <w:t>40</w:t>
            </w:r>
          </w:p>
        </w:tc>
        <w:tc>
          <w:tcPr>
            <w:tcW w:w="0" w:type="auto"/>
            <w:hideMark/>
          </w:tcPr>
          <w:p w14:paraId="13BA6199" w14:textId="2FE7E372" w:rsidR="006A2EB6" w:rsidRPr="008C5253" w:rsidRDefault="006A2EB6" w:rsidP="00BD7BD6">
            <w:pPr>
              <w:spacing w:line="360" w:lineRule="auto"/>
              <w:jc w:val="both"/>
              <w:rPr>
                <w:rFonts w:ascii="Arial" w:hAnsi="Arial" w:cs="Arial"/>
              </w:rPr>
            </w:pPr>
            <w:r w:rsidRPr="008C5253">
              <w:rPr>
                <w:rFonts w:ascii="Arial" w:hAnsi="Arial" w:cs="Arial"/>
              </w:rPr>
              <w:t>+</w:t>
            </w:r>
            <w:r w:rsidR="008C5253" w:rsidRPr="008C5253">
              <w:rPr>
                <w:rFonts w:ascii="Arial" w:hAnsi="Arial" w:cs="Arial"/>
              </w:rPr>
              <w:t>1.31</w:t>
            </w:r>
          </w:p>
        </w:tc>
        <w:tc>
          <w:tcPr>
            <w:tcW w:w="0" w:type="auto"/>
            <w:hideMark/>
          </w:tcPr>
          <w:p w14:paraId="703EEF83" w14:textId="41046A5D" w:rsidR="006A2EB6" w:rsidRPr="008C5253" w:rsidRDefault="006A2EB6" w:rsidP="00BD7BD6">
            <w:pPr>
              <w:spacing w:line="360" w:lineRule="auto"/>
              <w:jc w:val="both"/>
              <w:rPr>
                <w:rFonts w:ascii="Arial" w:hAnsi="Arial" w:cs="Arial"/>
              </w:rPr>
            </w:pPr>
            <w:r w:rsidRPr="008C5253">
              <w:rPr>
                <w:rFonts w:ascii="Arial" w:hAnsi="Arial" w:cs="Arial"/>
              </w:rPr>
              <w:t>1.</w:t>
            </w:r>
            <w:r w:rsidR="008C5253" w:rsidRPr="008C5253">
              <w:rPr>
                <w:rFonts w:ascii="Arial" w:hAnsi="Arial" w:cs="Arial"/>
              </w:rPr>
              <w:t>033</w:t>
            </w:r>
          </w:p>
        </w:tc>
      </w:tr>
      <w:tr w:rsidR="006A2EB6" w:rsidRPr="008C5253" w14:paraId="14B1A312" w14:textId="77777777" w:rsidTr="00376429">
        <w:trPr>
          <w:jc w:val="center"/>
        </w:trPr>
        <w:tc>
          <w:tcPr>
            <w:tcW w:w="0" w:type="auto"/>
            <w:hideMark/>
          </w:tcPr>
          <w:p w14:paraId="37695A40" w14:textId="77777777" w:rsidR="006A2EB6" w:rsidRPr="008C5253" w:rsidRDefault="006A2EB6" w:rsidP="00BD7BD6">
            <w:pPr>
              <w:spacing w:line="360" w:lineRule="auto"/>
              <w:jc w:val="both"/>
              <w:rPr>
                <w:rFonts w:ascii="Arial" w:hAnsi="Arial" w:cs="Arial"/>
              </w:rPr>
            </w:pPr>
            <w:r w:rsidRPr="008C5253">
              <w:rPr>
                <w:rFonts w:ascii="Arial" w:hAnsi="Arial" w:cs="Arial"/>
              </w:rPr>
              <w:t>B</w:t>
            </w:r>
          </w:p>
        </w:tc>
        <w:tc>
          <w:tcPr>
            <w:tcW w:w="0" w:type="auto"/>
            <w:hideMark/>
          </w:tcPr>
          <w:p w14:paraId="5FB82902" w14:textId="77777777" w:rsidR="006A2EB6" w:rsidRPr="008C5253" w:rsidRDefault="006A2EB6" w:rsidP="00BD7BD6">
            <w:pPr>
              <w:spacing w:line="360" w:lineRule="auto"/>
              <w:jc w:val="both"/>
              <w:rPr>
                <w:rFonts w:ascii="Arial" w:hAnsi="Arial" w:cs="Arial"/>
              </w:rPr>
            </w:pPr>
            <w:r w:rsidRPr="008C5253">
              <w:rPr>
                <w:rFonts w:ascii="Arial" w:hAnsi="Arial" w:cs="Arial"/>
              </w:rPr>
              <w:t>30</w:t>
            </w:r>
          </w:p>
        </w:tc>
        <w:tc>
          <w:tcPr>
            <w:tcW w:w="0" w:type="auto"/>
            <w:hideMark/>
          </w:tcPr>
          <w:p w14:paraId="370A10D0" w14:textId="77777777" w:rsidR="006A2EB6" w:rsidRPr="008C5253" w:rsidRDefault="006A2EB6" w:rsidP="00BD7BD6">
            <w:pPr>
              <w:spacing w:line="360" w:lineRule="auto"/>
              <w:jc w:val="both"/>
              <w:rPr>
                <w:rFonts w:ascii="Arial" w:hAnsi="Arial" w:cs="Arial"/>
              </w:rPr>
            </w:pPr>
            <w:r w:rsidRPr="008C5253">
              <w:rPr>
                <w:rFonts w:ascii="Arial" w:hAnsi="Arial" w:cs="Arial"/>
              </w:rPr>
              <w:t>−7.26</w:t>
            </w:r>
          </w:p>
        </w:tc>
        <w:tc>
          <w:tcPr>
            <w:tcW w:w="0" w:type="auto"/>
            <w:hideMark/>
          </w:tcPr>
          <w:p w14:paraId="1833C24C" w14:textId="77777777" w:rsidR="006A2EB6" w:rsidRPr="008C5253" w:rsidRDefault="006A2EB6" w:rsidP="00BD7BD6">
            <w:pPr>
              <w:spacing w:line="360" w:lineRule="auto"/>
              <w:jc w:val="both"/>
              <w:rPr>
                <w:rFonts w:ascii="Arial" w:hAnsi="Arial" w:cs="Arial"/>
              </w:rPr>
            </w:pPr>
            <w:r w:rsidRPr="008C5253">
              <w:rPr>
                <w:rFonts w:ascii="Arial" w:hAnsi="Arial" w:cs="Arial"/>
              </w:rPr>
              <w:t>0.76</w:t>
            </w:r>
          </w:p>
        </w:tc>
      </w:tr>
      <w:tr w:rsidR="006A2EB6" w:rsidRPr="008C5253" w14:paraId="6D6491CE" w14:textId="77777777" w:rsidTr="00376429">
        <w:trPr>
          <w:jc w:val="center"/>
        </w:trPr>
        <w:tc>
          <w:tcPr>
            <w:tcW w:w="0" w:type="auto"/>
            <w:hideMark/>
          </w:tcPr>
          <w:p w14:paraId="7DC9AB9F" w14:textId="77777777" w:rsidR="006A2EB6" w:rsidRPr="008C5253" w:rsidRDefault="006A2EB6" w:rsidP="00BD7BD6">
            <w:pPr>
              <w:spacing w:line="360" w:lineRule="auto"/>
              <w:jc w:val="both"/>
              <w:rPr>
                <w:rFonts w:ascii="Arial" w:hAnsi="Arial" w:cs="Arial"/>
              </w:rPr>
            </w:pPr>
            <w:r w:rsidRPr="008C5253">
              <w:rPr>
                <w:rFonts w:ascii="Arial" w:hAnsi="Arial" w:cs="Arial"/>
              </w:rPr>
              <w:t>C</w:t>
            </w:r>
          </w:p>
        </w:tc>
        <w:tc>
          <w:tcPr>
            <w:tcW w:w="0" w:type="auto"/>
            <w:hideMark/>
          </w:tcPr>
          <w:p w14:paraId="3CC9FAE8" w14:textId="77777777" w:rsidR="006A2EB6" w:rsidRPr="008C5253" w:rsidRDefault="006A2EB6" w:rsidP="00BD7BD6">
            <w:pPr>
              <w:spacing w:line="360" w:lineRule="auto"/>
              <w:jc w:val="both"/>
              <w:rPr>
                <w:rFonts w:ascii="Arial" w:hAnsi="Arial" w:cs="Arial"/>
              </w:rPr>
            </w:pPr>
            <w:r w:rsidRPr="008C5253">
              <w:rPr>
                <w:rFonts w:ascii="Arial" w:hAnsi="Arial" w:cs="Arial"/>
              </w:rPr>
              <w:t>50</w:t>
            </w:r>
          </w:p>
        </w:tc>
        <w:tc>
          <w:tcPr>
            <w:tcW w:w="0" w:type="auto"/>
            <w:hideMark/>
          </w:tcPr>
          <w:p w14:paraId="2BAB71C5" w14:textId="10D4E8C3" w:rsidR="006A2EB6" w:rsidRPr="008C5253" w:rsidRDefault="006A2EB6" w:rsidP="00BD7BD6">
            <w:pPr>
              <w:spacing w:line="360" w:lineRule="auto"/>
              <w:jc w:val="both"/>
              <w:rPr>
                <w:rFonts w:ascii="Arial" w:hAnsi="Arial" w:cs="Arial"/>
              </w:rPr>
            </w:pPr>
            <w:r w:rsidRPr="008C5253">
              <w:rPr>
                <w:rFonts w:ascii="Arial" w:hAnsi="Arial" w:cs="Arial"/>
              </w:rPr>
              <w:t>+</w:t>
            </w:r>
            <w:r w:rsidR="008C5253" w:rsidRPr="008C5253">
              <w:rPr>
                <w:rFonts w:ascii="Arial" w:hAnsi="Arial" w:cs="Arial"/>
              </w:rPr>
              <w:t>4</w:t>
            </w:r>
            <w:r w:rsidRPr="008C5253">
              <w:rPr>
                <w:rFonts w:ascii="Arial" w:hAnsi="Arial" w:cs="Arial"/>
              </w:rPr>
              <w:t>.</w:t>
            </w:r>
            <w:r w:rsidR="008C5253" w:rsidRPr="008C5253">
              <w:rPr>
                <w:rFonts w:ascii="Arial" w:hAnsi="Arial" w:cs="Arial"/>
              </w:rPr>
              <w:t>215</w:t>
            </w:r>
          </w:p>
        </w:tc>
        <w:tc>
          <w:tcPr>
            <w:tcW w:w="0" w:type="auto"/>
            <w:hideMark/>
          </w:tcPr>
          <w:p w14:paraId="6B386416" w14:textId="3A132E44" w:rsidR="006A2EB6" w:rsidRPr="008C5253" w:rsidRDefault="006A2EB6" w:rsidP="00BD7BD6">
            <w:pPr>
              <w:spacing w:line="360" w:lineRule="auto"/>
              <w:jc w:val="both"/>
              <w:rPr>
                <w:rFonts w:ascii="Arial" w:hAnsi="Arial" w:cs="Arial"/>
              </w:rPr>
            </w:pPr>
            <w:r w:rsidRPr="008C5253">
              <w:rPr>
                <w:rFonts w:ascii="Arial" w:hAnsi="Arial" w:cs="Arial"/>
              </w:rPr>
              <w:t>1.</w:t>
            </w:r>
            <w:r w:rsidR="008C5253" w:rsidRPr="008C5253">
              <w:rPr>
                <w:rFonts w:ascii="Arial" w:hAnsi="Arial" w:cs="Arial"/>
              </w:rPr>
              <w:t>084</w:t>
            </w:r>
          </w:p>
        </w:tc>
      </w:tr>
    </w:tbl>
    <w:p w14:paraId="463A88BE" w14:textId="0D5003F8" w:rsidR="006A2EB6" w:rsidRPr="008C5253" w:rsidRDefault="006A2EB6" w:rsidP="00BD7BD6">
      <w:pPr>
        <w:spacing w:line="360" w:lineRule="auto"/>
        <w:jc w:val="both"/>
        <w:rPr>
          <w:rFonts w:ascii="Arial" w:hAnsi="Arial" w:cs="Arial"/>
        </w:rPr>
      </w:pPr>
      <w:r w:rsidRPr="008C5253">
        <w:rPr>
          <w:rFonts w:ascii="Arial" w:hAnsi="Arial" w:cs="Arial"/>
        </w:rPr>
        <w:t>Capital budget = £60</w:t>
      </w:r>
      <w:proofErr w:type="gramStart"/>
      <w:r w:rsidRPr="008C5253">
        <w:rPr>
          <w:rFonts w:ascii="Arial" w:hAnsi="Arial" w:cs="Arial"/>
        </w:rPr>
        <w:t xml:space="preserve">m </w:t>
      </w:r>
      <w:r w:rsidR="00376429" w:rsidRPr="008C5253">
        <w:rPr>
          <w:rFonts w:ascii="Arial" w:hAnsi="Arial" w:cs="Arial"/>
        </w:rPr>
        <w:t>)</w:t>
      </w:r>
      <w:r w:rsidRPr="008C5253">
        <w:rPr>
          <w:rFonts w:ascii="Arial" w:hAnsi="Arial" w:cs="Arial"/>
        </w:rPr>
        <w:t>Only</w:t>
      </w:r>
      <w:proofErr w:type="gramEnd"/>
      <w:r w:rsidRPr="008C5253">
        <w:rPr>
          <w:rFonts w:ascii="Arial" w:hAnsi="Arial" w:cs="Arial"/>
        </w:rPr>
        <w:t xml:space="preserve"> Project C </w:t>
      </w:r>
      <w:proofErr w:type="gramStart"/>
      <w:r w:rsidRPr="008C5253">
        <w:rPr>
          <w:rFonts w:ascii="Arial" w:hAnsi="Arial" w:cs="Arial"/>
        </w:rPr>
        <w:t>feasible</w:t>
      </w:r>
      <w:proofErr w:type="gramEnd"/>
      <w:r w:rsidRPr="008C5253">
        <w:rPr>
          <w:rFonts w:ascii="Arial" w:hAnsi="Arial" w:cs="Arial"/>
        </w:rPr>
        <w:t xml:space="preserve"> and optimal</w:t>
      </w:r>
      <w:r w:rsidR="00376429" w:rsidRPr="008C5253">
        <w:rPr>
          <w:rFonts w:ascii="Arial" w:hAnsi="Arial" w:cs="Arial"/>
        </w:rPr>
        <w:t>)</w:t>
      </w:r>
    </w:p>
    <w:p w14:paraId="2433C431" w14:textId="77777777" w:rsidR="005B66AE" w:rsidRPr="008C5253" w:rsidRDefault="005B66AE" w:rsidP="00BD7BD6">
      <w:pPr>
        <w:spacing w:line="360" w:lineRule="auto"/>
        <w:jc w:val="both"/>
        <w:rPr>
          <w:rFonts w:ascii="Arial" w:hAnsi="Arial" w:cs="Arial"/>
        </w:rPr>
      </w:pPr>
    </w:p>
    <w:sectPr w:rsidR="005B66AE" w:rsidRPr="008C525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4B645" w14:textId="77777777" w:rsidR="006E45A8" w:rsidRDefault="006E45A8" w:rsidP="00376429">
      <w:pPr>
        <w:spacing w:after="0" w:line="240" w:lineRule="auto"/>
      </w:pPr>
      <w:r>
        <w:separator/>
      </w:r>
    </w:p>
  </w:endnote>
  <w:endnote w:type="continuationSeparator" w:id="0">
    <w:p w14:paraId="22D233A5" w14:textId="77777777" w:rsidR="006E45A8" w:rsidRDefault="006E45A8" w:rsidP="00376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119759"/>
      <w:docPartObj>
        <w:docPartGallery w:val="Page Numbers (Bottom of Page)"/>
        <w:docPartUnique/>
      </w:docPartObj>
    </w:sdtPr>
    <w:sdtEndPr>
      <w:rPr>
        <w:noProof/>
      </w:rPr>
    </w:sdtEndPr>
    <w:sdtContent>
      <w:p w14:paraId="1B88174A" w14:textId="6C9F84AD" w:rsidR="00376429" w:rsidRDefault="003764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647FE" w14:textId="77777777" w:rsidR="00376429" w:rsidRDefault="00376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8879B" w14:textId="77777777" w:rsidR="006E45A8" w:rsidRDefault="006E45A8" w:rsidP="00376429">
      <w:pPr>
        <w:spacing w:after="0" w:line="240" w:lineRule="auto"/>
      </w:pPr>
      <w:r>
        <w:separator/>
      </w:r>
    </w:p>
  </w:footnote>
  <w:footnote w:type="continuationSeparator" w:id="0">
    <w:p w14:paraId="235B25C7" w14:textId="77777777" w:rsidR="006E45A8" w:rsidRDefault="006E45A8" w:rsidP="003764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D5B"/>
    <w:multiLevelType w:val="multilevel"/>
    <w:tmpl w:val="B0FE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A2C4F"/>
    <w:multiLevelType w:val="multilevel"/>
    <w:tmpl w:val="42B8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00778"/>
    <w:multiLevelType w:val="multilevel"/>
    <w:tmpl w:val="7F44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22561"/>
    <w:multiLevelType w:val="multilevel"/>
    <w:tmpl w:val="474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9520C"/>
    <w:multiLevelType w:val="multilevel"/>
    <w:tmpl w:val="9B7E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47703"/>
    <w:multiLevelType w:val="hybridMultilevel"/>
    <w:tmpl w:val="EAE045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397049"/>
    <w:multiLevelType w:val="multilevel"/>
    <w:tmpl w:val="FFD6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C1C73"/>
    <w:multiLevelType w:val="multilevel"/>
    <w:tmpl w:val="2F52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6F4F7B"/>
    <w:multiLevelType w:val="multilevel"/>
    <w:tmpl w:val="C03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584389"/>
    <w:multiLevelType w:val="multilevel"/>
    <w:tmpl w:val="599E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FE50E5"/>
    <w:multiLevelType w:val="multilevel"/>
    <w:tmpl w:val="4712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D028E4"/>
    <w:multiLevelType w:val="multilevel"/>
    <w:tmpl w:val="E178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83947"/>
    <w:multiLevelType w:val="multilevel"/>
    <w:tmpl w:val="54EE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ED47C0"/>
    <w:multiLevelType w:val="multilevel"/>
    <w:tmpl w:val="93D0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E5527"/>
    <w:multiLevelType w:val="multilevel"/>
    <w:tmpl w:val="254A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F97F6A"/>
    <w:multiLevelType w:val="multilevel"/>
    <w:tmpl w:val="C434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042659"/>
    <w:multiLevelType w:val="multilevel"/>
    <w:tmpl w:val="A2DA3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6608B"/>
    <w:multiLevelType w:val="multilevel"/>
    <w:tmpl w:val="F5FC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3757BF"/>
    <w:multiLevelType w:val="multilevel"/>
    <w:tmpl w:val="E2EC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C96FA0"/>
    <w:multiLevelType w:val="multilevel"/>
    <w:tmpl w:val="3A4C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305E3B"/>
    <w:multiLevelType w:val="multilevel"/>
    <w:tmpl w:val="AC1C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2F22F2"/>
    <w:multiLevelType w:val="multilevel"/>
    <w:tmpl w:val="C5AA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BC4262"/>
    <w:multiLevelType w:val="multilevel"/>
    <w:tmpl w:val="D386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B10099"/>
    <w:multiLevelType w:val="multilevel"/>
    <w:tmpl w:val="5A96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FC274C"/>
    <w:multiLevelType w:val="multilevel"/>
    <w:tmpl w:val="6D2A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6277AF"/>
    <w:multiLevelType w:val="multilevel"/>
    <w:tmpl w:val="709E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C627B7"/>
    <w:multiLevelType w:val="multilevel"/>
    <w:tmpl w:val="9140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0D7FF0"/>
    <w:multiLevelType w:val="multilevel"/>
    <w:tmpl w:val="E8C6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9F5EB0"/>
    <w:multiLevelType w:val="multilevel"/>
    <w:tmpl w:val="A6F6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3139CD"/>
    <w:multiLevelType w:val="multilevel"/>
    <w:tmpl w:val="5456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215665"/>
    <w:multiLevelType w:val="multilevel"/>
    <w:tmpl w:val="6E1C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2C3139"/>
    <w:multiLevelType w:val="multilevel"/>
    <w:tmpl w:val="0A58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9436C2"/>
    <w:multiLevelType w:val="multilevel"/>
    <w:tmpl w:val="D288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B817E0"/>
    <w:multiLevelType w:val="multilevel"/>
    <w:tmpl w:val="4442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392A4F"/>
    <w:multiLevelType w:val="multilevel"/>
    <w:tmpl w:val="A214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3A5E75"/>
    <w:multiLevelType w:val="multilevel"/>
    <w:tmpl w:val="EAC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7C4EE0"/>
    <w:multiLevelType w:val="multilevel"/>
    <w:tmpl w:val="7DC2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385E61"/>
    <w:multiLevelType w:val="hybridMultilevel"/>
    <w:tmpl w:val="EC58A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446CEB"/>
    <w:multiLevelType w:val="multilevel"/>
    <w:tmpl w:val="5E4AA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B107CA"/>
    <w:multiLevelType w:val="multilevel"/>
    <w:tmpl w:val="060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DB662C"/>
    <w:multiLevelType w:val="multilevel"/>
    <w:tmpl w:val="07E0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EC6617"/>
    <w:multiLevelType w:val="multilevel"/>
    <w:tmpl w:val="9790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C34ACD"/>
    <w:multiLevelType w:val="multilevel"/>
    <w:tmpl w:val="D3D8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C61760"/>
    <w:multiLevelType w:val="multilevel"/>
    <w:tmpl w:val="01FC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405AEF"/>
    <w:multiLevelType w:val="multilevel"/>
    <w:tmpl w:val="80EA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782F1B"/>
    <w:multiLevelType w:val="multilevel"/>
    <w:tmpl w:val="D83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A4305A"/>
    <w:multiLevelType w:val="multilevel"/>
    <w:tmpl w:val="69C4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961F8C"/>
    <w:multiLevelType w:val="multilevel"/>
    <w:tmpl w:val="D01C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551650"/>
    <w:multiLevelType w:val="multilevel"/>
    <w:tmpl w:val="852C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7272E5"/>
    <w:multiLevelType w:val="multilevel"/>
    <w:tmpl w:val="3B5A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D41F0B"/>
    <w:multiLevelType w:val="hybridMultilevel"/>
    <w:tmpl w:val="615215B4"/>
    <w:lvl w:ilvl="0" w:tplc="E0F22F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7935009"/>
    <w:multiLevelType w:val="multilevel"/>
    <w:tmpl w:val="83EA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DD159F"/>
    <w:multiLevelType w:val="multilevel"/>
    <w:tmpl w:val="7652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1F46114"/>
    <w:multiLevelType w:val="multilevel"/>
    <w:tmpl w:val="137A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BF1F4E"/>
    <w:multiLevelType w:val="multilevel"/>
    <w:tmpl w:val="3EB4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BB2E7C"/>
    <w:multiLevelType w:val="multilevel"/>
    <w:tmpl w:val="34C0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399480">
    <w:abstractNumId w:val="3"/>
  </w:num>
  <w:num w:numId="2" w16cid:durableId="864909472">
    <w:abstractNumId w:val="33"/>
  </w:num>
  <w:num w:numId="3" w16cid:durableId="1149053324">
    <w:abstractNumId w:val="15"/>
  </w:num>
  <w:num w:numId="4" w16cid:durableId="201207997">
    <w:abstractNumId w:val="13"/>
  </w:num>
  <w:num w:numId="5" w16cid:durableId="240870100">
    <w:abstractNumId w:val="49"/>
  </w:num>
  <w:num w:numId="6" w16cid:durableId="1403871865">
    <w:abstractNumId w:val="25"/>
  </w:num>
  <w:num w:numId="7" w16cid:durableId="374159118">
    <w:abstractNumId w:val="22"/>
  </w:num>
  <w:num w:numId="8" w16cid:durableId="1903980244">
    <w:abstractNumId w:val="39"/>
  </w:num>
  <w:num w:numId="9" w16cid:durableId="1869053855">
    <w:abstractNumId w:val="6"/>
  </w:num>
  <w:num w:numId="10" w16cid:durableId="1010913091">
    <w:abstractNumId w:val="28"/>
  </w:num>
  <w:num w:numId="11" w16cid:durableId="444539581">
    <w:abstractNumId w:val="52"/>
  </w:num>
  <w:num w:numId="12" w16cid:durableId="463694171">
    <w:abstractNumId w:val="34"/>
  </w:num>
  <w:num w:numId="13" w16cid:durableId="1040007449">
    <w:abstractNumId w:val="9"/>
  </w:num>
  <w:num w:numId="14" w16cid:durableId="1833063471">
    <w:abstractNumId w:val="36"/>
  </w:num>
  <w:num w:numId="15" w16cid:durableId="1241258750">
    <w:abstractNumId w:val="11"/>
  </w:num>
  <w:num w:numId="16" w16cid:durableId="151336074">
    <w:abstractNumId w:val="2"/>
  </w:num>
  <w:num w:numId="17" w16cid:durableId="395280316">
    <w:abstractNumId w:val="43"/>
  </w:num>
  <w:num w:numId="18" w16cid:durableId="557401123">
    <w:abstractNumId w:val="16"/>
  </w:num>
  <w:num w:numId="19" w16cid:durableId="1555313645">
    <w:abstractNumId w:val="37"/>
  </w:num>
  <w:num w:numId="20" w16cid:durableId="1250504980">
    <w:abstractNumId w:val="35"/>
  </w:num>
  <w:num w:numId="21" w16cid:durableId="1728067408">
    <w:abstractNumId w:val="53"/>
  </w:num>
  <w:num w:numId="22" w16cid:durableId="944652529">
    <w:abstractNumId w:val="29"/>
  </w:num>
  <w:num w:numId="23" w16cid:durableId="1537814966">
    <w:abstractNumId w:val="51"/>
  </w:num>
  <w:num w:numId="24" w16cid:durableId="84346462">
    <w:abstractNumId w:val="48"/>
  </w:num>
  <w:num w:numId="25" w16cid:durableId="532305133">
    <w:abstractNumId w:val="0"/>
  </w:num>
  <w:num w:numId="26" w16cid:durableId="581139500">
    <w:abstractNumId w:val="40"/>
  </w:num>
  <w:num w:numId="27" w16cid:durableId="1078525958">
    <w:abstractNumId w:val="32"/>
  </w:num>
  <w:num w:numId="28" w16cid:durableId="565919693">
    <w:abstractNumId w:val="1"/>
  </w:num>
  <w:num w:numId="29" w16cid:durableId="767697768">
    <w:abstractNumId w:val="44"/>
  </w:num>
  <w:num w:numId="30" w16cid:durableId="1030184622">
    <w:abstractNumId w:val="41"/>
  </w:num>
  <w:num w:numId="31" w16cid:durableId="607584355">
    <w:abstractNumId w:val="54"/>
  </w:num>
  <w:num w:numId="32" w16cid:durableId="1319847835">
    <w:abstractNumId w:val="8"/>
  </w:num>
  <w:num w:numId="33" w16cid:durableId="798913885">
    <w:abstractNumId w:val="47"/>
  </w:num>
  <w:num w:numId="34" w16cid:durableId="1284731344">
    <w:abstractNumId w:val="10"/>
  </w:num>
  <w:num w:numId="35" w16cid:durableId="54134903">
    <w:abstractNumId w:val="4"/>
  </w:num>
  <w:num w:numId="36" w16cid:durableId="425276355">
    <w:abstractNumId w:val="45"/>
  </w:num>
  <w:num w:numId="37" w16cid:durableId="863830053">
    <w:abstractNumId w:val="31"/>
  </w:num>
  <w:num w:numId="38" w16cid:durableId="576788066">
    <w:abstractNumId w:val="21"/>
  </w:num>
  <w:num w:numId="39" w16cid:durableId="1189486741">
    <w:abstractNumId w:val="38"/>
  </w:num>
  <w:num w:numId="40" w16cid:durableId="1403018141">
    <w:abstractNumId w:val="23"/>
  </w:num>
  <w:num w:numId="41" w16cid:durableId="2135439667">
    <w:abstractNumId w:val="20"/>
  </w:num>
  <w:num w:numId="42" w16cid:durableId="1543127551">
    <w:abstractNumId w:val="27"/>
  </w:num>
  <w:num w:numId="43" w16cid:durableId="1470589977">
    <w:abstractNumId w:val="19"/>
  </w:num>
  <w:num w:numId="44" w16cid:durableId="1785344799">
    <w:abstractNumId w:val="7"/>
  </w:num>
  <w:num w:numId="45" w16cid:durableId="824470228">
    <w:abstractNumId w:val="24"/>
  </w:num>
  <w:num w:numId="46" w16cid:durableId="1577787824">
    <w:abstractNumId w:val="5"/>
  </w:num>
  <w:num w:numId="47" w16cid:durableId="1253659642">
    <w:abstractNumId w:val="50"/>
  </w:num>
  <w:num w:numId="48" w16cid:durableId="871652073">
    <w:abstractNumId w:val="26"/>
  </w:num>
  <w:num w:numId="49" w16cid:durableId="1201823495">
    <w:abstractNumId w:val="42"/>
  </w:num>
  <w:num w:numId="50" w16cid:durableId="519389809">
    <w:abstractNumId w:val="55"/>
  </w:num>
  <w:num w:numId="51" w16cid:durableId="1658266176">
    <w:abstractNumId w:val="17"/>
  </w:num>
  <w:num w:numId="52" w16cid:durableId="794180232">
    <w:abstractNumId w:val="30"/>
  </w:num>
  <w:num w:numId="53" w16cid:durableId="365907312">
    <w:abstractNumId w:val="12"/>
  </w:num>
  <w:num w:numId="54" w16cid:durableId="1813600510">
    <w:abstractNumId w:val="18"/>
  </w:num>
  <w:num w:numId="55" w16cid:durableId="1722318809">
    <w:abstractNumId w:val="46"/>
  </w:num>
  <w:num w:numId="56" w16cid:durableId="5437177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B58"/>
    <w:rsid w:val="0001477F"/>
    <w:rsid w:val="000328CE"/>
    <w:rsid w:val="00033A76"/>
    <w:rsid w:val="00034E58"/>
    <w:rsid w:val="00122025"/>
    <w:rsid w:val="00164946"/>
    <w:rsid w:val="001A7019"/>
    <w:rsid w:val="002516AE"/>
    <w:rsid w:val="00263BA0"/>
    <w:rsid w:val="002B688C"/>
    <w:rsid w:val="0034023D"/>
    <w:rsid w:val="003719CB"/>
    <w:rsid w:val="00376429"/>
    <w:rsid w:val="00396A42"/>
    <w:rsid w:val="003D5424"/>
    <w:rsid w:val="00421FB0"/>
    <w:rsid w:val="004A754A"/>
    <w:rsid w:val="00505299"/>
    <w:rsid w:val="005140C2"/>
    <w:rsid w:val="005162E5"/>
    <w:rsid w:val="005242FB"/>
    <w:rsid w:val="00543241"/>
    <w:rsid w:val="00543CD9"/>
    <w:rsid w:val="00583998"/>
    <w:rsid w:val="005B12FF"/>
    <w:rsid w:val="005B66AE"/>
    <w:rsid w:val="006A2EB6"/>
    <w:rsid w:val="006E45A8"/>
    <w:rsid w:val="00707537"/>
    <w:rsid w:val="00785A51"/>
    <w:rsid w:val="00790B58"/>
    <w:rsid w:val="0079590E"/>
    <w:rsid w:val="007C3300"/>
    <w:rsid w:val="008125C4"/>
    <w:rsid w:val="0084190B"/>
    <w:rsid w:val="008554AC"/>
    <w:rsid w:val="008906FC"/>
    <w:rsid w:val="008C5253"/>
    <w:rsid w:val="008D3F9D"/>
    <w:rsid w:val="009A135A"/>
    <w:rsid w:val="009B007D"/>
    <w:rsid w:val="00AC49A2"/>
    <w:rsid w:val="00AC698F"/>
    <w:rsid w:val="00BB23B0"/>
    <w:rsid w:val="00BD7BD6"/>
    <w:rsid w:val="00C0198B"/>
    <w:rsid w:val="00C53DDA"/>
    <w:rsid w:val="00C56E56"/>
    <w:rsid w:val="00CA4C2E"/>
    <w:rsid w:val="00CB70A3"/>
    <w:rsid w:val="00CE31BC"/>
    <w:rsid w:val="00DE31DB"/>
    <w:rsid w:val="00DF2BEE"/>
    <w:rsid w:val="00FC5FC8"/>
    <w:rsid w:val="00FD4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2422A"/>
  <w15:chartTrackingRefBased/>
  <w15:docId w15:val="{C02A47BA-78DF-47D9-9203-A56FAFF6E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1BC"/>
  </w:style>
  <w:style w:type="paragraph" w:styleId="Heading1">
    <w:name w:val="heading 1"/>
    <w:basedOn w:val="Normal"/>
    <w:next w:val="Normal"/>
    <w:link w:val="Heading1Char"/>
    <w:uiPriority w:val="9"/>
    <w:qFormat/>
    <w:rsid w:val="00790B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0B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90B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0B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B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B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B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B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B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B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0B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90B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0B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B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B58"/>
    <w:rPr>
      <w:rFonts w:eastAsiaTheme="majorEastAsia" w:cstheme="majorBidi"/>
      <w:color w:val="272727" w:themeColor="text1" w:themeTint="D8"/>
    </w:rPr>
  </w:style>
  <w:style w:type="paragraph" w:styleId="Title">
    <w:name w:val="Title"/>
    <w:basedOn w:val="Normal"/>
    <w:next w:val="Normal"/>
    <w:link w:val="TitleChar"/>
    <w:uiPriority w:val="10"/>
    <w:qFormat/>
    <w:rsid w:val="00790B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B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B58"/>
    <w:pPr>
      <w:spacing w:before="160"/>
      <w:jc w:val="center"/>
    </w:pPr>
    <w:rPr>
      <w:i/>
      <w:iCs/>
      <w:color w:val="404040" w:themeColor="text1" w:themeTint="BF"/>
    </w:rPr>
  </w:style>
  <w:style w:type="character" w:customStyle="1" w:styleId="QuoteChar">
    <w:name w:val="Quote Char"/>
    <w:basedOn w:val="DefaultParagraphFont"/>
    <w:link w:val="Quote"/>
    <w:uiPriority w:val="29"/>
    <w:rsid w:val="00790B58"/>
    <w:rPr>
      <w:i/>
      <w:iCs/>
      <w:color w:val="404040" w:themeColor="text1" w:themeTint="BF"/>
    </w:rPr>
  </w:style>
  <w:style w:type="paragraph" w:styleId="ListParagraph">
    <w:name w:val="List Paragraph"/>
    <w:basedOn w:val="Normal"/>
    <w:uiPriority w:val="34"/>
    <w:qFormat/>
    <w:rsid w:val="00790B58"/>
    <w:pPr>
      <w:ind w:left="720"/>
      <w:contextualSpacing/>
    </w:pPr>
  </w:style>
  <w:style w:type="character" w:styleId="IntenseEmphasis">
    <w:name w:val="Intense Emphasis"/>
    <w:basedOn w:val="DefaultParagraphFont"/>
    <w:uiPriority w:val="21"/>
    <w:qFormat/>
    <w:rsid w:val="00790B58"/>
    <w:rPr>
      <w:i/>
      <w:iCs/>
      <w:color w:val="0F4761" w:themeColor="accent1" w:themeShade="BF"/>
    </w:rPr>
  </w:style>
  <w:style w:type="paragraph" w:styleId="IntenseQuote">
    <w:name w:val="Intense Quote"/>
    <w:basedOn w:val="Normal"/>
    <w:next w:val="Normal"/>
    <w:link w:val="IntenseQuoteChar"/>
    <w:uiPriority w:val="30"/>
    <w:qFormat/>
    <w:rsid w:val="00790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B58"/>
    <w:rPr>
      <w:i/>
      <w:iCs/>
      <w:color w:val="0F4761" w:themeColor="accent1" w:themeShade="BF"/>
    </w:rPr>
  </w:style>
  <w:style w:type="character" w:styleId="IntenseReference">
    <w:name w:val="Intense Reference"/>
    <w:basedOn w:val="DefaultParagraphFont"/>
    <w:uiPriority w:val="32"/>
    <w:qFormat/>
    <w:rsid w:val="00790B58"/>
    <w:rPr>
      <w:b/>
      <w:bCs/>
      <w:smallCaps/>
      <w:color w:val="0F4761" w:themeColor="accent1" w:themeShade="BF"/>
      <w:spacing w:val="5"/>
    </w:rPr>
  </w:style>
  <w:style w:type="character" w:styleId="Hyperlink">
    <w:name w:val="Hyperlink"/>
    <w:basedOn w:val="DefaultParagraphFont"/>
    <w:uiPriority w:val="99"/>
    <w:unhideWhenUsed/>
    <w:rsid w:val="00790B58"/>
    <w:rPr>
      <w:color w:val="467886" w:themeColor="hyperlink"/>
      <w:u w:val="single"/>
    </w:rPr>
  </w:style>
  <w:style w:type="character" w:styleId="UnresolvedMention">
    <w:name w:val="Unresolved Mention"/>
    <w:basedOn w:val="DefaultParagraphFont"/>
    <w:uiPriority w:val="99"/>
    <w:semiHidden/>
    <w:unhideWhenUsed/>
    <w:rsid w:val="00790B58"/>
    <w:rPr>
      <w:color w:val="605E5C"/>
      <w:shd w:val="clear" w:color="auto" w:fill="E1DFDD"/>
    </w:rPr>
  </w:style>
  <w:style w:type="paragraph" w:styleId="NormalWeb">
    <w:name w:val="Normal (Web)"/>
    <w:basedOn w:val="Normal"/>
    <w:uiPriority w:val="99"/>
    <w:semiHidden/>
    <w:unhideWhenUsed/>
    <w:rsid w:val="00CB70A3"/>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24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6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429"/>
  </w:style>
  <w:style w:type="paragraph" w:styleId="Footer">
    <w:name w:val="footer"/>
    <w:basedOn w:val="Normal"/>
    <w:link w:val="FooterChar"/>
    <w:uiPriority w:val="99"/>
    <w:unhideWhenUsed/>
    <w:rsid w:val="00376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429"/>
  </w:style>
  <w:style w:type="paragraph" w:styleId="TOCHeading">
    <w:name w:val="TOC Heading"/>
    <w:basedOn w:val="Heading1"/>
    <w:next w:val="Normal"/>
    <w:uiPriority w:val="39"/>
    <w:unhideWhenUsed/>
    <w:qFormat/>
    <w:rsid w:val="0037642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6429"/>
    <w:pPr>
      <w:spacing w:after="100"/>
    </w:pPr>
  </w:style>
  <w:style w:type="paragraph" w:styleId="TOC2">
    <w:name w:val="toc 2"/>
    <w:basedOn w:val="Normal"/>
    <w:next w:val="Normal"/>
    <w:autoRedefine/>
    <w:uiPriority w:val="39"/>
    <w:unhideWhenUsed/>
    <w:rsid w:val="00376429"/>
    <w:pPr>
      <w:spacing w:after="100"/>
      <w:ind w:left="240"/>
    </w:pPr>
  </w:style>
  <w:style w:type="paragraph" w:styleId="TOC3">
    <w:name w:val="toc 3"/>
    <w:basedOn w:val="Normal"/>
    <w:next w:val="Normal"/>
    <w:autoRedefine/>
    <w:uiPriority w:val="39"/>
    <w:unhideWhenUsed/>
    <w:rsid w:val="00376429"/>
    <w:pPr>
      <w:spacing w:after="100"/>
      <w:ind w:left="480"/>
    </w:pPr>
  </w:style>
  <w:style w:type="character" w:styleId="Strong">
    <w:name w:val="Strong"/>
    <w:basedOn w:val="DefaultParagraphFont"/>
    <w:uiPriority w:val="22"/>
    <w:qFormat/>
    <w:rsid w:val="008C5253"/>
    <w:rPr>
      <w:b/>
      <w:bCs/>
    </w:rPr>
  </w:style>
  <w:style w:type="character" w:styleId="PlaceholderText">
    <w:name w:val="Placeholder Text"/>
    <w:basedOn w:val="DefaultParagraphFont"/>
    <w:uiPriority w:val="99"/>
    <w:semiHidden/>
    <w:rsid w:val="00AC49A2"/>
    <w:rPr>
      <w:color w:val="666666"/>
    </w:rPr>
  </w:style>
  <w:style w:type="paragraph" w:styleId="NoSpacing">
    <w:name w:val="No Spacing"/>
    <w:uiPriority w:val="1"/>
    <w:qFormat/>
    <w:rsid w:val="001A70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08/01/the-five-competitive-forces-that-shape-strategy" TargetMode="External"/><Relationship Id="rId5" Type="http://schemas.openxmlformats.org/officeDocument/2006/relationships/webSettings" Target="webSettings.xml"/><Relationship Id="rId10" Type="http://schemas.openxmlformats.org/officeDocument/2006/relationships/hyperlink" Target="https://www.investopedia.com/terms/c/cfo.asp?utm_source=chatgpt.com" TargetMode="External"/><Relationship Id="rId4" Type="http://schemas.openxmlformats.org/officeDocument/2006/relationships/settings" Target="settings.xml"/><Relationship Id="rId9" Type="http://schemas.openxmlformats.org/officeDocument/2006/relationships/hyperlink" Target="https://www.jstor.org/stable/297893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501E9-D521-49E1-B86F-8F7141DB6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52</Pages>
  <Words>9120</Words>
  <Characters>51986</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16</cp:revision>
  <dcterms:created xsi:type="dcterms:W3CDTF">2025-12-13T09:00:00Z</dcterms:created>
  <dcterms:modified xsi:type="dcterms:W3CDTF">2025-12-17T14:00:00Z</dcterms:modified>
</cp:coreProperties>
</file>