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76121" w14:textId="3F17E0FE" w:rsidR="00471C9C" w:rsidRDefault="00471C9C">
      <w:r>
        <w:rPr>
          <w:noProof/>
        </w:rPr>
        <w:drawing>
          <wp:inline distT="0" distB="0" distL="0" distR="0" wp14:anchorId="06C69C7E" wp14:editId="01F69D87">
            <wp:extent cx="379923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21F5641" w14:textId="573CB741" w:rsidR="00471C9C" w:rsidRDefault="00471C9C"/>
    <w:p w14:paraId="4F4F28EE" w14:textId="2AE21704" w:rsidR="00471C9C" w:rsidRDefault="00471C9C"/>
    <w:p w14:paraId="3BED04ED" w14:textId="23CB28D5" w:rsidR="00471C9C" w:rsidRPr="00471C9C" w:rsidRDefault="00471C9C" w:rsidP="00471C9C">
      <w:pPr>
        <w:jc w:val="center"/>
        <w:rPr>
          <w:rFonts w:ascii="Arial" w:hAnsi="Arial" w:cs="Arial"/>
          <w:sz w:val="40"/>
          <w:szCs w:val="40"/>
        </w:rPr>
      </w:pPr>
      <w:r w:rsidRPr="00471C9C">
        <w:rPr>
          <w:rFonts w:ascii="Arial" w:hAnsi="Arial" w:cs="Arial"/>
          <w:sz w:val="40"/>
          <w:szCs w:val="40"/>
        </w:rPr>
        <w:t>Assessment 1</w:t>
      </w:r>
    </w:p>
    <w:p w14:paraId="0EE2BDDC" w14:textId="77777777" w:rsidR="00471C9C" w:rsidRPr="00471C9C" w:rsidRDefault="00471C9C" w:rsidP="00471C9C">
      <w:pPr>
        <w:jc w:val="center"/>
        <w:rPr>
          <w:rFonts w:ascii="Arial" w:hAnsi="Arial" w:cs="Arial"/>
          <w:sz w:val="40"/>
          <w:szCs w:val="40"/>
        </w:rPr>
      </w:pPr>
      <w:r w:rsidRPr="00471C9C">
        <w:rPr>
          <w:rFonts w:ascii="Arial" w:hAnsi="Arial" w:cs="Arial"/>
          <w:sz w:val="40"/>
          <w:szCs w:val="40"/>
        </w:rPr>
        <w:t>Supporting Paper</w:t>
      </w:r>
    </w:p>
    <w:p w14:paraId="2B9A5885" w14:textId="4369F51E" w:rsidR="00471C9C" w:rsidRDefault="00471C9C" w:rsidP="00471C9C">
      <w:pPr>
        <w:jc w:val="center"/>
        <w:rPr>
          <w:rFonts w:ascii="Arial" w:hAnsi="Arial" w:cs="Arial"/>
          <w:sz w:val="40"/>
          <w:szCs w:val="40"/>
        </w:rPr>
      </w:pPr>
    </w:p>
    <w:p w14:paraId="52ED46B4" w14:textId="77777777" w:rsidR="00471C9C" w:rsidRPr="00471C9C" w:rsidRDefault="00471C9C" w:rsidP="00471C9C">
      <w:pPr>
        <w:jc w:val="center"/>
        <w:rPr>
          <w:rFonts w:ascii="Arial" w:hAnsi="Arial" w:cs="Arial"/>
          <w:sz w:val="40"/>
          <w:szCs w:val="40"/>
        </w:rPr>
      </w:pPr>
    </w:p>
    <w:p w14:paraId="62835F49" w14:textId="73BE5A2E" w:rsidR="00471C9C" w:rsidRDefault="00471C9C" w:rsidP="00471C9C">
      <w:pPr>
        <w:rPr>
          <w:rFonts w:ascii="Arial" w:hAnsi="Arial" w:cs="Arial"/>
          <w:sz w:val="32"/>
          <w:szCs w:val="32"/>
        </w:rPr>
      </w:pPr>
    </w:p>
    <w:p w14:paraId="68967B0A" w14:textId="6FFB10DC" w:rsidR="00471C9C" w:rsidRDefault="00471C9C" w:rsidP="00471C9C">
      <w:pPr>
        <w:rPr>
          <w:rFonts w:ascii="Arial" w:hAnsi="Arial" w:cs="Arial"/>
          <w:sz w:val="32"/>
          <w:szCs w:val="32"/>
        </w:rPr>
      </w:pPr>
    </w:p>
    <w:p w14:paraId="0DC2CD26" w14:textId="77777777" w:rsidR="00471C9C" w:rsidRPr="00471C9C" w:rsidRDefault="00471C9C" w:rsidP="00471C9C">
      <w:pPr>
        <w:rPr>
          <w:rFonts w:ascii="Arial" w:hAnsi="Arial" w:cs="Arial"/>
          <w:sz w:val="32"/>
          <w:szCs w:val="32"/>
        </w:rPr>
      </w:pPr>
    </w:p>
    <w:p w14:paraId="64EB6EB3" w14:textId="6CF17B6C" w:rsidR="00471C9C" w:rsidRPr="00471C9C" w:rsidRDefault="00471C9C" w:rsidP="00471C9C">
      <w:pPr>
        <w:rPr>
          <w:rFonts w:ascii="Arial" w:hAnsi="Arial" w:cs="Arial"/>
          <w:sz w:val="32"/>
          <w:szCs w:val="32"/>
        </w:rPr>
      </w:pPr>
      <w:r w:rsidRPr="00471C9C">
        <w:rPr>
          <w:rFonts w:ascii="Arial" w:hAnsi="Arial" w:cs="Arial"/>
          <w:sz w:val="32"/>
          <w:szCs w:val="32"/>
        </w:rPr>
        <w:t>Student name:</w:t>
      </w:r>
      <w:r w:rsidR="00F921EE">
        <w:rPr>
          <w:rFonts w:ascii="Arial" w:hAnsi="Arial" w:cs="Arial"/>
          <w:sz w:val="32"/>
          <w:szCs w:val="32"/>
        </w:rPr>
        <w:t xml:space="preserve"> Sana Sahir</w:t>
      </w:r>
    </w:p>
    <w:p w14:paraId="3702BA8B" w14:textId="6AD461F9" w:rsidR="00471C9C" w:rsidRDefault="00471C9C" w:rsidP="00471C9C">
      <w:pPr>
        <w:rPr>
          <w:rFonts w:ascii="Arial" w:hAnsi="Arial" w:cs="Arial"/>
          <w:sz w:val="32"/>
          <w:szCs w:val="32"/>
        </w:rPr>
      </w:pPr>
      <w:r w:rsidRPr="00471C9C">
        <w:rPr>
          <w:rFonts w:ascii="Arial" w:hAnsi="Arial" w:cs="Arial"/>
          <w:sz w:val="32"/>
          <w:szCs w:val="32"/>
        </w:rPr>
        <w:t xml:space="preserve">Student ID: </w:t>
      </w:r>
      <w:r w:rsidR="008822AD">
        <w:rPr>
          <w:rFonts w:ascii="Arial" w:hAnsi="Arial" w:cs="Arial"/>
          <w:sz w:val="32"/>
          <w:szCs w:val="32"/>
        </w:rPr>
        <w:t>2113594</w:t>
      </w:r>
    </w:p>
    <w:p w14:paraId="3DD6C46A" w14:textId="77777777" w:rsidR="00471C9C" w:rsidRPr="00471C9C" w:rsidRDefault="00471C9C" w:rsidP="00471C9C">
      <w:pPr>
        <w:rPr>
          <w:rFonts w:ascii="Arial" w:hAnsi="Arial" w:cs="Arial"/>
          <w:sz w:val="32"/>
          <w:szCs w:val="32"/>
        </w:rPr>
      </w:pPr>
    </w:p>
    <w:p w14:paraId="7EBB4773" w14:textId="77777777" w:rsidR="00471C9C" w:rsidRPr="00471C9C" w:rsidRDefault="00471C9C" w:rsidP="00471C9C">
      <w:pPr>
        <w:rPr>
          <w:rFonts w:ascii="Arial" w:hAnsi="Arial" w:cs="Arial"/>
          <w:sz w:val="32"/>
          <w:szCs w:val="32"/>
        </w:rPr>
      </w:pPr>
      <w:r w:rsidRPr="00471C9C">
        <w:rPr>
          <w:rFonts w:ascii="Arial" w:hAnsi="Arial" w:cs="Arial"/>
          <w:sz w:val="32"/>
          <w:szCs w:val="32"/>
        </w:rPr>
        <w:t>Module name: Mental Disorders and Psychopathology</w:t>
      </w:r>
    </w:p>
    <w:p w14:paraId="71B108A0" w14:textId="77777777" w:rsidR="00471C9C" w:rsidRPr="00471C9C" w:rsidRDefault="00471C9C" w:rsidP="00471C9C">
      <w:pPr>
        <w:rPr>
          <w:rFonts w:ascii="Arial" w:hAnsi="Arial" w:cs="Arial"/>
          <w:sz w:val="32"/>
          <w:szCs w:val="32"/>
        </w:rPr>
      </w:pPr>
      <w:r w:rsidRPr="00471C9C">
        <w:rPr>
          <w:rFonts w:ascii="Arial" w:hAnsi="Arial" w:cs="Arial"/>
          <w:sz w:val="32"/>
          <w:szCs w:val="32"/>
        </w:rPr>
        <w:t>Module code: BMHP6006</w:t>
      </w:r>
    </w:p>
    <w:p w14:paraId="2FA4DA16" w14:textId="77777777" w:rsidR="00471C9C" w:rsidRPr="00471C9C" w:rsidRDefault="00471C9C" w:rsidP="00471C9C">
      <w:pPr>
        <w:rPr>
          <w:rFonts w:ascii="Arial" w:hAnsi="Arial" w:cs="Arial"/>
          <w:sz w:val="32"/>
          <w:szCs w:val="32"/>
        </w:rPr>
      </w:pPr>
      <w:r w:rsidRPr="00471C9C">
        <w:rPr>
          <w:rFonts w:ascii="Arial" w:hAnsi="Arial" w:cs="Arial"/>
          <w:sz w:val="32"/>
          <w:szCs w:val="32"/>
        </w:rPr>
        <w:t xml:space="preserve">Lecturer name: Bianca Sanfilippo </w:t>
      </w:r>
    </w:p>
    <w:p w14:paraId="3E99C527" w14:textId="77B1E19E" w:rsidR="00471C9C" w:rsidRDefault="00471C9C" w:rsidP="00471C9C">
      <w:pPr>
        <w:rPr>
          <w:rFonts w:ascii="Arial" w:hAnsi="Arial" w:cs="Arial"/>
          <w:sz w:val="32"/>
          <w:szCs w:val="32"/>
        </w:rPr>
      </w:pPr>
      <w:r w:rsidRPr="76CB671C">
        <w:rPr>
          <w:rFonts w:ascii="Arial" w:hAnsi="Arial" w:cs="Arial"/>
          <w:sz w:val="32"/>
          <w:szCs w:val="32"/>
        </w:rPr>
        <w:t xml:space="preserve">Date: </w:t>
      </w:r>
    </w:p>
    <w:p w14:paraId="6D1F5B5A" w14:textId="670075A4" w:rsidR="00471C9C" w:rsidRDefault="00471C9C" w:rsidP="00471C9C">
      <w:pPr>
        <w:rPr>
          <w:rFonts w:ascii="Arial" w:hAnsi="Arial" w:cs="Arial"/>
          <w:sz w:val="32"/>
          <w:szCs w:val="32"/>
        </w:rPr>
      </w:pPr>
    </w:p>
    <w:p w14:paraId="17AE0ECA" w14:textId="0B7A18AD" w:rsidR="00471C9C" w:rsidRDefault="00471C9C" w:rsidP="00471C9C">
      <w:pPr>
        <w:rPr>
          <w:rFonts w:ascii="Arial" w:hAnsi="Arial" w:cs="Arial"/>
          <w:sz w:val="32"/>
          <w:szCs w:val="32"/>
        </w:rPr>
      </w:pPr>
    </w:p>
    <w:p w14:paraId="66116EA6" w14:textId="45CED349" w:rsidR="00471C9C" w:rsidRDefault="00471C9C" w:rsidP="00471C9C">
      <w:pPr>
        <w:rPr>
          <w:rFonts w:ascii="Arial" w:hAnsi="Arial" w:cs="Arial"/>
          <w:sz w:val="32"/>
          <w:szCs w:val="32"/>
        </w:rPr>
      </w:pPr>
    </w:p>
    <w:p w14:paraId="2A8C7076" w14:textId="68C329A5" w:rsidR="00471C9C" w:rsidRDefault="00471C9C" w:rsidP="00471C9C">
      <w:pPr>
        <w:rPr>
          <w:rFonts w:ascii="Arial" w:hAnsi="Arial" w:cs="Arial"/>
          <w:sz w:val="32"/>
          <w:szCs w:val="32"/>
        </w:rPr>
      </w:pPr>
    </w:p>
    <w:sdt>
      <w:sdtPr>
        <w:rPr>
          <w:rFonts w:asciiTheme="minorHAnsi" w:eastAsiaTheme="minorHAnsi" w:hAnsiTheme="minorHAnsi" w:cstheme="minorBidi"/>
          <w:color w:val="auto"/>
          <w:sz w:val="22"/>
          <w:szCs w:val="22"/>
          <w:lang w:val="en-GB"/>
        </w:rPr>
        <w:id w:val="1462995085"/>
        <w:docPartObj>
          <w:docPartGallery w:val="Table of Contents"/>
          <w:docPartUnique/>
        </w:docPartObj>
      </w:sdtPr>
      <w:sdtEndPr>
        <w:rPr>
          <w:b/>
          <w:bCs/>
        </w:rPr>
      </w:sdtEndPr>
      <w:sdtContent>
        <w:p w14:paraId="7257583A" w14:textId="77777777" w:rsidR="00F44140" w:rsidRDefault="00F44140">
          <w:pPr>
            <w:pStyle w:val="TOCHeading"/>
            <w:rPr>
              <w:lang w:val="en-GB"/>
            </w:rPr>
          </w:pPr>
        </w:p>
        <w:p w14:paraId="13BC8056" w14:textId="77777777" w:rsidR="00F44140" w:rsidRDefault="00F44140">
          <w:pPr>
            <w:pStyle w:val="TOCHeading"/>
            <w:rPr>
              <w:lang w:val="en-GB"/>
            </w:rPr>
          </w:pPr>
        </w:p>
        <w:p w14:paraId="6AC230CC" w14:textId="77777777" w:rsidR="00F44140" w:rsidRDefault="00F44140">
          <w:pPr>
            <w:pStyle w:val="TOCHeading"/>
            <w:rPr>
              <w:lang w:val="en-GB"/>
            </w:rPr>
          </w:pPr>
        </w:p>
        <w:p w14:paraId="36D1CA72" w14:textId="419420FC" w:rsidR="005C6AFF" w:rsidRPr="0040413E" w:rsidRDefault="005C6AFF">
          <w:pPr>
            <w:pStyle w:val="TOCHeading"/>
            <w:rPr>
              <w:rFonts w:ascii="Arial" w:hAnsi="Arial" w:cs="Arial"/>
              <w:b/>
              <w:bCs/>
              <w:color w:val="auto"/>
              <w:sz w:val="22"/>
              <w:szCs w:val="22"/>
            </w:rPr>
          </w:pPr>
          <w:r w:rsidRPr="0040413E">
            <w:rPr>
              <w:rFonts w:ascii="Arial" w:hAnsi="Arial" w:cs="Arial"/>
              <w:b/>
              <w:bCs/>
              <w:color w:val="auto"/>
              <w:sz w:val="22"/>
              <w:szCs w:val="22"/>
              <w:lang w:val="en-GB"/>
            </w:rPr>
            <w:t>Table of Contents</w:t>
          </w:r>
        </w:p>
        <w:p w14:paraId="7C13F63F" w14:textId="77777777" w:rsidR="004D16E2" w:rsidRDefault="004D16E2">
          <w:pPr>
            <w:pStyle w:val="TOC1"/>
            <w:tabs>
              <w:tab w:val="right" w:leader="dot" w:pos="9016"/>
            </w:tabs>
          </w:pPr>
        </w:p>
        <w:p w14:paraId="40B09C6B" w14:textId="7FB8690E" w:rsidR="004D16E2" w:rsidRDefault="005C6AFF">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49123972" w:history="1">
            <w:r w:rsidR="004D16E2" w:rsidRPr="00841AF1">
              <w:rPr>
                <w:rStyle w:val="Hyperlink"/>
                <w:rFonts w:ascii="Arial" w:hAnsi="Arial" w:cs="Arial"/>
                <w:b/>
                <w:bCs/>
                <w:noProof/>
              </w:rPr>
              <w:t>Introduction</w:t>
            </w:r>
            <w:r w:rsidR="004D16E2">
              <w:rPr>
                <w:noProof/>
                <w:webHidden/>
              </w:rPr>
              <w:tab/>
            </w:r>
            <w:r w:rsidR="004D16E2">
              <w:rPr>
                <w:noProof/>
                <w:webHidden/>
              </w:rPr>
              <w:fldChar w:fldCharType="begin"/>
            </w:r>
            <w:r w:rsidR="004D16E2">
              <w:rPr>
                <w:noProof/>
                <w:webHidden/>
              </w:rPr>
              <w:instrText xml:space="preserve"> PAGEREF _Toc149123972 \h </w:instrText>
            </w:r>
            <w:r w:rsidR="004D16E2">
              <w:rPr>
                <w:noProof/>
                <w:webHidden/>
              </w:rPr>
            </w:r>
            <w:r w:rsidR="004D16E2">
              <w:rPr>
                <w:noProof/>
                <w:webHidden/>
              </w:rPr>
              <w:fldChar w:fldCharType="separate"/>
            </w:r>
            <w:r w:rsidR="004D16E2">
              <w:rPr>
                <w:noProof/>
                <w:webHidden/>
              </w:rPr>
              <w:t>3</w:t>
            </w:r>
            <w:r w:rsidR="004D16E2">
              <w:rPr>
                <w:noProof/>
                <w:webHidden/>
              </w:rPr>
              <w:fldChar w:fldCharType="end"/>
            </w:r>
          </w:hyperlink>
        </w:p>
        <w:p w14:paraId="526D9AEC" w14:textId="12B499C8" w:rsidR="004D16E2" w:rsidRDefault="004A04C1">
          <w:pPr>
            <w:pStyle w:val="TOC1"/>
            <w:tabs>
              <w:tab w:val="right" w:leader="dot" w:pos="9016"/>
            </w:tabs>
            <w:rPr>
              <w:rFonts w:cstheme="minorBidi"/>
              <w:noProof/>
              <w:kern w:val="2"/>
              <w:lang w:val="en-GB" w:eastAsia="en-GB"/>
              <w14:ligatures w14:val="standardContextual"/>
            </w:rPr>
          </w:pPr>
          <w:hyperlink w:anchor="_Toc149123973" w:history="1">
            <w:r w:rsidR="004D16E2" w:rsidRPr="00841AF1">
              <w:rPr>
                <w:rStyle w:val="Hyperlink"/>
                <w:rFonts w:ascii="Arial" w:hAnsi="Arial" w:cs="Arial"/>
                <w:b/>
                <w:bCs/>
                <w:noProof/>
              </w:rPr>
              <w:t>Data about Anorexia Nervosa Disorder in the UK</w:t>
            </w:r>
            <w:r w:rsidR="004D16E2">
              <w:rPr>
                <w:noProof/>
                <w:webHidden/>
              </w:rPr>
              <w:tab/>
            </w:r>
            <w:r w:rsidR="004D16E2">
              <w:rPr>
                <w:noProof/>
                <w:webHidden/>
              </w:rPr>
              <w:fldChar w:fldCharType="begin"/>
            </w:r>
            <w:r w:rsidR="004D16E2">
              <w:rPr>
                <w:noProof/>
                <w:webHidden/>
              </w:rPr>
              <w:instrText xml:space="preserve"> PAGEREF _Toc149123973 \h </w:instrText>
            </w:r>
            <w:r w:rsidR="004D16E2">
              <w:rPr>
                <w:noProof/>
                <w:webHidden/>
              </w:rPr>
            </w:r>
            <w:r w:rsidR="004D16E2">
              <w:rPr>
                <w:noProof/>
                <w:webHidden/>
              </w:rPr>
              <w:fldChar w:fldCharType="separate"/>
            </w:r>
            <w:r w:rsidR="004D16E2">
              <w:rPr>
                <w:noProof/>
                <w:webHidden/>
              </w:rPr>
              <w:t>4</w:t>
            </w:r>
            <w:r w:rsidR="004D16E2">
              <w:rPr>
                <w:noProof/>
                <w:webHidden/>
              </w:rPr>
              <w:fldChar w:fldCharType="end"/>
            </w:r>
          </w:hyperlink>
        </w:p>
        <w:p w14:paraId="51DD38B5" w14:textId="71C28004" w:rsidR="004D16E2" w:rsidRDefault="004A04C1">
          <w:pPr>
            <w:pStyle w:val="TOC1"/>
            <w:tabs>
              <w:tab w:val="right" w:leader="dot" w:pos="9016"/>
            </w:tabs>
            <w:rPr>
              <w:rFonts w:cstheme="minorBidi"/>
              <w:noProof/>
              <w:kern w:val="2"/>
              <w:lang w:val="en-GB" w:eastAsia="en-GB"/>
              <w14:ligatures w14:val="standardContextual"/>
            </w:rPr>
          </w:pPr>
          <w:hyperlink w:anchor="_Toc149123974" w:history="1">
            <w:r w:rsidR="004D16E2" w:rsidRPr="00841AF1">
              <w:rPr>
                <w:rStyle w:val="Hyperlink"/>
                <w:rFonts w:ascii="Arial" w:hAnsi="Arial" w:cs="Arial"/>
                <w:b/>
                <w:bCs/>
                <w:noProof/>
              </w:rPr>
              <w:t>Historical view and treatments for Anorexia nervosa</w:t>
            </w:r>
            <w:r w:rsidR="004D16E2">
              <w:rPr>
                <w:noProof/>
                <w:webHidden/>
              </w:rPr>
              <w:tab/>
            </w:r>
            <w:r w:rsidR="004D16E2">
              <w:rPr>
                <w:noProof/>
                <w:webHidden/>
              </w:rPr>
              <w:fldChar w:fldCharType="begin"/>
            </w:r>
            <w:r w:rsidR="004D16E2">
              <w:rPr>
                <w:noProof/>
                <w:webHidden/>
              </w:rPr>
              <w:instrText xml:space="preserve"> PAGEREF _Toc149123974 \h </w:instrText>
            </w:r>
            <w:r w:rsidR="004D16E2">
              <w:rPr>
                <w:noProof/>
                <w:webHidden/>
              </w:rPr>
            </w:r>
            <w:r w:rsidR="004D16E2">
              <w:rPr>
                <w:noProof/>
                <w:webHidden/>
              </w:rPr>
              <w:fldChar w:fldCharType="separate"/>
            </w:r>
            <w:r w:rsidR="004D16E2">
              <w:rPr>
                <w:noProof/>
                <w:webHidden/>
              </w:rPr>
              <w:t>5</w:t>
            </w:r>
            <w:r w:rsidR="004D16E2">
              <w:rPr>
                <w:noProof/>
                <w:webHidden/>
              </w:rPr>
              <w:fldChar w:fldCharType="end"/>
            </w:r>
          </w:hyperlink>
        </w:p>
        <w:p w14:paraId="2ED563F4" w14:textId="54D919AD" w:rsidR="004D16E2" w:rsidRDefault="004A04C1">
          <w:pPr>
            <w:pStyle w:val="TOC1"/>
            <w:tabs>
              <w:tab w:val="right" w:leader="dot" w:pos="9016"/>
            </w:tabs>
            <w:rPr>
              <w:rFonts w:cstheme="minorBidi"/>
              <w:noProof/>
              <w:kern w:val="2"/>
              <w:lang w:val="en-GB" w:eastAsia="en-GB"/>
              <w14:ligatures w14:val="standardContextual"/>
            </w:rPr>
          </w:pPr>
          <w:hyperlink w:anchor="_Toc149123975" w:history="1">
            <w:r w:rsidR="004D16E2" w:rsidRPr="00841AF1">
              <w:rPr>
                <w:rStyle w:val="Hyperlink"/>
                <w:rFonts w:ascii="Arial" w:hAnsi="Arial" w:cs="Arial"/>
                <w:b/>
                <w:bCs/>
                <w:noProof/>
              </w:rPr>
              <w:t>Principles when working with people with Anorexia nervosa</w:t>
            </w:r>
            <w:r w:rsidR="004D16E2" w:rsidRPr="00841AF1">
              <w:rPr>
                <w:rStyle w:val="Hyperlink"/>
                <w:b/>
                <w:bCs/>
                <w:noProof/>
              </w:rPr>
              <w:t>.</w:t>
            </w:r>
            <w:r w:rsidR="004D16E2">
              <w:rPr>
                <w:noProof/>
                <w:webHidden/>
              </w:rPr>
              <w:tab/>
            </w:r>
            <w:r w:rsidR="004D16E2">
              <w:rPr>
                <w:noProof/>
                <w:webHidden/>
              </w:rPr>
              <w:fldChar w:fldCharType="begin"/>
            </w:r>
            <w:r w:rsidR="004D16E2">
              <w:rPr>
                <w:noProof/>
                <w:webHidden/>
              </w:rPr>
              <w:instrText xml:space="preserve"> PAGEREF _Toc149123975 \h </w:instrText>
            </w:r>
            <w:r w:rsidR="004D16E2">
              <w:rPr>
                <w:noProof/>
                <w:webHidden/>
              </w:rPr>
            </w:r>
            <w:r w:rsidR="004D16E2">
              <w:rPr>
                <w:noProof/>
                <w:webHidden/>
              </w:rPr>
              <w:fldChar w:fldCharType="separate"/>
            </w:r>
            <w:r w:rsidR="004D16E2">
              <w:rPr>
                <w:noProof/>
                <w:webHidden/>
              </w:rPr>
              <w:t>6</w:t>
            </w:r>
            <w:r w:rsidR="004D16E2">
              <w:rPr>
                <w:noProof/>
                <w:webHidden/>
              </w:rPr>
              <w:fldChar w:fldCharType="end"/>
            </w:r>
          </w:hyperlink>
        </w:p>
        <w:p w14:paraId="4B684635" w14:textId="0CA92D33" w:rsidR="004D16E2" w:rsidRDefault="004A04C1">
          <w:pPr>
            <w:pStyle w:val="TOC1"/>
            <w:tabs>
              <w:tab w:val="right" w:leader="dot" w:pos="9016"/>
            </w:tabs>
            <w:rPr>
              <w:rFonts w:cstheme="minorBidi"/>
              <w:noProof/>
              <w:kern w:val="2"/>
              <w:lang w:val="en-GB" w:eastAsia="en-GB"/>
              <w14:ligatures w14:val="standardContextual"/>
            </w:rPr>
          </w:pPr>
          <w:hyperlink w:anchor="_Toc149123976" w:history="1">
            <w:r w:rsidR="004D16E2" w:rsidRPr="00841AF1">
              <w:rPr>
                <w:rStyle w:val="Hyperlink"/>
                <w:rFonts w:ascii="Arial" w:hAnsi="Arial" w:cs="Arial"/>
                <w:b/>
                <w:bCs/>
                <w:noProof/>
              </w:rPr>
              <w:t>Discuss the issues in provision, professional support, or policy about the selected mental health issue</w:t>
            </w:r>
            <w:r w:rsidR="004D16E2" w:rsidRPr="00841AF1">
              <w:rPr>
                <w:rStyle w:val="Hyperlink"/>
                <w:b/>
                <w:bCs/>
                <w:noProof/>
              </w:rPr>
              <w:t>.</w:t>
            </w:r>
            <w:r w:rsidR="004D16E2">
              <w:rPr>
                <w:noProof/>
                <w:webHidden/>
              </w:rPr>
              <w:tab/>
            </w:r>
            <w:r w:rsidR="004D16E2">
              <w:rPr>
                <w:noProof/>
                <w:webHidden/>
              </w:rPr>
              <w:fldChar w:fldCharType="begin"/>
            </w:r>
            <w:r w:rsidR="004D16E2">
              <w:rPr>
                <w:noProof/>
                <w:webHidden/>
              </w:rPr>
              <w:instrText xml:space="preserve"> PAGEREF _Toc149123976 \h </w:instrText>
            </w:r>
            <w:r w:rsidR="004D16E2">
              <w:rPr>
                <w:noProof/>
                <w:webHidden/>
              </w:rPr>
            </w:r>
            <w:r w:rsidR="004D16E2">
              <w:rPr>
                <w:noProof/>
                <w:webHidden/>
              </w:rPr>
              <w:fldChar w:fldCharType="separate"/>
            </w:r>
            <w:r w:rsidR="004D16E2">
              <w:rPr>
                <w:noProof/>
                <w:webHidden/>
              </w:rPr>
              <w:t>6</w:t>
            </w:r>
            <w:r w:rsidR="004D16E2">
              <w:rPr>
                <w:noProof/>
                <w:webHidden/>
              </w:rPr>
              <w:fldChar w:fldCharType="end"/>
            </w:r>
          </w:hyperlink>
        </w:p>
        <w:p w14:paraId="7A5A2C6D" w14:textId="09C3963F" w:rsidR="004D16E2" w:rsidRDefault="004A04C1">
          <w:pPr>
            <w:pStyle w:val="TOC1"/>
            <w:tabs>
              <w:tab w:val="right" w:leader="dot" w:pos="9016"/>
            </w:tabs>
            <w:rPr>
              <w:rFonts w:cstheme="minorBidi"/>
              <w:noProof/>
              <w:kern w:val="2"/>
              <w:lang w:val="en-GB" w:eastAsia="en-GB"/>
              <w14:ligatures w14:val="standardContextual"/>
            </w:rPr>
          </w:pPr>
          <w:hyperlink w:anchor="_Toc149123977" w:history="1">
            <w:r w:rsidR="004D16E2" w:rsidRPr="00841AF1">
              <w:rPr>
                <w:rStyle w:val="Hyperlink"/>
                <w:rFonts w:ascii="Arial" w:hAnsi="Arial" w:cs="Arial"/>
                <w:b/>
                <w:bCs/>
                <w:noProof/>
              </w:rPr>
              <w:t>Recommendations for the improvement of the symptoms</w:t>
            </w:r>
            <w:r w:rsidR="004D16E2">
              <w:rPr>
                <w:noProof/>
                <w:webHidden/>
              </w:rPr>
              <w:tab/>
            </w:r>
            <w:r w:rsidR="004D16E2">
              <w:rPr>
                <w:noProof/>
                <w:webHidden/>
              </w:rPr>
              <w:fldChar w:fldCharType="begin"/>
            </w:r>
            <w:r w:rsidR="004D16E2">
              <w:rPr>
                <w:noProof/>
                <w:webHidden/>
              </w:rPr>
              <w:instrText xml:space="preserve"> PAGEREF _Toc149123977 \h </w:instrText>
            </w:r>
            <w:r w:rsidR="004D16E2">
              <w:rPr>
                <w:noProof/>
                <w:webHidden/>
              </w:rPr>
            </w:r>
            <w:r w:rsidR="004D16E2">
              <w:rPr>
                <w:noProof/>
                <w:webHidden/>
              </w:rPr>
              <w:fldChar w:fldCharType="separate"/>
            </w:r>
            <w:r w:rsidR="004D16E2">
              <w:rPr>
                <w:noProof/>
                <w:webHidden/>
              </w:rPr>
              <w:t>7</w:t>
            </w:r>
            <w:r w:rsidR="004D16E2">
              <w:rPr>
                <w:noProof/>
                <w:webHidden/>
              </w:rPr>
              <w:fldChar w:fldCharType="end"/>
            </w:r>
          </w:hyperlink>
        </w:p>
        <w:p w14:paraId="7067553E" w14:textId="63E868BD" w:rsidR="004D16E2" w:rsidRDefault="004A04C1">
          <w:pPr>
            <w:pStyle w:val="TOC1"/>
            <w:tabs>
              <w:tab w:val="right" w:leader="dot" w:pos="9016"/>
            </w:tabs>
            <w:rPr>
              <w:rFonts w:cstheme="minorBidi"/>
              <w:noProof/>
              <w:kern w:val="2"/>
              <w:lang w:val="en-GB" w:eastAsia="en-GB"/>
              <w14:ligatures w14:val="standardContextual"/>
            </w:rPr>
          </w:pPr>
          <w:hyperlink w:anchor="_Toc149123978" w:history="1">
            <w:r w:rsidR="004D16E2" w:rsidRPr="00841AF1">
              <w:rPr>
                <w:rStyle w:val="Hyperlink"/>
                <w:rFonts w:ascii="Arial" w:hAnsi="Arial" w:cs="Arial"/>
                <w:b/>
                <w:bCs/>
                <w:noProof/>
              </w:rPr>
              <w:t>Conclusion</w:t>
            </w:r>
            <w:r w:rsidR="004D16E2">
              <w:rPr>
                <w:noProof/>
                <w:webHidden/>
              </w:rPr>
              <w:tab/>
            </w:r>
            <w:r w:rsidR="004D16E2">
              <w:rPr>
                <w:noProof/>
                <w:webHidden/>
              </w:rPr>
              <w:fldChar w:fldCharType="begin"/>
            </w:r>
            <w:r w:rsidR="004D16E2">
              <w:rPr>
                <w:noProof/>
                <w:webHidden/>
              </w:rPr>
              <w:instrText xml:space="preserve"> PAGEREF _Toc149123978 \h </w:instrText>
            </w:r>
            <w:r w:rsidR="004D16E2">
              <w:rPr>
                <w:noProof/>
                <w:webHidden/>
              </w:rPr>
            </w:r>
            <w:r w:rsidR="004D16E2">
              <w:rPr>
                <w:noProof/>
                <w:webHidden/>
              </w:rPr>
              <w:fldChar w:fldCharType="separate"/>
            </w:r>
            <w:r w:rsidR="004D16E2">
              <w:rPr>
                <w:noProof/>
                <w:webHidden/>
              </w:rPr>
              <w:t>7</w:t>
            </w:r>
            <w:r w:rsidR="004D16E2">
              <w:rPr>
                <w:noProof/>
                <w:webHidden/>
              </w:rPr>
              <w:fldChar w:fldCharType="end"/>
            </w:r>
          </w:hyperlink>
        </w:p>
        <w:p w14:paraId="473E3145" w14:textId="12ED7F8D" w:rsidR="004D16E2" w:rsidRDefault="004A04C1">
          <w:pPr>
            <w:pStyle w:val="TOC1"/>
            <w:tabs>
              <w:tab w:val="right" w:leader="dot" w:pos="9016"/>
            </w:tabs>
            <w:rPr>
              <w:rFonts w:cstheme="minorBidi"/>
              <w:noProof/>
              <w:kern w:val="2"/>
              <w:lang w:val="en-GB" w:eastAsia="en-GB"/>
              <w14:ligatures w14:val="standardContextual"/>
            </w:rPr>
          </w:pPr>
          <w:hyperlink w:anchor="_Toc149123979" w:history="1">
            <w:r w:rsidR="004D16E2" w:rsidRPr="00841AF1">
              <w:rPr>
                <w:rStyle w:val="Hyperlink"/>
                <w:rFonts w:ascii="Arial" w:hAnsi="Arial" w:cs="Arial"/>
                <w:b/>
                <w:bCs/>
                <w:noProof/>
              </w:rPr>
              <w:t>References</w:t>
            </w:r>
            <w:r w:rsidR="004D16E2">
              <w:rPr>
                <w:noProof/>
                <w:webHidden/>
              </w:rPr>
              <w:tab/>
            </w:r>
            <w:r w:rsidR="004D16E2">
              <w:rPr>
                <w:noProof/>
                <w:webHidden/>
              </w:rPr>
              <w:fldChar w:fldCharType="begin"/>
            </w:r>
            <w:r w:rsidR="004D16E2">
              <w:rPr>
                <w:noProof/>
                <w:webHidden/>
              </w:rPr>
              <w:instrText xml:space="preserve"> PAGEREF _Toc149123979 \h </w:instrText>
            </w:r>
            <w:r w:rsidR="004D16E2">
              <w:rPr>
                <w:noProof/>
                <w:webHidden/>
              </w:rPr>
            </w:r>
            <w:r w:rsidR="004D16E2">
              <w:rPr>
                <w:noProof/>
                <w:webHidden/>
              </w:rPr>
              <w:fldChar w:fldCharType="separate"/>
            </w:r>
            <w:r w:rsidR="004D16E2">
              <w:rPr>
                <w:noProof/>
                <w:webHidden/>
              </w:rPr>
              <w:t>8</w:t>
            </w:r>
            <w:r w:rsidR="004D16E2">
              <w:rPr>
                <w:noProof/>
                <w:webHidden/>
              </w:rPr>
              <w:fldChar w:fldCharType="end"/>
            </w:r>
          </w:hyperlink>
        </w:p>
        <w:p w14:paraId="29503621" w14:textId="37F506BF" w:rsidR="005C6AFF" w:rsidRDefault="005C6AFF">
          <w:r>
            <w:rPr>
              <w:b/>
              <w:bCs/>
            </w:rPr>
            <w:fldChar w:fldCharType="end"/>
          </w:r>
        </w:p>
      </w:sdtContent>
    </w:sdt>
    <w:p w14:paraId="2221836C" w14:textId="7ABB8FF6" w:rsidR="00471C9C" w:rsidRDefault="00471C9C" w:rsidP="00471C9C">
      <w:pPr>
        <w:rPr>
          <w:rFonts w:ascii="Arial" w:hAnsi="Arial" w:cs="Arial"/>
          <w:sz w:val="32"/>
          <w:szCs w:val="32"/>
        </w:rPr>
      </w:pPr>
    </w:p>
    <w:p w14:paraId="088EC662" w14:textId="759582E5" w:rsidR="00471C9C" w:rsidRDefault="00471C9C" w:rsidP="00471C9C">
      <w:pPr>
        <w:rPr>
          <w:rFonts w:ascii="Arial" w:hAnsi="Arial" w:cs="Arial"/>
          <w:sz w:val="32"/>
          <w:szCs w:val="32"/>
        </w:rPr>
      </w:pPr>
    </w:p>
    <w:p w14:paraId="03CB754B" w14:textId="2F5F7984" w:rsidR="00471C9C" w:rsidRDefault="00471C9C" w:rsidP="00471C9C">
      <w:pPr>
        <w:rPr>
          <w:rFonts w:ascii="Arial" w:hAnsi="Arial" w:cs="Arial"/>
          <w:sz w:val="32"/>
          <w:szCs w:val="32"/>
        </w:rPr>
      </w:pPr>
    </w:p>
    <w:p w14:paraId="7CC58A6D" w14:textId="415C70C2" w:rsidR="00471C9C" w:rsidRDefault="00471C9C" w:rsidP="00471C9C">
      <w:pPr>
        <w:rPr>
          <w:rFonts w:ascii="Arial" w:hAnsi="Arial" w:cs="Arial"/>
          <w:sz w:val="32"/>
          <w:szCs w:val="32"/>
        </w:rPr>
      </w:pPr>
    </w:p>
    <w:p w14:paraId="125E9161" w14:textId="50FBF3FA" w:rsidR="00471C9C" w:rsidRDefault="00471C9C" w:rsidP="00471C9C">
      <w:pPr>
        <w:rPr>
          <w:rFonts w:ascii="Arial" w:hAnsi="Arial" w:cs="Arial"/>
          <w:sz w:val="32"/>
          <w:szCs w:val="32"/>
        </w:rPr>
      </w:pPr>
    </w:p>
    <w:p w14:paraId="6CCBB16F" w14:textId="5D62D394" w:rsidR="00471C9C" w:rsidRDefault="00471C9C" w:rsidP="00471C9C">
      <w:pPr>
        <w:rPr>
          <w:rFonts w:ascii="Arial" w:hAnsi="Arial" w:cs="Arial"/>
          <w:sz w:val="32"/>
          <w:szCs w:val="32"/>
        </w:rPr>
      </w:pPr>
    </w:p>
    <w:p w14:paraId="335BB01B" w14:textId="5F7FBF64" w:rsidR="00471C9C" w:rsidRDefault="00471C9C" w:rsidP="00471C9C">
      <w:pPr>
        <w:rPr>
          <w:rFonts w:ascii="Arial" w:hAnsi="Arial" w:cs="Arial"/>
          <w:sz w:val="32"/>
          <w:szCs w:val="32"/>
        </w:rPr>
      </w:pPr>
    </w:p>
    <w:p w14:paraId="42DE5963" w14:textId="671800AE" w:rsidR="00471C9C" w:rsidRDefault="00471C9C" w:rsidP="00471C9C">
      <w:pPr>
        <w:rPr>
          <w:rFonts w:ascii="Arial" w:hAnsi="Arial" w:cs="Arial"/>
          <w:sz w:val="32"/>
          <w:szCs w:val="32"/>
        </w:rPr>
      </w:pPr>
    </w:p>
    <w:p w14:paraId="1EDF0BA0" w14:textId="6DCDA8A1" w:rsidR="00471C9C" w:rsidRDefault="00471C9C" w:rsidP="00471C9C">
      <w:pPr>
        <w:rPr>
          <w:rFonts w:ascii="Arial" w:hAnsi="Arial" w:cs="Arial"/>
          <w:sz w:val="32"/>
          <w:szCs w:val="32"/>
        </w:rPr>
      </w:pPr>
    </w:p>
    <w:p w14:paraId="05CB087A" w14:textId="5910D7A8" w:rsidR="00471C9C" w:rsidRDefault="00471C9C" w:rsidP="00471C9C">
      <w:pPr>
        <w:rPr>
          <w:rFonts w:ascii="Arial" w:hAnsi="Arial" w:cs="Arial"/>
          <w:sz w:val="32"/>
          <w:szCs w:val="32"/>
        </w:rPr>
      </w:pPr>
    </w:p>
    <w:p w14:paraId="762E2FBB" w14:textId="64EA01C2" w:rsidR="00471C9C" w:rsidRDefault="00471C9C" w:rsidP="00471C9C">
      <w:pPr>
        <w:rPr>
          <w:rFonts w:ascii="Arial" w:hAnsi="Arial" w:cs="Arial"/>
          <w:sz w:val="32"/>
          <w:szCs w:val="32"/>
        </w:rPr>
      </w:pPr>
    </w:p>
    <w:p w14:paraId="00524DD1" w14:textId="707FF256" w:rsidR="00471C9C" w:rsidRDefault="00471C9C" w:rsidP="00471C9C">
      <w:pPr>
        <w:rPr>
          <w:rFonts w:ascii="Arial" w:hAnsi="Arial" w:cs="Arial"/>
          <w:sz w:val="32"/>
          <w:szCs w:val="32"/>
        </w:rPr>
      </w:pPr>
    </w:p>
    <w:p w14:paraId="7780BBE9" w14:textId="20B5CCD0" w:rsidR="00471C9C" w:rsidRDefault="00471C9C" w:rsidP="00471C9C">
      <w:pPr>
        <w:rPr>
          <w:rFonts w:ascii="Arial" w:hAnsi="Arial" w:cs="Arial"/>
          <w:sz w:val="32"/>
          <w:szCs w:val="32"/>
        </w:rPr>
      </w:pPr>
    </w:p>
    <w:p w14:paraId="797F0214" w14:textId="187FB427" w:rsidR="00471C9C" w:rsidRDefault="00471C9C" w:rsidP="00471C9C">
      <w:pPr>
        <w:rPr>
          <w:rFonts w:ascii="Arial" w:hAnsi="Arial" w:cs="Arial"/>
          <w:sz w:val="32"/>
          <w:szCs w:val="32"/>
        </w:rPr>
      </w:pPr>
    </w:p>
    <w:p w14:paraId="762EEB72" w14:textId="010B65DC" w:rsidR="00471C9C" w:rsidRDefault="00471C9C" w:rsidP="00471C9C">
      <w:pPr>
        <w:rPr>
          <w:rFonts w:ascii="Arial" w:hAnsi="Arial" w:cs="Arial"/>
          <w:sz w:val="32"/>
          <w:szCs w:val="32"/>
        </w:rPr>
      </w:pPr>
    </w:p>
    <w:p w14:paraId="2D4F5CB3" w14:textId="58A40636" w:rsidR="00471C9C" w:rsidRDefault="00471C9C" w:rsidP="00471C9C">
      <w:pPr>
        <w:rPr>
          <w:rFonts w:ascii="Arial" w:hAnsi="Arial" w:cs="Arial"/>
          <w:sz w:val="32"/>
          <w:szCs w:val="32"/>
        </w:rPr>
      </w:pPr>
    </w:p>
    <w:p w14:paraId="278F1A07" w14:textId="37E63697" w:rsidR="00471C9C" w:rsidRDefault="00471C9C" w:rsidP="00471C9C">
      <w:pPr>
        <w:rPr>
          <w:rFonts w:ascii="Arial" w:hAnsi="Arial" w:cs="Arial"/>
          <w:sz w:val="32"/>
          <w:szCs w:val="32"/>
        </w:rPr>
      </w:pPr>
    </w:p>
    <w:p w14:paraId="2EF7E0EE" w14:textId="0ABAE5CE" w:rsidR="00471C9C" w:rsidRPr="0040413E" w:rsidRDefault="00471C9C" w:rsidP="004D16E2">
      <w:pPr>
        <w:pStyle w:val="Heading1"/>
        <w:spacing w:line="360" w:lineRule="auto"/>
        <w:jc w:val="both"/>
        <w:rPr>
          <w:rFonts w:ascii="Arial" w:hAnsi="Arial" w:cs="Arial"/>
          <w:b/>
          <w:bCs/>
          <w:color w:val="auto"/>
          <w:sz w:val="22"/>
          <w:szCs w:val="22"/>
        </w:rPr>
      </w:pPr>
      <w:bookmarkStart w:id="0" w:name="_Toc149123972"/>
      <w:r w:rsidRPr="0040413E">
        <w:rPr>
          <w:rFonts w:ascii="Arial" w:hAnsi="Arial" w:cs="Arial"/>
          <w:b/>
          <w:bCs/>
          <w:color w:val="auto"/>
          <w:sz w:val="22"/>
          <w:szCs w:val="22"/>
        </w:rPr>
        <w:t>Introduction</w:t>
      </w:r>
      <w:bookmarkEnd w:id="0"/>
      <w:r w:rsidRPr="0040413E">
        <w:rPr>
          <w:rFonts w:ascii="Arial" w:hAnsi="Arial" w:cs="Arial"/>
          <w:b/>
          <w:bCs/>
          <w:color w:val="auto"/>
          <w:sz w:val="22"/>
          <w:szCs w:val="22"/>
        </w:rPr>
        <w:t xml:space="preserve"> </w:t>
      </w:r>
    </w:p>
    <w:p w14:paraId="07B77FF9" w14:textId="47969A3C" w:rsidR="0044338D" w:rsidRPr="002B1E00" w:rsidRDefault="0044338D" w:rsidP="004D16E2">
      <w:pPr>
        <w:spacing w:line="360" w:lineRule="auto"/>
        <w:jc w:val="both"/>
        <w:rPr>
          <w:rFonts w:ascii="Arial" w:hAnsi="Arial" w:cs="Arial"/>
        </w:rPr>
      </w:pPr>
      <w:r w:rsidRPr="002B1E00">
        <w:rPr>
          <w:rFonts w:ascii="Arial" w:hAnsi="Arial" w:cs="Arial"/>
        </w:rPr>
        <w:t>In severe, potentially fatal anorexia nervosa, people fear weight gain and have distorted body images, resulting in extreme food restriction</w:t>
      </w:r>
      <w:r w:rsidR="00BF387E">
        <w:rPr>
          <w:rFonts w:ascii="Arial" w:hAnsi="Arial" w:cs="Arial"/>
        </w:rPr>
        <w:t xml:space="preserve"> </w:t>
      </w:r>
      <w:r w:rsidRPr="002B1E00">
        <w:rPr>
          <w:rFonts w:ascii="Arial" w:hAnsi="Arial" w:cs="Arial"/>
        </w:rPr>
        <w:t>(NHS, 2023).</w:t>
      </w:r>
    </w:p>
    <w:p w14:paraId="25B520DE" w14:textId="77777777" w:rsidR="0044338D" w:rsidRPr="002B1E00" w:rsidRDefault="0044338D" w:rsidP="004D16E2">
      <w:pPr>
        <w:spacing w:line="360" w:lineRule="auto"/>
        <w:jc w:val="both"/>
        <w:rPr>
          <w:rFonts w:ascii="Arial" w:hAnsi="Arial" w:cs="Arial"/>
        </w:rPr>
      </w:pPr>
      <w:r w:rsidRPr="002B1E00">
        <w:rPr>
          <w:rFonts w:ascii="Arial" w:hAnsi="Arial" w:cs="Arial"/>
        </w:rPr>
        <w:t>Anorexia affects all ages, genders, and socioeconomic groups in the UK. Teenage and young adult women are more likely to experience the above. Men and older people can also share this. The NHS (2023) reports that many UK residents have this condition, though prevalence rates vary.</w:t>
      </w:r>
    </w:p>
    <w:p w14:paraId="1790654B" w14:textId="7C514F90" w:rsidR="0044338D" w:rsidRPr="002B1E00" w:rsidRDefault="0044338D" w:rsidP="004D16E2">
      <w:pPr>
        <w:spacing w:line="360" w:lineRule="auto"/>
        <w:jc w:val="both"/>
        <w:rPr>
          <w:rFonts w:ascii="Arial" w:hAnsi="Arial" w:cs="Arial"/>
        </w:rPr>
      </w:pPr>
      <w:r w:rsidRPr="002B1E00">
        <w:rPr>
          <w:rFonts w:ascii="Arial" w:hAnsi="Arial" w:cs="Arial"/>
        </w:rPr>
        <w:t xml:space="preserve">Individuals, families, and communities are greatly affected by anorexia. Malnutrition, electrolyte imbalances, and cardiac </w:t>
      </w:r>
      <w:r w:rsidR="00FF025E" w:rsidRPr="002B1E00">
        <w:rPr>
          <w:rFonts w:ascii="Arial" w:hAnsi="Arial" w:cs="Arial"/>
        </w:rPr>
        <w:t>issues</w:t>
      </w:r>
      <w:r w:rsidR="00FF025E">
        <w:rPr>
          <w:rFonts w:ascii="Arial" w:hAnsi="Arial" w:cs="Arial"/>
        </w:rPr>
        <w:t>,</w:t>
      </w:r>
      <w:r w:rsidR="00FF025E" w:rsidRPr="002B1E00">
        <w:rPr>
          <w:rFonts w:ascii="Arial" w:hAnsi="Arial" w:cs="Arial"/>
        </w:rPr>
        <w:t xml:space="preserve"> Depression</w:t>
      </w:r>
      <w:r w:rsidRPr="002B1E00">
        <w:rPr>
          <w:rFonts w:ascii="Arial" w:hAnsi="Arial" w:cs="Arial"/>
        </w:rPr>
        <w:t xml:space="preserve"> and anxiety can result. Anorexia affects work, education, and relationships (NHS, 2023).</w:t>
      </w:r>
    </w:p>
    <w:p w14:paraId="5400893D" w14:textId="40CCBEAC" w:rsidR="00471C9C" w:rsidRPr="002B1E00" w:rsidRDefault="00471C9C" w:rsidP="004D16E2">
      <w:pPr>
        <w:spacing w:line="360" w:lineRule="auto"/>
        <w:jc w:val="both"/>
        <w:rPr>
          <w:rFonts w:ascii="Arial" w:hAnsi="Arial" w:cs="Arial"/>
          <w:b/>
          <w:bCs/>
          <w:color w:val="FF0000"/>
        </w:rPr>
      </w:pPr>
      <w:r w:rsidRPr="002B1E00">
        <w:rPr>
          <w:rFonts w:ascii="Arial" w:hAnsi="Arial" w:cs="Arial"/>
          <w:b/>
          <w:bCs/>
        </w:rPr>
        <w:t xml:space="preserve">Definition of </w:t>
      </w:r>
      <w:r w:rsidR="007A799B" w:rsidRPr="002B1E00">
        <w:rPr>
          <w:rFonts w:ascii="Arial" w:hAnsi="Arial" w:cs="Arial"/>
          <w:b/>
          <w:bCs/>
        </w:rPr>
        <w:t>Anorexia Nervosa</w:t>
      </w:r>
    </w:p>
    <w:p w14:paraId="7BDCDE4B" w14:textId="4DF22A2A" w:rsidR="009A5967" w:rsidRPr="002B1E00" w:rsidRDefault="00B37677" w:rsidP="004D16E2">
      <w:pPr>
        <w:spacing w:line="360" w:lineRule="auto"/>
        <w:jc w:val="both"/>
        <w:rPr>
          <w:rFonts w:ascii="Arial" w:hAnsi="Arial" w:cs="Arial"/>
        </w:rPr>
      </w:pPr>
      <w:r w:rsidRPr="002B1E00">
        <w:rPr>
          <w:rFonts w:ascii="Arial" w:hAnsi="Arial" w:cs="Arial"/>
        </w:rPr>
        <w:t>A severe and potentially fatal eating disorder, anorexia nervosa is characterised by a fear of gaining weight and a distorted body image that leads to self-starvation and excessive weight loss. People with Anorexia often restrict their food intake, depriving themselves of essential nutrients</w:t>
      </w:r>
      <w:r w:rsidR="001B2500" w:rsidRPr="002B1E00">
        <w:rPr>
          <w:rFonts w:ascii="Arial" w:hAnsi="Arial" w:cs="Arial"/>
        </w:rPr>
        <w:t xml:space="preserve"> (</w:t>
      </w:r>
      <w:bookmarkStart w:id="1" w:name="_Hlk148780244"/>
      <w:proofErr w:type="spellStart"/>
      <w:r w:rsidR="001B2500" w:rsidRPr="002B1E00">
        <w:rPr>
          <w:rFonts w:ascii="Arial" w:hAnsi="Arial" w:cs="Arial"/>
        </w:rPr>
        <w:t>Rivia</w:t>
      </w:r>
      <w:proofErr w:type="spellEnd"/>
      <w:r w:rsidR="001B2500" w:rsidRPr="002B1E00">
        <w:rPr>
          <w:rFonts w:ascii="Arial" w:hAnsi="Arial" w:cs="Arial"/>
        </w:rPr>
        <w:t xml:space="preserve"> Mind, 2023).</w:t>
      </w:r>
      <w:bookmarkEnd w:id="1"/>
    </w:p>
    <w:p w14:paraId="66F1C9C9" w14:textId="2933329A" w:rsidR="00471C9C" w:rsidRDefault="004E1212" w:rsidP="004D16E2">
      <w:pPr>
        <w:spacing w:line="360" w:lineRule="auto"/>
        <w:jc w:val="both"/>
        <w:rPr>
          <w:rFonts w:ascii="Arial" w:hAnsi="Arial" w:cs="Arial"/>
          <w:b/>
          <w:bCs/>
        </w:rPr>
      </w:pPr>
      <w:r w:rsidRPr="002B1E00">
        <w:rPr>
          <w:rFonts w:ascii="Arial" w:hAnsi="Arial" w:cs="Arial"/>
          <w:b/>
          <w:bCs/>
        </w:rPr>
        <w:t>Disorder within</w:t>
      </w:r>
      <w:r w:rsidR="00D8198D" w:rsidRPr="002B1E00">
        <w:rPr>
          <w:rFonts w:ascii="Arial" w:hAnsi="Arial" w:cs="Arial"/>
          <w:b/>
          <w:bCs/>
        </w:rPr>
        <w:t xml:space="preserve"> the ICD-10 Manual</w:t>
      </w:r>
    </w:p>
    <w:p w14:paraId="0EEF9AA3" w14:textId="77777777" w:rsidR="003F2EC3" w:rsidRPr="003F2EC3" w:rsidRDefault="003F2EC3" w:rsidP="004D16E2">
      <w:pPr>
        <w:spacing w:line="360" w:lineRule="auto"/>
        <w:jc w:val="both"/>
        <w:rPr>
          <w:rFonts w:ascii="Arial" w:hAnsi="Arial" w:cs="Arial"/>
        </w:rPr>
      </w:pPr>
      <w:r w:rsidRPr="003F2EC3">
        <w:rPr>
          <w:rFonts w:ascii="Arial" w:hAnsi="Arial" w:cs="Arial"/>
        </w:rPr>
        <w:t>Anorexia is a common eating disorder. ICD-10, a popular diagnostic tool, includes mental and behavioural disorders. ICD-10 calls anorexia a "F50 Eating disorder".</w:t>
      </w:r>
    </w:p>
    <w:p w14:paraId="190C2AAC" w14:textId="77777777" w:rsidR="003F2EC3" w:rsidRPr="003F2EC3" w:rsidRDefault="003F2EC3" w:rsidP="004D16E2">
      <w:pPr>
        <w:spacing w:line="360" w:lineRule="auto"/>
        <w:jc w:val="both"/>
        <w:rPr>
          <w:rFonts w:ascii="Arial" w:hAnsi="Arial" w:cs="Arial"/>
        </w:rPr>
      </w:pPr>
      <w:r w:rsidRPr="003F2EC3">
        <w:rPr>
          <w:rFonts w:ascii="Arial" w:hAnsi="Arial" w:cs="Arial"/>
        </w:rPr>
        <w:t>Disorder F50.0 is anorexia.</w:t>
      </w:r>
    </w:p>
    <w:p w14:paraId="02CDB898" w14:textId="539BC506" w:rsidR="003F2EC3" w:rsidRPr="003F2EC3" w:rsidRDefault="003F2EC3" w:rsidP="004D16E2">
      <w:pPr>
        <w:spacing w:line="360" w:lineRule="auto"/>
        <w:jc w:val="both"/>
        <w:rPr>
          <w:rFonts w:ascii="Arial" w:hAnsi="Arial" w:cs="Arial"/>
        </w:rPr>
      </w:pPr>
      <w:r w:rsidRPr="003F2EC3">
        <w:rPr>
          <w:rFonts w:ascii="Arial" w:hAnsi="Arial" w:cs="Arial"/>
        </w:rPr>
        <w:t>Weight loss is intentional. Many worries about weight gain and misjudge their appearance. Many people lose weight by eating less, but others use excessive exercise, self-induced vomiting, and improper laxative use. Amenorrhea is common in anorexic women (ICD-10 Coded, 2023).</w:t>
      </w:r>
    </w:p>
    <w:p w14:paraId="59766B77" w14:textId="38890E6E" w:rsidR="00AC25DF" w:rsidRPr="002B1E00" w:rsidRDefault="003F2EC3" w:rsidP="004D16E2">
      <w:pPr>
        <w:spacing w:line="360" w:lineRule="auto"/>
        <w:jc w:val="both"/>
        <w:rPr>
          <w:rFonts w:ascii="Arial" w:hAnsi="Arial" w:cs="Arial"/>
        </w:rPr>
      </w:pPr>
      <w:r w:rsidRPr="003F2EC3">
        <w:rPr>
          <w:rFonts w:ascii="Arial" w:hAnsi="Arial" w:cs="Arial"/>
        </w:rPr>
        <w:t>ICD-10 diagnoses anorexia nervosa using this code and description. With the 2018 WHO publication of ICD-11, ICD-10 is mostly obsolete. The ICD-10 is still used in some regions and for specific purposes and is still a reliable resource for understanding and identifying medical conditions</w:t>
      </w:r>
      <w:r>
        <w:rPr>
          <w:rFonts w:ascii="Arial" w:hAnsi="Arial" w:cs="Arial"/>
        </w:rPr>
        <w:t xml:space="preserve"> </w:t>
      </w:r>
      <w:r w:rsidR="00AE648A" w:rsidRPr="002B1E00">
        <w:rPr>
          <w:rFonts w:ascii="Arial" w:hAnsi="Arial" w:cs="Arial"/>
        </w:rPr>
        <w:t>(ICD-10 Coded, 2023).</w:t>
      </w:r>
    </w:p>
    <w:p w14:paraId="2D60D693" w14:textId="7DA172C5" w:rsidR="00471C9C" w:rsidRPr="0012346D" w:rsidRDefault="00471C9C" w:rsidP="004D16E2">
      <w:pPr>
        <w:pStyle w:val="Heading1"/>
        <w:spacing w:line="360" w:lineRule="auto"/>
        <w:jc w:val="both"/>
        <w:rPr>
          <w:rFonts w:ascii="Arial" w:hAnsi="Arial" w:cs="Arial"/>
          <w:b/>
          <w:bCs/>
          <w:color w:val="auto"/>
          <w:sz w:val="22"/>
          <w:szCs w:val="22"/>
        </w:rPr>
      </w:pPr>
      <w:bookmarkStart w:id="2" w:name="_Toc149123973"/>
      <w:r w:rsidRPr="0012346D">
        <w:rPr>
          <w:rFonts w:ascii="Arial" w:hAnsi="Arial" w:cs="Arial"/>
          <w:b/>
          <w:bCs/>
          <w:color w:val="auto"/>
          <w:sz w:val="22"/>
          <w:szCs w:val="22"/>
        </w:rPr>
        <w:lastRenderedPageBreak/>
        <w:t>Data about</w:t>
      </w:r>
      <w:r w:rsidR="00D80B7E" w:rsidRPr="0012346D">
        <w:rPr>
          <w:rFonts w:ascii="Arial" w:hAnsi="Arial" w:cs="Arial"/>
          <w:b/>
          <w:bCs/>
          <w:color w:val="auto"/>
          <w:sz w:val="22"/>
          <w:szCs w:val="22"/>
        </w:rPr>
        <w:t xml:space="preserve"> Anorexia Nervosa</w:t>
      </w:r>
      <w:r w:rsidRPr="0012346D">
        <w:rPr>
          <w:rFonts w:ascii="Arial" w:hAnsi="Arial" w:cs="Arial"/>
          <w:b/>
          <w:bCs/>
          <w:color w:val="auto"/>
          <w:sz w:val="22"/>
          <w:szCs w:val="22"/>
        </w:rPr>
        <w:t xml:space="preserve"> Disorder in the UK</w:t>
      </w:r>
      <w:bookmarkEnd w:id="2"/>
      <w:r w:rsidRPr="0012346D">
        <w:rPr>
          <w:rFonts w:ascii="Arial" w:hAnsi="Arial" w:cs="Arial"/>
          <w:b/>
          <w:bCs/>
          <w:color w:val="auto"/>
          <w:sz w:val="22"/>
          <w:szCs w:val="22"/>
        </w:rPr>
        <w:t xml:space="preserve"> </w:t>
      </w:r>
    </w:p>
    <w:p w14:paraId="76D5DA1A" w14:textId="77777777" w:rsidR="00D83E80" w:rsidRDefault="00D80B7E" w:rsidP="004D16E2">
      <w:pPr>
        <w:spacing w:line="360" w:lineRule="auto"/>
        <w:jc w:val="both"/>
        <w:rPr>
          <w:rFonts w:ascii="Arial" w:hAnsi="Arial" w:cs="Arial"/>
        </w:rPr>
      </w:pPr>
      <w:r w:rsidRPr="00D80B7E">
        <w:rPr>
          <w:rFonts w:ascii="Arial" w:hAnsi="Arial" w:cs="Arial"/>
        </w:rPr>
        <w:t>About 1.25 million Brits have eating disorders, including anorexia. Young people, especially girls and women, are more likely to have anorexia. But it can affect anyone, regardless of age or gender</w:t>
      </w:r>
      <w:r w:rsidR="00D83E80">
        <w:rPr>
          <w:rFonts w:ascii="Arial" w:hAnsi="Arial" w:cs="Arial"/>
        </w:rPr>
        <w:t xml:space="preserve"> </w:t>
      </w:r>
      <w:r w:rsidR="009333A8" w:rsidRPr="009333A8">
        <w:rPr>
          <w:rFonts w:ascii="Arial" w:hAnsi="Arial" w:cs="Arial"/>
        </w:rPr>
        <w:t>(NICE, 2023)</w:t>
      </w:r>
      <w:r w:rsidR="00D83E80">
        <w:rPr>
          <w:rFonts w:ascii="Arial" w:hAnsi="Arial" w:cs="Arial"/>
        </w:rPr>
        <w:t>.</w:t>
      </w:r>
      <w:r w:rsidRPr="00D80B7E">
        <w:rPr>
          <w:rFonts w:ascii="Arial" w:hAnsi="Arial" w:cs="Arial"/>
        </w:rPr>
        <w:t xml:space="preserve"> </w:t>
      </w:r>
    </w:p>
    <w:p w14:paraId="6595C6C2" w14:textId="10A72227" w:rsidR="00D80B7E" w:rsidRPr="00D80B7E" w:rsidRDefault="00D80B7E" w:rsidP="004D16E2">
      <w:pPr>
        <w:spacing w:line="360" w:lineRule="auto"/>
        <w:jc w:val="both"/>
        <w:rPr>
          <w:rFonts w:ascii="Arial" w:hAnsi="Arial" w:cs="Arial"/>
        </w:rPr>
      </w:pPr>
      <w:r w:rsidRPr="00D80B7E">
        <w:rPr>
          <w:rFonts w:ascii="Arial" w:hAnsi="Arial" w:cs="Arial"/>
        </w:rPr>
        <w:t>NHS data shows that eating disorder hospitalisations, including anorexia nervosa, have increased over time. Admissions have risen significantly in recent years.</w:t>
      </w:r>
    </w:p>
    <w:p w14:paraId="06C23A6D" w14:textId="4562E396" w:rsidR="00471C9C" w:rsidRPr="00D80B7E" w:rsidRDefault="00D80B7E" w:rsidP="004D16E2">
      <w:pPr>
        <w:spacing w:line="360" w:lineRule="auto"/>
        <w:jc w:val="both"/>
        <w:rPr>
          <w:rFonts w:ascii="Arial" w:hAnsi="Arial" w:cs="Arial"/>
        </w:rPr>
      </w:pPr>
      <w:r w:rsidRPr="00D80B7E">
        <w:rPr>
          <w:rFonts w:ascii="Arial" w:hAnsi="Arial" w:cs="Arial"/>
        </w:rPr>
        <w:t>Anorexia has one of the highest mental illness mortality rates. Around 20% of UK anorexia nervosa patients die prematurely from their condition or complications, according to previous data.</w:t>
      </w:r>
      <w:r w:rsidR="009333A8" w:rsidRPr="009333A8">
        <w:t xml:space="preserve"> </w:t>
      </w:r>
      <w:r w:rsidR="009333A8" w:rsidRPr="009333A8">
        <w:rPr>
          <w:rFonts w:ascii="Arial" w:hAnsi="Arial" w:cs="Arial"/>
        </w:rPr>
        <w:t>(NICE, 2023)</w:t>
      </w:r>
    </w:p>
    <w:p w14:paraId="54252B28" w14:textId="2F58C202" w:rsidR="00471C9C" w:rsidRPr="002B1E00" w:rsidRDefault="00083AA3" w:rsidP="004D16E2">
      <w:pPr>
        <w:spacing w:line="360" w:lineRule="auto"/>
        <w:jc w:val="both"/>
        <w:rPr>
          <w:rFonts w:ascii="Arial" w:hAnsi="Arial" w:cs="Arial"/>
          <w:b/>
          <w:bCs/>
        </w:rPr>
      </w:pPr>
      <w:r w:rsidRPr="002B1E00">
        <w:rPr>
          <w:rFonts w:ascii="Arial" w:hAnsi="Arial" w:cs="Arial"/>
          <w:b/>
          <w:bCs/>
        </w:rPr>
        <w:t>Causes</w:t>
      </w:r>
    </w:p>
    <w:p w14:paraId="141D0DE5" w14:textId="6624B55F" w:rsidR="00A65CC5" w:rsidRPr="002B1E00" w:rsidRDefault="00A65CC5" w:rsidP="004D16E2">
      <w:pPr>
        <w:spacing w:line="360" w:lineRule="auto"/>
        <w:jc w:val="both"/>
        <w:rPr>
          <w:rFonts w:ascii="Arial" w:hAnsi="Arial" w:cs="Arial"/>
        </w:rPr>
      </w:pPr>
      <w:r w:rsidRPr="002B1E00">
        <w:rPr>
          <w:rFonts w:ascii="Arial" w:hAnsi="Arial" w:cs="Arial"/>
        </w:rPr>
        <w:t>Multifactorial anorexia nervosa is a complex mental illness. It is caused by genetic, environmental, psychological, and societal factors. Genetic, psychological, environmental, trauma and stress, neurobiological, dieting and weight loss, perfectionism, and co-occurring disorders are key risk factors for anorexia. Remember that anorexia nervosa is a severe mental illness with life-threatening physical and psychological effects</w:t>
      </w:r>
      <w:r w:rsidR="00940EFC" w:rsidRPr="002B1E00">
        <w:rPr>
          <w:rFonts w:ascii="Arial" w:hAnsi="Arial" w:cs="Arial"/>
        </w:rPr>
        <w:t xml:space="preserve"> (Pedersen, 2021).</w:t>
      </w:r>
    </w:p>
    <w:p w14:paraId="09EE92F7" w14:textId="30340A71" w:rsidR="00471C9C" w:rsidRPr="002B1E00" w:rsidRDefault="00083AA3" w:rsidP="004D16E2">
      <w:pPr>
        <w:spacing w:line="360" w:lineRule="auto"/>
        <w:jc w:val="both"/>
        <w:rPr>
          <w:rFonts w:ascii="Arial" w:hAnsi="Arial" w:cs="Arial"/>
          <w:b/>
          <w:bCs/>
        </w:rPr>
      </w:pPr>
      <w:r w:rsidRPr="002B1E00">
        <w:rPr>
          <w:rFonts w:ascii="Arial" w:hAnsi="Arial" w:cs="Arial"/>
          <w:b/>
          <w:bCs/>
        </w:rPr>
        <w:t>Symptoms/signs</w:t>
      </w:r>
    </w:p>
    <w:p w14:paraId="4EB00A8E" w14:textId="77777777" w:rsidR="00295DA0" w:rsidRPr="002B1E00" w:rsidRDefault="00295DA0" w:rsidP="004D16E2">
      <w:pPr>
        <w:spacing w:line="360" w:lineRule="auto"/>
        <w:jc w:val="both"/>
        <w:rPr>
          <w:rFonts w:ascii="Arial" w:hAnsi="Arial" w:cs="Arial"/>
        </w:rPr>
      </w:pPr>
      <w:r w:rsidRPr="002B1E00">
        <w:rPr>
          <w:rFonts w:ascii="Arial" w:hAnsi="Arial" w:cs="Arial"/>
        </w:rPr>
        <w:t>Common anorexia symptoms and behaviours include:</w:t>
      </w:r>
    </w:p>
    <w:p w14:paraId="5291D46F" w14:textId="77777777" w:rsidR="00295DA0" w:rsidRPr="002B1E00" w:rsidRDefault="00295DA0" w:rsidP="004D16E2">
      <w:pPr>
        <w:spacing w:line="360" w:lineRule="auto"/>
        <w:jc w:val="both"/>
        <w:rPr>
          <w:rFonts w:ascii="Arial" w:hAnsi="Arial" w:cs="Arial"/>
        </w:rPr>
      </w:pPr>
      <w:r w:rsidRPr="002B1E00">
        <w:rPr>
          <w:rFonts w:ascii="Arial" w:hAnsi="Arial" w:cs="Arial"/>
        </w:rPr>
        <w:t>Weight loss or inability to gain during growth.</w:t>
      </w:r>
    </w:p>
    <w:p w14:paraId="3F8F80EA" w14:textId="77777777" w:rsidR="00295DA0" w:rsidRPr="002B1E00" w:rsidRDefault="00295DA0" w:rsidP="004D16E2">
      <w:pPr>
        <w:spacing w:line="360" w:lineRule="auto"/>
        <w:jc w:val="both"/>
        <w:rPr>
          <w:rFonts w:ascii="Arial" w:hAnsi="Arial" w:cs="Arial"/>
        </w:rPr>
      </w:pPr>
      <w:r w:rsidRPr="002B1E00">
        <w:rPr>
          <w:rFonts w:ascii="Arial" w:hAnsi="Arial" w:cs="Arial"/>
        </w:rPr>
        <w:t>Obsession with weight, size, and shape.</w:t>
      </w:r>
    </w:p>
    <w:p w14:paraId="7F515BA2" w14:textId="77777777" w:rsidR="00295DA0" w:rsidRPr="002B1E00" w:rsidRDefault="00295DA0" w:rsidP="004D16E2">
      <w:pPr>
        <w:spacing w:line="360" w:lineRule="auto"/>
        <w:jc w:val="both"/>
        <w:rPr>
          <w:rFonts w:ascii="Arial" w:hAnsi="Arial" w:cs="Arial"/>
        </w:rPr>
      </w:pPr>
      <w:r w:rsidRPr="002B1E00">
        <w:rPr>
          <w:rFonts w:ascii="Arial" w:hAnsi="Arial" w:cs="Arial"/>
        </w:rPr>
        <w:t>An obsession with thinness through dieting, fasting, or exercise.</w:t>
      </w:r>
    </w:p>
    <w:p w14:paraId="6F3552C1" w14:textId="77777777" w:rsidR="00295DA0" w:rsidRPr="002B1E00" w:rsidRDefault="00295DA0" w:rsidP="004D16E2">
      <w:pPr>
        <w:spacing w:line="360" w:lineRule="auto"/>
        <w:jc w:val="both"/>
        <w:rPr>
          <w:rFonts w:ascii="Arial" w:hAnsi="Arial" w:cs="Arial"/>
        </w:rPr>
      </w:pPr>
      <w:r w:rsidRPr="002B1E00">
        <w:rPr>
          <w:rFonts w:ascii="Arial" w:hAnsi="Arial" w:cs="Arial"/>
        </w:rPr>
        <w:t>Food, calories, and nutrition obsession.</w:t>
      </w:r>
    </w:p>
    <w:p w14:paraId="6BB4AE85" w14:textId="77777777" w:rsidR="00295DA0" w:rsidRPr="002B1E00" w:rsidRDefault="00295DA0" w:rsidP="004D16E2">
      <w:pPr>
        <w:spacing w:line="360" w:lineRule="auto"/>
        <w:jc w:val="both"/>
        <w:rPr>
          <w:rFonts w:ascii="Arial" w:hAnsi="Arial" w:cs="Arial"/>
        </w:rPr>
      </w:pPr>
      <w:r w:rsidRPr="002B1E00">
        <w:rPr>
          <w:rFonts w:ascii="Arial" w:hAnsi="Arial" w:cs="Arial"/>
        </w:rPr>
        <w:t>Denial of low body weight or eating habits' health risks.</w:t>
      </w:r>
    </w:p>
    <w:p w14:paraId="0D9820A0" w14:textId="77777777" w:rsidR="00295DA0" w:rsidRPr="002B1E00" w:rsidRDefault="00295DA0" w:rsidP="004D16E2">
      <w:pPr>
        <w:spacing w:line="360" w:lineRule="auto"/>
        <w:jc w:val="both"/>
        <w:rPr>
          <w:rFonts w:ascii="Arial" w:hAnsi="Arial" w:cs="Arial"/>
        </w:rPr>
      </w:pPr>
      <w:r w:rsidRPr="002B1E00">
        <w:rPr>
          <w:rFonts w:ascii="Arial" w:hAnsi="Arial" w:cs="Arial"/>
        </w:rPr>
        <w:t>Believing they were overweight despite being underweight.</w:t>
      </w:r>
    </w:p>
    <w:p w14:paraId="20285ACA" w14:textId="77777777" w:rsidR="00295DA0" w:rsidRPr="002B1E00" w:rsidRDefault="00295DA0" w:rsidP="004D16E2">
      <w:pPr>
        <w:spacing w:line="360" w:lineRule="auto"/>
        <w:jc w:val="both"/>
        <w:rPr>
          <w:rFonts w:ascii="Arial" w:hAnsi="Arial" w:cs="Arial"/>
        </w:rPr>
      </w:pPr>
      <w:r w:rsidRPr="002B1E00">
        <w:rPr>
          <w:rFonts w:ascii="Arial" w:hAnsi="Arial" w:cs="Arial"/>
        </w:rPr>
        <w:t>Social isolation.</w:t>
      </w:r>
    </w:p>
    <w:p w14:paraId="472FC7DB" w14:textId="77777777" w:rsidR="00295DA0" w:rsidRPr="002B1E00" w:rsidRDefault="00295DA0" w:rsidP="004D16E2">
      <w:pPr>
        <w:spacing w:line="360" w:lineRule="auto"/>
        <w:jc w:val="both"/>
        <w:rPr>
          <w:rFonts w:ascii="Arial" w:hAnsi="Arial" w:cs="Arial"/>
        </w:rPr>
      </w:pPr>
      <w:r w:rsidRPr="002B1E00">
        <w:rPr>
          <w:rFonts w:ascii="Arial" w:hAnsi="Arial" w:cs="Arial"/>
        </w:rPr>
        <w:t>Absence of female menstruation.</w:t>
      </w:r>
    </w:p>
    <w:p w14:paraId="0F12F98C" w14:textId="77777777" w:rsidR="00295DA0" w:rsidRPr="002B1E00" w:rsidRDefault="00295DA0" w:rsidP="004D16E2">
      <w:pPr>
        <w:spacing w:line="360" w:lineRule="auto"/>
        <w:jc w:val="both"/>
        <w:rPr>
          <w:rFonts w:ascii="Arial" w:hAnsi="Arial" w:cs="Arial"/>
        </w:rPr>
      </w:pPr>
      <w:r w:rsidRPr="002B1E00">
        <w:rPr>
          <w:rFonts w:ascii="Arial" w:hAnsi="Arial" w:cs="Arial"/>
        </w:rPr>
        <w:t>Fatigue, dizziness, cold intolerance, brittle nails, and hair loss.</w:t>
      </w:r>
    </w:p>
    <w:p w14:paraId="7294572B" w14:textId="5B267A57" w:rsidR="00295DA0" w:rsidRPr="002B1E00" w:rsidRDefault="00295DA0" w:rsidP="004D16E2">
      <w:pPr>
        <w:spacing w:line="360" w:lineRule="auto"/>
        <w:jc w:val="both"/>
        <w:rPr>
          <w:rFonts w:ascii="Arial" w:hAnsi="Arial" w:cs="Arial"/>
        </w:rPr>
      </w:pPr>
      <w:r w:rsidRPr="002B1E00">
        <w:rPr>
          <w:rFonts w:ascii="Arial" w:hAnsi="Arial" w:cs="Arial"/>
        </w:rPr>
        <w:t xml:space="preserve">Mental health issues like depression, anxiety, irritability, and perfectionism. Malnutrition, electrolyte imbalances, cardiac issues, and organ damage can result from Anorexia. Medical, nutritional, and psychological interventions are often needed to treat this complex mental </w:t>
      </w:r>
      <w:r w:rsidRPr="002B1E00">
        <w:rPr>
          <w:rFonts w:ascii="Arial" w:hAnsi="Arial" w:cs="Arial"/>
        </w:rPr>
        <w:lastRenderedPageBreak/>
        <w:t>health disorder with physical and psychological components. Anorexia nervosa is severe and requires medical attention</w:t>
      </w:r>
      <w:r w:rsidR="00D30862">
        <w:rPr>
          <w:rFonts w:ascii="Arial" w:hAnsi="Arial" w:cs="Arial"/>
        </w:rPr>
        <w:t xml:space="preserve"> </w:t>
      </w:r>
      <w:r w:rsidR="00A316DF">
        <w:rPr>
          <w:rFonts w:ascii="Arial" w:hAnsi="Arial" w:cs="Arial"/>
        </w:rPr>
        <w:t>(</w:t>
      </w:r>
      <w:proofErr w:type="spellStart"/>
      <w:r w:rsidR="00B4672E" w:rsidRPr="002B1E00">
        <w:rPr>
          <w:rFonts w:ascii="Arial" w:hAnsi="Arial" w:cs="Arial"/>
        </w:rPr>
        <w:t>Rivia</w:t>
      </w:r>
      <w:proofErr w:type="spellEnd"/>
      <w:r w:rsidR="00B4672E" w:rsidRPr="002B1E00">
        <w:rPr>
          <w:rFonts w:ascii="Arial" w:hAnsi="Arial" w:cs="Arial"/>
        </w:rPr>
        <w:t xml:space="preserve"> Mind, 2023).</w:t>
      </w:r>
    </w:p>
    <w:p w14:paraId="662A2F64" w14:textId="77777777" w:rsidR="00B56378" w:rsidRDefault="00B56378" w:rsidP="004D16E2">
      <w:pPr>
        <w:spacing w:line="360" w:lineRule="auto"/>
        <w:jc w:val="both"/>
        <w:rPr>
          <w:rFonts w:ascii="Arial" w:hAnsi="Arial" w:cs="Arial"/>
          <w:b/>
          <w:bCs/>
        </w:rPr>
      </w:pPr>
    </w:p>
    <w:p w14:paraId="0394DEFC" w14:textId="77777777" w:rsidR="00B56378" w:rsidRDefault="00B56378" w:rsidP="004D16E2">
      <w:pPr>
        <w:spacing w:line="360" w:lineRule="auto"/>
        <w:jc w:val="both"/>
        <w:rPr>
          <w:rFonts w:ascii="Arial" w:hAnsi="Arial" w:cs="Arial"/>
          <w:b/>
          <w:bCs/>
        </w:rPr>
      </w:pPr>
    </w:p>
    <w:p w14:paraId="74988F27" w14:textId="7B68EE8F" w:rsidR="00083AA3" w:rsidRDefault="00083AA3" w:rsidP="004D16E2">
      <w:pPr>
        <w:spacing w:line="360" w:lineRule="auto"/>
        <w:jc w:val="both"/>
        <w:rPr>
          <w:rFonts w:ascii="Arial" w:hAnsi="Arial" w:cs="Arial"/>
          <w:b/>
          <w:bCs/>
        </w:rPr>
      </w:pPr>
      <w:r w:rsidRPr="002B1E00">
        <w:rPr>
          <w:rFonts w:ascii="Arial" w:hAnsi="Arial" w:cs="Arial"/>
          <w:b/>
          <w:bCs/>
        </w:rPr>
        <w:t>Diagnosis</w:t>
      </w:r>
    </w:p>
    <w:p w14:paraId="5DAE6001" w14:textId="4DE1492F" w:rsidR="00F46FD5" w:rsidRPr="00F46FD5" w:rsidRDefault="00F46FD5" w:rsidP="004D16E2">
      <w:pPr>
        <w:spacing w:line="360" w:lineRule="auto"/>
        <w:jc w:val="both"/>
        <w:rPr>
          <w:rFonts w:ascii="Arial" w:hAnsi="Arial" w:cs="Arial"/>
        </w:rPr>
      </w:pPr>
      <w:r w:rsidRPr="00F46FD5">
        <w:rPr>
          <w:rFonts w:ascii="Arial" w:hAnsi="Arial" w:cs="Arial"/>
        </w:rPr>
        <w:t>The diagnostic process for anorexia nervosa typically necessitates the cooperation of various healthcare practitioners, such as physicians, psychiatrists, and psychologists. The utilisation of a multidisciplinary approach aids in attaining a precise diagnosis and developing a suitable treatment regimen.</w:t>
      </w:r>
    </w:p>
    <w:p w14:paraId="67896ADD" w14:textId="67F9F03B" w:rsidR="00AF2B19" w:rsidRPr="0012346D" w:rsidRDefault="00083AA3" w:rsidP="004D16E2">
      <w:pPr>
        <w:pStyle w:val="Heading1"/>
        <w:spacing w:line="360" w:lineRule="auto"/>
        <w:jc w:val="both"/>
        <w:rPr>
          <w:rFonts w:ascii="Arial" w:hAnsi="Arial" w:cs="Arial"/>
          <w:b/>
          <w:bCs/>
          <w:color w:val="auto"/>
          <w:sz w:val="22"/>
          <w:szCs w:val="22"/>
        </w:rPr>
      </w:pPr>
      <w:bookmarkStart w:id="3" w:name="_Toc149123974"/>
      <w:r w:rsidRPr="0012346D">
        <w:rPr>
          <w:rFonts w:ascii="Arial" w:hAnsi="Arial" w:cs="Arial"/>
          <w:b/>
          <w:bCs/>
          <w:color w:val="auto"/>
          <w:sz w:val="22"/>
          <w:szCs w:val="22"/>
        </w:rPr>
        <w:t>Historical view and treatments for</w:t>
      </w:r>
      <w:r w:rsidR="0080545B" w:rsidRPr="0012346D">
        <w:rPr>
          <w:rFonts w:ascii="Arial" w:hAnsi="Arial" w:cs="Arial"/>
          <w:b/>
          <w:bCs/>
          <w:color w:val="auto"/>
          <w:sz w:val="22"/>
          <w:szCs w:val="22"/>
        </w:rPr>
        <w:t xml:space="preserve"> Anorexia nervosa</w:t>
      </w:r>
      <w:bookmarkEnd w:id="3"/>
      <w:r w:rsidR="00B56378">
        <w:rPr>
          <w:rFonts w:ascii="Arial" w:hAnsi="Arial" w:cs="Arial"/>
          <w:b/>
          <w:bCs/>
          <w:color w:val="auto"/>
          <w:sz w:val="22"/>
          <w:szCs w:val="22"/>
        </w:rPr>
        <w:t>.</w:t>
      </w:r>
    </w:p>
    <w:p w14:paraId="15328D52" w14:textId="7A2C5077" w:rsidR="00AF2B19" w:rsidRPr="00AF2B19" w:rsidRDefault="00083AA3" w:rsidP="004D16E2">
      <w:pPr>
        <w:spacing w:line="360" w:lineRule="auto"/>
        <w:jc w:val="both"/>
        <w:rPr>
          <w:rFonts w:ascii="Arial" w:hAnsi="Arial" w:cs="Arial"/>
        </w:rPr>
      </w:pPr>
      <w:r w:rsidRPr="00AF2B19">
        <w:rPr>
          <w:rFonts w:ascii="Arial" w:hAnsi="Arial" w:cs="Arial"/>
        </w:rPr>
        <w:t xml:space="preserve"> </w:t>
      </w:r>
      <w:r w:rsidR="00AF2B19" w:rsidRPr="00AF2B19">
        <w:rPr>
          <w:rFonts w:ascii="Arial" w:hAnsi="Arial" w:cs="Arial"/>
        </w:rPr>
        <w:t>Anorexia nervosa is a complex and severe eating disorder with a long history. Understanding and treatment have improved (Banner, 1988).</w:t>
      </w:r>
    </w:p>
    <w:p w14:paraId="4F644A0C" w14:textId="77777777" w:rsidR="00AF2B19" w:rsidRPr="00AF2B19" w:rsidRDefault="00AF2B19" w:rsidP="004D16E2">
      <w:pPr>
        <w:spacing w:line="360" w:lineRule="auto"/>
        <w:jc w:val="both"/>
        <w:rPr>
          <w:rFonts w:ascii="Arial" w:hAnsi="Arial" w:cs="Arial"/>
        </w:rPr>
      </w:pPr>
      <w:r w:rsidRPr="00AF2B19">
        <w:rPr>
          <w:rFonts w:ascii="Arial" w:hAnsi="Arial" w:cs="Arial"/>
        </w:rPr>
        <w:t xml:space="preserve"> The medical literature on anorexia nervosa was often misinterpreted for centuries. In 1689, Richard Morton said, "nervous consumption." Only in the 19th century was anorexia better understood. In the late 19th and early 20th centuries, anorexia was associated with hysteria and psychosomatic illness. Freud recognised anorexia as a mental illness in the 1960s and 1970s: Anorexia research prioritised family dynamics and social expectations over psychosomatics (Halmi, 2013).</w:t>
      </w:r>
    </w:p>
    <w:p w14:paraId="73BFC9C8" w14:textId="55797E3B" w:rsidR="00083AA3" w:rsidRPr="00AF2B19" w:rsidRDefault="00AF2B19" w:rsidP="004D16E2">
      <w:pPr>
        <w:spacing w:line="360" w:lineRule="auto"/>
        <w:jc w:val="both"/>
        <w:rPr>
          <w:rFonts w:ascii="Arial" w:hAnsi="Arial" w:cs="Arial"/>
        </w:rPr>
      </w:pPr>
      <w:r w:rsidRPr="00AF2B19">
        <w:rPr>
          <w:rFonts w:ascii="Arial" w:hAnsi="Arial" w:cs="Arial"/>
        </w:rPr>
        <w:t>Treatment: Forced feeding, Psychodynamic Therapy, CBT, FBT, Medication, Nutritional Rehabilitation.</w:t>
      </w:r>
    </w:p>
    <w:p w14:paraId="340A45AE" w14:textId="046152F0" w:rsidR="00083AA3" w:rsidRPr="002B1E00" w:rsidRDefault="00083AA3" w:rsidP="004D16E2">
      <w:pPr>
        <w:spacing w:line="360" w:lineRule="auto"/>
        <w:jc w:val="both"/>
        <w:rPr>
          <w:rFonts w:ascii="Arial" w:hAnsi="Arial" w:cs="Arial"/>
          <w:b/>
          <w:bCs/>
        </w:rPr>
      </w:pPr>
      <w:r w:rsidRPr="002B1E00">
        <w:rPr>
          <w:rFonts w:ascii="Arial" w:hAnsi="Arial" w:cs="Arial"/>
          <w:b/>
          <w:bCs/>
        </w:rPr>
        <w:t>Current treatments (NHS)</w:t>
      </w:r>
    </w:p>
    <w:p w14:paraId="0E1472F0" w14:textId="58575149" w:rsidR="004F7F9F" w:rsidRPr="002B1E00" w:rsidRDefault="00397E34" w:rsidP="004D16E2">
      <w:pPr>
        <w:spacing w:line="360" w:lineRule="auto"/>
        <w:jc w:val="both"/>
        <w:rPr>
          <w:rFonts w:ascii="Arial" w:hAnsi="Arial" w:cs="Arial"/>
          <w:b/>
          <w:bCs/>
        </w:rPr>
      </w:pPr>
      <w:r w:rsidRPr="002B1E00">
        <w:rPr>
          <w:rFonts w:ascii="Arial" w:hAnsi="Arial" w:cs="Arial"/>
        </w:rPr>
        <w:t xml:space="preserve"> </w:t>
      </w:r>
      <w:r w:rsidRPr="002B1E00">
        <w:rPr>
          <w:rFonts w:ascii="Arial" w:hAnsi="Arial" w:cs="Arial"/>
          <w:b/>
          <w:bCs/>
        </w:rPr>
        <w:t>Positives of NHS Treatments for Anorexia Nervosa</w:t>
      </w:r>
    </w:p>
    <w:p w14:paraId="3D742D70" w14:textId="297762B9" w:rsidR="00DB3F47" w:rsidRPr="002B1E00" w:rsidRDefault="00DB3F47" w:rsidP="004D16E2">
      <w:pPr>
        <w:spacing w:line="360" w:lineRule="auto"/>
        <w:jc w:val="both"/>
        <w:rPr>
          <w:rFonts w:ascii="Arial" w:hAnsi="Arial" w:cs="Arial"/>
          <w:b/>
          <w:bCs/>
          <w:color w:val="FF0000"/>
        </w:rPr>
      </w:pPr>
      <w:r w:rsidRPr="002B1E00">
        <w:rPr>
          <w:rFonts w:ascii="Arial" w:hAnsi="Arial" w:cs="Arial"/>
        </w:rPr>
        <w:t>Most UK residents can access NHS services for treatment without private insurance.</w:t>
      </w:r>
    </w:p>
    <w:p w14:paraId="2CFFF6CF" w14:textId="77777777" w:rsidR="00DB3F47" w:rsidRPr="002B1E00" w:rsidRDefault="00DB3F47" w:rsidP="004D16E2">
      <w:pPr>
        <w:spacing w:line="360" w:lineRule="auto"/>
        <w:jc w:val="both"/>
        <w:rPr>
          <w:rFonts w:ascii="Arial" w:hAnsi="Arial" w:cs="Arial"/>
        </w:rPr>
      </w:pPr>
      <w:r w:rsidRPr="002B1E00">
        <w:rPr>
          <w:rFonts w:ascii="Arial" w:hAnsi="Arial" w:cs="Arial"/>
        </w:rPr>
        <w:t>Anorexia nervosa is treated by NHS psychiatrists, psychologists, dietitians, and nurses. It addresses the disorder's physical, psychological, and nutritional aspects.</w:t>
      </w:r>
    </w:p>
    <w:p w14:paraId="339A8F6A" w14:textId="49B54DA1" w:rsidR="00DB3F47" w:rsidRPr="002B1E00" w:rsidRDefault="00DB3F47" w:rsidP="004D16E2">
      <w:pPr>
        <w:spacing w:line="360" w:lineRule="auto"/>
        <w:jc w:val="both"/>
        <w:rPr>
          <w:rFonts w:ascii="Arial" w:hAnsi="Arial" w:cs="Arial"/>
        </w:rPr>
      </w:pPr>
      <w:r w:rsidRPr="002B1E00">
        <w:rPr>
          <w:rFonts w:ascii="Arial" w:hAnsi="Arial" w:cs="Arial"/>
        </w:rPr>
        <w:t xml:space="preserve">Anorexia is treated by the NHS with evidence-based CBT and FBT. Clinical trials show these treatments </w:t>
      </w:r>
      <w:r w:rsidR="005F7F02" w:rsidRPr="002B1E00">
        <w:rPr>
          <w:rFonts w:ascii="Arial" w:hAnsi="Arial" w:cs="Arial"/>
        </w:rPr>
        <w:t>work. To</w:t>
      </w:r>
      <w:r w:rsidRPr="002B1E00">
        <w:rPr>
          <w:rFonts w:ascii="Arial" w:hAnsi="Arial" w:cs="Arial"/>
        </w:rPr>
        <w:t xml:space="preserve"> ensure proper care, patients can be treated inpatient or outpatient depending on severity.</w:t>
      </w:r>
      <w:r w:rsidR="005F7F02" w:rsidRPr="002B1E00">
        <w:rPr>
          <w:rFonts w:ascii="Arial" w:hAnsi="Arial" w:cs="Arial"/>
        </w:rPr>
        <w:t xml:space="preserve"> </w:t>
      </w:r>
      <w:r w:rsidRPr="002B1E00">
        <w:rPr>
          <w:rFonts w:ascii="Arial" w:hAnsi="Arial" w:cs="Arial"/>
        </w:rPr>
        <w:t>Supportive Environment</w:t>
      </w:r>
      <w:r w:rsidR="008A2448">
        <w:rPr>
          <w:rFonts w:ascii="Arial" w:hAnsi="Arial" w:cs="Arial"/>
        </w:rPr>
        <w:t xml:space="preserve">, </w:t>
      </w:r>
      <w:r w:rsidRPr="002B1E00">
        <w:rPr>
          <w:rFonts w:ascii="Arial" w:hAnsi="Arial" w:cs="Arial"/>
        </w:rPr>
        <w:t>NHS eating disorder clinics are safe and caring</w:t>
      </w:r>
      <w:r w:rsidR="003614B6" w:rsidRPr="002B1E00">
        <w:rPr>
          <w:rFonts w:ascii="Arial" w:hAnsi="Arial" w:cs="Arial"/>
        </w:rPr>
        <w:t xml:space="preserve"> (NHS, 2021).</w:t>
      </w:r>
    </w:p>
    <w:p w14:paraId="07BB0069" w14:textId="77777777" w:rsidR="003F2EC3" w:rsidRDefault="003F2EC3" w:rsidP="004D16E2">
      <w:pPr>
        <w:spacing w:line="360" w:lineRule="auto"/>
        <w:jc w:val="both"/>
        <w:rPr>
          <w:rFonts w:ascii="Arial" w:hAnsi="Arial" w:cs="Arial"/>
          <w:b/>
          <w:bCs/>
        </w:rPr>
      </w:pPr>
    </w:p>
    <w:p w14:paraId="31007A6A" w14:textId="77777777" w:rsidR="004A04C1" w:rsidRDefault="004A04C1" w:rsidP="004D16E2">
      <w:pPr>
        <w:spacing w:line="360" w:lineRule="auto"/>
        <w:jc w:val="both"/>
        <w:rPr>
          <w:rFonts w:ascii="Arial" w:hAnsi="Arial" w:cs="Arial"/>
          <w:b/>
          <w:bCs/>
        </w:rPr>
      </w:pPr>
    </w:p>
    <w:p w14:paraId="286072CA" w14:textId="23C3FE53" w:rsidR="0078369D" w:rsidRPr="002B1E00" w:rsidRDefault="0078369D" w:rsidP="004D16E2">
      <w:pPr>
        <w:spacing w:line="360" w:lineRule="auto"/>
        <w:jc w:val="both"/>
        <w:rPr>
          <w:rFonts w:ascii="Arial" w:hAnsi="Arial" w:cs="Arial"/>
          <w:b/>
          <w:bCs/>
        </w:rPr>
      </w:pPr>
      <w:r w:rsidRPr="002B1E00">
        <w:rPr>
          <w:rFonts w:ascii="Arial" w:hAnsi="Arial" w:cs="Arial"/>
          <w:b/>
          <w:bCs/>
        </w:rPr>
        <w:lastRenderedPageBreak/>
        <w:t>Negatives of NHS Treatments for Anorexia Nervosa</w:t>
      </w:r>
    </w:p>
    <w:p w14:paraId="456D1103" w14:textId="77777777" w:rsidR="003230B3" w:rsidRPr="002B1E00" w:rsidRDefault="003230B3" w:rsidP="004D16E2">
      <w:pPr>
        <w:spacing w:line="360" w:lineRule="auto"/>
        <w:jc w:val="both"/>
        <w:rPr>
          <w:rFonts w:ascii="Arial" w:hAnsi="Arial" w:cs="Arial"/>
        </w:rPr>
      </w:pPr>
      <w:r w:rsidRPr="002B1E00">
        <w:rPr>
          <w:rFonts w:ascii="Arial" w:hAnsi="Arial" w:cs="Arial"/>
        </w:rPr>
        <w:t>High demand and resource constraints can cause long wait times for specialised anorexia treatment. Patients needing immediate care may suffer.</w:t>
      </w:r>
    </w:p>
    <w:p w14:paraId="04327FED" w14:textId="77777777" w:rsidR="003230B3" w:rsidRPr="002B1E00" w:rsidRDefault="003230B3" w:rsidP="004D16E2">
      <w:pPr>
        <w:spacing w:line="360" w:lineRule="auto"/>
        <w:jc w:val="both"/>
        <w:rPr>
          <w:rFonts w:ascii="Arial" w:hAnsi="Arial" w:cs="Arial"/>
        </w:rPr>
      </w:pPr>
      <w:r w:rsidRPr="002B1E00">
        <w:rPr>
          <w:rFonts w:ascii="Arial" w:hAnsi="Arial" w:cs="Arial"/>
        </w:rPr>
        <w:t>Limited Specialised Centres: Patients must travel far for eating disorder treatment in some regions.</w:t>
      </w:r>
    </w:p>
    <w:p w14:paraId="206266CA" w14:textId="77777777" w:rsidR="003230B3" w:rsidRPr="002B1E00" w:rsidRDefault="003230B3" w:rsidP="004D16E2">
      <w:pPr>
        <w:spacing w:line="360" w:lineRule="auto"/>
        <w:jc w:val="both"/>
        <w:rPr>
          <w:rFonts w:ascii="Arial" w:hAnsi="Arial" w:cs="Arial"/>
        </w:rPr>
      </w:pPr>
      <w:r w:rsidRPr="002B1E00">
        <w:rPr>
          <w:rFonts w:ascii="Arial" w:hAnsi="Arial" w:cs="Arial"/>
        </w:rPr>
        <w:t>Some severe anorexia nervosa patients need residential or day patient programmes, but NHS budgets may limit them.</w:t>
      </w:r>
    </w:p>
    <w:p w14:paraId="7A0E15FE" w14:textId="77777777" w:rsidR="003230B3" w:rsidRPr="002B1E00" w:rsidRDefault="003230B3" w:rsidP="004D16E2">
      <w:pPr>
        <w:spacing w:line="360" w:lineRule="auto"/>
        <w:jc w:val="both"/>
        <w:rPr>
          <w:rFonts w:ascii="Arial" w:hAnsi="Arial" w:cs="Arial"/>
        </w:rPr>
      </w:pPr>
      <w:r w:rsidRPr="002B1E00">
        <w:rPr>
          <w:rFonts w:ascii="Arial" w:hAnsi="Arial" w:cs="Arial"/>
        </w:rPr>
        <w:t>Mental health issues, including eating disorders, are stigmatised, making NHS treatment difficult.</w:t>
      </w:r>
    </w:p>
    <w:p w14:paraId="1941E276" w14:textId="062995DB" w:rsidR="003230B3" w:rsidRPr="002B1E00" w:rsidRDefault="003230B3" w:rsidP="004D16E2">
      <w:pPr>
        <w:spacing w:line="360" w:lineRule="auto"/>
        <w:jc w:val="both"/>
        <w:rPr>
          <w:rFonts w:ascii="Arial" w:hAnsi="Arial" w:cs="Arial"/>
        </w:rPr>
      </w:pPr>
      <w:r w:rsidRPr="002B1E00">
        <w:rPr>
          <w:rFonts w:ascii="Arial" w:hAnsi="Arial" w:cs="Arial"/>
        </w:rPr>
        <w:t>The quality of care and treatment for anorexia nervosa can vary across NHS trusts and facilities</w:t>
      </w:r>
      <w:r w:rsidR="00FC45C2" w:rsidRPr="002B1E00">
        <w:rPr>
          <w:rFonts w:ascii="Arial" w:hAnsi="Arial" w:cs="Arial"/>
        </w:rPr>
        <w:t xml:space="preserve"> </w:t>
      </w:r>
      <w:r w:rsidR="002B1E00" w:rsidRPr="002B1E00">
        <w:rPr>
          <w:rFonts w:ascii="Arial" w:hAnsi="Arial" w:cs="Arial"/>
        </w:rPr>
        <w:t>(</w:t>
      </w:r>
      <w:r w:rsidR="00FC45C2" w:rsidRPr="002B1E00">
        <w:rPr>
          <w:rFonts w:ascii="Arial" w:hAnsi="Arial" w:cs="Arial"/>
        </w:rPr>
        <w:t>NHS</w:t>
      </w:r>
      <w:r w:rsidR="002B1E00" w:rsidRPr="002B1E00">
        <w:rPr>
          <w:rFonts w:ascii="Arial" w:hAnsi="Arial" w:cs="Arial"/>
        </w:rPr>
        <w:t>,</w:t>
      </w:r>
      <w:r w:rsidR="00FC45C2" w:rsidRPr="002B1E00">
        <w:rPr>
          <w:rFonts w:ascii="Arial" w:hAnsi="Arial" w:cs="Arial"/>
        </w:rPr>
        <w:t xml:space="preserve"> 2021). </w:t>
      </w:r>
    </w:p>
    <w:p w14:paraId="17F5A708" w14:textId="2878E5C2" w:rsidR="00083AA3" w:rsidRPr="005315FE" w:rsidRDefault="00083AA3" w:rsidP="004D16E2">
      <w:pPr>
        <w:pStyle w:val="Heading1"/>
        <w:spacing w:line="360" w:lineRule="auto"/>
        <w:jc w:val="both"/>
        <w:rPr>
          <w:b/>
          <w:bCs/>
          <w:color w:val="auto"/>
        </w:rPr>
      </w:pPr>
      <w:bookmarkStart w:id="4" w:name="_Toc149123975"/>
      <w:r w:rsidRPr="004D16E2">
        <w:rPr>
          <w:rFonts w:ascii="Arial" w:hAnsi="Arial" w:cs="Arial"/>
          <w:b/>
          <w:bCs/>
          <w:color w:val="auto"/>
          <w:sz w:val="22"/>
          <w:szCs w:val="22"/>
        </w:rPr>
        <w:t>Principles when working with people with</w:t>
      </w:r>
      <w:r w:rsidR="005315FE" w:rsidRPr="004D16E2">
        <w:rPr>
          <w:rFonts w:ascii="Arial" w:hAnsi="Arial" w:cs="Arial"/>
          <w:b/>
          <w:bCs/>
          <w:color w:val="auto"/>
          <w:sz w:val="22"/>
          <w:szCs w:val="22"/>
        </w:rPr>
        <w:t xml:space="preserve"> Anorexia </w:t>
      </w:r>
      <w:r w:rsidR="004D16E2" w:rsidRPr="004D16E2">
        <w:rPr>
          <w:rFonts w:ascii="Arial" w:hAnsi="Arial" w:cs="Arial"/>
          <w:b/>
          <w:bCs/>
          <w:color w:val="auto"/>
          <w:sz w:val="22"/>
          <w:szCs w:val="22"/>
        </w:rPr>
        <w:t>nervosa</w:t>
      </w:r>
      <w:r w:rsidR="004D16E2">
        <w:rPr>
          <w:b/>
          <w:bCs/>
          <w:color w:val="auto"/>
        </w:rPr>
        <w:t>.</w:t>
      </w:r>
      <w:bookmarkEnd w:id="4"/>
    </w:p>
    <w:p w14:paraId="1F1B27BF" w14:textId="77777777" w:rsidR="00275F1E" w:rsidRPr="00275F1E" w:rsidRDefault="00275F1E" w:rsidP="004D16E2">
      <w:pPr>
        <w:spacing w:line="360" w:lineRule="auto"/>
        <w:jc w:val="both"/>
        <w:rPr>
          <w:rFonts w:ascii="Arial" w:hAnsi="Arial" w:cs="Arial"/>
        </w:rPr>
      </w:pPr>
      <w:r w:rsidRPr="00275F1E">
        <w:rPr>
          <w:rFonts w:ascii="Arial" w:hAnsi="Arial" w:cs="Arial"/>
        </w:rPr>
        <w:t xml:space="preserve">Treating young adults with anorexia requires sensitivity and evidence-based practices. </w:t>
      </w:r>
    </w:p>
    <w:p w14:paraId="6FD09BC2" w14:textId="77777777" w:rsidR="00275F1E" w:rsidRPr="00275F1E" w:rsidRDefault="00275F1E" w:rsidP="004D16E2">
      <w:pPr>
        <w:spacing w:line="360" w:lineRule="auto"/>
        <w:jc w:val="both"/>
        <w:rPr>
          <w:rFonts w:ascii="Arial" w:hAnsi="Arial" w:cs="Arial"/>
        </w:rPr>
      </w:pPr>
      <w:r w:rsidRPr="00275F1E">
        <w:rPr>
          <w:rFonts w:ascii="Arial" w:hAnsi="Arial" w:cs="Arial"/>
        </w:rPr>
        <w:t xml:space="preserve">Early Treatment: Anorexia treatment requires early intervention. Early diagnosis and treatment improve prognosis (Treasure et al., 2015). </w:t>
      </w:r>
    </w:p>
    <w:p w14:paraId="30F4455B" w14:textId="77777777" w:rsidR="00275F1E" w:rsidRPr="00275F1E" w:rsidRDefault="00275F1E" w:rsidP="004D16E2">
      <w:pPr>
        <w:spacing w:line="360" w:lineRule="auto"/>
        <w:jc w:val="both"/>
        <w:rPr>
          <w:rFonts w:ascii="Arial" w:hAnsi="Arial" w:cs="Arial"/>
        </w:rPr>
      </w:pPr>
      <w:r w:rsidRPr="00275F1E">
        <w:rPr>
          <w:rFonts w:ascii="Arial" w:hAnsi="Arial" w:cs="Arial"/>
        </w:rPr>
        <w:t xml:space="preserve">A treatment team should include therapists, dietitians, doctors, and psychiatrists. Professional collaboration improves results. </w:t>
      </w:r>
    </w:p>
    <w:p w14:paraId="261592D8" w14:textId="77777777" w:rsidR="00275F1E" w:rsidRPr="00275F1E" w:rsidRDefault="00275F1E" w:rsidP="004D16E2">
      <w:pPr>
        <w:spacing w:line="360" w:lineRule="auto"/>
        <w:jc w:val="both"/>
        <w:rPr>
          <w:rFonts w:ascii="Arial" w:hAnsi="Arial" w:cs="Arial"/>
        </w:rPr>
      </w:pPr>
      <w:r w:rsidRPr="00275F1E">
        <w:rPr>
          <w:rFonts w:ascii="Arial" w:hAnsi="Arial" w:cs="Arial"/>
        </w:rPr>
        <w:t>Individualised Care: AN symptoms and causes vary, so treat each patient individually (Eddy et al., 2020).</w:t>
      </w:r>
    </w:p>
    <w:p w14:paraId="24AF39B1" w14:textId="77777777" w:rsidR="00275F1E" w:rsidRPr="00275F1E" w:rsidRDefault="00275F1E" w:rsidP="004D16E2">
      <w:pPr>
        <w:spacing w:line="360" w:lineRule="auto"/>
        <w:jc w:val="both"/>
        <w:rPr>
          <w:rFonts w:ascii="Arial" w:hAnsi="Arial" w:cs="Arial"/>
        </w:rPr>
      </w:pPr>
      <w:r w:rsidRPr="00275F1E">
        <w:rPr>
          <w:rFonts w:ascii="Arial" w:hAnsi="Arial" w:cs="Arial"/>
        </w:rPr>
        <w:t>Building a therapeutic relationship requires empathy. Young adults with AN who feel shame and fear need nonjudgment (</w:t>
      </w:r>
      <w:proofErr w:type="spellStart"/>
      <w:r w:rsidRPr="00275F1E">
        <w:rPr>
          <w:rFonts w:ascii="Arial" w:hAnsi="Arial" w:cs="Arial"/>
        </w:rPr>
        <w:t>Linardon</w:t>
      </w:r>
      <w:proofErr w:type="spellEnd"/>
      <w:r w:rsidRPr="00275F1E">
        <w:rPr>
          <w:rFonts w:ascii="Arial" w:hAnsi="Arial" w:cs="Arial"/>
        </w:rPr>
        <w:t xml:space="preserve"> et al., 2018).</w:t>
      </w:r>
    </w:p>
    <w:p w14:paraId="7145113E" w14:textId="77777777" w:rsidR="00275F1E" w:rsidRPr="00275F1E" w:rsidRDefault="00275F1E" w:rsidP="004D16E2">
      <w:pPr>
        <w:spacing w:line="360" w:lineRule="auto"/>
        <w:jc w:val="both"/>
        <w:rPr>
          <w:rFonts w:ascii="Arial" w:hAnsi="Arial" w:cs="Arial"/>
        </w:rPr>
      </w:pPr>
      <w:r w:rsidRPr="00275F1E">
        <w:rPr>
          <w:rFonts w:ascii="Arial" w:hAnsi="Arial" w:cs="Arial"/>
        </w:rPr>
        <w:t xml:space="preserve">CBT: Improve Young adult CBT for AN is well-supported (Fairburn et al., 2015). </w:t>
      </w:r>
    </w:p>
    <w:p w14:paraId="7F36D936" w14:textId="01B35E7B" w:rsidR="009B4656" w:rsidRPr="002B1E00" w:rsidRDefault="00275F1E" w:rsidP="004D16E2">
      <w:pPr>
        <w:spacing w:line="360" w:lineRule="auto"/>
        <w:jc w:val="both"/>
        <w:rPr>
          <w:rFonts w:ascii="Arial" w:hAnsi="Arial" w:cs="Arial"/>
        </w:rPr>
      </w:pPr>
      <w:r w:rsidRPr="00275F1E">
        <w:rPr>
          <w:rFonts w:ascii="Arial" w:hAnsi="Arial" w:cs="Arial"/>
        </w:rPr>
        <w:t>Family-Based Treatment (FBT): Evidence-based FBT involves the family, especially for teens and young adults.</w:t>
      </w:r>
      <w:r w:rsidR="009B4656" w:rsidRPr="002B1E00">
        <w:rPr>
          <w:rFonts w:ascii="Arial" w:hAnsi="Arial" w:cs="Arial"/>
        </w:rPr>
        <w:t xml:space="preserve"> (Lock et al., 2001).</w:t>
      </w:r>
    </w:p>
    <w:p w14:paraId="441D34C1" w14:textId="0E548F0F" w:rsidR="00D8198D" w:rsidRPr="005315FE" w:rsidRDefault="00D8198D" w:rsidP="004D16E2">
      <w:pPr>
        <w:pStyle w:val="Heading1"/>
        <w:spacing w:line="360" w:lineRule="auto"/>
        <w:jc w:val="both"/>
        <w:rPr>
          <w:b/>
          <w:bCs/>
          <w:color w:val="auto"/>
        </w:rPr>
      </w:pPr>
      <w:bookmarkStart w:id="5" w:name="_Toc149123976"/>
      <w:r w:rsidRPr="004D16E2">
        <w:rPr>
          <w:rFonts w:ascii="Arial" w:hAnsi="Arial" w:cs="Arial"/>
          <w:b/>
          <w:bCs/>
          <w:color w:val="auto"/>
          <w:sz w:val="22"/>
          <w:szCs w:val="22"/>
        </w:rPr>
        <w:t xml:space="preserve">Discuss the issues in provision, professional </w:t>
      </w:r>
      <w:r w:rsidR="005315FE" w:rsidRPr="004D16E2">
        <w:rPr>
          <w:rFonts w:ascii="Arial" w:hAnsi="Arial" w:cs="Arial"/>
          <w:b/>
          <w:bCs/>
          <w:color w:val="auto"/>
          <w:sz w:val="22"/>
          <w:szCs w:val="22"/>
        </w:rPr>
        <w:t>support,</w:t>
      </w:r>
      <w:r w:rsidRPr="004D16E2">
        <w:rPr>
          <w:rFonts w:ascii="Arial" w:hAnsi="Arial" w:cs="Arial"/>
          <w:b/>
          <w:bCs/>
          <w:color w:val="auto"/>
          <w:sz w:val="22"/>
          <w:szCs w:val="22"/>
        </w:rPr>
        <w:t xml:space="preserve"> or policy about the selected mental health issue</w:t>
      </w:r>
      <w:r w:rsidRPr="005315FE">
        <w:rPr>
          <w:b/>
          <w:bCs/>
          <w:color w:val="auto"/>
        </w:rPr>
        <w:t>.</w:t>
      </w:r>
      <w:bookmarkEnd w:id="5"/>
    </w:p>
    <w:p w14:paraId="006FA407" w14:textId="309BC7A5" w:rsidR="00D8198D" w:rsidRPr="002B1E00" w:rsidRDefault="0086791D" w:rsidP="004D16E2">
      <w:pPr>
        <w:spacing w:line="360" w:lineRule="auto"/>
        <w:jc w:val="both"/>
        <w:rPr>
          <w:rFonts w:ascii="Arial" w:hAnsi="Arial" w:cs="Arial"/>
        </w:rPr>
      </w:pPr>
      <w:r w:rsidRPr="002B1E00">
        <w:rPr>
          <w:rFonts w:ascii="Arial" w:hAnsi="Arial" w:cs="Arial"/>
        </w:rPr>
        <w:t>Anorexia nervosa treatment requires healthcare professionals, policies, and support systems. Care, professional support, and policies for anorexia nervosa patients have several issues:</w:t>
      </w:r>
    </w:p>
    <w:p w14:paraId="232152EC" w14:textId="7EA257D0" w:rsidR="00083AA3" w:rsidRPr="002B1E00" w:rsidRDefault="00685E3F" w:rsidP="004D16E2">
      <w:pPr>
        <w:spacing w:line="360" w:lineRule="auto"/>
        <w:jc w:val="both"/>
        <w:rPr>
          <w:rFonts w:ascii="Arial" w:hAnsi="Arial" w:cs="Arial"/>
        </w:rPr>
      </w:pPr>
      <w:r w:rsidRPr="002B1E00">
        <w:rPr>
          <w:rFonts w:ascii="Arial" w:hAnsi="Arial" w:cs="Arial"/>
          <w:b/>
          <w:bCs/>
        </w:rPr>
        <w:lastRenderedPageBreak/>
        <w:t>Stigma and Misunderstanding</w:t>
      </w:r>
      <w:r w:rsidRPr="002B1E00">
        <w:rPr>
          <w:rFonts w:ascii="Arial" w:hAnsi="Arial" w:cs="Arial"/>
        </w:rPr>
        <w:t>: Sometimes mistaken for a lifestyle choice, anorexia nervosa is stigmatised. This stigma can deter people from seeking help and lower care quality.</w:t>
      </w:r>
    </w:p>
    <w:p w14:paraId="3A65B239" w14:textId="0D183226" w:rsidR="00BB2B4F" w:rsidRPr="002B1E00" w:rsidRDefault="00BB2B4F" w:rsidP="004D16E2">
      <w:pPr>
        <w:spacing w:line="360" w:lineRule="auto"/>
        <w:jc w:val="both"/>
        <w:rPr>
          <w:rFonts w:ascii="Arial" w:hAnsi="Arial" w:cs="Arial"/>
        </w:rPr>
      </w:pPr>
      <w:r w:rsidRPr="002B1E00">
        <w:rPr>
          <w:rFonts w:ascii="Arial" w:hAnsi="Arial" w:cs="Arial"/>
          <w:b/>
          <w:bCs/>
        </w:rPr>
        <w:t>Care Access Limitations</w:t>
      </w:r>
      <w:r w:rsidRPr="002B1E00">
        <w:rPr>
          <w:rFonts w:ascii="Arial" w:hAnsi="Arial" w:cs="Arial"/>
        </w:rPr>
        <w:t>:</w:t>
      </w:r>
      <w:r w:rsidR="0000321F" w:rsidRPr="002B1E00">
        <w:rPr>
          <w:rFonts w:ascii="Arial" w:hAnsi="Arial" w:cs="Arial"/>
        </w:rPr>
        <w:t xml:space="preserve"> </w:t>
      </w:r>
      <w:r w:rsidRPr="002B1E00">
        <w:rPr>
          <w:rFonts w:ascii="Arial" w:hAnsi="Arial" w:cs="Arial"/>
        </w:rPr>
        <w:t>Limited availability of specialised services, long waiting lists, and high costs prevent many anorexia nervosa patients from receiving treatment. Life-threatening delays or inadequate care can result.</w:t>
      </w:r>
    </w:p>
    <w:p w14:paraId="1CDEC3A7" w14:textId="65E3C0BB" w:rsidR="0000321F" w:rsidRPr="002B1E00" w:rsidRDefault="0000321F" w:rsidP="004D16E2">
      <w:pPr>
        <w:spacing w:line="360" w:lineRule="auto"/>
        <w:jc w:val="both"/>
        <w:rPr>
          <w:rFonts w:ascii="Arial" w:hAnsi="Arial" w:cs="Arial"/>
        </w:rPr>
      </w:pPr>
      <w:r w:rsidRPr="002B1E00">
        <w:rPr>
          <w:rFonts w:ascii="Arial" w:hAnsi="Arial" w:cs="Arial"/>
          <w:b/>
          <w:bCs/>
        </w:rPr>
        <w:t>No Early Intervention</w:t>
      </w:r>
      <w:r w:rsidRPr="002B1E00">
        <w:rPr>
          <w:rFonts w:ascii="Arial" w:hAnsi="Arial" w:cs="Arial"/>
        </w:rPr>
        <w:t>:</w:t>
      </w:r>
      <w:r w:rsidR="00D60BC3" w:rsidRPr="002B1E00">
        <w:rPr>
          <w:rFonts w:ascii="Arial" w:hAnsi="Arial" w:cs="Arial"/>
        </w:rPr>
        <w:t xml:space="preserve"> </w:t>
      </w:r>
      <w:r w:rsidRPr="002B1E00">
        <w:rPr>
          <w:rFonts w:ascii="Arial" w:hAnsi="Arial" w:cs="Arial"/>
        </w:rPr>
        <w:t>Early intervention is essential for treating anorexia, but it's often lacking. Healthcare professionals may not be trained to detect and treat the disorder early.</w:t>
      </w:r>
    </w:p>
    <w:p w14:paraId="70922ADF" w14:textId="71A61704" w:rsidR="00D60BC3" w:rsidRPr="002B1E00" w:rsidRDefault="00D60BC3" w:rsidP="004D16E2">
      <w:pPr>
        <w:spacing w:line="360" w:lineRule="auto"/>
        <w:jc w:val="both"/>
        <w:rPr>
          <w:rFonts w:ascii="Arial" w:hAnsi="Arial" w:cs="Arial"/>
        </w:rPr>
      </w:pPr>
      <w:r w:rsidRPr="002B1E00">
        <w:rPr>
          <w:rFonts w:ascii="Arial" w:hAnsi="Arial" w:cs="Arial"/>
          <w:b/>
          <w:bCs/>
        </w:rPr>
        <w:t>Poor Healthcare Professional Training</w:t>
      </w:r>
      <w:r w:rsidRPr="002B1E00">
        <w:rPr>
          <w:rFonts w:ascii="Arial" w:hAnsi="Arial" w:cs="Arial"/>
        </w:rPr>
        <w:t>: Primary care physicians and therapists may not be trained to diagnose and treat anorexia nervosa. Misdiagnosis and treatment can result.</w:t>
      </w:r>
    </w:p>
    <w:p w14:paraId="4E09C988" w14:textId="7DCF2EE2" w:rsidR="006150B2" w:rsidRPr="002B1E00" w:rsidRDefault="006150B2" w:rsidP="004D16E2">
      <w:pPr>
        <w:spacing w:line="360" w:lineRule="auto"/>
        <w:jc w:val="both"/>
        <w:rPr>
          <w:rFonts w:ascii="Arial" w:hAnsi="Arial" w:cs="Arial"/>
        </w:rPr>
      </w:pPr>
      <w:r w:rsidRPr="002B1E00">
        <w:rPr>
          <w:rFonts w:ascii="Arial" w:hAnsi="Arial" w:cs="Arial"/>
          <w:b/>
          <w:bCs/>
        </w:rPr>
        <w:t>Coordinated Care</w:t>
      </w:r>
      <w:r w:rsidRPr="002B1E00">
        <w:rPr>
          <w:rFonts w:ascii="Arial" w:hAnsi="Arial" w:cs="Arial"/>
        </w:rPr>
        <w:t>: Anorexia nervosa requires multidisciplinary medical, nutritional, and psychological treatment, so coordinated care is essential. However, poor coordination can fragment care.</w:t>
      </w:r>
    </w:p>
    <w:p w14:paraId="279ACB04" w14:textId="77777777" w:rsidR="001F3BDE" w:rsidRPr="002B1E00" w:rsidRDefault="001F3BDE" w:rsidP="004D16E2">
      <w:pPr>
        <w:spacing w:line="360" w:lineRule="auto"/>
        <w:jc w:val="both"/>
        <w:rPr>
          <w:rFonts w:ascii="Arial" w:hAnsi="Arial" w:cs="Arial"/>
        </w:rPr>
      </w:pPr>
      <w:r w:rsidRPr="002B1E00">
        <w:rPr>
          <w:rFonts w:ascii="Arial" w:hAnsi="Arial" w:cs="Arial"/>
          <w:b/>
          <w:bCs/>
        </w:rPr>
        <w:t>Support for Families and Carers:</w:t>
      </w:r>
      <w:r w:rsidRPr="002B1E00">
        <w:rPr>
          <w:rFonts w:ascii="Arial" w:hAnsi="Arial" w:cs="Arial"/>
        </w:rPr>
        <w:t xml:space="preserve"> Anorexia nervosa families and carers need more help. Caring for someone with this condition can be emotionally and physically draining, and they may need support.</w:t>
      </w:r>
    </w:p>
    <w:p w14:paraId="31BE37D8" w14:textId="24725AC6" w:rsidR="00083AA3" w:rsidRPr="004D16E2" w:rsidRDefault="00083AA3" w:rsidP="004D16E2">
      <w:pPr>
        <w:pStyle w:val="Heading1"/>
        <w:spacing w:line="360" w:lineRule="auto"/>
        <w:jc w:val="both"/>
        <w:rPr>
          <w:rFonts w:ascii="Arial" w:hAnsi="Arial" w:cs="Arial"/>
          <w:b/>
          <w:bCs/>
          <w:color w:val="auto"/>
          <w:sz w:val="22"/>
          <w:szCs w:val="22"/>
        </w:rPr>
      </w:pPr>
      <w:bookmarkStart w:id="6" w:name="_Toc149123977"/>
      <w:r w:rsidRPr="004D16E2">
        <w:rPr>
          <w:rFonts w:ascii="Arial" w:hAnsi="Arial" w:cs="Arial"/>
          <w:b/>
          <w:bCs/>
          <w:color w:val="auto"/>
          <w:sz w:val="22"/>
          <w:szCs w:val="22"/>
        </w:rPr>
        <w:t>Recommendations for the improvement of the symptoms</w:t>
      </w:r>
      <w:bookmarkEnd w:id="6"/>
      <w:r w:rsidRPr="004D16E2">
        <w:rPr>
          <w:rFonts w:ascii="Arial" w:hAnsi="Arial" w:cs="Arial"/>
          <w:b/>
          <w:bCs/>
          <w:color w:val="auto"/>
          <w:sz w:val="22"/>
          <w:szCs w:val="22"/>
        </w:rPr>
        <w:t xml:space="preserve"> </w:t>
      </w:r>
    </w:p>
    <w:p w14:paraId="7BC0CA15" w14:textId="765BD964" w:rsidR="00CA3DAE" w:rsidRPr="00CA3DAE" w:rsidRDefault="00CA3DAE" w:rsidP="004D16E2">
      <w:pPr>
        <w:spacing w:line="360" w:lineRule="auto"/>
        <w:jc w:val="both"/>
        <w:rPr>
          <w:rFonts w:ascii="Arial" w:hAnsi="Arial" w:cs="Arial"/>
        </w:rPr>
      </w:pPr>
      <w:r w:rsidRPr="00CA3DAE">
        <w:rPr>
          <w:rFonts w:ascii="Arial" w:hAnsi="Arial" w:cs="Arial"/>
        </w:rPr>
        <w:t xml:space="preserve">UK awareness of anorexia and other eating disorders is growing. NHS is essential for anorexic treatment. Treating with medical, nutritional, and psychological interventions is common. Helping psychologists and psychiatrists is critical in treating the disorder's complex psychological aspects. UK anorexia charities </w:t>
      </w:r>
      <w:r w:rsidR="005315FE" w:rsidRPr="00CA3DAE">
        <w:rPr>
          <w:rFonts w:ascii="Arial" w:hAnsi="Arial" w:cs="Arial"/>
        </w:rPr>
        <w:t>Beat,</w:t>
      </w:r>
      <w:r w:rsidRPr="00CA3DAE">
        <w:rPr>
          <w:rFonts w:ascii="Arial" w:hAnsi="Arial" w:cs="Arial"/>
        </w:rPr>
        <w:t xml:space="preserve"> and the Eating Disorders Association are essential. The organisation helps people, families, and healthcare professionals understand, treat, and prevent eating disorders with information, helplines, and resources (National Guideline Alliance (UK), 2023).</w:t>
      </w:r>
    </w:p>
    <w:p w14:paraId="7B8DAF3C" w14:textId="5B697D5A" w:rsidR="00083AA3" w:rsidRPr="004D16E2" w:rsidRDefault="00083AA3" w:rsidP="004D16E2">
      <w:pPr>
        <w:pStyle w:val="Heading1"/>
        <w:spacing w:line="360" w:lineRule="auto"/>
        <w:jc w:val="both"/>
        <w:rPr>
          <w:rFonts w:ascii="Arial" w:hAnsi="Arial" w:cs="Arial"/>
          <w:b/>
          <w:bCs/>
          <w:color w:val="auto"/>
          <w:sz w:val="22"/>
          <w:szCs w:val="22"/>
        </w:rPr>
      </w:pPr>
      <w:bookmarkStart w:id="7" w:name="_Toc149123978"/>
      <w:r w:rsidRPr="004D16E2">
        <w:rPr>
          <w:rFonts w:ascii="Arial" w:hAnsi="Arial" w:cs="Arial"/>
          <w:b/>
          <w:bCs/>
          <w:color w:val="auto"/>
          <w:sz w:val="22"/>
          <w:szCs w:val="22"/>
        </w:rPr>
        <w:t>Conclusion</w:t>
      </w:r>
      <w:bookmarkEnd w:id="7"/>
    </w:p>
    <w:p w14:paraId="78FAD410" w14:textId="101C79F0" w:rsidR="00083AA3" w:rsidRPr="00AE0E2C" w:rsidRDefault="00AE0E2C" w:rsidP="004D16E2">
      <w:pPr>
        <w:spacing w:line="360" w:lineRule="auto"/>
        <w:jc w:val="both"/>
        <w:rPr>
          <w:rFonts w:ascii="Arial" w:hAnsi="Arial" w:cs="Arial"/>
        </w:rPr>
      </w:pPr>
      <w:r w:rsidRPr="00AE0E2C">
        <w:rPr>
          <w:rFonts w:ascii="Arial" w:hAnsi="Arial" w:cs="Arial"/>
        </w:rPr>
        <w:t>In the UK, preventing anorexia nervosa requires immediate intervention and public awareness. Schools and hospitals are emphasising body image, self-esteem, and disordered eating. Anorexia nervosa affects a large portion of the UK population. Public awareness, medical interventions, and support for this illness have improved in the UK. To effectively treat this complex disorder, research, education, and healthcare must continue.</w:t>
      </w:r>
    </w:p>
    <w:p w14:paraId="0DB16A7C" w14:textId="6A4ED8D5" w:rsidR="00083AA3" w:rsidRPr="00AE0E2C" w:rsidRDefault="00083AA3" w:rsidP="004D16E2">
      <w:pPr>
        <w:spacing w:line="360" w:lineRule="auto"/>
        <w:jc w:val="both"/>
        <w:rPr>
          <w:rFonts w:ascii="Arial" w:hAnsi="Arial" w:cs="Arial"/>
        </w:rPr>
      </w:pPr>
    </w:p>
    <w:p w14:paraId="6DE14FA6" w14:textId="77B97F33" w:rsidR="00083AA3" w:rsidRPr="002B1E00" w:rsidRDefault="00083AA3" w:rsidP="002B1E00">
      <w:pPr>
        <w:spacing w:line="360" w:lineRule="auto"/>
        <w:jc w:val="both"/>
        <w:rPr>
          <w:rFonts w:ascii="Arial" w:hAnsi="Arial" w:cs="Arial"/>
          <w:b/>
          <w:bCs/>
        </w:rPr>
      </w:pPr>
    </w:p>
    <w:p w14:paraId="2251B6F3" w14:textId="33E43FA7" w:rsidR="00083AA3" w:rsidRPr="00736E70" w:rsidRDefault="00083AA3" w:rsidP="00736E70">
      <w:pPr>
        <w:spacing w:line="360" w:lineRule="auto"/>
        <w:jc w:val="both"/>
        <w:rPr>
          <w:rFonts w:ascii="Arial" w:hAnsi="Arial" w:cs="Arial"/>
          <w:b/>
          <w:bCs/>
        </w:rPr>
      </w:pPr>
    </w:p>
    <w:p w14:paraId="566AA60F" w14:textId="547176B9" w:rsidR="00083AA3" w:rsidRPr="00736E70" w:rsidRDefault="00083AA3" w:rsidP="00736E70">
      <w:pPr>
        <w:spacing w:line="360" w:lineRule="auto"/>
        <w:jc w:val="both"/>
        <w:rPr>
          <w:rFonts w:ascii="Arial" w:hAnsi="Arial" w:cs="Arial"/>
          <w:b/>
          <w:bCs/>
        </w:rPr>
      </w:pPr>
    </w:p>
    <w:p w14:paraId="1FE478EA" w14:textId="1AFF7D74" w:rsidR="00083AA3" w:rsidRPr="00736E70" w:rsidRDefault="00083AA3" w:rsidP="00736E70">
      <w:pPr>
        <w:spacing w:line="360" w:lineRule="auto"/>
        <w:jc w:val="both"/>
        <w:rPr>
          <w:rFonts w:ascii="Arial" w:hAnsi="Arial" w:cs="Arial"/>
          <w:b/>
          <w:bCs/>
        </w:rPr>
      </w:pPr>
    </w:p>
    <w:p w14:paraId="567C99D0" w14:textId="0525B621" w:rsidR="00083AA3" w:rsidRPr="00736E70" w:rsidRDefault="00083AA3" w:rsidP="00736E70">
      <w:pPr>
        <w:spacing w:line="360" w:lineRule="auto"/>
        <w:jc w:val="both"/>
        <w:rPr>
          <w:rFonts w:ascii="Arial" w:hAnsi="Arial" w:cs="Arial"/>
          <w:b/>
          <w:bCs/>
        </w:rPr>
      </w:pPr>
    </w:p>
    <w:p w14:paraId="533437FF" w14:textId="0EC624D6" w:rsidR="00083AA3" w:rsidRPr="00D258F0" w:rsidRDefault="00083AA3" w:rsidP="005315FE">
      <w:pPr>
        <w:pStyle w:val="Heading1"/>
        <w:rPr>
          <w:rFonts w:ascii="Arial" w:hAnsi="Arial" w:cs="Arial"/>
          <w:b/>
          <w:bCs/>
          <w:sz w:val="22"/>
          <w:szCs w:val="22"/>
        </w:rPr>
      </w:pPr>
      <w:bookmarkStart w:id="8" w:name="_Toc149123979"/>
      <w:r w:rsidRPr="00D258F0">
        <w:rPr>
          <w:rFonts w:ascii="Arial" w:hAnsi="Arial" w:cs="Arial"/>
          <w:b/>
          <w:bCs/>
          <w:color w:val="auto"/>
          <w:sz w:val="22"/>
          <w:szCs w:val="22"/>
        </w:rPr>
        <w:t>References</w:t>
      </w:r>
      <w:bookmarkEnd w:id="8"/>
      <w:r w:rsidRPr="00D258F0">
        <w:rPr>
          <w:rFonts w:ascii="Arial" w:hAnsi="Arial" w:cs="Arial"/>
          <w:b/>
          <w:bCs/>
          <w:color w:val="auto"/>
          <w:sz w:val="22"/>
          <w:szCs w:val="22"/>
        </w:rPr>
        <w:t xml:space="preserve"> </w:t>
      </w:r>
    </w:p>
    <w:p w14:paraId="07036E91" w14:textId="77777777" w:rsidR="00D258F0" w:rsidRDefault="00D258F0" w:rsidP="00A656F6">
      <w:pPr>
        <w:rPr>
          <w:rFonts w:ascii="Arial" w:hAnsi="Arial" w:cs="Arial"/>
          <w:sz w:val="24"/>
          <w:szCs w:val="24"/>
        </w:rPr>
      </w:pPr>
    </w:p>
    <w:p w14:paraId="2911396F" w14:textId="77777777" w:rsidR="003E2712" w:rsidRDefault="003E2712" w:rsidP="00A656F6">
      <w:pPr>
        <w:rPr>
          <w:rFonts w:ascii="Arial" w:hAnsi="Arial" w:cs="Arial"/>
          <w:sz w:val="24"/>
          <w:szCs w:val="24"/>
        </w:rPr>
      </w:pPr>
      <w:proofErr w:type="spellStart"/>
      <w:r w:rsidRPr="00C96561">
        <w:rPr>
          <w:rFonts w:ascii="Arial" w:hAnsi="Arial" w:cs="Arial"/>
          <w:sz w:val="24"/>
          <w:szCs w:val="24"/>
        </w:rPr>
        <w:t>Arcelus</w:t>
      </w:r>
      <w:proofErr w:type="spellEnd"/>
      <w:r w:rsidRPr="00C96561">
        <w:rPr>
          <w:rFonts w:ascii="Arial" w:hAnsi="Arial" w:cs="Arial"/>
          <w:sz w:val="24"/>
          <w:szCs w:val="24"/>
        </w:rPr>
        <w:t xml:space="preserve">, J., Mitchell, A.J., Wales, J. and Nielsen, S. (2011). Mortality rates in patients with anorexia nervosa and other eating disorders. A meta-analysis of 36 studies. Archives of general psychiatry, 68(7), pp.724–31. </w:t>
      </w:r>
      <w:proofErr w:type="spellStart"/>
      <w:proofErr w:type="gramStart"/>
      <w:r w:rsidRPr="00C96561">
        <w:rPr>
          <w:rFonts w:ascii="Arial" w:hAnsi="Arial" w:cs="Arial"/>
          <w:sz w:val="24"/>
          <w:szCs w:val="24"/>
        </w:rPr>
        <w:t>doi:https</w:t>
      </w:r>
      <w:proofErr w:type="spellEnd"/>
      <w:r w:rsidRPr="00C96561">
        <w:rPr>
          <w:rFonts w:ascii="Arial" w:hAnsi="Arial" w:cs="Arial"/>
          <w:sz w:val="24"/>
          <w:szCs w:val="24"/>
        </w:rPr>
        <w:t>://doi.org/10.1001/archgenpsychiatry.2011.74</w:t>
      </w:r>
      <w:proofErr w:type="gramEnd"/>
      <w:r w:rsidRPr="00C96561">
        <w:rPr>
          <w:rFonts w:ascii="Arial" w:hAnsi="Arial" w:cs="Arial"/>
          <w:sz w:val="24"/>
          <w:szCs w:val="24"/>
        </w:rPr>
        <w:t>.</w:t>
      </w:r>
    </w:p>
    <w:p w14:paraId="14D517D7" w14:textId="77777777" w:rsidR="003E2712" w:rsidRDefault="003E2712" w:rsidP="00A656F6">
      <w:pPr>
        <w:rPr>
          <w:rFonts w:ascii="Arial" w:hAnsi="Arial" w:cs="Arial"/>
          <w:sz w:val="24"/>
          <w:szCs w:val="24"/>
        </w:rPr>
      </w:pPr>
      <w:r w:rsidRPr="00A656F6">
        <w:rPr>
          <w:rFonts w:ascii="Arial" w:hAnsi="Arial" w:cs="Arial"/>
          <w:sz w:val="24"/>
          <w:szCs w:val="24"/>
        </w:rPr>
        <w:t xml:space="preserve">Banner, L.W. (1988). Fasting Girls. The Emergence of Anorexia Nervosa as a Modern Disease. Joan Jacobs Brumberg. Harvard University Press, Cambridge, MA, 1988. x, 366 pp., illus. $25. Science, 240(4855), pp.1061–1061. </w:t>
      </w:r>
      <w:proofErr w:type="spellStart"/>
      <w:proofErr w:type="gramStart"/>
      <w:r w:rsidRPr="00A656F6">
        <w:rPr>
          <w:rFonts w:ascii="Arial" w:hAnsi="Arial" w:cs="Arial"/>
          <w:sz w:val="24"/>
          <w:szCs w:val="24"/>
        </w:rPr>
        <w:t>doi:https</w:t>
      </w:r>
      <w:proofErr w:type="spellEnd"/>
      <w:r w:rsidRPr="00A656F6">
        <w:rPr>
          <w:rFonts w:ascii="Arial" w:hAnsi="Arial" w:cs="Arial"/>
          <w:sz w:val="24"/>
          <w:szCs w:val="24"/>
        </w:rPr>
        <w:t>://doi.org/10.1126/science.240.4855.1061</w:t>
      </w:r>
      <w:proofErr w:type="gramEnd"/>
      <w:r w:rsidRPr="00A656F6">
        <w:rPr>
          <w:rFonts w:ascii="Arial" w:hAnsi="Arial" w:cs="Arial"/>
          <w:sz w:val="24"/>
          <w:szCs w:val="24"/>
        </w:rPr>
        <w:t>.</w:t>
      </w:r>
    </w:p>
    <w:p w14:paraId="4E0055A4" w14:textId="77777777" w:rsidR="003E2712" w:rsidRDefault="003E2712" w:rsidP="00471C9C">
      <w:pPr>
        <w:rPr>
          <w:rFonts w:ascii="Arial" w:hAnsi="Arial" w:cs="Arial"/>
          <w:sz w:val="24"/>
          <w:szCs w:val="24"/>
        </w:rPr>
      </w:pPr>
      <w:r w:rsidRPr="00C52DF2">
        <w:rPr>
          <w:rFonts w:ascii="Arial" w:hAnsi="Arial" w:cs="Arial"/>
          <w:sz w:val="24"/>
          <w:szCs w:val="24"/>
        </w:rPr>
        <w:t xml:space="preserve">Halmi, K.A. (2013). Perplexities of treatment </w:t>
      </w:r>
      <w:proofErr w:type="spellStart"/>
      <w:r w:rsidRPr="00C52DF2">
        <w:rPr>
          <w:rFonts w:ascii="Arial" w:hAnsi="Arial" w:cs="Arial"/>
          <w:sz w:val="24"/>
          <w:szCs w:val="24"/>
        </w:rPr>
        <w:t>resistence</w:t>
      </w:r>
      <w:proofErr w:type="spellEnd"/>
      <w:r w:rsidRPr="00C52DF2">
        <w:rPr>
          <w:rFonts w:ascii="Arial" w:hAnsi="Arial" w:cs="Arial"/>
          <w:sz w:val="24"/>
          <w:szCs w:val="24"/>
        </w:rPr>
        <w:t xml:space="preserve"> in eating disorders. BMC Psychiatry, 13(1). </w:t>
      </w:r>
      <w:proofErr w:type="spellStart"/>
      <w:proofErr w:type="gramStart"/>
      <w:r w:rsidRPr="00C52DF2">
        <w:rPr>
          <w:rFonts w:ascii="Arial" w:hAnsi="Arial" w:cs="Arial"/>
          <w:sz w:val="24"/>
          <w:szCs w:val="24"/>
        </w:rPr>
        <w:t>doi:https</w:t>
      </w:r>
      <w:proofErr w:type="spellEnd"/>
      <w:r w:rsidRPr="00C52DF2">
        <w:rPr>
          <w:rFonts w:ascii="Arial" w:hAnsi="Arial" w:cs="Arial"/>
          <w:sz w:val="24"/>
          <w:szCs w:val="24"/>
        </w:rPr>
        <w:t>://doi.org/10.1186/1471-244x-13-292</w:t>
      </w:r>
      <w:proofErr w:type="gramEnd"/>
      <w:r w:rsidRPr="00C52DF2">
        <w:rPr>
          <w:rFonts w:ascii="Arial" w:hAnsi="Arial" w:cs="Arial"/>
          <w:sz w:val="24"/>
          <w:szCs w:val="24"/>
        </w:rPr>
        <w:t>.</w:t>
      </w:r>
    </w:p>
    <w:p w14:paraId="7DE259CE" w14:textId="77777777" w:rsidR="003E2712" w:rsidRDefault="003E2712" w:rsidP="00471C9C">
      <w:pPr>
        <w:rPr>
          <w:rFonts w:ascii="Arial" w:hAnsi="Arial" w:cs="Arial"/>
          <w:sz w:val="24"/>
          <w:szCs w:val="24"/>
        </w:rPr>
      </w:pPr>
      <w:r w:rsidRPr="00B720FA">
        <w:rPr>
          <w:rFonts w:ascii="Arial" w:hAnsi="Arial" w:cs="Arial"/>
          <w:sz w:val="24"/>
          <w:szCs w:val="24"/>
        </w:rPr>
        <w:t>ICD-10 Coded. (2023). F50.02 - ICD-10 Code for Anorexia nervosa, binge eating/purging type - Billable. [online] Available at: https://icd10coded.com/cm/F50.02/ [Accessed 21 Oct. 2023].</w:t>
      </w:r>
    </w:p>
    <w:p w14:paraId="6F9C1CE2" w14:textId="77777777" w:rsidR="003E2712" w:rsidRDefault="003E2712" w:rsidP="00471C9C">
      <w:pPr>
        <w:rPr>
          <w:rFonts w:ascii="Arial" w:hAnsi="Arial" w:cs="Arial"/>
          <w:sz w:val="24"/>
          <w:szCs w:val="24"/>
        </w:rPr>
      </w:pPr>
      <w:r w:rsidRPr="00F72FD6">
        <w:rPr>
          <w:rFonts w:ascii="Arial" w:hAnsi="Arial" w:cs="Arial"/>
          <w:sz w:val="24"/>
          <w:szCs w:val="24"/>
        </w:rPr>
        <w:t xml:space="preserve">National Guideline Alliance (UK) (2023). Eating Disorders: Recognition and Treatment. [online] PubMed. London: National Institute for Health and Care Excellence (NICE). Available at: </w:t>
      </w:r>
      <w:hyperlink r:id="rId8" w:history="1">
        <w:r w:rsidRPr="001B47A4">
          <w:rPr>
            <w:rStyle w:val="Hyperlink"/>
            <w:rFonts w:ascii="Arial" w:hAnsi="Arial" w:cs="Arial"/>
            <w:sz w:val="24"/>
            <w:szCs w:val="24"/>
          </w:rPr>
          <w:t>https://pubmed.ncbi.nlm.nih.gov/28654225/</w:t>
        </w:r>
      </w:hyperlink>
      <w:r w:rsidRPr="00F72FD6">
        <w:rPr>
          <w:rFonts w:ascii="Arial" w:hAnsi="Arial" w:cs="Arial"/>
          <w:sz w:val="24"/>
          <w:szCs w:val="24"/>
        </w:rPr>
        <w:t>.</w:t>
      </w:r>
    </w:p>
    <w:p w14:paraId="530CFD6A" w14:textId="77777777" w:rsidR="003E2712" w:rsidRDefault="003E2712" w:rsidP="00471C9C">
      <w:pPr>
        <w:rPr>
          <w:rFonts w:ascii="Arial" w:hAnsi="Arial" w:cs="Arial"/>
          <w:sz w:val="24"/>
          <w:szCs w:val="24"/>
        </w:rPr>
      </w:pPr>
      <w:r w:rsidRPr="00F72FD6">
        <w:rPr>
          <w:rFonts w:ascii="Arial" w:hAnsi="Arial" w:cs="Arial"/>
          <w:sz w:val="24"/>
          <w:szCs w:val="24"/>
        </w:rPr>
        <w:t xml:space="preserve">NHS (2023). Anorexia nervosa. [online] nhs.uk. Available at: </w:t>
      </w:r>
      <w:hyperlink r:id="rId9" w:history="1">
        <w:r w:rsidRPr="00950235">
          <w:rPr>
            <w:rStyle w:val="Hyperlink"/>
            <w:rFonts w:ascii="Arial" w:hAnsi="Arial" w:cs="Arial"/>
            <w:sz w:val="24"/>
            <w:szCs w:val="24"/>
          </w:rPr>
          <w:t>https://www.nhs.uk/mental-health/conditions/anorexia/</w:t>
        </w:r>
      </w:hyperlink>
      <w:r w:rsidRPr="00F72FD6">
        <w:rPr>
          <w:rFonts w:ascii="Arial" w:hAnsi="Arial" w:cs="Arial"/>
          <w:sz w:val="24"/>
          <w:szCs w:val="24"/>
        </w:rPr>
        <w:t>.</w:t>
      </w:r>
    </w:p>
    <w:p w14:paraId="3462BA54" w14:textId="77777777" w:rsidR="003E2712" w:rsidRDefault="003E2712" w:rsidP="00A656F6">
      <w:pPr>
        <w:rPr>
          <w:rFonts w:ascii="Arial" w:hAnsi="Arial" w:cs="Arial"/>
          <w:sz w:val="24"/>
          <w:szCs w:val="24"/>
        </w:rPr>
      </w:pPr>
      <w:r w:rsidRPr="00940EFC">
        <w:rPr>
          <w:rFonts w:ascii="Arial" w:hAnsi="Arial" w:cs="Arial"/>
          <w:sz w:val="24"/>
          <w:szCs w:val="24"/>
        </w:rPr>
        <w:t xml:space="preserve">Pedersen, T. (2021). What’s at the Root of Anorexia Nervosa? [online] Psych Central. Available at: </w:t>
      </w:r>
      <w:hyperlink r:id="rId10" w:history="1">
        <w:r w:rsidRPr="003B77F6">
          <w:rPr>
            <w:rStyle w:val="Hyperlink"/>
            <w:rFonts w:ascii="Arial" w:hAnsi="Arial" w:cs="Arial"/>
            <w:sz w:val="24"/>
            <w:szCs w:val="24"/>
          </w:rPr>
          <w:t>https://psychcentral.com/eating-disorders/anorexia-nervosa-causes</w:t>
        </w:r>
      </w:hyperlink>
      <w:r w:rsidRPr="00940EFC">
        <w:rPr>
          <w:rFonts w:ascii="Arial" w:hAnsi="Arial" w:cs="Arial"/>
          <w:sz w:val="24"/>
          <w:szCs w:val="24"/>
        </w:rPr>
        <w:t>.</w:t>
      </w:r>
    </w:p>
    <w:p w14:paraId="4A92F4CB" w14:textId="77777777" w:rsidR="003E2712" w:rsidRDefault="003E2712" w:rsidP="00471C9C">
      <w:pPr>
        <w:rPr>
          <w:rFonts w:ascii="Arial" w:hAnsi="Arial" w:cs="Arial"/>
          <w:sz w:val="24"/>
          <w:szCs w:val="24"/>
        </w:rPr>
      </w:pPr>
      <w:proofErr w:type="spellStart"/>
      <w:r w:rsidRPr="003A7432">
        <w:rPr>
          <w:rFonts w:ascii="Arial" w:hAnsi="Arial" w:cs="Arial"/>
          <w:sz w:val="24"/>
          <w:szCs w:val="24"/>
        </w:rPr>
        <w:t>Rivia</w:t>
      </w:r>
      <w:proofErr w:type="spellEnd"/>
      <w:r w:rsidRPr="003A7432">
        <w:rPr>
          <w:rFonts w:ascii="Arial" w:hAnsi="Arial" w:cs="Arial"/>
          <w:sz w:val="24"/>
          <w:szCs w:val="24"/>
        </w:rPr>
        <w:t xml:space="preserve"> Mind. (2023). Anorexia Nervosa. [online] Available at: https://riviamind.com/patient-education/anorexia-nervosa/ [Accessed 21 Oct. 2023].</w:t>
      </w:r>
    </w:p>
    <w:p w14:paraId="02C5E624" w14:textId="77777777" w:rsidR="003E2712" w:rsidRDefault="003E2712" w:rsidP="00A656F6">
      <w:pPr>
        <w:rPr>
          <w:rFonts w:ascii="Arial" w:hAnsi="Arial" w:cs="Arial"/>
          <w:sz w:val="24"/>
          <w:szCs w:val="24"/>
        </w:rPr>
      </w:pPr>
      <w:r w:rsidRPr="008B4F4C">
        <w:rPr>
          <w:rFonts w:ascii="Arial" w:hAnsi="Arial" w:cs="Arial"/>
          <w:sz w:val="24"/>
          <w:szCs w:val="24"/>
        </w:rPr>
        <w:t xml:space="preserve">Walsh, B.T. (2013). The Enigmatic Persistence of Anorexia Nervosa. American Journal of Psychiatry, [online] 170(5), pp.477–484. </w:t>
      </w:r>
      <w:proofErr w:type="spellStart"/>
      <w:proofErr w:type="gramStart"/>
      <w:r w:rsidRPr="008B4F4C">
        <w:rPr>
          <w:rFonts w:ascii="Arial" w:hAnsi="Arial" w:cs="Arial"/>
          <w:sz w:val="24"/>
          <w:szCs w:val="24"/>
        </w:rPr>
        <w:t>doi:https</w:t>
      </w:r>
      <w:proofErr w:type="spellEnd"/>
      <w:r w:rsidRPr="008B4F4C">
        <w:rPr>
          <w:rFonts w:ascii="Arial" w:hAnsi="Arial" w:cs="Arial"/>
          <w:sz w:val="24"/>
          <w:szCs w:val="24"/>
        </w:rPr>
        <w:t>://doi.org/10.1176/appi.ajp.2012.12081074</w:t>
      </w:r>
      <w:proofErr w:type="gramEnd"/>
    </w:p>
    <w:p w14:paraId="7D1AB71C" w14:textId="77777777" w:rsidR="003E2712" w:rsidRDefault="003E2712" w:rsidP="00471C9C">
      <w:pPr>
        <w:rPr>
          <w:rFonts w:ascii="Arial" w:hAnsi="Arial" w:cs="Arial"/>
          <w:sz w:val="24"/>
          <w:szCs w:val="24"/>
        </w:rPr>
      </w:pPr>
      <w:r w:rsidRPr="00083AA3">
        <w:rPr>
          <w:rFonts w:ascii="Arial" w:hAnsi="Arial" w:cs="Arial"/>
          <w:sz w:val="24"/>
          <w:szCs w:val="24"/>
        </w:rPr>
        <w:t xml:space="preserve">WHO - World Health Organisation (2010) </w:t>
      </w:r>
      <w:r w:rsidRPr="00083AA3">
        <w:rPr>
          <w:rFonts w:ascii="Arial" w:hAnsi="Arial" w:cs="Arial"/>
          <w:i/>
          <w:iCs/>
          <w:sz w:val="24"/>
          <w:szCs w:val="24"/>
        </w:rPr>
        <w:t>ICD-10 - International Statistical Classification of Diseases and Related Health Problems 10th Revision</w:t>
      </w:r>
      <w:r w:rsidRPr="00083AA3">
        <w:rPr>
          <w:rFonts w:ascii="Arial" w:hAnsi="Arial" w:cs="Arial"/>
          <w:sz w:val="24"/>
          <w:szCs w:val="24"/>
        </w:rPr>
        <w:t xml:space="preserve">. Available at:  </w:t>
      </w:r>
      <w:hyperlink r:id="rId11" w:anchor="/V" w:history="1">
        <w:r w:rsidRPr="00E26EF5">
          <w:rPr>
            <w:rStyle w:val="Hyperlink"/>
            <w:rFonts w:ascii="Arial" w:hAnsi="Arial" w:cs="Arial"/>
            <w:sz w:val="24"/>
            <w:szCs w:val="24"/>
          </w:rPr>
          <w:t>https://icd.who.int/browse10/2010/en#/V</w:t>
        </w:r>
      </w:hyperlink>
      <w:r>
        <w:rPr>
          <w:rFonts w:ascii="Arial" w:hAnsi="Arial" w:cs="Arial"/>
          <w:sz w:val="24"/>
          <w:szCs w:val="24"/>
        </w:rPr>
        <w:t xml:space="preserve"> </w:t>
      </w:r>
      <w:r w:rsidRPr="00083AA3">
        <w:rPr>
          <w:rFonts w:ascii="Arial" w:hAnsi="Arial" w:cs="Arial"/>
          <w:sz w:val="24"/>
          <w:szCs w:val="24"/>
        </w:rPr>
        <w:t>(date accessed: 1 March 2022)</w:t>
      </w:r>
    </w:p>
    <w:p w14:paraId="477587DC" w14:textId="02E9CD1B" w:rsidR="00083AA3" w:rsidRDefault="00083AA3" w:rsidP="00471C9C">
      <w:pPr>
        <w:rPr>
          <w:rFonts w:ascii="Arial" w:hAnsi="Arial" w:cs="Arial"/>
          <w:sz w:val="24"/>
          <w:szCs w:val="24"/>
        </w:rPr>
      </w:pPr>
    </w:p>
    <w:p w14:paraId="5E6E318A" w14:textId="446F65D5" w:rsidR="00083AA3" w:rsidRDefault="00083AA3" w:rsidP="00471C9C">
      <w:pPr>
        <w:rPr>
          <w:rFonts w:ascii="Arial" w:hAnsi="Arial" w:cs="Arial"/>
          <w:sz w:val="24"/>
          <w:szCs w:val="24"/>
        </w:rPr>
      </w:pPr>
    </w:p>
    <w:p w14:paraId="00A2800A" w14:textId="7516A312" w:rsidR="00083AA3" w:rsidRDefault="00083AA3" w:rsidP="00471C9C">
      <w:pPr>
        <w:rPr>
          <w:rFonts w:ascii="Arial" w:hAnsi="Arial" w:cs="Arial"/>
          <w:sz w:val="24"/>
          <w:szCs w:val="24"/>
        </w:rPr>
      </w:pPr>
    </w:p>
    <w:p w14:paraId="007AE686" w14:textId="05EA60CD" w:rsidR="00083AA3" w:rsidRDefault="00083AA3" w:rsidP="00471C9C">
      <w:pPr>
        <w:rPr>
          <w:rFonts w:ascii="Arial" w:hAnsi="Arial" w:cs="Arial"/>
          <w:sz w:val="24"/>
          <w:szCs w:val="24"/>
        </w:rPr>
      </w:pPr>
    </w:p>
    <w:p w14:paraId="0B903BD8" w14:textId="37548240" w:rsidR="00083AA3" w:rsidRDefault="00083AA3" w:rsidP="00471C9C">
      <w:pPr>
        <w:rPr>
          <w:rFonts w:ascii="Arial" w:hAnsi="Arial" w:cs="Arial"/>
          <w:sz w:val="24"/>
          <w:szCs w:val="24"/>
        </w:rPr>
      </w:pPr>
    </w:p>
    <w:p w14:paraId="4015B556" w14:textId="1BDA795D" w:rsidR="00083AA3" w:rsidRDefault="00083AA3" w:rsidP="00471C9C">
      <w:pPr>
        <w:rPr>
          <w:rFonts w:ascii="Arial" w:hAnsi="Arial" w:cs="Arial"/>
          <w:sz w:val="24"/>
          <w:szCs w:val="24"/>
        </w:rPr>
      </w:pPr>
    </w:p>
    <w:p w14:paraId="276EA573" w14:textId="5ACDFD40" w:rsidR="00083AA3" w:rsidRDefault="00083AA3" w:rsidP="00471C9C">
      <w:pPr>
        <w:rPr>
          <w:rFonts w:ascii="Arial" w:hAnsi="Arial" w:cs="Arial"/>
          <w:sz w:val="24"/>
          <w:szCs w:val="24"/>
        </w:rPr>
      </w:pPr>
    </w:p>
    <w:p w14:paraId="2B795D3D" w14:textId="69FAB098" w:rsidR="00083AA3" w:rsidRDefault="00083AA3" w:rsidP="00471C9C">
      <w:pPr>
        <w:rPr>
          <w:rFonts w:ascii="Arial" w:hAnsi="Arial" w:cs="Arial"/>
          <w:sz w:val="24"/>
          <w:szCs w:val="24"/>
        </w:rPr>
      </w:pPr>
    </w:p>
    <w:p w14:paraId="5155A357" w14:textId="5D681E90" w:rsidR="00083AA3" w:rsidRDefault="00083AA3" w:rsidP="00471C9C">
      <w:pPr>
        <w:rPr>
          <w:rFonts w:ascii="Arial" w:hAnsi="Arial" w:cs="Arial"/>
          <w:sz w:val="24"/>
          <w:szCs w:val="24"/>
        </w:rPr>
      </w:pPr>
    </w:p>
    <w:p w14:paraId="7E6971F8" w14:textId="2E463A5F" w:rsidR="00083AA3" w:rsidRDefault="00083AA3" w:rsidP="00471C9C">
      <w:pPr>
        <w:rPr>
          <w:rFonts w:ascii="Arial" w:hAnsi="Arial" w:cs="Arial"/>
          <w:sz w:val="24"/>
          <w:szCs w:val="24"/>
        </w:rPr>
      </w:pPr>
    </w:p>
    <w:p w14:paraId="573A0AFA" w14:textId="68C40910" w:rsidR="00083AA3" w:rsidRDefault="00083AA3" w:rsidP="00471C9C">
      <w:pPr>
        <w:rPr>
          <w:rFonts w:ascii="Arial" w:hAnsi="Arial" w:cs="Arial"/>
          <w:sz w:val="24"/>
          <w:szCs w:val="24"/>
        </w:rPr>
      </w:pPr>
    </w:p>
    <w:p w14:paraId="439C8866" w14:textId="672985DF" w:rsidR="00083AA3" w:rsidRDefault="00083AA3" w:rsidP="00471C9C">
      <w:pPr>
        <w:rPr>
          <w:rFonts w:ascii="Arial" w:hAnsi="Arial" w:cs="Arial"/>
          <w:sz w:val="24"/>
          <w:szCs w:val="24"/>
        </w:rPr>
      </w:pPr>
    </w:p>
    <w:p w14:paraId="3F01AD87" w14:textId="3E6AF500" w:rsidR="00083AA3" w:rsidRDefault="00083AA3" w:rsidP="00471C9C">
      <w:pPr>
        <w:rPr>
          <w:rFonts w:ascii="Arial" w:hAnsi="Arial" w:cs="Arial"/>
          <w:sz w:val="24"/>
          <w:szCs w:val="24"/>
        </w:rPr>
      </w:pPr>
    </w:p>
    <w:p w14:paraId="2845DC7D" w14:textId="1B2878EF" w:rsidR="00083AA3" w:rsidRDefault="00083AA3" w:rsidP="00471C9C">
      <w:pPr>
        <w:rPr>
          <w:rFonts w:ascii="Arial" w:hAnsi="Arial" w:cs="Arial"/>
          <w:sz w:val="24"/>
          <w:szCs w:val="24"/>
        </w:rPr>
      </w:pPr>
    </w:p>
    <w:p w14:paraId="7AB43446" w14:textId="6E465E42" w:rsidR="00083AA3" w:rsidRDefault="00083AA3" w:rsidP="00471C9C">
      <w:pPr>
        <w:rPr>
          <w:rFonts w:ascii="Arial" w:hAnsi="Arial" w:cs="Arial"/>
          <w:sz w:val="24"/>
          <w:szCs w:val="24"/>
        </w:rPr>
      </w:pPr>
    </w:p>
    <w:p w14:paraId="1C9AFB7F" w14:textId="00AEF1CF" w:rsidR="00083AA3" w:rsidRDefault="00083AA3" w:rsidP="00471C9C">
      <w:pPr>
        <w:rPr>
          <w:rFonts w:ascii="Arial" w:hAnsi="Arial" w:cs="Arial"/>
          <w:sz w:val="24"/>
          <w:szCs w:val="24"/>
        </w:rPr>
      </w:pPr>
    </w:p>
    <w:p w14:paraId="527F4E4A" w14:textId="78EB60A5" w:rsidR="00083AA3" w:rsidRDefault="00083AA3" w:rsidP="00471C9C">
      <w:pPr>
        <w:rPr>
          <w:rFonts w:ascii="Arial" w:hAnsi="Arial" w:cs="Arial"/>
          <w:sz w:val="24"/>
          <w:szCs w:val="24"/>
        </w:rPr>
      </w:pPr>
    </w:p>
    <w:p w14:paraId="78E79798" w14:textId="67AF9395" w:rsidR="00083AA3" w:rsidRDefault="00083AA3" w:rsidP="00471C9C">
      <w:pPr>
        <w:rPr>
          <w:rFonts w:ascii="Arial" w:hAnsi="Arial" w:cs="Arial"/>
          <w:sz w:val="24"/>
          <w:szCs w:val="24"/>
        </w:rPr>
      </w:pPr>
    </w:p>
    <w:p w14:paraId="55BDB496" w14:textId="69C5C930" w:rsidR="00083AA3" w:rsidRDefault="00083AA3" w:rsidP="00471C9C">
      <w:pPr>
        <w:rPr>
          <w:rFonts w:ascii="Arial" w:hAnsi="Arial" w:cs="Arial"/>
          <w:sz w:val="24"/>
          <w:szCs w:val="24"/>
        </w:rPr>
      </w:pPr>
    </w:p>
    <w:p w14:paraId="63C42973" w14:textId="7B9C7D7A" w:rsidR="00083AA3" w:rsidRPr="00083AA3" w:rsidRDefault="00083AA3" w:rsidP="00471C9C">
      <w:pPr>
        <w:rPr>
          <w:rFonts w:ascii="Arial" w:hAnsi="Arial" w:cs="Arial"/>
          <w:b/>
          <w:bCs/>
          <w:sz w:val="24"/>
          <w:szCs w:val="24"/>
        </w:rPr>
      </w:pPr>
      <w:r w:rsidRPr="00083AA3">
        <w:rPr>
          <w:rFonts w:ascii="Arial" w:hAnsi="Arial" w:cs="Arial"/>
          <w:b/>
          <w:bCs/>
          <w:sz w:val="24"/>
          <w:szCs w:val="24"/>
        </w:rPr>
        <w:t>Appendix: Power Point Presentation</w:t>
      </w:r>
    </w:p>
    <w:p w14:paraId="3D869D71" w14:textId="77777777" w:rsidR="00083AA3" w:rsidRPr="00083AA3" w:rsidRDefault="00083AA3" w:rsidP="00471C9C">
      <w:pPr>
        <w:rPr>
          <w:rFonts w:ascii="Arial" w:hAnsi="Arial" w:cs="Arial"/>
          <w:sz w:val="24"/>
          <w:szCs w:val="24"/>
        </w:rPr>
      </w:pPr>
    </w:p>
    <w:p w14:paraId="7A0DBFD8" w14:textId="161D6AD2" w:rsidR="00083AA3" w:rsidRDefault="00E73E2A" w:rsidP="00471C9C">
      <w:pPr>
        <w:rPr>
          <w:rFonts w:ascii="Arial" w:hAnsi="Arial" w:cs="Arial"/>
          <w:b/>
          <w:bCs/>
          <w:sz w:val="32"/>
          <w:szCs w:val="32"/>
        </w:rPr>
      </w:pPr>
      <w:r>
        <w:rPr>
          <w:noProof/>
        </w:rPr>
        <w:drawing>
          <wp:inline distT="0" distB="0" distL="0" distR="0" wp14:anchorId="43585EC5" wp14:editId="5AA24CD8">
            <wp:extent cx="6052991" cy="3404724"/>
            <wp:effectExtent l="0" t="0" r="5080" b="571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061344" cy="3409423"/>
                    </a:xfrm>
                    <a:prstGeom prst="rect">
                      <a:avLst/>
                    </a:prstGeom>
                  </pic:spPr>
                </pic:pic>
              </a:graphicData>
            </a:graphic>
          </wp:inline>
        </w:drawing>
      </w:r>
    </w:p>
    <w:p w14:paraId="0197A634" w14:textId="31CFB6F0" w:rsidR="00E73E2A" w:rsidRDefault="00E73E2A" w:rsidP="00471C9C">
      <w:pPr>
        <w:rPr>
          <w:rFonts w:ascii="Arial" w:hAnsi="Arial" w:cs="Arial"/>
          <w:b/>
          <w:bCs/>
          <w:sz w:val="32"/>
          <w:szCs w:val="32"/>
        </w:rPr>
      </w:pPr>
    </w:p>
    <w:p w14:paraId="08A9E8D0" w14:textId="4CFF53BE" w:rsidR="00E73E2A" w:rsidRDefault="00E73E2A" w:rsidP="00471C9C">
      <w:pPr>
        <w:rPr>
          <w:rFonts w:ascii="Arial" w:hAnsi="Arial" w:cs="Arial"/>
          <w:b/>
          <w:bCs/>
          <w:sz w:val="32"/>
          <w:szCs w:val="32"/>
        </w:rPr>
      </w:pPr>
      <w:r>
        <w:rPr>
          <w:rFonts w:ascii="Arial" w:hAnsi="Arial" w:cs="Arial"/>
          <w:b/>
          <w:bCs/>
          <w:noProof/>
          <w:sz w:val="32"/>
          <w:szCs w:val="32"/>
        </w:rPr>
        <w:drawing>
          <wp:inline distT="0" distB="0" distL="0" distR="0" wp14:anchorId="39E31B48" wp14:editId="3001B812">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08F2A3D" w14:textId="7F542CD0" w:rsidR="00083AA3" w:rsidRDefault="00083AA3" w:rsidP="00471C9C">
      <w:pPr>
        <w:rPr>
          <w:rFonts w:ascii="Arial" w:hAnsi="Arial" w:cs="Arial"/>
          <w:b/>
          <w:bCs/>
          <w:sz w:val="32"/>
          <w:szCs w:val="32"/>
        </w:rPr>
      </w:pPr>
    </w:p>
    <w:p w14:paraId="5B4832C7" w14:textId="7BD0E903" w:rsidR="00083AA3" w:rsidRDefault="00083AA3" w:rsidP="00471C9C">
      <w:pPr>
        <w:rPr>
          <w:rFonts w:ascii="Arial" w:hAnsi="Arial" w:cs="Arial"/>
          <w:b/>
          <w:bCs/>
          <w:sz w:val="32"/>
          <w:szCs w:val="32"/>
        </w:rPr>
      </w:pPr>
    </w:p>
    <w:p w14:paraId="18880770" w14:textId="020D71DA" w:rsidR="00083AA3" w:rsidRDefault="00E73E2A" w:rsidP="00471C9C">
      <w:pPr>
        <w:rPr>
          <w:rFonts w:ascii="Arial" w:hAnsi="Arial" w:cs="Arial"/>
          <w:b/>
          <w:bCs/>
          <w:sz w:val="32"/>
          <w:szCs w:val="32"/>
        </w:rPr>
      </w:pPr>
      <w:r>
        <w:rPr>
          <w:rFonts w:ascii="Arial" w:hAnsi="Arial" w:cs="Arial"/>
          <w:b/>
          <w:bCs/>
          <w:noProof/>
          <w:sz w:val="32"/>
          <w:szCs w:val="32"/>
        </w:rPr>
        <w:drawing>
          <wp:inline distT="0" distB="0" distL="0" distR="0" wp14:anchorId="51CE5AD8" wp14:editId="19CDAA5D">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DB6AD1A" w14:textId="77777777" w:rsidR="00083AA3" w:rsidRPr="00471C9C" w:rsidRDefault="00083AA3" w:rsidP="00471C9C">
      <w:pPr>
        <w:rPr>
          <w:rFonts w:ascii="Arial" w:hAnsi="Arial" w:cs="Arial"/>
          <w:b/>
          <w:bCs/>
          <w:sz w:val="32"/>
          <w:szCs w:val="32"/>
        </w:rPr>
      </w:pPr>
    </w:p>
    <w:sectPr w:rsidR="00083AA3" w:rsidRPr="00471C9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47E5B" w14:textId="77777777" w:rsidR="00716D7B" w:rsidRDefault="00716D7B" w:rsidP="00471C9C">
      <w:pPr>
        <w:spacing w:after="0" w:line="240" w:lineRule="auto"/>
      </w:pPr>
      <w:r>
        <w:separator/>
      </w:r>
    </w:p>
  </w:endnote>
  <w:endnote w:type="continuationSeparator" w:id="0">
    <w:p w14:paraId="71F2952F" w14:textId="77777777" w:rsidR="00716D7B" w:rsidRDefault="00716D7B" w:rsidP="0047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381465"/>
      <w:docPartObj>
        <w:docPartGallery w:val="Page Numbers (Bottom of Page)"/>
        <w:docPartUnique/>
      </w:docPartObj>
    </w:sdtPr>
    <w:sdtEndPr>
      <w:rPr>
        <w:noProof/>
      </w:rPr>
    </w:sdtEndPr>
    <w:sdtContent>
      <w:p w14:paraId="3410CA5A" w14:textId="58BE91D4" w:rsidR="00471C9C" w:rsidRDefault="00471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53C49" w14:textId="77777777" w:rsidR="00471C9C" w:rsidRDefault="00471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74872" w14:textId="77777777" w:rsidR="00716D7B" w:rsidRDefault="00716D7B" w:rsidP="00471C9C">
      <w:pPr>
        <w:spacing w:after="0" w:line="240" w:lineRule="auto"/>
      </w:pPr>
      <w:r>
        <w:separator/>
      </w:r>
    </w:p>
  </w:footnote>
  <w:footnote w:type="continuationSeparator" w:id="0">
    <w:p w14:paraId="53ABE625" w14:textId="77777777" w:rsidR="00716D7B" w:rsidRDefault="00716D7B" w:rsidP="00471C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C9C"/>
    <w:rsid w:val="0000321F"/>
    <w:rsid w:val="00083AA3"/>
    <w:rsid w:val="0012346D"/>
    <w:rsid w:val="001443CD"/>
    <w:rsid w:val="001B2500"/>
    <w:rsid w:val="001F3BDE"/>
    <w:rsid w:val="00211548"/>
    <w:rsid w:val="00275F1E"/>
    <w:rsid w:val="00295DA0"/>
    <w:rsid w:val="002B1E00"/>
    <w:rsid w:val="002D219F"/>
    <w:rsid w:val="003230B3"/>
    <w:rsid w:val="003614B6"/>
    <w:rsid w:val="00397E34"/>
    <w:rsid w:val="003A0C35"/>
    <w:rsid w:val="003A7432"/>
    <w:rsid w:val="003E17C8"/>
    <w:rsid w:val="003E2712"/>
    <w:rsid w:val="003F2EC3"/>
    <w:rsid w:val="0040413E"/>
    <w:rsid w:val="0044338D"/>
    <w:rsid w:val="00471C9C"/>
    <w:rsid w:val="004771EC"/>
    <w:rsid w:val="004A04C1"/>
    <w:rsid w:val="004D16E2"/>
    <w:rsid w:val="004E1212"/>
    <w:rsid w:val="004F7F9F"/>
    <w:rsid w:val="005315FE"/>
    <w:rsid w:val="00544CBA"/>
    <w:rsid w:val="00545901"/>
    <w:rsid w:val="005801E3"/>
    <w:rsid w:val="005838F4"/>
    <w:rsid w:val="005A434D"/>
    <w:rsid w:val="005C6AFF"/>
    <w:rsid w:val="005F7F02"/>
    <w:rsid w:val="006150B2"/>
    <w:rsid w:val="006406F0"/>
    <w:rsid w:val="006755BA"/>
    <w:rsid w:val="00684BE9"/>
    <w:rsid w:val="00685E3F"/>
    <w:rsid w:val="006B6557"/>
    <w:rsid w:val="00716D7B"/>
    <w:rsid w:val="00717442"/>
    <w:rsid w:val="00736E70"/>
    <w:rsid w:val="00740D92"/>
    <w:rsid w:val="0078369D"/>
    <w:rsid w:val="007A799B"/>
    <w:rsid w:val="007B322B"/>
    <w:rsid w:val="0080545B"/>
    <w:rsid w:val="00861D3B"/>
    <w:rsid w:val="0086791D"/>
    <w:rsid w:val="008822AD"/>
    <w:rsid w:val="00884C9B"/>
    <w:rsid w:val="008A2448"/>
    <w:rsid w:val="008B4F4C"/>
    <w:rsid w:val="00921EAD"/>
    <w:rsid w:val="00931538"/>
    <w:rsid w:val="009333A8"/>
    <w:rsid w:val="00940EFC"/>
    <w:rsid w:val="009A5967"/>
    <w:rsid w:val="009B30BE"/>
    <w:rsid w:val="009B4656"/>
    <w:rsid w:val="00A0701A"/>
    <w:rsid w:val="00A0737F"/>
    <w:rsid w:val="00A316DF"/>
    <w:rsid w:val="00A656F6"/>
    <w:rsid w:val="00A65CC5"/>
    <w:rsid w:val="00AC25DF"/>
    <w:rsid w:val="00AE0E2C"/>
    <w:rsid w:val="00AE648A"/>
    <w:rsid w:val="00AF2B19"/>
    <w:rsid w:val="00B37677"/>
    <w:rsid w:val="00B4672E"/>
    <w:rsid w:val="00B56378"/>
    <w:rsid w:val="00B720FA"/>
    <w:rsid w:val="00BB2B4F"/>
    <w:rsid w:val="00BF387E"/>
    <w:rsid w:val="00C2420C"/>
    <w:rsid w:val="00C2627A"/>
    <w:rsid w:val="00C52DF2"/>
    <w:rsid w:val="00C96561"/>
    <w:rsid w:val="00CA3DAE"/>
    <w:rsid w:val="00D258F0"/>
    <w:rsid w:val="00D25E97"/>
    <w:rsid w:val="00D30862"/>
    <w:rsid w:val="00D51457"/>
    <w:rsid w:val="00D60BC3"/>
    <w:rsid w:val="00D6753A"/>
    <w:rsid w:val="00D72708"/>
    <w:rsid w:val="00D80B7E"/>
    <w:rsid w:val="00D8198D"/>
    <w:rsid w:val="00D83ADC"/>
    <w:rsid w:val="00D83E80"/>
    <w:rsid w:val="00DA0BAB"/>
    <w:rsid w:val="00DB1125"/>
    <w:rsid w:val="00DB3F47"/>
    <w:rsid w:val="00DD513B"/>
    <w:rsid w:val="00DF4B39"/>
    <w:rsid w:val="00E73E2A"/>
    <w:rsid w:val="00EC5617"/>
    <w:rsid w:val="00F44140"/>
    <w:rsid w:val="00F46FD5"/>
    <w:rsid w:val="00F72FD6"/>
    <w:rsid w:val="00F921EE"/>
    <w:rsid w:val="00FA127A"/>
    <w:rsid w:val="00FC2B07"/>
    <w:rsid w:val="00FC45C2"/>
    <w:rsid w:val="00FF025E"/>
    <w:rsid w:val="76CB67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1C9C"/>
    <w:pPr>
      <w:spacing w:after="100"/>
    </w:pPr>
    <w:rPr>
      <w:rFonts w:eastAsiaTheme="minorEastAsia" w:cs="Times New Roman"/>
      <w:lang w:val="en-US"/>
    </w:rPr>
  </w:style>
  <w:style w:type="paragraph" w:styleId="TOC3">
    <w:name w:val="toc 3"/>
    <w:basedOn w:val="Normal"/>
    <w:next w:val="Normal"/>
    <w:autoRedefine/>
    <w:uiPriority w:val="39"/>
    <w:unhideWhenUsed/>
    <w:rsid w:val="00471C9C"/>
    <w:pPr>
      <w:spacing w:after="100"/>
      <w:ind w:left="440"/>
    </w:pPr>
    <w:rPr>
      <w:rFonts w:eastAsiaTheme="minorEastAsia" w:cs="Times New Roman"/>
      <w:lang w:val="en-US"/>
    </w:rPr>
  </w:style>
  <w:style w:type="character" w:styleId="Hyperlink">
    <w:name w:val="Hyperlink"/>
    <w:basedOn w:val="DefaultParagraphFont"/>
    <w:uiPriority w:val="99"/>
    <w:unhideWhenUsed/>
    <w:rsid w:val="00083AA3"/>
    <w:rPr>
      <w:color w:val="0563C1" w:themeColor="hyperlink"/>
      <w:u w:val="single"/>
    </w:rPr>
  </w:style>
  <w:style w:type="character" w:styleId="UnresolvedMention">
    <w:name w:val="Unresolved Mention"/>
    <w:basedOn w:val="DefaultParagraphFont"/>
    <w:uiPriority w:val="99"/>
    <w:semiHidden/>
    <w:unhideWhenUsed/>
    <w:rsid w:val="00083A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28654225/" TargetMode="External"/><Relationship Id="rId13" Type="http://schemas.openxmlformats.org/officeDocument/2006/relationships/image" Target="media/image3.sv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cd.who.int/browse10/2010/en"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psychcentral.com/eating-disorders/anorexia-nervosa-causes" TargetMode="External"/><Relationship Id="rId4" Type="http://schemas.openxmlformats.org/officeDocument/2006/relationships/webSettings" Target="webSettings.xml"/><Relationship Id="rId9" Type="http://schemas.openxmlformats.org/officeDocument/2006/relationships/hyperlink" Target="https://www.nhs.uk/mental-health/conditions/anorexia/"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D3DB8-73B4-41E2-84F6-D2BA29B3C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10</Pages>
  <Words>1932</Words>
  <Characters>11017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sana mushtaq</cp:lastModifiedBy>
  <cp:revision>98</cp:revision>
  <dcterms:created xsi:type="dcterms:W3CDTF">2023-10-19T11:53:00Z</dcterms:created>
  <dcterms:modified xsi:type="dcterms:W3CDTF">2023-10-25T10:11:00Z</dcterms:modified>
</cp:coreProperties>
</file>