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47C1FB75" w:rsidR="008F2FE9" w:rsidRDefault="32ADAAF6" w:rsidP="021F216E">
      <w:pPr>
        <w:jc w:val="center"/>
      </w:pPr>
      <w:r>
        <w:rPr>
          <w:noProof/>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2EBBF3BD" w14:textId="48352E28" w:rsidR="021F216E" w:rsidRDefault="021F216E" w:rsidP="021F216E">
      <w:pPr>
        <w:jc w:val="center"/>
        <w:rPr>
          <w:rFonts w:ascii="Arial Nova" w:eastAsia="Arial Nova" w:hAnsi="Arial Nova" w:cs="Arial Nova"/>
        </w:rPr>
      </w:pPr>
    </w:p>
    <w:p w14:paraId="3AB2347F" w14:textId="77777777" w:rsidR="00BB5E96" w:rsidRDefault="00BB5E96" w:rsidP="021F216E">
      <w:pPr>
        <w:jc w:val="center"/>
        <w:rPr>
          <w:rFonts w:ascii="Arial Nova" w:eastAsia="Arial Nova" w:hAnsi="Arial Nova" w:cs="Arial Nova"/>
        </w:rPr>
      </w:pPr>
    </w:p>
    <w:p w14:paraId="3CC99A4D" w14:textId="0519C783" w:rsidR="32ADAAF6" w:rsidRDefault="003941BF" w:rsidP="021F216E">
      <w:pPr>
        <w:jc w:val="center"/>
        <w:rPr>
          <w:rFonts w:ascii="Arial Nova" w:eastAsia="Arial Nova" w:hAnsi="Arial Nova" w:cs="Arial Nova"/>
          <w:sz w:val="72"/>
          <w:szCs w:val="72"/>
        </w:rPr>
      </w:pPr>
      <w:r>
        <w:rPr>
          <w:rFonts w:ascii="Arial Nova" w:eastAsia="Arial Nova" w:hAnsi="Arial Nova" w:cs="Arial Nova"/>
          <w:sz w:val="72"/>
          <w:szCs w:val="72"/>
        </w:rPr>
        <w:t>Zamzam Abdaalah</w:t>
      </w:r>
    </w:p>
    <w:p w14:paraId="136D51FE" w14:textId="3032D02D" w:rsidR="001A5F0D" w:rsidRDefault="003941BF" w:rsidP="00BB5E96">
      <w:pPr>
        <w:jc w:val="center"/>
        <w:rPr>
          <w:rFonts w:ascii="Arial Nova" w:eastAsia="Arial Nova" w:hAnsi="Arial Nova" w:cs="Arial Nova"/>
          <w:sz w:val="72"/>
          <w:szCs w:val="72"/>
        </w:rPr>
      </w:pPr>
      <w:r>
        <w:rPr>
          <w:rFonts w:ascii="Arial Nova" w:eastAsia="Arial Nova" w:hAnsi="Arial Nova" w:cs="Arial Nova"/>
          <w:sz w:val="72"/>
          <w:szCs w:val="72"/>
        </w:rPr>
        <w:t>2408411</w:t>
      </w:r>
    </w:p>
    <w:p w14:paraId="1C10CC55" w14:textId="3674B0AA" w:rsidR="003941BF" w:rsidRDefault="00BF4986" w:rsidP="021F216E">
      <w:pPr>
        <w:jc w:val="center"/>
        <w:rPr>
          <w:rFonts w:ascii="Arial Nova" w:eastAsia="Arial Nova" w:hAnsi="Arial Nova" w:cs="Arial Nova"/>
          <w:sz w:val="96"/>
          <w:szCs w:val="96"/>
        </w:rPr>
      </w:pPr>
      <w:r>
        <w:rPr>
          <w:rFonts w:ascii="Arial Nova" w:eastAsia="Arial Nova" w:hAnsi="Arial Nova" w:cs="Arial Nova"/>
          <w:sz w:val="72"/>
          <w:szCs w:val="72"/>
        </w:rPr>
        <w:t>C</w:t>
      </w:r>
      <w:r w:rsidR="003941BF">
        <w:rPr>
          <w:rFonts w:ascii="Arial Nova" w:eastAsia="Arial Nova" w:hAnsi="Arial Nova" w:cs="Arial Nova"/>
          <w:sz w:val="72"/>
          <w:szCs w:val="72"/>
        </w:rPr>
        <w:t>reat</w:t>
      </w:r>
      <w:r>
        <w:rPr>
          <w:rFonts w:ascii="Arial Nova" w:eastAsia="Arial Nova" w:hAnsi="Arial Nova" w:cs="Arial Nova"/>
          <w:sz w:val="72"/>
          <w:szCs w:val="72"/>
        </w:rPr>
        <w:t xml:space="preserve">ivity and </w:t>
      </w:r>
      <w:r w:rsidR="00154906">
        <w:rPr>
          <w:rFonts w:ascii="Arial Nova" w:eastAsia="Arial Nova" w:hAnsi="Arial Nova" w:cs="Arial Nova"/>
          <w:sz w:val="72"/>
          <w:szCs w:val="72"/>
        </w:rPr>
        <w:t xml:space="preserve">value </w:t>
      </w:r>
      <w:r w:rsidR="00523362">
        <w:rPr>
          <w:rFonts w:ascii="Arial Nova" w:eastAsia="Arial Nova" w:hAnsi="Arial Nova" w:cs="Arial Nova"/>
          <w:sz w:val="72"/>
          <w:szCs w:val="72"/>
        </w:rPr>
        <w:t>creation in Health and Social Care</w:t>
      </w:r>
    </w:p>
    <w:p w14:paraId="214C5709" w14:textId="77777777" w:rsidR="00500C32" w:rsidRPr="00500C32" w:rsidRDefault="00500C32" w:rsidP="00500C32">
      <w:pPr>
        <w:jc w:val="center"/>
        <w:rPr>
          <w:rFonts w:ascii="Arial Nova" w:eastAsia="Arial Nova" w:hAnsi="Arial Nova" w:cs="Arial Nova"/>
          <w:sz w:val="72"/>
          <w:szCs w:val="72"/>
          <w:lang w:val="en-GB"/>
        </w:rPr>
      </w:pPr>
      <w:r w:rsidRPr="00500C32">
        <w:rPr>
          <w:rFonts w:ascii="Arial Nova" w:eastAsia="Arial Nova" w:hAnsi="Arial Nova" w:cs="Arial Nova"/>
          <w:sz w:val="72"/>
          <w:szCs w:val="72"/>
          <w:lang w:val="en-GB"/>
        </w:rPr>
        <w:t>(BMHP5014_BIRM)</w:t>
      </w:r>
    </w:p>
    <w:p w14:paraId="6844EBA0" w14:textId="676366D8" w:rsidR="021F216E" w:rsidRDefault="00BB5E96" w:rsidP="021F216E">
      <w:pPr>
        <w:jc w:val="center"/>
        <w:rPr>
          <w:rFonts w:ascii="Arial Nova" w:eastAsia="Arial Nova" w:hAnsi="Arial Nova" w:cs="Arial Nova"/>
          <w:sz w:val="72"/>
          <w:szCs w:val="72"/>
        </w:rPr>
      </w:pPr>
      <w:r>
        <w:rPr>
          <w:rFonts w:ascii="Arial Nova" w:eastAsia="Arial Nova" w:hAnsi="Arial Nova" w:cs="Arial Nova"/>
          <w:sz w:val="72"/>
          <w:szCs w:val="72"/>
        </w:rPr>
        <w:t>Component 1</w:t>
      </w:r>
    </w:p>
    <w:p w14:paraId="75EE7437" w14:textId="77777777" w:rsidR="00690672" w:rsidRDefault="00690672" w:rsidP="00D44321">
      <w:pPr>
        <w:rPr>
          <w:rFonts w:ascii="Arial Nova" w:eastAsia="Arial Nova" w:hAnsi="Arial Nova" w:cs="Arial Nova"/>
          <w:sz w:val="72"/>
          <w:szCs w:val="72"/>
        </w:rPr>
      </w:pPr>
    </w:p>
    <w:p w14:paraId="2AC6DD70" w14:textId="77777777" w:rsidR="00687270" w:rsidRDefault="00687270" w:rsidP="00D44321">
      <w:pPr>
        <w:rPr>
          <w:rFonts w:ascii="Arial Nova" w:eastAsia="Arial Nova" w:hAnsi="Arial Nova" w:cs="Arial Nova"/>
          <w:sz w:val="44"/>
          <w:szCs w:val="44"/>
        </w:rPr>
      </w:pPr>
    </w:p>
    <w:p w14:paraId="58FB7A83" w14:textId="0CC14614" w:rsidR="1AEA2BF4" w:rsidRDefault="32ADAAF6" w:rsidP="00D44321">
      <w:pPr>
        <w:rPr>
          <w:rFonts w:ascii="Arial Nova" w:eastAsia="Arial Nova" w:hAnsi="Arial Nova" w:cs="Arial Nova"/>
          <w:sz w:val="72"/>
          <w:szCs w:val="72"/>
        </w:rPr>
      </w:pPr>
      <w:r w:rsidRPr="021F216E">
        <w:rPr>
          <w:rFonts w:ascii="Arial Nova" w:eastAsia="Arial Nova" w:hAnsi="Arial Nova" w:cs="Arial Nova"/>
          <w:sz w:val="44"/>
          <w:szCs w:val="44"/>
        </w:rPr>
        <w:lastRenderedPageBreak/>
        <w:t>Task 1 – Concept Map</w:t>
      </w:r>
    </w:p>
    <w:p w14:paraId="44D3C489" w14:textId="4F2D4DEC" w:rsidR="00D44321" w:rsidRDefault="003E1E84" w:rsidP="00D44321">
      <w:pPr>
        <w:rPr>
          <w:rFonts w:asciiTheme="minorBidi" w:eastAsia="Arial Nova" w:hAnsiTheme="minorBidi"/>
        </w:rPr>
      </w:pPr>
      <w:r>
        <w:rPr>
          <w:rFonts w:asciiTheme="minorBidi" w:eastAsia="Arial Nova" w:hAnsiTheme="minorBidi"/>
          <w:noProof/>
        </w:rPr>
        <w:drawing>
          <wp:anchor distT="0" distB="0" distL="114300" distR="114300" simplePos="0" relativeHeight="251658240" behindDoc="0" locked="0" layoutInCell="1" allowOverlap="1" wp14:anchorId="1C2D4794" wp14:editId="0CFF64FA">
            <wp:simplePos x="0" y="0"/>
            <wp:positionH relativeFrom="page">
              <wp:posOffset>533400</wp:posOffset>
            </wp:positionH>
            <wp:positionV relativeFrom="paragraph">
              <wp:posOffset>455930</wp:posOffset>
            </wp:positionV>
            <wp:extent cx="6964680" cy="3388995"/>
            <wp:effectExtent l="0" t="0" r="7620" b="1905"/>
            <wp:wrapSquare wrapText="bothSides"/>
            <wp:docPr id="201302293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3022930" name="Picture 2013022930"/>
                    <pic:cNvPicPr/>
                  </pic:nvPicPr>
                  <pic:blipFill>
                    <a:blip r:embed="rId9" cstate="print">
                      <a:extLst>
                        <a:ext uri="{28A0092B-C50C-407E-A947-70E740481C1C}">
                          <a14:useLocalDpi xmlns:a14="http://schemas.microsoft.com/office/drawing/2010/main" val="0"/>
                        </a:ext>
                      </a:extLst>
                    </a:blip>
                    <a:stretch>
                      <a:fillRect/>
                    </a:stretch>
                  </pic:blipFill>
                  <pic:spPr>
                    <a:xfrm>
                      <a:off x="0" y="0"/>
                      <a:ext cx="6964680" cy="3388995"/>
                    </a:xfrm>
                    <a:prstGeom prst="rect">
                      <a:avLst/>
                    </a:prstGeom>
                  </pic:spPr>
                </pic:pic>
              </a:graphicData>
            </a:graphic>
            <wp14:sizeRelH relativeFrom="page">
              <wp14:pctWidth>0</wp14:pctWidth>
            </wp14:sizeRelH>
            <wp14:sizeRelV relativeFrom="page">
              <wp14:pctHeight>0</wp14:pctHeight>
            </wp14:sizeRelV>
          </wp:anchor>
        </w:drawing>
      </w:r>
    </w:p>
    <w:p w14:paraId="33E03F0A" w14:textId="123D27D2" w:rsidR="00FA0310" w:rsidRPr="00D44321" w:rsidRDefault="00FA0310" w:rsidP="00D44321">
      <w:pPr>
        <w:rPr>
          <w:rFonts w:asciiTheme="minorBidi" w:eastAsia="Arial Nova" w:hAnsiTheme="minorBidi"/>
        </w:rPr>
      </w:pPr>
    </w:p>
    <w:p w14:paraId="47D2D0CB" w14:textId="37A98A4D" w:rsidR="00431EC9" w:rsidRDefault="00431EC9" w:rsidP="00431EC9">
      <w:pPr>
        <w:rPr>
          <w:rFonts w:asciiTheme="minorBidi" w:hAnsiTheme="minorBidi"/>
          <w:sz w:val="22"/>
          <w:szCs w:val="22"/>
        </w:rPr>
      </w:pPr>
      <w:r w:rsidRPr="00196EF0">
        <w:rPr>
          <w:rFonts w:asciiTheme="minorBidi" w:hAnsiTheme="minorBidi"/>
          <w:sz w:val="22"/>
          <w:szCs w:val="22"/>
        </w:rPr>
        <w:t>Creativity, value creation and health and social care improvement are closely interconnected within modern health and social care systems. Creativity enables professionals to think differently about complex problems such as rising demand, workforce pressures and health inequalities. In health and social care settings, creative approaches often involve collaboration with service users, carers and multidisciplinary teams to design innovative and person-centred solutions (Brewster et al., 2021).</w:t>
      </w:r>
      <w:r w:rsidRPr="00196EF0">
        <w:rPr>
          <w:rFonts w:asciiTheme="minorBidi" w:hAnsiTheme="minorBidi"/>
          <w:sz w:val="22"/>
          <w:szCs w:val="22"/>
        </w:rPr>
        <w:br/>
      </w:r>
      <w:r w:rsidRPr="00196EF0">
        <w:rPr>
          <w:rFonts w:asciiTheme="minorBidi" w:hAnsiTheme="minorBidi"/>
          <w:sz w:val="22"/>
          <w:szCs w:val="22"/>
        </w:rPr>
        <w:br/>
        <w:t>These creative ideas contribute directly to value creation, which in healthcare is defined as achieving better outcomes and experiences for people while using resources efficiently (Porter, 2010). For example, creative service redesign in community care can reduce unnecessary hospital admissions, improve patient independence and lower costs. The NHS emphasises value through its focus on improving population health, patient experience and staff wellbeing while ensuring sustainable use of resources (NHS England, 2022).</w:t>
      </w:r>
      <w:r w:rsidRPr="00196EF0">
        <w:rPr>
          <w:rFonts w:asciiTheme="minorBidi" w:hAnsiTheme="minorBidi"/>
          <w:sz w:val="22"/>
          <w:szCs w:val="22"/>
        </w:rPr>
        <w:br/>
      </w:r>
      <w:r w:rsidRPr="00196EF0">
        <w:rPr>
          <w:rFonts w:asciiTheme="minorBidi" w:hAnsiTheme="minorBidi"/>
          <w:sz w:val="22"/>
          <w:szCs w:val="22"/>
        </w:rPr>
        <w:br/>
        <w:t xml:space="preserve">Creativity and value creation are embedded through health and social care improvement methods. Quality improvement approaches such as PDSA cycles allow teams to test creative ideas, measure outcomes and refine practice based on evidence (The Health Foundation, </w:t>
      </w:r>
      <w:r w:rsidRPr="00196EF0">
        <w:rPr>
          <w:rFonts w:asciiTheme="minorBidi" w:hAnsiTheme="minorBidi"/>
          <w:sz w:val="22"/>
          <w:szCs w:val="22"/>
        </w:rPr>
        <w:lastRenderedPageBreak/>
        <w:t>2021). Overall, creativity drives innovation, value creation ensures meaningful benefit, and improvement frameworks embed positive change into everyday practice.</w:t>
      </w:r>
    </w:p>
    <w:p w14:paraId="55A6A548" w14:textId="77777777" w:rsidR="003E1E84" w:rsidRDefault="003E1E84" w:rsidP="00431EC9">
      <w:pPr>
        <w:rPr>
          <w:rFonts w:asciiTheme="minorBidi" w:hAnsiTheme="minorBidi"/>
          <w:sz w:val="22"/>
          <w:szCs w:val="22"/>
        </w:rPr>
      </w:pPr>
    </w:p>
    <w:p w14:paraId="6B07ED49" w14:textId="77777777" w:rsidR="003E1E84" w:rsidRDefault="003E1E84" w:rsidP="00431EC9">
      <w:pPr>
        <w:rPr>
          <w:rFonts w:asciiTheme="minorBidi" w:hAnsiTheme="minorBidi"/>
          <w:sz w:val="22"/>
          <w:szCs w:val="22"/>
        </w:rPr>
      </w:pPr>
    </w:p>
    <w:p w14:paraId="3300DA2B" w14:textId="77777777" w:rsidR="003E1E84" w:rsidRDefault="003E1E84" w:rsidP="00431EC9">
      <w:pPr>
        <w:rPr>
          <w:rFonts w:asciiTheme="minorBidi" w:hAnsiTheme="minorBidi"/>
          <w:sz w:val="22"/>
          <w:szCs w:val="22"/>
        </w:rPr>
      </w:pPr>
    </w:p>
    <w:p w14:paraId="218981E9" w14:textId="77777777" w:rsidR="003E1E84" w:rsidRDefault="003E1E84" w:rsidP="00431EC9">
      <w:pPr>
        <w:rPr>
          <w:rFonts w:asciiTheme="minorBidi" w:hAnsiTheme="minorBidi"/>
          <w:sz w:val="22"/>
          <w:szCs w:val="22"/>
        </w:rPr>
      </w:pPr>
    </w:p>
    <w:p w14:paraId="28C25ADF" w14:textId="77777777" w:rsidR="003E1E84" w:rsidRDefault="003E1E84" w:rsidP="00431EC9">
      <w:pPr>
        <w:rPr>
          <w:rFonts w:asciiTheme="minorBidi" w:hAnsiTheme="minorBidi"/>
          <w:sz w:val="22"/>
          <w:szCs w:val="22"/>
        </w:rPr>
      </w:pPr>
    </w:p>
    <w:p w14:paraId="779E2EB9" w14:textId="77777777" w:rsidR="003E1E84" w:rsidRDefault="003E1E84" w:rsidP="00431EC9">
      <w:pPr>
        <w:rPr>
          <w:rFonts w:asciiTheme="minorBidi" w:hAnsiTheme="minorBidi"/>
          <w:sz w:val="22"/>
          <w:szCs w:val="22"/>
        </w:rPr>
      </w:pPr>
    </w:p>
    <w:p w14:paraId="09E4BC8D" w14:textId="77777777" w:rsidR="003E1E84" w:rsidRDefault="003E1E84" w:rsidP="00431EC9">
      <w:pPr>
        <w:rPr>
          <w:rFonts w:asciiTheme="minorBidi" w:hAnsiTheme="minorBidi"/>
          <w:sz w:val="22"/>
          <w:szCs w:val="22"/>
        </w:rPr>
      </w:pPr>
    </w:p>
    <w:p w14:paraId="65D9C757" w14:textId="77777777" w:rsidR="003E1E84" w:rsidRDefault="003E1E84" w:rsidP="00431EC9">
      <w:pPr>
        <w:rPr>
          <w:rFonts w:asciiTheme="minorBidi" w:hAnsiTheme="minorBidi"/>
          <w:sz w:val="22"/>
          <w:szCs w:val="22"/>
        </w:rPr>
      </w:pPr>
    </w:p>
    <w:p w14:paraId="0797D521" w14:textId="77777777" w:rsidR="003E1E84" w:rsidRDefault="003E1E84" w:rsidP="00431EC9">
      <w:pPr>
        <w:rPr>
          <w:rFonts w:asciiTheme="minorBidi" w:hAnsiTheme="minorBidi"/>
          <w:sz w:val="22"/>
          <w:szCs w:val="22"/>
        </w:rPr>
      </w:pPr>
    </w:p>
    <w:p w14:paraId="0751E25B" w14:textId="77777777" w:rsidR="003E1E84" w:rsidRDefault="003E1E84" w:rsidP="00431EC9">
      <w:pPr>
        <w:rPr>
          <w:rFonts w:asciiTheme="minorBidi" w:hAnsiTheme="minorBidi"/>
          <w:sz w:val="22"/>
          <w:szCs w:val="22"/>
        </w:rPr>
      </w:pPr>
    </w:p>
    <w:p w14:paraId="2E86BED7" w14:textId="77777777" w:rsidR="003E1E84" w:rsidRDefault="003E1E84" w:rsidP="00431EC9">
      <w:pPr>
        <w:rPr>
          <w:rFonts w:asciiTheme="minorBidi" w:hAnsiTheme="minorBidi"/>
          <w:sz w:val="22"/>
          <w:szCs w:val="22"/>
        </w:rPr>
      </w:pPr>
    </w:p>
    <w:p w14:paraId="6A7026E7" w14:textId="77777777" w:rsidR="003E1E84" w:rsidRDefault="003E1E84" w:rsidP="00431EC9">
      <w:pPr>
        <w:rPr>
          <w:rFonts w:asciiTheme="minorBidi" w:hAnsiTheme="minorBidi"/>
          <w:sz w:val="22"/>
          <w:szCs w:val="22"/>
        </w:rPr>
      </w:pPr>
    </w:p>
    <w:p w14:paraId="3FC9452B" w14:textId="77777777" w:rsidR="003E1E84" w:rsidRDefault="003E1E84" w:rsidP="00431EC9">
      <w:pPr>
        <w:rPr>
          <w:rFonts w:asciiTheme="minorBidi" w:hAnsiTheme="minorBidi"/>
          <w:sz w:val="22"/>
          <w:szCs w:val="22"/>
        </w:rPr>
      </w:pPr>
    </w:p>
    <w:p w14:paraId="75F5EFA4" w14:textId="77777777" w:rsidR="003E1E84" w:rsidRDefault="003E1E84" w:rsidP="00431EC9">
      <w:pPr>
        <w:rPr>
          <w:rFonts w:asciiTheme="minorBidi" w:hAnsiTheme="minorBidi"/>
          <w:sz w:val="22"/>
          <w:szCs w:val="22"/>
        </w:rPr>
      </w:pPr>
    </w:p>
    <w:p w14:paraId="09B0B51E" w14:textId="77777777" w:rsidR="003E1E84" w:rsidRDefault="003E1E84" w:rsidP="00431EC9">
      <w:pPr>
        <w:rPr>
          <w:rFonts w:asciiTheme="minorBidi" w:hAnsiTheme="minorBidi"/>
          <w:sz w:val="22"/>
          <w:szCs w:val="22"/>
        </w:rPr>
      </w:pPr>
    </w:p>
    <w:p w14:paraId="1A423A42" w14:textId="77777777" w:rsidR="003E1E84" w:rsidRDefault="003E1E84" w:rsidP="00431EC9">
      <w:pPr>
        <w:rPr>
          <w:rFonts w:asciiTheme="minorBidi" w:hAnsiTheme="minorBidi"/>
          <w:sz w:val="22"/>
          <w:szCs w:val="22"/>
        </w:rPr>
      </w:pPr>
    </w:p>
    <w:p w14:paraId="15101E81" w14:textId="77777777" w:rsidR="003E1E84" w:rsidRDefault="003E1E84" w:rsidP="00431EC9">
      <w:pPr>
        <w:rPr>
          <w:rFonts w:asciiTheme="minorBidi" w:hAnsiTheme="minorBidi"/>
          <w:sz w:val="22"/>
          <w:szCs w:val="22"/>
        </w:rPr>
      </w:pPr>
    </w:p>
    <w:p w14:paraId="0CDC21B0" w14:textId="77777777" w:rsidR="003E1E84" w:rsidRDefault="003E1E84" w:rsidP="00431EC9">
      <w:pPr>
        <w:rPr>
          <w:rFonts w:asciiTheme="minorBidi" w:hAnsiTheme="minorBidi"/>
          <w:sz w:val="22"/>
          <w:szCs w:val="22"/>
        </w:rPr>
      </w:pPr>
    </w:p>
    <w:p w14:paraId="03F425EC" w14:textId="77777777" w:rsidR="003E1E84" w:rsidRDefault="003E1E84" w:rsidP="00431EC9">
      <w:pPr>
        <w:rPr>
          <w:rFonts w:asciiTheme="minorBidi" w:hAnsiTheme="minorBidi"/>
          <w:sz w:val="22"/>
          <w:szCs w:val="22"/>
        </w:rPr>
      </w:pPr>
    </w:p>
    <w:p w14:paraId="1238AD1F" w14:textId="77777777" w:rsidR="003E1E84" w:rsidRDefault="003E1E84" w:rsidP="00431EC9">
      <w:pPr>
        <w:rPr>
          <w:rFonts w:asciiTheme="minorBidi" w:hAnsiTheme="minorBidi"/>
          <w:sz w:val="22"/>
          <w:szCs w:val="22"/>
        </w:rPr>
      </w:pPr>
    </w:p>
    <w:p w14:paraId="3D9F273F" w14:textId="77777777" w:rsidR="003E1E84" w:rsidRDefault="003E1E84" w:rsidP="00431EC9">
      <w:pPr>
        <w:rPr>
          <w:rFonts w:asciiTheme="minorBidi" w:hAnsiTheme="minorBidi"/>
          <w:sz w:val="22"/>
          <w:szCs w:val="22"/>
        </w:rPr>
      </w:pPr>
    </w:p>
    <w:p w14:paraId="39BF4C1C" w14:textId="77777777" w:rsidR="003E1E84" w:rsidRDefault="003E1E84" w:rsidP="00431EC9">
      <w:pPr>
        <w:rPr>
          <w:rFonts w:asciiTheme="minorBidi" w:hAnsiTheme="minorBidi"/>
          <w:sz w:val="22"/>
          <w:szCs w:val="22"/>
        </w:rPr>
      </w:pPr>
    </w:p>
    <w:p w14:paraId="3B4D2FAE" w14:textId="77777777" w:rsidR="003E1E84" w:rsidRDefault="003E1E84" w:rsidP="00431EC9">
      <w:pPr>
        <w:rPr>
          <w:rFonts w:asciiTheme="minorBidi" w:hAnsiTheme="minorBidi"/>
          <w:sz w:val="22"/>
          <w:szCs w:val="22"/>
        </w:rPr>
      </w:pPr>
    </w:p>
    <w:p w14:paraId="5BA244E9" w14:textId="77777777" w:rsidR="003E1E84" w:rsidRDefault="003E1E84" w:rsidP="00431EC9">
      <w:pPr>
        <w:rPr>
          <w:rFonts w:asciiTheme="minorBidi" w:hAnsiTheme="minorBidi"/>
          <w:sz w:val="22"/>
          <w:szCs w:val="22"/>
        </w:rPr>
      </w:pPr>
    </w:p>
    <w:p w14:paraId="0F94230C" w14:textId="77777777" w:rsidR="003E1E84" w:rsidRDefault="003E1E84" w:rsidP="00431EC9">
      <w:pPr>
        <w:rPr>
          <w:rFonts w:asciiTheme="minorBidi" w:hAnsiTheme="minorBidi"/>
          <w:sz w:val="22"/>
          <w:szCs w:val="22"/>
        </w:rPr>
      </w:pPr>
    </w:p>
    <w:p w14:paraId="09D5DDE0" w14:textId="77777777" w:rsidR="00B359D6" w:rsidRPr="00196EF0" w:rsidRDefault="00B359D6" w:rsidP="00431EC9">
      <w:pPr>
        <w:rPr>
          <w:rFonts w:asciiTheme="minorBidi" w:hAnsiTheme="minorBidi"/>
          <w:sz w:val="22"/>
          <w:szCs w:val="22"/>
        </w:rPr>
      </w:pPr>
    </w:p>
    <w:p w14:paraId="78587690" w14:textId="1A1DCCFE" w:rsidR="32ADAAF6" w:rsidRDefault="469F9A50" w:rsidP="47853A3C">
      <w:pPr>
        <w:rPr>
          <w:rFonts w:ascii="Arial Nova" w:eastAsia="Arial Nova" w:hAnsi="Arial Nova" w:cs="Arial Nova"/>
          <w:color w:val="000000" w:themeColor="text1"/>
          <w:sz w:val="44"/>
          <w:szCs w:val="44"/>
        </w:rPr>
      </w:pPr>
      <w:r w:rsidRPr="47853A3C">
        <w:rPr>
          <w:rFonts w:ascii="Arial Nova" w:eastAsia="Arial Nova" w:hAnsi="Arial Nova" w:cs="Arial Nova"/>
          <w:color w:val="000000" w:themeColor="text1"/>
          <w:sz w:val="44"/>
          <w:szCs w:val="44"/>
        </w:rPr>
        <w:lastRenderedPageBreak/>
        <w:t xml:space="preserve">Task 2 - </w:t>
      </w:r>
      <w:r w:rsidR="32ADAAF6" w:rsidRPr="47853A3C">
        <w:rPr>
          <w:rFonts w:ascii="Arial Nova" w:eastAsia="Arial Nova" w:hAnsi="Arial Nova" w:cs="Arial Nova"/>
          <w:color w:val="000000" w:themeColor="text1"/>
          <w:sz w:val="44"/>
          <w:szCs w:val="44"/>
        </w:rPr>
        <w:t>Self-Reflection of Group Activity</w:t>
      </w:r>
    </w:p>
    <w:p w14:paraId="4AB6D1A5" w14:textId="77777777" w:rsidR="00B96EBA" w:rsidRPr="00B96EBA" w:rsidRDefault="00B96EBA" w:rsidP="00B96EBA">
      <w:pPr>
        <w:rPr>
          <w:rFonts w:asciiTheme="minorBidi" w:eastAsia="Arial Nova" w:hAnsiTheme="minorBidi"/>
          <w:sz w:val="22"/>
          <w:szCs w:val="22"/>
          <w:lang w:val="en-GB"/>
        </w:rPr>
      </w:pPr>
      <w:r w:rsidRPr="00B96EBA">
        <w:rPr>
          <w:rFonts w:asciiTheme="minorBidi" w:eastAsia="Arial Nova" w:hAnsiTheme="minorBidi"/>
          <w:sz w:val="22"/>
          <w:szCs w:val="22"/>
          <w:lang w:val="en-GB"/>
        </w:rPr>
        <w:t>This reflection applies Gibbs’ (1988) Reflective Cycle to analyse my experience of the paperclip divergent/convergent thinking activity and its relevance to health and social care improvement.</w:t>
      </w:r>
    </w:p>
    <w:p w14:paraId="62958187" w14:textId="7221BCC8" w:rsidR="00B96EBA" w:rsidRPr="00B96EBA" w:rsidRDefault="00B96EBA" w:rsidP="00B96EBA">
      <w:pPr>
        <w:rPr>
          <w:rFonts w:asciiTheme="minorBidi" w:eastAsia="Arial Nova" w:hAnsiTheme="minorBidi"/>
          <w:sz w:val="22"/>
          <w:szCs w:val="22"/>
          <w:lang w:val="en-GB"/>
        </w:rPr>
      </w:pPr>
      <w:r w:rsidRPr="00B96EBA">
        <w:rPr>
          <w:rFonts w:asciiTheme="minorBidi" w:eastAsia="Arial Nova" w:hAnsiTheme="minorBidi"/>
          <w:sz w:val="22"/>
          <w:szCs w:val="22"/>
          <w:lang w:val="en-GB"/>
        </w:rPr>
        <w:br/>
        <w:t>Working in a group of four, we generated approximately 50 possible uses for a paperclip within ten minutes. Ideas ranged from conventional (e.g., holding papers, resetting electronic devices) to more innovative (e.g., assistive tool for dexterity difficulties, makeshift fastener in emergencies).</w:t>
      </w:r>
    </w:p>
    <w:p w14:paraId="1C97090A" w14:textId="1FED356B" w:rsidR="00B96EBA" w:rsidRPr="00B96EBA" w:rsidRDefault="00B96EBA" w:rsidP="00B96EBA">
      <w:pPr>
        <w:rPr>
          <w:rFonts w:asciiTheme="minorBidi" w:eastAsia="Arial Nova" w:hAnsiTheme="minorBidi"/>
          <w:sz w:val="22"/>
          <w:szCs w:val="22"/>
          <w:lang w:val="en-GB"/>
        </w:rPr>
      </w:pPr>
      <w:r w:rsidRPr="00B96EBA">
        <w:rPr>
          <w:rFonts w:asciiTheme="minorBidi" w:eastAsia="Arial Nova" w:hAnsiTheme="minorBidi"/>
          <w:sz w:val="22"/>
          <w:szCs w:val="22"/>
          <w:lang w:val="en-GB"/>
        </w:rPr>
        <w:br/>
        <w:t>Initially, I experienced mild performance pressure due to the time constraint. However, as the activity progressed, I became more confident and engaged. The collaborative environment reduced self-judgement and encouraged risk-taking in idea generation.</w:t>
      </w:r>
    </w:p>
    <w:p w14:paraId="694274CF" w14:textId="7B3A5BC0" w:rsidR="00B96EBA" w:rsidRPr="00B96EBA" w:rsidRDefault="00B96EBA" w:rsidP="00B96EBA">
      <w:pPr>
        <w:rPr>
          <w:rFonts w:asciiTheme="minorBidi" w:eastAsia="Arial Nova" w:hAnsiTheme="minorBidi"/>
          <w:sz w:val="22"/>
          <w:szCs w:val="22"/>
          <w:lang w:val="en-GB"/>
        </w:rPr>
      </w:pPr>
      <w:r w:rsidRPr="00B96EBA">
        <w:rPr>
          <w:rFonts w:asciiTheme="minorBidi" w:eastAsia="Arial Nova" w:hAnsiTheme="minorBidi"/>
          <w:sz w:val="22"/>
          <w:szCs w:val="22"/>
          <w:lang w:val="en-GB"/>
        </w:rPr>
        <w:br/>
        <w:t>I contributed actively to proposing ideas and played a secondary role in evaluating feasibility and safety. For example, when ideas involved sharp edges or security concerns, I considered potential risk implications. This introduced convergent thinking into the discussion, ensuring ideas were not only creative but responsible.</w:t>
      </w:r>
    </w:p>
    <w:p w14:paraId="7045D351" w14:textId="77777777" w:rsidR="00F61D78" w:rsidRDefault="00B96EBA" w:rsidP="00F61D78">
      <w:pPr>
        <w:rPr>
          <w:rFonts w:asciiTheme="minorBidi" w:eastAsia="Arial Nova" w:hAnsiTheme="minorBidi"/>
          <w:sz w:val="22"/>
          <w:szCs w:val="22"/>
          <w:lang w:val="en-GB"/>
        </w:rPr>
      </w:pPr>
      <w:r w:rsidRPr="00B96EBA">
        <w:rPr>
          <w:rFonts w:asciiTheme="minorBidi" w:eastAsia="Arial Nova" w:hAnsiTheme="minorBidi"/>
          <w:sz w:val="22"/>
          <w:szCs w:val="22"/>
          <w:lang w:val="en-GB"/>
        </w:rPr>
        <w:br/>
        <w:t>The activity clearly distinguished between divergent thinking, where quantity and originality were prioritised, and convergent thinking, where ideas were critically appraised. In health and social care, this balance is essential. Innovation (divergent thinking) drives service improvement, but patient safety, ethical considerations and resource limitations require convergent evaluation. Without structured reflection and risk assessment, creative ideas may be impractical or unsafe.</w:t>
      </w:r>
    </w:p>
    <w:p w14:paraId="427B53AB" w14:textId="18E3A536" w:rsidR="00B96EBA" w:rsidRPr="00B96EBA" w:rsidRDefault="00B96EBA" w:rsidP="00F61D78">
      <w:pPr>
        <w:rPr>
          <w:rFonts w:asciiTheme="minorBidi" w:eastAsia="Arial Nova" w:hAnsiTheme="minorBidi"/>
          <w:sz w:val="22"/>
          <w:szCs w:val="22"/>
          <w:lang w:val="en-GB"/>
        </w:rPr>
      </w:pPr>
      <w:r w:rsidRPr="00B96EBA">
        <w:rPr>
          <w:rFonts w:asciiTheme="minorBidi" w:eastAsia="Arial Nova" w:hAnsiTheme="minorBidi"/>
          <w:sz w:val="22"/>
          <w:szCs w:val="22"/>
          <w:lang w:val="en-GB"/>
        </w:rPr>
        <w:br/>
        <w:t>This exercise strengthened my understanding that effective improvement requires both creative exploration and critical refinement. Integrating divergent and convergent thinking supports sustainable, safe innovation within health and social care systems.</w:t>
      </w:r>
    </w:p>
    <w:p w14:paraId="1045AB3B" w14:textId="49840186" w:rsidR="00B96EBA" w:rsidRPr="00B96EBA" w:rsidRDefault="00B96EBA" w:rsidP="00B96EBA">
      <w:pPr>
        <w:rPr>
          <w:rFonts w:asciiTheme="minorBidi" w:eastAsia="Arial Nova" w:hAnsiTheme="minorBidi"/>
          <w:i/>
          <w:iCs/>
          <w:sz w:val="22"/>
          <w:szCs w:val="22"/>
          <w:lang w:val="en-GB"/>
        </w:rPr>
      </w:pPr>
    </w:p>
    <w:p w14:paraId="189F2616" w14:textId="2571EE69" w:rsidR="3575C376" w:rsidRDefault="3575C376" w:rsidP="47853A3C">
      <w:pPr>
        <w:rPr>
          <w:rFonts w:ascii="Arial Nova" w:eastAsia="Arial Nova" w:hAnsi="Arial Nova" w:cs="Arial Nova"/>
          <w:i/>
          <w:iCs/>
          <w:color w:val="FF0000"/>
        </w:rPr>
      </w:pPr>
      <w:r w:rsidRPr="47853A3C">
        <w:rPr>
          <w:rFonts w:ascii="Arial Nova" w:eastAsia="Arial Nova" w:hAnsi="Arial Nova" w:cs="Arial Nova"/>
          <w:i/>
          <w:iCs/>
          <w:color w:val="FF0000"/>
        </w:rPr>
        <w:t>.</w:t>
      </w:r>
    </w:p>
    <w:p w14:paraId="2FDFC4D6" w14:textId="1F86C576" w:rsidR="021F216E" w:rsidRDefault="021F216E" w:rsidP="021F216E">
      <w:pPr>
        <w:rPr>
          <w:rFonts w:ascii="Arial Nova" w:eastAsia="Arial Nova" w:hAnsi="Arial Nova" w:cs="Arial Nova"/>
          <w:i/>
          <w:iCs/>
          <w:color w:val="000000" w:themeColor="text1"/>
        </w:rPr>
      </w:pPr>
    </w:p>
    <w:p w14:paraId="70EEBC04" w14:textId="77777777" w:rsidR="006B0245" w:rsidRDefault="006B0245" w:rsidP="47853A3C">
      <w:pPr>
        <w:rPr>
          <w:rFonts w:ascii="Arial Nova" w:eastAsia="Arial Nova" w:hAnsi="Arial Nova" w:cs="Arial Nova"/>
          <w:color w:val="000000" w:themeColor="text1"/>
          <w:sz w:val="44"/>
          <w:szCs w:val="44"/>
        </w:rPr>
      </w:pPr>
    </w:p>
    <w:p w14:paraId="0CE92930" w14:textId="77777777" w:rsidR="00690672" w:rsidRDefault="00690672" w:rsidP="00D377DF">
      <w:pPr>
        <w:rPr>
          <w:rFonts w:ascii="Arial Nova" w:eastAsia="Arial Nova" w:hAnsi="Arial Nova" w:cs="Arial Nova"/>
          <w:color w:val="000000" w:themeColor="text1"/>
          <w:sz w:val="44"/>
          <w:szCs w:val="44"/>
        </w:rPr>
      </w:pPr>
    </w:p>
    <w:p w14:paraId="31203949" w14:textId="39E1222F" w:rsidR="32ADAAF6" w:rsidRPr="00D377DF" w:rsidRDefault="2A01ADFD" w:rsidP="00D377DF">
      <w:pPr>
        <w:rPr>
          <w:rFonts w:ascii="Arial Nova" w:eastAsia="Arial Nova" w:hAnsi="Arial Nova" w:cs="Arial Nova"/>
          <w:color w:val="000000" w:themeColor="text1"/>
          <w:sz w:val="44"/>
          <w:szCs w:val="44"/>
        </w:rPr>
      </w:pPr>
      <w:r w:rsidRPr="47853A3C">
        <w:rPr>
          <w:rFonts w:ascii="Arial Nova" w:eastAsia="Arial Nova" w:hAnsi="Arial Nova" w:cs="Arial Nova"/>
          <w:color w:val="000000" w:themeColor="text1"/>
          <w:sz w:val="44"/>
          <w:szCs w:val="44"/>
        </w:rPr>
        <w:lastRenderedPageBreak/>
        <w:t xml:space="preserve">Task 3 - </w:t>
      </w:r>
      <w:r w:rsidR="32ADAAF6" w:rsidRPr="47853A3C">
        <w:rPr>
          <w:rFonts w:ascii="Arial Nova" w:eastAsia="Arial Nova" w:hAnsi="Arial Nova" w:cs="Arial Nova"/>
          <w:color w:val="000000" w:themeColor="text1"/>
          <w:sz w:val="44"/>
          <w:szCs w:val="44"/>
        </w:rPr>
        <w:t>Case Study of a UK innovation</w:t>
      </w:r>
    </w:p>
    <w:p w14:paraId="742A1F45" w14:textId="77777777" w:rsidR="009969CD" w:rsidRPr="009969CD" w:rsidRDefault="009969CD" w:rsidP="009969CD">
      <w:pPr>
        <w:rPr>
          <w:rFonts w:ascii="Arial Nova" w:eastAsia="Arial Nova" w:hAnsi="Arial Nova" w:cs="Arial Nova"/>
          <w:b/>
          <w:bCs/>
          <w:color w:val="000000" w:themeColor="text1"/>
          <w:lang w:val="en-GB"/>
        </w:rPr>
      </w:pPr>
      <w:r w:rsidRPr="009969CD">
        <w:rPr>
          <w:rFonts w:ascii="Arial Nova" w:eastAsia="Arial Nova" w:hAnsi="Arial Nova" w:cs="Arial Nova"/>
          <w:b/>
          <w:bCs/>
          <w:color w:val="000000" w:themeColor="text1"/>
          <w:lang w:val="en-GB"/>
        </w:rPr>
        <w:t>Case study: COVID Oximetry @home (CO@h) – creative remote monitoring to spot “silent hypoxia”</w:t>
      </w:r>
    </w:p>
    <w:p w14:paraId="0EFE7CD3" w14:textId="77777777" w:rsidR="009969CD" w:rsidRPr="009969CD" w:rsidRDefault="009969CD" w:rsidP="009969CD">
      <w:pPr>
        <w:rPr>
          <w:rFonts w:ascii="Arial Nova" w:eastAsia="Arial Nova" w:hAnsi="Arial Nova" w:cs="Arial Nova"/>
          <w:color w:val="000000" w:themeColor="text1"/>
          <w:lang w:val="en-GB"/>
        </w:rPr>
      </w:pPr>
      <w:r w:rsidRPr="009969CD">
        <w:rPr>
          <w:rFonts w:ascii="Arial Nova" w:eastAsia="Arial Nova" w:hAnsi="Arial Nova" w:cs="Arial Nova"/>
          <w:b/>
          <w:bCs/>
          <w:color w:val="000000" w:themeColor="text1"/>
          <w:lang w:val="en-GB"/>
        </w:rPr>
        <w:t>The initiative.</w:t>
      </w:r>
      <w:r w:rsidRPr="009969CD">
        <w:rPr>
          <w:rFonts w:ascii="Arial Nova" w:eastAsia="Arial Nova" w:hAnsi="Arial Nova" w:cs="Arial Nova"/>
          <w:color w:val="000000" w:themeColor="text1"/>
          <w:lang w:val="en-GB"/>
        </w:rPr>
        <w:t xml:space="preserve"> During COVID-19, clinicians saw patients deteriorate at home with low oxygen levels despite feeling relatively well (“silent hypoxia”). NHS England’s </w:t>
      </w:r>
      <w:r w:rsidRPr="009969CD">
        <w:rPr>
          <w:rFonts w:ascii="Arial Nova" w:eastAsia="Arial Nova" w:hAnsi="Arial Nova" w:cs="Arial Nova"/>
          <w:b/>
          <w:bCs/>
          <w:color w:val="000000" w:themeColor="text1"/>
          <w:lang w:val="en-GB"/>
        </w:rPr>
        <w:t>COVID Oximetry @home (CO@h)</w:t>
      </w:r>
      <w:r w:rsidRPr="009969CD">
        <w:rPr>
          <w:rFonts w:ascii="Arial Nova" w:eastAsia="Arial Nova" w:hAnsi="Arial Nova" w:cs="Arial Nova"/>
          <w:color w:val="000000" w:themeColor="text1"/>
          <w:lang w:val="en-GB"/>
        </w:rPr>
        <w:t xml:space="preserve"> addressed this by combining a simple consumer device (a pulse oximeter) with redesigned care processes: eligible patients were given oximeters, taught how to take readings, and supported to </w:t>
      </w:r>
      <w:r w:rsidRPr="009969CD">
        <w:rPr>
          <w:rFonts w:ascii="Arial Nova" w:eastAsia="Arial Nova" w:hAnsi="Arial Nova" w:cs="Arial Nova"/>
          <w:b/>
          <w:bCs/>
          <w:color w:val="000000" w:themeColor="text1"/>
          <w:lang w:val="en-GB"/>
        </w:rPr>
        <w:t>self-monitor and escalate</w:t>
      </w:r>
      <w:r w:rsidRPr="009969CD">
        <w:rPr>
          <w:rFonts w:ascii="Arial Nova" w:eastAsia="Arial Nova" w:hAnsi="Arial Nova" w:cs="Arial Nova"/>
          <w:color w:val="000000" w:themeColor="text1"/>
          <w:lang w:val="en-GB"/>
        </w:rPr>
        <w:t xml:space="preserve"> (or be actively monitored) so deterioration could be identified earlier and acted on faster. </w:t>
      </w:r>
    </w:p>
    <w:p w14:paraId="54076DB6" w14:textId="77777777" w:rsidR="009969CD" w:rsidRPr="009969CD" w:rsidRDefault="009969CD" w:rsidP="009969CD">
      <w:pPr>
        <w:rPr>
          <w:rFonts w:ascii="Arial Nova" w:eastAsia="Arial Nova" w:hAnsi="Arial Nova" w:cs="Arial Nova"/>
          <w:color w:val="000000" w:themeColor="text1"/>
          <w:lang w:val="en-GB"/>
        </w:rPr>
      </w:pPr>
      <w:r w:rsidRPr="009969CD">
        <w:rPr>
          <w:rFonts w:ascii="Arial Nova" w:eastAsia="Arial Nova" w:hAnsi="Arial Nova" w:cs="Arial Nova"/>
          <w:b/>
          <w:bCs/>
          <w:color w:val="000000" w:themeColor="text1"/>
          <w:lang w:val="en-GB"/>
        </w:rPr>
        <w:t>Where creativity showed up.</w:t>
      </w:r>
      <w:r w:rsidRPr="009969CD">
        <w:rPr>
          <w:rFonts w:ascii="Arial Nova" w:eastAsia="Arial Nova" w:hAnsi="Arial Nova" w:cs="Arial Nova"/>
          <w:color w:val="000000" w:themeColor="text1"/>
          <w:lang w:val="en-GB"/>
        </w:rPr>
        <w:t xml:space="preserve"> CO@h was not a new drug or new hospital unit—it was a creative </w:t>
      </w:r>
      <w:r w:rsidRPr="009969CD">
        <w:rPr>
          <w:rFonts w:ascii="Arial Nova" w:eastAsia="Arial Nova" w:hAnsi="Arial Nova" w:cs="Arial Nova"/>
          <w:i/>
          <w:iCs/>
          <w:color w:val="000000" w:themeColor="text1"/>
          <w:lang w:val="en-GB"/>
        </w:rPr>
        <w:t>service design</w:t>
      </w:r>
      <w:r w:rsidRPr="009969CD">
        <w:rPr>
          <w:rFonts w:ascii="Arial Nova" w:eastAsia="Arial Nova" w:hAnsi="Arial Nova" w:cs="Arial Nova"/>
          <w:color w:val="000000" w:themeColor="text1"/>
          <w:lang w:val="en-GB"/>
        </w:rPr>
        <w:t xml:space="preserve"> response that repurposed existing technology and shifted the locus of observation from ward to home. The programme blended: (1) patient self-measurement, (2) structured thresholds and safety-net advice, and (3) community/primary care coordination for escalation. This is “creativity” as practical recombination—turning a low-cost device plus clear decision rules into a scalable pathway that reduced reliance on face-to-face review while maintaining safety. </w:t>
      </w:r>
    </w:p>
    <w:p w14:paraId="3C08CEC3" w14:textId="77777777" w:rsidR="009969CD" w:rsidRPr="009969CD" w:rsidRDefault="009969CD" w:rsidP="009969CD">
      <w:pPr>
        <w:rPr>
          <w:rFonts w:ascii="Arial Nova" w:eastAsia="Arial Nova" w:hAnsi="Arial Nova" w:cs="Arial Nova"/>
          <w:color w:val="000000" w:themeColor="text1"/>
          <w:lang w:val="en-GB"/>
        </w:rPr>
      </w:pPr>
      <w:r w:rsidRPr="009969CD">
        <w:rPr>
          <w:rFonts w:ascii="Arial Nova" w:eastAsia="Arial Nova" w:hAnsi="Arial Nova" w:cs="Arial Nova"/>
          <w:b/>
          <w:bCs/>
          <w:color w:val="000000" w:themeColor="text1"/>
          <w:lang w:val="en-GB"/>
        </w:rPr>
        <w:t>How it drove change.</w:t>
      </w:r>
      <w:r w:rsidRPr="009969CD">
        <w:rPr>
          <w:rFonts w:ascii="Arial Nova" w:eastAsia="Arial Nova" w:hAnsi="Arial Nova" w:cs="Arial Nova"/>
          <w:color w:val="000000" w:themeColor="text1"/>
          <w:lang w:val="en-GB"/>
        </w:rPr>
        <w:t xml:space="preserve"> The pathway changed roles and routines: patients became active contributors to surveillance; clinicians relied more on </w:t>
      </w:r>
      <w:r w:rsidRPr="009969CD">
        <w:rPr>
          <w:rFonts w:ascii="Arial Nova" w:eastAsia="Arial Nova" w:hAnsi="Arial Nova" w:cs="Arial Nova"/>
          <w:i/>
          <w:iCs/>
          <w:color w:val="000000" w:themeColor="text1"/>
          <w:lang w:val="en-GB"/>
        </w:rPr>
        <w:t>trend data</w:t>
      </w:r>
      <w:r w:rsidRPr="009969CD">
        <w:rPr>
          <w:rFonts w:ascii="Arial Nova" w:eastAsia="Arial Nova" w:hAnsi="Arial Nova" w:cs="Arial Nova"/>
          <w:color w:val="000000" w:themeColor="text1"/>
          <w:lang w:val="en-GB"/>
        </w:rPr>
        <w:t xml:space="preserve"> and remote contact; and escalation became protocol-driven rather than symptom-led. That shift mattered because oxygen saturation can fall before patients recognise severe illness. CO@h also created a shared language (“your reading is X, do Y now”) that supported quicker decisions and clearer communication across primary and secondary care. </w:t>
      </w:r>
    </w:p>
    <w:p w14:paraId="38F0DB0B" w14:textId="77777777" w:rsidR="009969CD" w:rsidRPr="009969CD" w:rsidRDefault="009969CD" w:rsidP="009969CD">
      <w:pPr>
        <w:rPr>
          <w:rFonts w:ascii="Arial Nova" w:eastAsia="Arial Nova" w:hAnsi="Arial Nova" w:cs="Arial Nova"/>
          <w:color w:val="000000" w:themeColor="text1"/>
          <w:lang w:val="en-GB"/>
        </w:rPr>
      </w:pPr>
      <w:r w:rsidRPr="009969CD">
        <w:rPr>
          <w:rFonts w:ascii="Arial Nova" w:eastAsia="Arial Nova" w:hAnsi="Arial Nova" w:cs="Arial Nova"/>
          <w:b/>
          <w:bCs/>
          <w:color w:val="000000" w:themeColor="text1"/>
          <w:lang w:val="en-GB"/>
        </w:rPr>
        <w:t>Value created for patients and services.</w:t>
      </w:r>
      <w:r w:rsidRPr="009969CD">
        <w:rPr>
          <w:rFonts w:ascii="Arial Nova" w:eastAsia="Arial Nova" w:hAnsi="Arial Nova" w:cs="Arial Nova"/>
          <w:color w:val="000000" w:themeColor="text1"/>
          <w:lang w:val="en-GB"/>
        </w:rPr>
        <w:t xml:space="preserve"> A service evaluation of a community-led CO@h model in North Hampshire (Nov 2020–Mar 2021) found that patients onboarded to CO@h had </w:t>
      </w:r>
      <w:r w:rsidRPr="009969CD">
        <w:rPr>
          <w:rFonts w:ascii="Arial Nova" w:eastAsia="Arial Nova" w:hAnsi="Arial Nova" w:cs="Arial Nova"/>
          <w:b/>
          <w:bCs/>
          <w:color w:val="000000" w:themeColor="text1"/>
          <w:lang w:val="en-GB"/>
        </w:rPr>
        <w:t>better hospital outcomes</w:t>
      </w:r>
      <w:r w:rsidRPr="009969CD">
        <w:rPr>
          <w:rFonts w:ascii="Arial Nova" w:eastAsia="Arial Nova" w:hAnsi="Arial Nova" w:cs="Arial Nova"/>
          <w:color w:val="000000" w:themeColor="text1"/>
          <w:lang w:val="en-GB"/>
        </w:rPr>
        <w:t xml:space="preserve"> compared with those not onboarded—specifically </w:t>
      </w:r>
      <w:r w:rsidRPr="009969CD">
        <w:rPr>
          <w:rFonts w:ascii="Arial Nova" w:eastAsia="Arial Nova" w:hAnsi="Arial Nova" w:cs="Arial Nova"/>
          <w:b/>
          <w:bCs/>
          <w:color w:val="000000" w:themeColor="text1"/>
          <w:lang w:val="en-GB"/>
        </w:rPr>
        <w:t>lower odds of hospital mortality, ICU admission, and longer length of stay</w:t>
      </w:r>
      <w:r w:rsidRPr="009969CD">
        <w:rPr>
          <w:rFonts w:ascii="Arial Nova" w:eastAsia="Arial Nova" w:hAnsi="Arial Nova" w:cs="Arial Nova"/>
          <w:color w:val="000000" w:themeColor="text1"/>
          <w:lang w:val="en-GB"/>
        </w:rPr>
        <w:t>. For patients, the value was earlier recognition of deterioration, reassurance through clear monitoring routines, and potentially safer care at home. For the system, the value was reducing severe deterioration at presentation and easing pressure on acute beds by preventing some late escalations.</w:t>
      </w:r>
    </w:p>
    <w:p w14:paraId="512C6B50" w14:textId="6860B70C" w:rsidR="021F216E" w:rsidRPr="00255ADF" w:rsidRDefault="009969CD" w:rsidP="00255ADF">
      <w:pPr>
        <w:rPr>
          <w:rFonts w:ascii="Arial Nova" w:eastAsia="Arial Nova" w:hAnsi="Arial Nova" w:cs="Arial Nova"/>
          <w:color w:val="000000" w:themeColor="text1"/>
          <w:lang w:val="en-GB"/>
        </w:rPr>
      </w:pPr>
      <w:r w:rsidRPr="009969CD">
        <w:rPr>
          <w:rFonts w:ascii="Arial Nova" w:eastAsia="Arial Nova" w:hAnsi="Arial Nova" w:cs="Arial Nova"/>
          <w:b/>
          <w:bCs/>
          <w:color w:val="000000" w:themeColor="text1"/>
          <w:lang w:val="en-GB"/>
        </w:rPr>
        <w:t>Lessons.</w:t>
      </w:r>
      <w:r w:rsidRPr="009969CD">
        <w:rPr>
          <w:rFonts w:ascii="Arial Nova" w:eastAsia="Arial Nova" w:hAnsi="Arial Nova" w:cs="Arial Nova"/>
          <w:color w:val="000000" w:themeColor="text1"/>
          <w:lang w:val="en-GB"/>
        </w:rPr>
        <w:t xml:space="preserve"> CO@h shows that innovation in the NHS can be highly creative without being high-tech: redesigning pathways around simple tools, patient capability, and escalation rules can deliver measurable clinical benefit when the problem is timely detection. </w:t>
      </w:r>
    </w:p>
    <w:p w14:paraId="6153600B" w14:textId="2056D7BA" w:rsidR="79E626CA" w:rsidRPr="00882DA3" w:rsidRDefault="11DCB36E" w:rsidP="00882DA3">
      <w:pPr>
        <w:rPr>
          <w:rFonts w:ascii="Arial Nova" w:eastAsia="Arial Nova" w:hAnsi="Arial Nova" w:cs="Arial Nova"/>
          <w:color w:val="000000" w:themeColor="text1"/>
          <w:sz w:val="44"/>
          <w:szCs w:val="44"/>
        </w:rPr>
      </w:pPr>
      <w:r w:rsidRPr="47853A3C">
        <w:rPr>
          <w:rFonts w:ascii="Arial Nova" w:eastAsia="Arial Nova" w:hAnsi="Arial Nova" w:cs="Arial Nova"/>
          <w:color w:val="000000" w:themeColor="text1"/>
          <w:sz w:val="44"/>
          <w:szCs w:val="44"/>
        </w:rPr>
        <w:lastRenderedPageBreak/>
        <w:t xml:space="preserve">Task 4 - </w:t>
      </w:r>
      <w:r w:rsidR="79E626CA" w:rsidRPr="47853A3C">
        <w:rPr>
          <w:rFonts w:ascii="Arial Nova" w:eastAsia="Arial Nova" w:hAnsi="Arial Nova" w:cs="Arial Nova"/>
          <w:color w:val="000000" w:themeColor="text1"/>
          <w:sz w:val="44"/>
          <w:szCs w:val="44"/>
        </w:rPr>
        <w:t>Research Task</w:t>
      </w:r>
    </w:p>
    <w:p w14:paraId="16D46880" w14:textId="77777777" w:rsidR="00FA19C9" w:rsidRPr="00FA19C9" w:rsidRDefault="00FA19C9" w:rsidP="00FA19C9">
      <w:pPr>
        <w:rPr>
          <w:rFonts w:ascii="Arial Nova" w:eastAsia="Arial Nova" w:hAnsi="Arial Nova" w:cs="Arial Nova"/>
          <w:color w:val="000000" w:themeColor="text1"/>
          <w:lang w:val="en-GB"/>
        </w:rPr>
      </w:pPr>
      <w:r w:rsidRPr="00FA19C9">
        <w:rPr>
          <w:rFonts w:ascii="Arial Nova" w:eastAsia="Arial Nova" w:hAnsi="Arial Nova" w:cs="Arial Nova"/>
          <w:color w:val="000000" w:themeColor="text1"/>
          <w:lang w:val="en-GB"/>
        </w:rPr>
        <w:t>Mental health stigma continues to be a major problem in health and social care, creating barriers to help-seeking and diminishing the quality of treatment for people with psychiatric conditions. Two peer-reviewed pieces of research explore the underlying reasons why stigma persists and how it affects services.</w:t>
      </w:r>
    </w:p>
    <w:p w14:paraId="6DB9B836" w14:textId="77777777" w:rsidR="00FA19C9" w:rsidRPr="00FA19C9" w:rsidRDefault="00FA19C9" w:rsidP="00FA19C9">
      <w:pPr>
        <w:rPr>
          <w:rFonts w:ascii="Arial Nova" w:eastAsia="Arial Nova" w:hAnsi="Arial Nova" w:cs="Arial Nova"/>
          <w:color w:val="000000" w:themeColor="text1"/>
          <w:lang w:val="en-GB"/>
        </w:rPr>
      </w:pPr>
      <w:r w:rsidRPr="00FA19C9">
        <w:rPr>
          <w:rFonts w:ascii="Arial Nova" w:eastAsia="Arial Nova" w:hAnsi="Arial Nova" w:cs="Arial Nova"/>
          <w:color w:val="000000" w:themeColor="text1"/>
          <w:lang w:val="en-GB"/>
        </w:rPr>
        <w:t xml:space="preserve">Phelan et al. (2023) investigated perspectives of both patients and healthcare professionals on stigma as a barrier to engagement with integrated behavioural health services. The study found that stigma arises from societal stereotypes that label people with mental health disorders as dangerous, weak or unpredictable, and these views are present among clinicians as well as the general public. Patients anticipated negative reactions from staff, leading them to avoid disclosing symptoms or attending appointments. Clinicians, lacking specific training, sometimes unconsciously reinforced these stereotypes, which compromised therapeutic relationships and discouraged continued care. This research highlights that stigma not only operates at a societal level but is embedded within clinical interactions, reducing access and continuity of care. </w:t>
      </w:r>
    </w:p>
    <w:p w14:paraId="08DCD4ED" w14:textId="77777777" w:rsidR="00FA19C9" w:rsidRPr="00FA19C9" w:rsidRDefault="00FA19C9" w:rsidP="00FA19C9">
      <w:pPr>
        <w:rPr>
          <w:rFonts w:ascii="Arial Nova" w:eastAsia="Arial Nova" w:hAnsi="Arial Nova" w:cs="Arial Nova"/>
          <w:color w:val="000000" w:themeColor="text1"/>
          <w:lang w:val="en-GB"/>
        </w:rPr>
      </w:pPr>
      <w:r w:rsidRPr="00FA19C9">
        <w:rPr>
          <w:rFonts w:ascii="Arial Nova" w:eastAsia="Arial Nova" w:hAnsi="Arial Nova" w:cs="Arial Nova"/>
          <w:color w:val="000000" w:themeColor="text1"/>
          <w:lang w:val="en-GB"/>
        </w:rPr>
        <w:t xml:space="preserve">Knaak et al. (2017) focus specifically on stigma within healthcare systems and among providers. Their review shows that personal attitudes and workplace culture contribute substantially to discriminatory behaviour. Healthcare professionals may hold implicit biases, lack confidence in managing mental health conditions and receive inadequate training, which results in poorer communication, rushed assessments and lower expectations for recovery. These factors create structural and interpersonal barriers that deter patients from seeking help and perpetuate lower standards of care. The article argues that provider stigma, rooted in limited mental health literacy and systemic support, must be addressed to improve service quality and reduce unmet needs. </w:t>
      </w:r>
    </w:p>
    <w:p w14:paraId="5DA34871" w14:textId="2CB38BAC" w:rsidR="240D90F5" w:rsidRPr="00255ADF" w:rsidRDefault="00FA19C9" w:rsidP="00255ADF">
      <w:pPr>
        <w:rPr>
          <w:rFonts w:ascii="Arial Nova" w:eastAsia="Arial Nova" w:hAnsi="Arial Nova" w:cs="Arial Nova"/>
          <w:color w:val="000000" w:themeColor="text1"/>
          <w:lang w:val="en-GB"/>
        </w:rPr>
      </w:pPr>
      <w:r w:rsidRPr="00FA19C9">
        <w:rPr>
          <w:rFonts w:ascii="Arial Nova" w:eastAsia="Arial Nova" w:hAnsi="Arial Nova" w:cs="Arial Nova"/>
          <w:color w:val="000000" w:themeColor="text1"/>
          <w:lang w:val="en-GB"/>
        </w:rPr>
        <w:t>Together, these studies suggest that stigma persists because of deep-rooted societal beliefs and professional attitudes, affecting both the demand and supply sides of mental health care.</w:t>
      </w:r>
    </w:p>
    <w:p w14:paraId="0A496E4E" w14:textId="48E76F8E" w:rsidR="021F216E" w:rsidRDefault="021F216E" w:rsidP="021F216E">
      <w:pPr>
        <w:rPr>
          <w:rFonts w:ascii="Arial Nova" w:eastAsia="Arial Nova" w:hAnsi="Arial Nova" w:cs="Arial Nova"/>
          <w:i/>
          <w:iCs/>
          <w:color w:val="000000" w:themeColor="text1"/>
        </w:rPr>
      </w:pPr>
    </w:p>
    <w:p w14:paraId="4DEF67EB" w14:textId="77777777" w:rsidR="006B0245" w:rsidRDefault="006B0245" w:rsidP="47853A3C">
      <w:pPr>
        <w:rPr>
          <w:rFonts w:ascii="Arial Nova" w:eastAsia="Arial Nova" w:hAnsi="Arial Nova" w:cs="Arial Nova"/>
          <w:color w:val="000000" w:themeColor="text1"/>
          <w:sz w:val="44"/>
          <w:szCs w:val="44"/>
        </w:rPr>
      </w:pPr>
    </w:p>
    <w:p w14:paraId="6B0323ED" w14:textId="77777777" w:rsidR="00882DA3" w:rsidRDefault="00882DA3" w:rsidP="47853A3C">
      <w:pPr>
        <w:rPr>
          <w:rFonts w:ascii="Arial Nova" w:eastAsia="Arial Nova" w:hAnsi="Arial Nova" w:cs="Arial Nova"/>
          <w:color w:val="000000" w:themeColor="text1"/>
          <w:sz w:val="44"/>
          <w:szCs w:val="44"/>
        </w:rPr>
      </w:pPr>
    </w:p>
    <w:p w14:paraId="1F481135" w14:textId="77777777" w:rsidR="00882DA3" w:rsidRDefault="00882DA3" w:rsidP="47853A3C">
      <w:pPr>
        <w:rPr>
          <w:rFonts w:ascii="Arial Nova" w:eastAsia="Arial Nova" w:hAnsi="Arial Nova" w:cs="Arial Nova"/>
          <w:color w:val="000000" w:themeColor="text1"/>
          <w:sz w:val="44"/>
          <w:szCs w:val="44"/>
        </w:rPr>
      </w:pPr>
    </w:p>
    <w:p w14:paraId="7820835D" w14:textId="29541057" w:rsidR="723804E2" w:rsidRPr="00BB5E96" w:rsidRDefault="72B6EECC" w:rsidP="00BB5E96">
      <w:pPr>
        <w:rPr>
          <w:rFonts w:ascii="Arial Nova" w:eastAsia="Arial Nova" w:hAnsi="Arial Nova" w:cs="Arial Nova"/>
          <w:color w:val="000000" w:themeColor="text1"/>
          <w:sz w:val="44"/>
          <w:szCs w:val="44"/>
        </w:rPr>
      </w:pPr>
      <w:r w:rsidRPr="47853A3C">
        <w:rPr>
          <w:rFonts w:ascii="Arial Nova" w:eastAsia="Arial Nova" w:hAnsi="Arial Nova" w:cs="Arial Nova"/>
          <w:color w:val="000000" w:themeColor="text1"/>
          <w:sz w:val="44"/>
          <w:szCs w:val="44"/>
        </w:rPr>
        <w:lastRenderedPageBreak/>
        <w:t xml:space="preserve">Task </w:t>
      </w:r>
      <w:r w:rsidR="00563EB8">
        <w:rPr>
          <w:rFonts w:ascii="Arial Nova" w:eastAsia="Arial Nova" w:hAnsi="Arial Nova" w:cs="Arial Nova"/>
          <w:color w:val="000000" w:themeColor="text1"/>
          <w:sz w:val="44"/>
          <w:szCs w:val="44"/>
        </w:rPr>
        <w:t>5</w:t>
      </w:r>
      <w:r w:rsidRPr="47853A3C">
        <w:rPr>
          <w:rFonts w:ascii="Arial Nova" w:eastAsia="Arial Nova" w:hAnsi="Arial Nova" w:cs="Arial Nova"/>
          <w:color w:val="000000" w:themeColor="text1"/>
          <w:sz w:val="44"/>
          <w:szCs w:val="44"/>
        </w:rPr>
        <w:t xml:space="preserve"> - </w:t>
      </w:r>
      <w:r w:rsidR="6D65878B" w:rsidRPr="47853A3C">
        <w:rPr>
          <w:rFonts w:ascii="Arial Nova" w:eastAsia="Arial Nova" w:hAnsi="Arial Nova" w:cs="Arial Nova"/>
          <w:color w:val="000000" w:themeColor="text1"/>
          <w:sz w:val="44"/>
          <w:szCs w:val="44"/>
        </w:rPr>
        <w:t>Podcast</w:t>
      </w:r>
    </w:p>
    <w:p w14:paraId="567C178A" w14:textId="0F60BB55" w:rsidR="004D3F52" w:rsidRPr="00526EC4" w:rsidRDefault="0004424D" w:rsidP="00526EC4">
      <w:pPr>
        <w:rPr>
          <w:rFonts w:ascii="Arial Nova" w:eastAsia="Arial Nova" w:hAnsi="Arial Nova" w:cs="Arial Nova"/>
          <w:i/>
          <w:iCs/>
        </w:rPr>
      </w:pPr>
      <w:r>
        <w:rPr>
          <w:rFonts w:ascii="Arial Nova" w:eastAsia="Arial Nova" w:hAnsi="Arial Nova" w:cs="Arial Nova"/>
          <w:i/>
          <w:iCs/>
        </w:rPr>
        <w:object w:dxaOrig="2184" w:dyaOrig="816" w14:anchorId="7F2E958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109.2pt;height:40.8pt" o:ole="">
            <v:imagedata r:id="rId10" o:title=""/>
          </v:shape>
          <o:OLEObject Type="Embed" ProgID="Package" ShapeID="_x0000_i1027" DrawAspect="Content" ObjectID="_1835814055" r:id="rId11"/>
        </w:object>
      </w:r>
    </w:p>
    <w:p w14:paraId="2056293E" w14:textId="0D1BD613" w:rsidR="021F216E" w:rsidRDefault="021F216E" w:rsidP="021F216E">
      <w:pPr>
        <w:rPr>
          <w:rFonts w:ascii="Arial Nova" w:eastAsia="Arial Nova" w:hAnsi="Arial Nova" w:cs="Arial Nova"/>
          <w:i/>
          <w:iCs/>
        </w:rPr>
      </w:pPr>
    </w:p>
    <w:p w14:paraId="40BF57B2" w14:textId="0482BE03" w:rsidR="47853A3C" w:rsidRPr="000C5FFE" w:rsidRDefault="47853A3C" w:rsidP="000C5FFE">
      <w:pPr>
        <w:rPr>
          <w:rFonts w:ascii="Arial Nova" w:eastAsia="Arial Nova" w:hAnsi="Arial Nova" w:cs="Arial Nova"/>
          <w:i/>
          <w:iCs/>
        </w:rPr>
      </w:pPr>
    </w:p>
    <w:p w14:paraId="280B5864" w14:textId="77777777" w:rsidR="00337274" w:rsidRDefault="00337274" w:rsidP="47853A3C">
      <w:pPr>
        <w:rPr>
          <w:rFonts w:ascii="Arial Nova" w:eastAsia="Arial Nova" w:hAnsi="Arial Nova" w:cs="Arial Nova"/>
          <w:color w:val="000000" w:themeColor="text1"/>
          <w:sz w:val="44"/>
          <w:szCs w:val="44"/>
        </w:rPr>
      </w:pPr>
    </w:p>
    <w:p w14:paraId="0B927ECD" w14:textId="77777777" w:rsidR="00337274" w:rsidRDefault="00337274" w:rsidP="47853A3C">
      <w:pPr>
        <w:rPr>
          <w:rFonts w:ascii="Arial Nova" w:eastAsia="Arial Nova" w:hAnsi="Arial Nova" w:cs="Arial Nova"/>
          <w:color w:val="000000" w:themeColor="text1"/>
          <w:sz w:val="44"/>
          <w:szCs w:val="44"/>
        </w:rPr>
      </w:pPr>
    </w:p>
    <w:p w14:paraId="2BB2FFA4" w14:textId="77777777" w:rsidR="00337274" w:rsidRDefault="00337274" w:rsidP="47853A3C">
      <w:pPr>
        <w:rPr>
          <w:rFonts w:ascii="Arial Nova" w:eastAsia="Arial Nova" w:hAnsi="Arial Nova" w:cs="Arial Nova"/>
          <w:color w:val="000000" w:themeColor="text1"/>
          <w:sz w:val="44"/>
          <w:szCs w:val="44"/>
        </w:rPr>
      </w:pPr>
    </w:p>
    <w:p w14:paraId="38669BF2" w14:textId="77777777" w:rsidR="00337274" w:rsidRDefault="00337274" w:rsidP="47853A3C">
      <w:pPr>
        <w:rPr>
          <w:rFonts w:ascii="Arial Nova" w:eastAsia="Arial Nova" w:hAnsi="Arial Nova" w:cs="Arial Nova"/>
          <w:color w:val="000000" w:themeColor="text1"/>
          <w:sz w:val="44"/>
          <w:szCs w:val="44"/>
        </w:rPr>
      </w:pPr>
    </w:p>
    <w:p w14:paraId="7470783B" w14:textId="77777777" w:rsidR="00337274" w:rsidRDefault="00337274" w:rsidP="47853A3C">
      <w:pPr>
        <w:rPr>
          <w:rFonts w:ascii="Arial Nova" w:eastAsia="Arial Nova" w:hAnsi="Arial Nova" w:cs="Arial Nova"/>
          <w:color w:val="000000" w:themeColor="text1"/>
          <w:sz w:val="44"/>
          <w:szCs w:val="44"/>
        </w:rPr>
      </w:pPr>
    </w:p>
    <w:p w14:paraId="2B29E5E1" w14:textId="77777777" w:rsidR="00337274" w:rsidRDefault="00337274" w:rsidP="47853A3C">
      <w:pPr>
        <w:rPr>
          <w:rFonts w:ascii="Arial Nova" w:eastAsia="Arial Nova" w:hAnsi="Arial Nova" w:cs="Arial Nova"/>
          <w:color w:val="000000" w:themeColor="text1"/>
          <w:sz w:val="44"/>
          <w:szCs w:val="44"/>
        </w:rPr>
      </w:pPr>
    </w:p>
    <w:p w14:paraId="304D0822" w14:textId="08498922" w:rsidR="47853A3C" w:rsidRDefault="47853A3C" w:rsidP="47853A3C">
      <w:pPr>
        <w:rPr>
          <w:rFonts w:ascii="Arial Nova" w:eastAsia="Arial Nova" w:hAnsi="Arial Nova" w:cs="Arial Nova"/>
          <w:color w:val="000000" w:themeColor="text1"/>
          <w:sz w:val="44"/>
          <w:szCs w:val="44"/>
        </w:rPr>
      </w:pPr>
    </w:p>
    <w:p w14:paraId="5F3DA70E" w14:textId="77777777" w:rsidR="00882DA3" w:rsidRDefault="00882DA3" w:rsidP="47853A3C">
      <w:pPr>
        <w:rPr>
          <w:rFonts w:ascii="Arial Nova" w:eastAsia="Arial Nova" w:hAnsi="Arial Nova" w:cs="Arial Nova"/>
          <w:color w:val="000000" w:themeColor="text1"/>
          <w:sz w:val="44"/>
          <w:szCs w:val="44"/>
        </w:rPr>
      </w:pPr>
    </w:p>
    <w:p w14:paraId="0EAD22B6" w14:textId="77777777" w:rsidR="00882DA3" w:rsidRDefault="00882DA3" w:rsidP="47853A3C">
      <w:pPr>
        <w:rPr>
          <w:rFonts w:ascii="Arial Nova" w:eastAsia="Arial Nova" w:hAnsi="Arial Nova" w:cs="Arial Nova"/>
          <w:color w:val="000000" w:themeColor="text1"/>
          <w:sz w:val="44"/>
          <w:szCs w:val="44"/>
        </w:rPr>
      </w:pPr>
    </w:p>
    <w:p w14:paraId="1BCE753B" w14:textId="77777777" w:rsidR="00882DA3" w:rsidRDefault="00882DA3" w:rsidP="47853A3C">
      <w:pPr>
        <w:rPr>
          <w:rFonts w:ascii="Arial Nova" w:eastAsia="Arial Nova" w:hAnsi="Arial Nova" w:cs="Arial Nova"/>
          <w:color w:val="000000" w:themeColor="text1"/>
          <w:sz w:val="44"/>
          <w:szCs w:val="44"/>
        </w:rPr>
      </w:pPr>
    </w:p>
    <w:p w14:paraId="3512EC1D" w14:textId="77777777" w:rsidR="00882DA3" w:rsidRDefault="00882DA3" w:rsidP="47853A3C">
      <w:pPr>
        <w:rPr>
          <w:rFonts w:ascii="Arial Nova" w:eastAsia="Arial Nova" w:hAnsi="Arial Nova" w:cs="Arial Nova"/>
          <w:color w:val="000000" w:themeColor="text1"/>
          <w:sz w:val="44"/>
          <w:szCs w:val="44"/>
        </w:rPr>
      </w:pPr>
    </w:p>
    <w:p w14:paraId="3498D929" w14:textId="77777777" w:rsidR="00882DA3" w:rsidRDefault="00882DA3" w:rsidP="47853A3C">
      <w:pPr>
        <w:rPr>
          <w:rFonts w:ascii="Arial Nova" w:eastAsia="Arial Nova" w:hAnsi="Arial Nova" w:cs="Arial Nova"/>
          <w:color w:val="000000" w:themeColor="text1"/>
          <w:sz w:val="44"/>
          <w:szCs w:val="44"/>
        </w:rPr>
      </w:pPr>
    </w:p>
    <w:p w14:paraId="4EB57C90" w14:textId="77777777" w:rsidR="00882DA3" w:rsidRDefault="00882DA3" w:rsidP="47853A3C">
      <w:pPr>
        <w:rPr>
          <w:rFonts w:ascii="Arial Nova" w:eastAsia="Arial Nova" w:hAnsi="Arial Nova" w:cs="Arial Nova"/>
          <w:color w:val="000000" w:themeColor="text1"/>
          <w:sz w:val="44"/>
          <w:szCs w:val="44"/>
        </w:rPr>
      </w:pPr>
    </w:p>
    <w:p w14:paraId="3C1485BD" w14:textId="082AAABF" w:rsidR="17E92B46" w:rsidRPr="00882DA3" w:rsidRDefault="21B62BFC" w:rsidP="00882DA3">
      <w:pPr>
        <w:rPr>
          <w:rFonts w:ascii="Arial Nova" w:eastAsia="Arial Nova" w:hAnsi="Arial Nova" w:cs="Arial Nova"/>
          <w:color w:val="000000" w:themeColor="text1"/>
          <w:sz w:val="44"/>
          <w:szCs w:val="44"/>
        </w:rPr>
      </w:pPr>
      <w:r w:rsidRPr="47853A3C">
        <w:rPr>
          <w:rFonts w:ascii="Arial Nova" w:eastAsia="Arial Nova" w:hAnsi="Arial Nova" w:cs="Arial Nova"/>
          <w:color w:val="000000" w:themeColor="text1"/>
          <w:sz w:val="44"/>
          <w:szCs w:val="44"/>
        </w:rPr>
        <w:lastRenderedPageBreak/>
        <w:t xml:space="preserve">Task </w:t>
      </w:r>
      <w:r w:rsidR="00563EB8">
        <w:rPr>
          <w:rFonts w:ascii="Arial Nova" w:eastAsia="Arial Nova" w:hAnsi="Arial Nova" w:cs="Arial Nova"/>
          <w:color w:val="000000" w:themeColor="text1"/>
          <w:sz w:val="44"/>
          <w:szCs w:val="44"/>
        </w:rPr>
        <w:t>6</w:t>
      </w:r>
      <w:r w:rsidRPr="47853A3C">
        <w:rPr>
          <w:rFonts w:ascii="Arial Nova" w:eastAsia="Arial Nova" w:hAnsi="Arial Nova" w:cs="Arial Nova"/>
          <w:color w:val="000000" w:themeColor="text1"/>
          <w:sz w:val="44"/>
          <w:szCs w:val="44"/>
        </w:rPr>
        <w:t xml:space="preserve"> - </w:t>
      </w:r>
      <w:r w:rsidR="17E92B46" w:rsidRPr="47853A3C">
        <w:rPr>
          <w:rFonts w:ascii="Arial Nova" w:eastAsia="Arial Nova" w:hAnsi="Arial Nova" w:cs="Arial Nova"/>
          <w:color w:val="000000" w:themeColor="text1"/>
          <w:sz w:val="44"/>
          <w:szCs w:val="44"/>
        </w:rPr>
        <w:t>NHS Leadership Framework Analysis</w:t>
      </w:r>
    </w:p>
    <w:p w14:paraId="5ACB1B0F" w14:textId="77777777" w:rsidR="00490F0A" w:rsidRDefault="00056D52" w:rsidP="0049147A">
      <w:pPr>
        <w:rPr>
          <w:rFonts w:asciiTheme="minorBidi" w:eastAsia="Arial Nova" w:hAnsiTheme="minorBidi"/>
          <w:color w:val="000000" w:themeColor="text1"/>
          <w:sz w:val="22"/>
          <w:szCs w:val="22"/>
          <w:lang w:val="en-GB"/>
        </w:rPr>
      </w:pPr>
      <w:r w:rsidRPr="00056D52">
        <w:rPr>
          <w:rFonts w:asciiTheme="minorBidi" w:eastAsia="Arial Nova" w:hAnsiTheme="minorBidi"/>
          <w:color w:val="000000" w:themeColor="text1"/>
          <w:sz w:val="22"/>
          <w:szCs w:val="22"/>
          <w:lang w:val="en-GB"/>
        </w:rPr>
        <w:t>The NHS Leadership Framework sets out a shared model of leadership behaviour for health and care staff, recognising that leadership is everyone’s responsibility, not only people in formal posts. It describes seven domains.</w:t>
      </w:r>
    </w:p>
    <w:p w14:paraId="2EECFC0A" w14:textId="77777777" w:rsidR="00490F0A" w:rsidRDefault="00056D52" w:rsidP="0049147A">
      <w:pPr>
        <w:rPr>
          <w:rFonts w:asciiTheme="minorBidi" w:eastAsia="Arial Nova" w:hAnsiTheme="minorBidi"/>
          <w:color w:val="000000" w:themeColor="text1"/>
          <w:sz w:val="22"/>
          <w:szCs w:val="22"/>
          <w:lang w:val="en-GB"/>
        </w:rPr>
      </w:pPr>
      <w:r w:rsidRPr="00056D52">
        <w:rPr>
          <w:rFonts w:asciiTheme="minorBidi" w:eastAsia="Arial Nova" w:hAnsiTheme="minorBidi"/>
          <w:color w:val="000000" w:themeColor="text1"/>
          <w:sz w:val="22"/>
          <w:szCs w:val="22"/>
          <w:lang w:val="en-GB"/>
        </w:rPr>
        <w:t>(1) Demonstrating personal qualities: self-awareness, integrity, emotional intelligence and resilience so leaders act consistently with NHS values.</w:t>
      </w:r>
    </w:p>
    <w:p w14:paraId="7ACB0821" w14:textId="77777777" w:rsidR="00490F0A" w:rsidRDefault="00056D52" w:rsidP="0049147A">
      <w:pPr>
        <w:rPr>
          <w:rFonts w:asciiTheme="minorBidi" w:eastAsia="Arial Nova" w:hAnsiTheme="minorBidi"/>
          <w:color w:val="000000" w:themeColor="text1"/>
          <w:sz w:val="22"/>
          <w:szCs w:val="22"/>
          <w:lang w:val="en-GB"/>
        </w:rPr>
      </w:pPr>
      <w:r w:rsidRPr="00056D52">
        <w:rPr>
          <w:rFonts w:asciiTheme="minorBidi" w:eastAsia="Arial Nova" w:hAnsiTheme="minorBidi"/>
          <w:color w:val="000000" w:themeColor="text1"/>
          <w:sz w:val="22"/>
          <w:szCs w:val="22"/>
          <w:lang w:val="en-GB"/>
        </w:rPr>
        <w:t>(2) Working with others: building trust, communicating well, resolving conflict and collaborating across professions and organisational boundaries.</w:t>
      </w:r>
    </w:p>
    <w:p w14:paraId="1CA8087F" w14:textId="77777777" w:rsidR="00490F0A" w:rsidRDefault="00056D52" w:rsidP="0049147A">
      <w:pPr>
        <w:rPr>
          <w:rFonts w:asciiTheme="minorBidi" w:eastAsia="Arial Nova" w:hAnsiTheme="minorBidi"/>
          <w:color w:val="000000" w:themeColor="text1"/>
          <w:sz w:val="22"/>
          <w:szCs w:val="22"/>
          <w:lang w:val="en-GB"/>
        </w:rPr>
      </w:pPr>
      <w:r w:rsidRPr="00056D52">
        <w:rPr>
          <w:rFonts w:asciiTheme="minorBidi" w:eastAsia="Arial Nova" w:hAnsiTheme="minorBidi"/>
          <w:color w:val="000000" w:themeColor="text1"/>
          <w:sz w:val="22"/>
          <w:szCs w:val="22"/>
          <w:lang w:val="en-GB"/>
        </w:rPr>
        <w:t>(3) Managing services: planning, prioritising, managing resources, risk and performance so services are safe, equitable and reliable.</w:t>
      </w:r>
    </w:p>
    <w:p w14:paraId="219DE139" w14:textId="77777777" w:rsidR="0066759E" w:rsidRDefault="00056D52" w:rsidP="0049147A">
      <w:pPr>
        <w:rPr>
          <w:rFonts w:asciiTheme="minorBidi" w:eastAsia="Arial Nova" w:hAnsiTheme="minorBidi"/>
          <w:color w:val="000000" w:themeColor="text1"/>
          <w:sz w:val="22"/>
          <w:szCs w:val="22"/>
          <w:lang w:val="en-GB"/>
        </w:rPr>
      </w:pPr>
      <w:r w:rsidRPr="00056D52">
        <w:rPr>
          <w:rFonts w:asciiTheme="minorBidi" w:eastAsia="Arial Nova" w:hAnsiTheme="minorBidi"/>
          <w:color w:val="000000" w:themeColor="text1"/>
          <w:sz w:val="22"/>
          <w:szCs w:val="22"/>
          <w:lang w:val="en-GB"/>
        </w:rPr>
        <w:t>(4) Improving services: using evidence, quality-improvement methods and feedback from patients, families and staff to redesign pathways and reduce harm.</w:t>
      </w:r>
    </w:p>
    <w:p w14:paraId="5C007EBF" w14:textId="77777777" w:rsidR="0066759E" w:rsidRDefault="00056D52" w:rsidP="0049147A">
      <w:pPr>
        <w:rPr>
          <w:rFonts w:asciiTheme="minorBidi" w:eastAsia="Arial Nova" w:hAnsiTheme="minorBidi"/>
          <w:color w:val="000000" w:themeColor="text1"/>
          <w:sz w:val="22"/>
          <w:szCs w:val="22"/>
          <w:lang w:val="en-GB"/>
        </w:rPr>
      </w:pPr>
      <w:r w:rsidRPr="00056D52">
        <w:rPr>
          <w:rFonts w:asciiTheme="minorBidi" w:eastAsia="Arial Nova" w:hAnsiTheme="minorBidi"/>
          <w:color w:val="000000" w:themeColor="text1"/>
          <w:sz w:val="22"/>
          <w:szCs w:val="22"/>
          <w:lang w:val="en-GB"/>
        </w:rPr>
        <w:t>(5) Setting direction: scanning the environment, analysing information, making decisions and aligning work with strategy and population need.</w:t>
      </w:r>
    </w:p>
    <w:p w14:paraId="2184731B" w14:textId="77777777" w:rsidR="0066759E" w:rsidRDefault="00056D52" w:rsidP="0049147A">
      <w:pPr>
        <w:rPr>
          <w:rFonts w:asciiTheme="minorBidi" w:eastAsia="Arial Nova" w:hAnsiTheme="minorBidi"/>
          <w:color w:val="000000" w:themeColor="text1"/>
          <w:sz w:val="22"/>
          <w:szCs w:val="22"/>
          <w:lang w:val="en-GB"/>
        </w:rPr>
      </w:pPr>
      <w:r w:rsidRPr="00056D52">
        <w:rPr>
          <w:rFonts w:asciiTheme="minorBidi" w:eastAsia="Arial Nova" w:hAnsiTheme="minorBidi"/>
          <w:color w:val="000000" w:themeColor="text1"/>
          <w:sz w:val="22"/>
          <w:szCs w:val="22"/>
          <w:lang w:val="en-GB"/>
        </w:rPr>
        <w:t>(6) Creating the vision: articulating an inspiring picture of better care and motivating people to contribute.</w:t>
      </w:r>
    </w:p>
    <w:p w14:paraId="1F8D9957" w14:textId="3D5FDBEA" w:rsidR="00056D52" w:rsidRPr="0049147A" w:rsidRDefault="00056D52" w:rsidP="0049147A">
      <w:pPr>
        <w:rPr>
          <w:rFonts w:asciiTheme="minorBidi" w:eastAsia="Arial Nova" w:hAnsiTheme="minorBidi"/>
          <w:color w:val="000000" w:themeColor="text1"/>
          <w:sz w:val="22"/>
          <w:szCs w:val="22"/>
          <w:lang w:val="en-GB"/>
        </w:rPr>
      </w:pPr>
      <w:r w:rsidRPr="00056D52">
        <w:rPr>
          <w:rFonts w:asciiTheme="minorBidi" w:eastAsia="Arial Nova" w:hAnsiTheme="minorBidi"/>
          <w:color w:val="000000" w:themeColor="text1"/>
          <w:sz w:val="22"/>
          <w:szCs w:val="22"/>
          <w:lang w:val="en-GB"/>
        </w:rPr>
        <w:t xml:space="preserve">(7) Delivering the strategy: turning vision into delivery plans, governance, capability building and measurable outcomes. Used for reflection, appraisal and development, the framework helps individuals identify strengths and gaps, and helps organisations build consistent leadership cultures that support compassionate, continuously improving care. It also emphasises shared accountability, inclusion and learning, so improvement becomes routine and outcomes stay central for patients and staff. </w:t>
      </w:r>
    </w:p>
    <w:p w14:paraId="462F4D73" w14:textId="4777DD15" w:rsidR="38F3069B" w:rsidRPr="00056D52" w:rsidRDefault="00056D52" w:rsidP="00056D52">
      <w:pPr>
        <w:rPr>
          <w:rFonts w:asciiTheme="minorBidi" w:eastAsia="Arial Nova" w:hAnsiTheme="minorBidi"/>
          <w:color w:val="000000" w:themeColor="text1"/>
          <w:sz w:val="22"/>
          <w:szCs w:val="22"/>
          <w:lang w:val="en-GB"/>
        </w:rPr>
      </w:pPr>
      <w:r w:rsidRPr="00056D52">
        <w:rPr>
          <w:rFonts w:asciiTheme="minorBidi" w:eastAsia="Arial Nova" w:hAnsiTheme="minorBidi"/>
          <w:color w:val="000000" w:themeColor="text1"/>
          <w:sz w:val="22"/>
          <w:szCs w:val="22"/>
          <w:lang w:val="en-GB"/>
        </w:rPr>
        <w:t>A leader can use this domain to make creativity a normal part of care improvement by framing problems as shared learning challenges, not personal failings. They start by listening to patients and staff, using stories, complaints and data to identify a clear improvement aim. Then they create psychologically safe spaces (eg, short huddles or ‘improvement labs’) where multidisciplinary teams can test ideas quickly through small Plan-Do-Study-Act cycles, learn from failure and scale what works. The leader models compassionate, supportive behaviour, because compassionate leadership can stimulate innovation by boosting staff’s intrinsic motivation and reinforcing their care values. They also remove practical barriers (time, information, permissions), connect teams to quality and digital support, and celebrate learning rather than only targets. Over time, this builds an engaged workforce that generates and implements new ideas, improving safety, flow and patient experience. Finally, they share results widely to spread successful change.</w:t>
      </w:r>
    </w:p>
    <w:p w14:paraId="4D41DE72" w14:textId="77777777" w:rsidR="0080525C" w:rsidRDefault="0080525C" w:rsidP="47853A3C">
      <w:pPr>
        <w:rPr>
          <w:rFonts w:ascii="Arial Nova" w:eastAsia="Arial Nova" w:hAnsi="Arial Nova" w:cs="Arial Nova"/>
          <w:color w:val="000000" w:themeColor="text1"/>
          <w:sz w:val="44"/>
          <w:szCs w:val="44"/>
        </w:rPr>
      </w:pPr>
    </w:p>
    <w:p w14:paraId="743C7137" w14:textId="5C694326" w:rsidR="17E92B46" w:rsidRDefault="38F3069B" w:rsidP="47853A3C">
      <w:pPr>
        <w:rPr>
          <w:rFonts w:ascii="Arial Nova" w:eastAsia="Arial Nova" w:hAnsi="Arial Nova" w:cs="Arial Nova"/>
          <w:color w:val="000000" w:themeColor="text1"/>
          <w:sz w:val="44"/>
          <w:szCs w:val="44"/>
        </w:rPr>
      </w:pPr>
      <w:r w:rsidRPr="47853A3C">
        <w:rPr>
          <w:rFonts w:ascii="Arial Nova" w:eastAsia="Arial Nova" w:hAnsi="Arial Nova" w:cs="Arial Nova"/>
          <w:color w:val="000000" w:themeColor="text1"/>
          <w:sz w:val="44"/>
          <w:szCs w:val="44"/>
        </w:rPr>
        <w:lastRenderedPageBreak/>
        <w:t xml:space="preserve">Task </w:t>
      </w:r>
      <w:r w:rsidR="00563EB8">
        <w:rPr>
          <w:rFonts w:ascii="Arial Nova" w:eastAsia="Arial Nova" w:hAnsi="Arial Nova" w:cs="Arial Nova"/>
          <w:color w:val="000000" w:themeColor="text1"/>
          <w:sz w:val="44"/>
          <w:szCs w:val="44"/>
        </w:rPr>
        <w:t>7</w:t>
      </w:r>
      <w:r w:rsidRPr="47853A3C">
        <w:rPr>
          <w:rFonts w:ascii="Arial Nova" w:eastAsia="Arial Nova" w:hAnsi="Arial Nova" w:cs="Arial Nova"/>
          <w:color w:val="000000" w:themeColor="text1"/>
          <w:sz w:val="44"/>
          <w:szCs w:val="44"/>
        </w:rPr>
        <w:t xml:space="preserve"> - </w:t>
      </w:r>
      <w:r w:rsidR="17E92B46" w:rsidRPr="47853A3C">
        <w:rPr>
          <w:rFonts w:ascii="Arial Nova" w:eastAsia="Arial Nova" w:hAnsi="Arial Nova" w:cs="Arial Nova"/>
          <w:color w:val="000000" w:themeColor="text1"/>
          <w:sz w:val="44"/>
          <w:szCs w:val="44"/>
        </w:rPr>
        <w:t>Self-Reflection Journal Entry</w:t>
      </w:r>
    </w:p>
    <w:p w14:paraId="633749AB" w14:textId="77777777" w:rsidR="006E7AD3" w:rsidRPr="006E7AD3" w:rsidRDefault="006E7AD3" w:rsidP="006E7AD3">
      <w:pPr>
        <w:rPr>
          <w:rFonts w:ascii="Arial Nova" w:eastAsia="Arial Nova" w:hAnsi="Arial Nova" w:cs="Arial Nova"/>
          <w:color w:val="000000" w:themeColor="text1"/>
          <w:lang w:val="en-GB"/>
        </w:rPr>
      </w:pPr>
      <w:r w:rsidRPr="006E7AD3">
        <w:rPr>
          <w:rFonts w:ascii="Arial Nova" w:eastAsia="Arial Nova" w:hAnsi="Arial Nova" w:cs="Arial Nova"/>
          <w:color w:val="000000" w:themeColor="text1"/>
          <w:lang w:val="en-GB"/>
        </w:rPr>
        <w:t>Throughout this module, my understanding of creativity within health and social care (H&amp;SC) has significantly evolved. Previously, I associated creativity mainly with new technologies or major innovations. However, exploring examples such as the NHS COVID Oximetry @home initiative helped me recognise that creativity in H&amp;SC is often about service redesign, practical problem-solving, and rethinking existing processes to create value. I learned that innovation does not always require high-tech solutions; it can involve repurposing simple tools, such as pulse oximeters, and embedding them into structured, patient-centred pathways.</w:t>
      </w:r>
    </w:p>
    <w:p w14:paraId="5B1209F9" w14:textId="77777777" w:rsidR="006E7AD3" w:rsidRPr="006E7AD3" w:rsidRDefault="006E7AD3" w:rsidP="006E7AD3">
      <w:pPr>
        <w:rPr>
          <w:rFonts w:ascii="Arial Nova" w:eastAsia="Arial Nova" w:hAnsi="Arial Nova" w:cs="Arial Nova"/>
          <w:color w:val="000000" w:themeColor="text1"/>
          <w:lang w:val="en-GB"/>
        </w:rPr>
      </w:pPr>
      <w:r w:rsidRPr="006E7AD3">
        <w:rPr>
          <w:rFonts w:ascii="Arial Nova" w:eastAsia="Arial Nova" w:hAnsi="Arial Nova" w:cs="Arial Nova"/>
          <w:color w:val="000000" w:themeColor="text1"/>
          <w:lang w:val="en-GB"/>
        </w:rPr>
        <w:t>My understanding of value creation has also deepened. I now see value not only in financial efficiency, but in improved patient outcomes, earlier intervention, enhanced safety, patient empowerment, and better system coordination. Creativity contributes to value when it improves patient experience, reduces harm, strengthens collaboration across services, and supports sustainable models of care.</w:t>
      </w:r>
    </w:p>
    <w:p w14:paraId="5E158207" w14:textId="77777777" w:rsidR="006E7AD3" w:rsidRPr="006E7AD3" w:rsidRDefault="006E7AD3" w:rsidP="006E7AD3">
      <w:pPr>
        <w:rPr>
          <w:rFonts w:ascii="Arial Nova" w:eastAsia="Arial Nova" w:hAnsi="Arial Nova" w:cs="Arial Nova"/>
          <w:color w:val="000000" w:themeColor="text1"/>
          <w:lang w:val="en-GB"/>
        </w:rPr>
      </w:pPr>
      <w:r w:rsidRPr="006E7AD3">
        <w:rPr>
          <w:rFonts w:ascii="Arial Nova" w:eastAsia="Arial Nova" w:hAnsi="Arial Nova" w:cs="Arial Nova"/>
          <w:color w:val="000000" w:themeColor="text1"/>
          <w:lang w:val="en-GB"/>
        </w:rPr>
        <w:t>This module has influenced my professional practice by encouraging me to think more systemically and proactively. I am more aware of how small changes—such as clearer communication, structured escalation processes, or empowering patients in self-monitoring—can drive meaningful improvement. I now approach challenges with a mindset focused on practical innovation, collaboration, and measurable impact for service users.</w:t>
      </w:r>
    </w:p>
    <w:p w14:paraId="14BBDC4C" w14:textId="7708247E" w:rsidR="1D4C7ABC" w:rsidRPr="006E7AD3" w:rsidRDefault="1D4C7ABC" w:rsidP="006E7AD3">
      <w:pPr>
        <w:rPr>
          <w:rFonts w:ascii="Arial Nova" w:eastAsia="Arial Nova" w:hAnsi="Arial Nova" w:cs="Arial Nova"/>
          <w:color w:val="000000" w:themeColor="text1"/>
          <w:lang w:val="en-GB"/>
        </w:rPr>
      </w:pPr>
    </w:p>
    <w:p w14:paraId="11710E1B" w14:textId="6B61F835" w:rsidR="021F216E" w:rsidRDefault="021F216E" w:rsidP="021F216E">
      <w:pPr>
        <w:rPr>
          <w:rFonts w:ascii="Arial Nova" w:eastAsia="Arial Nova" w:hAnsi="Arial Nova" w:cs="Arial Nova"/>
          <w:i/>
          <w:iCs/>
          <w:color w:val="000000" w:themeColor="text1"/>
        </w:rPr>
      </w:pPr>
    </w:p>
    <w:p w14:paraId="06F6AC41" w14:textId="0A4A405D" w:rsidR="021F216E" w:rsidRDefault="021F216E" w:rsidP="021F216E">
      <w:pPr>
        <w:rPr>
          <w:rFonts w:ascii="Arial Nova" w:eastAsia="Arial Nova" w:hAnsi="Arial Nova" w:cs="Arial Nova"/>
          <w:i/>
          <w:iCs/>
          <w:color w:val="000000" w:themeColor="text1"/>
        </w:rPr>
      </w:pPr>
    </w:p>
    <w:p w14:paraId="632C106F" w14:textId="49338FCB" w:rsidR="021F216E" w:rsidRDefault="021F216E" w:rsidP="021F216E">
      <w:pPr>
        <w:rPr>
          <w:rFonts w:ascii="Arial Nova" w:eastAsia="Arial Nova" w:hAnsi="Arial Nova" w:cs="Arial Nova"/>
          <w:i/>
          <w:iCs/>
          <w:color w:val="000000" w:themeColor="text1"/>
        </w:rPr>
      </w:pPr>
    </w:p>
    <w:p w14:paraId="69DC84A5" w14:textId="24E1A433" w:rsidR="021F216E" w:rsidRDefault="021F216E" w:rsidP="021F216E">
      <w:pPr>
        <w:rPr>
          <w:rFonts w:ascii="Arial Nova" w:eastAsia="Arial Nova" w:hAnsi="Arial Nova" w:cs="Arial Nova"/>
          <w:i/>
          <w:iCs/>
          <w:color w:val="000000" w:themeColor="text1"/>
        </w:rPr>
      </w:pPr>
    </w:p>
    <w:p w14:paraId="42A8E8DB" w14:textId="0E729A56" w:rsidR="021F216E" w:rsidRDefault="021F216E" w:rsidP="021F216E">
      <w:pPr>
        <w:rPr>
          <w:rFonts w:ascii="Arial Nova" w:eastAsia="Arial Nova" w:hAnsi="Arial Nova" w:cs="Arial Nova"/>
          <w:i/>
          <w:iCs/>
          <w:color w:val="000000" w:themeColor="text1"/>
        </w:rPr>
      </w:pPr>
    </w:p>
    <w:p w14:paraId="71A6ADDC" w14:textId="31FBB468" w:rsidR="021F216E" w:rsidRDefault="021F216E" w:rsidP="021F216E">
      <w:pPr>
        <w:rPr>
          <w:rFonts w:ascii="Arial Nova" w:eastAsia="Arial Nova" w:hAnsi="Arial Nova" w:cs="Arial Nova"/>
          <w:i/>
          <w:iCs/>
          <w:color w:val="000000" w:themeColor="text1"/>
        </w:rPr>
      </w:pPr>
    </w:p>
    <w:p w14:paraId="0F3FB67B" w14:textId="74D0F0C4" w:rsidR="021F216E" w:rsidRDefault="021F216E" w:rsidP="021F216E">
      <w:pPr>
        <w:rPr>
          <w:rFonts w:ascii="Arial Nova" w:eastAsia="Arial Nova" w:hAnsi="Arial Nova" w:cs="Arial Nova"/>
          <w:i/>
          <w:iCs/>
          <w:color w:val="000000" w:themeColor="text1"/>
        </w:rPr>
      </w:pPr>
    </w:p>
    <w:p w14:paraId="2BE99980" w14:textId="54CD5EB0" w:rsidR="021F216E" w:rsidRDefault="021F216E" w:rsidP="021F216E">
      <w:pPr>
        <w:rPr>
          <w:rFonts w:ascii="Arial Nova" w:eastAsia="Arial Nova" w:hAnsi="Arial Nova" w:cs="Arial Nova"/>
          <w:i/>
          <w:iCs/>
          <w:color w:val="000000" w:themeColor="text1"/>
        </w:rPr>
      </w:pPr>
    </w:p>
    <w:p w14:paraId="05D2A745" w14:textId="506872F1" w:rsidR="021F216E" w:rsidRDefault="021F216E" w:rsidP="021F216E">
      <w:pPr>
        <w:rPr>
          <w:rFonts w:ascii="Arial Nova" w:eastAsia="Arial Nova" w:hAnsi="Arial Nova" w:cs="Arial Nova"/>
          <w:i/>
          <w:iCs/>
          <w:color w:val="000000" w:themeColor="text1"/>
        </w:rPr>
      </w:pPr>
    </w:p>
    <w:p w14:paraId="299CB7E3" w14:textId="3B6843DE" w:rsidR="00196EF0" w:rsidRPr="00B96EBA" w:rsidRDefault="3EA1690F" w:rsidP="00196EF0">
      <w:pPr>
        <w:rPr>
          <w:rFonts w:ascii="Arial Nova" w:eastAsia="Arial Nova" w:hAnsi="Arial Nova" w:cs="Arial Nova"/>
          <w:color w:val="000000" w:themeColor="text1"/>
          <w:sz w:val="48"/>
          <w:szCs w:val="48"/>
        </w:rPr>
      </w:pPr>
      <w:r w:rsidRPr="021F216E">
        <w:rPr>
          <w:rFonts w:ascii="Arial Nova" w:eastAsia="Arial Nova" w:hAnsi="Arial Nova" w:cs="Arial Nova"/>
          <w:color w:val="000000" w:themeColor="text1"/>
          <w:sz w:val="48"/>
          <w:szCs w:val="48"/>
        </w:rPr>
        <w:lastRenderedPageBreak/>
        <w:t>Reference List</w:t>
      </w:r>
    </w:p>
    <w:p w14:paraId="4C5AD334" w14:textId="77777777" w:rsidR="000C2823" w:rsidRPr="000C2823" w:rsidRDefault="000C2823" w:rsidP="000C2823">
      <w:pPr>
        <w:rPr>
          <w:rFonts w:asciiTheme="minorBidi" w:hAnsiTheme="minorBidi"/>
          <w:sz w:val="22"/>
          <w:szCs w:val="22"/>
          <w:lang w:val="en-GB"/>
        </w:rPr>
      </w:pPr>
      <w:r w:rsidRPr="000C2823">
        <w:rPr>
          <w:rFonts w:asciiTheme="minorBidi" w:hAnsiTheme="minorBidi"/>
          <w:sz w:val="22"/>
          <w:szCs w:val="22"/>
          <w:lang w:val="en-GB"/>
        </w:rPr>
        <w:t xml:space="preserve">Boniface, M., Burns, D., Duckworth, J. </w:t>
      </w:r>
      <w:r w:rsidRPr="000C2823">
        <w:rPr>
          <w:rFonts w:asciiTheme="minorBidi" w:hAnsiTheme="minorBidi"/>
          <w:i/>
          <w:iCs/>
          <w:sz w:val="22"/>
          <w:szCs w:val="22"/>
          <w:lang w:val="en-GB"/>
        </w:rPr>
        <w:t>et al.</w:t>
      </w:r>
      <w:r w:rsidRPr="000C2823">
        <w:rPr>
          <w:rFonts w:asciiTheme="minorBidi" w:hAnsiTheme="minorBidi"/>
          <w:sz w:val="22"/>
          <w:szCs w:val="22"/>
          <w:lang w:val="en-GB"/>
        </w:rPr>
        <w:t xml:space="preserve"> (2022) ‘COVID-19 Oximetry @home: evaluation of patient outcomes’, </w:t>
      </w:r>
      <w:r w:rsidRPr="000C2823">
        <w:rPr>
          <w:rFonts w:asciiTheme="minorBidi" w:hAnsiTheme="minorBidi"/>
          <w:i/>
          <w:iCs/>
          <w:sz w:val="22"/>
          <w:szCs w:val="22"/>
          <w:lang w:val="en-GB"/>
        </w:rPr>
        <w:t>BMJ Open Quality</w:t>
      </w:r>
      <w:r w:rsidRPr="000C2823">
        <w:rPr>
          <w:rFonts w:asciiTheme="minorBidi" w:hAnsiTheme="minorBidi"/>
          <w:sz w:val="22"/>
          <w:szCs w:val="22"/>
          <w:lang w:val="en-GB"/>
        </w:rPr>
        <w:t>, 11(1), e001584. Available at: BMJ Open Quality website (Accessed: 24 February 2026).</w:t>
      </w:r>
    </w:p>
    <w:p w14:paraId="53656129" w14:textId="77777777" w:rsidR="000C2823" w:rsidRPr="000C2823" w:rsidRDefault="000C2823" w:rsidP="000C2823">
      <w:pPr>
        <w:rPr>
          <w:rFonts w:asciiTheme="minorBidi" w:hAnsiTheme="minorBidi"/>
          <w:sz w:val="22"/>
          <w:szCs w:val="22"/>
          <w:lang w:val="en-GB"/>
        </w:rPr>
      </w:pPr>
      <w:r w:rsidRPr="000C2823">
        <w:rPr>
          <w:rFonts w:asciiTheme="minorBidi" w:hAnsiTheme="minorBidi"/>
          <w:sz w:val="22"/>
          <w:szCs w:val="22"/>
          <w:lang w:val="en-GB"/>
        </w:rPr>
        <w:t xml:space="preserve">Brewster, A.L. </w:t>
      </w:r>
      <w:r w:rsidRPr="000C2823">
        <w:rPr>
          <w:rFonts w:asciiTheme="minorBidi" w:hAnsiTheme="minorBidi"/>
          <w:i/>
          <w:iCs/>
          <w:sz w:val="22"/>
          <w:szCs w:val="22"/>
          <w:lang w:val="en-GB"/>
        </w:rPr>
        <w:t>et al.</w:t>
      </w:r>
      <w:r w:rsidRPr="000C2823">
        <w:rPr>
          <w:rFonts w:asciiTheme="minorBidi" w:hAnsiTheme="minorBidi"/>
          <w:sz w:val="22"/>
          <w:szCs w:val="22"/>
          <w:lang w:val="en-GB"/>
        </w:rPr>
        <w:t xml:space="preserve"> (2021) ‘Creativity in problem solving to improve complex health outcomes’, </w:t>
      </w:r>
      <w:r w:rsidRPr="000C2823">
        <w:rPr>
          <w:rFonts w:asciiTheme="minorBidi" w:hAnsiTheme="minorBidi"/>
          <w:i/>
          <w:iCs/>
          <w:sz w:val="22"/>
          <w:szCs w:val="22"/>
          <w:lang w:val="en-GB"/>
        </w:rPr>
        <w:t>Learning Health Systems</w:t>
      </w:r>
      <w:r w:rsidRPr="000C2823">
        <w:rPr>
          <w:rFonts w:asciiTheme="minorBidi" w:hAnsiTheme="minorBidi"/>
          <w:sz w:val="22"/>
          <w:szCs w:val="22"/>
          <w:lang w:val="en-GB"/>
        </w:rPr>
        <w:t>, 5(2), pp. 1–10.</w:t>
      </w:r>
    </w:p>
    <w:p w14:paraId="734D319E" w14:textId="77777777" w:rsidR="000C2823" w:rsidRPr="000C2823" w:rsidRDefault="000C2823" w:rsidP="000C2823">
      <w:pPr>
        <w:rPr>
          <w:rFonts w:asciiTheme="minorBidi" w:hAnsiTheme="minorBidi"/>
          <w:sz w:val="22"/>
          <w:szCs w:val="22"/>
          <w:lang w:val="en-GB"/>
        </w:rPr>
      </w:pPr>
      <w:r w:rsidRPr="000C2823">
        <w:rPr>
          <w:rFonts w:asciiTheme="minorBidi" w:hAnsiTheme="minorBidi"/>
          <w:sz w:val="22"/>
          <w:szCs w:val="22"/>
          <w:lang w:val="en-GB"/>
        </w:rPr>
        <w:t xml:space="preserve">Gibbs, G. (1988) </w:t>
      </w:r>
      <w:r w:rsidRPr="000C2823">
        <w:rPr>
          <w:rFonts w:asciiTheme="minorBidi" w:hAnsiTheme="minorBidi"/>
          <w:i/>
          <w:iCs/>
          <w:sz w:val="22"/>
          <w:szCs w:val="22"/>
          <w:lang w:val="en-GB"/>
        </w:rPr>
        <w:t>Learning by Doing: A Guide to Teaching and Learning Methods</w:t>
      </w:r>
      <w:r w:rsidRPr="000C2823">
        <w:rPr>
          <w:rFonts w:asciiTheme="minorBidi" w:hAnsiTheme="minorBidi"/>
          <w:sz w:val="22"/>
          <w:szCs w:val="22"/>
          <w:lang w:val="en-GB"/>
        </w:rPr>
        <w:t>. Oxford: Oxford Polytechnic.</w:t>
      </w:r>
    </w:p>
    <w:p w14:paraId="73755E6D" w14:textId="77777777" w:rsidR="000C2823" w:rsidRPr="000C2823" w:rsidRDefault="000C2823" w:rsidP="000C2823">
      <w:pPr>
        <w:rPr>
          <w:rFonts w:asciiTheme="minorBidi" w:hAnsiTheme="minorBidi"/>
          <w:sz w:val="22"/>
          <w:szCs w:val="22"/>
          <w:lang w:val="en-GB"/>
        </w:rPr>
      </w:pPr>
      <w:r w:rsidRPr="000C2823">
        <w:rPr>
          <w:rFonts w:asciiTheme="minorBidi" w:hAnsiTheme="minorBidi"/>
          <w:sz w:val="22"/>
          <w:szCs w:val="22"/>
          <w:lang w:val="en-GB"/>
        </w:rPr>
        <w:t xml:space="preserve">Knaak, S., Mantler, E. and Szeto, A. (2017) ‘Mental illness-related stigma in healthcare’, </w:t>
      </w:r>
      <w:r w:rsidRPr="000C2823">
        <w:rPr>
          <w:rFonts w:asciiTheme="minorBidi" w:hAnsiTheme="minorBidi"/>
          <w:i/>
          <w:iCs/>
          <w:sz w:val="22"/>
          <w:szCs w:val="22"/>
          <w:lang w:val="en-GB"/>
        </w:rPr>
        <w:t>PMC Journal</w:t>
      </w:r>
      <w:r w:rsidRPr="000C2823">
        <w:rPr>
          <w:rFonts w:asciiTheme="minorBidi" w:hAnsiTheme="minorBidi"/>
          <w:sz w:val="22"/>
          <w:szCs w:val="22"/>
          <w:lang w:val="en-GB"/>
        </w:rPr>
        <w:t xml:space="preserve">. Available at: </w:t>
      </w:r>
      <w:hyperlink r:id="rId12" w:tgtFrame="_new" w:history="1">
        <w:r w:rsidRPr="000C2823">
          <w:rPr>
            <w:rStyle w:val="Hyperlink"/>
            <w:rFonts w:asciiTheme="minorBidi" w:hAnsiTheme="minorBidi"/>
            <w:sz w:val="22"/>
            <w:szCs w:val="22"/>
            <w:lang w:val="en-GB"/>
          </w:rPr>
          <w:t>https://pmc.ncbi.nlm.nih.gov/articles/PMC5347358/</w:t>
        </w:r>
      </w:hyperlink>
      <w:r w:rsidRPr="000C2823">
        <w:rPr>
          <w:rFonts w:asciiTheme="minorBidi" w:hAnsiTheme="minorBidi"/>
          <w:sz w:val="22"/>
          <w:szCs w:val="22"/>
          <w:lang w:val="en-GB"/>
        </w:rPr>
        <w:t xml:space="preserve"> (Accessed: 24 February 2026).</w:t>
      </w:r>
    </w:p>
    <w:p w14:paraId="78B46851" w14:textId="77777777" w:rsidR="000C2823" w:rsidRPr="000C2823" w:rsidRDefault="000C2823" w:rsidP="000C2823">
      <w:pPr>
        <w:rPr>
          <w:rFonts w:asciiTheme="minorBidi" w:hAnsiTheme="minorBidi"/>
          <w:sz w:val="22"/>
          <w:szCs w:val="22"/>
          <w:lang w:val="en-GB"/>
        </w:rPr>
      </w:pPr>
      <w:r w:rsidRPr="000C2823">
        <w:rPr>
          <w:rFonts w:asciiTheme="minorBidi" w:hAnsiTheme="minorBidi"/>
          <w:sz w:val="22"/>
          <w:szCs w:val="22"/>
          <w:lang w:val="en-GB"/>
        </w:rPr>
        <w:t xml:space="preserve">NHS England (n.d.) </w:t>
      </w:r>
      <w:r w:rsidRPr="000C2823">
        <w:rPr>
          <w:rFonts w:asciiTheme="minorBidi" w:hAnsiTheme="minorBidi"/>
          <w:i/>
          <w:iCs/>
          <w:sz w:val="22"/>
          <w:szCs w:val="22"/>
          <w:lang w:val="en-GB"/>
        </w:rPr>
        <w:t>COVID Oximetry @home</w:t>
      </w:r>
      <w:r w:rsidRPr="000C2823">
        <w:rPr>
          <w:rFonts w:asciiTheme="minorBidi" w:hAnsiTheme="minorBidi"/>
          <w:sz w:val="22"/>
          <w:szCs w:val="22"/>
          <w:lang w:val="en-GB"/>
        </w:rPr>
        <w:t>. Available at: NHS England website (Accessed: 24 February 2026).</w:t>
      </w:r>
    </w:p>
    <w:p w14:paraId="3C12DAD8" w14:textId="77777777" w:rsidR="000C2823" w:rsidRPr="000C2823" w:rsidRDefault="000C2823" w:rsidP="000C2823">
      <w:pPr>
        <w:rPr>
          <w:rFonts w:asciiTheme="minorBidi" w:hAnsiTheme="minorBidi"/>
          <w:sz w:val="22"/>
          <w:szCs w:val="22"/>
          <w:lang w:val="en-GB"/>
        </w:rPr>
      </w:pPr>
      <w:r w:rsidRPr="000C2823">
        <w:rPr>
          <w:rFonts w:asciiTheme="minorBidi" w:hAnsiTheme="minorBidi"/>
          <w:sz w:val="22"/>
          <w:szCs w:val="22"/>
          <w:lang w:val="en-GB"/>
        </w:rPr>
        <w:t xml:space="preserve">NHS England (2022) </w:t>
      </w:r>
      <w:r w:rsidRPr="000C2823">
        <w:rPr>
          <w:rFonts w:asciiTheme="minorBidi" w:hAnsiTheme="minorBidi"/>
          <w:i/>
          <w:iCs/>
          <w:sz w:val="22"/>
          <w:szCs w:val="22"/>
          <w:lang w:val="en-GB"/>
        </w:rPr>
        <w:t>What is quality improvement?</w:t>
      </w:r>
      <w:r w:rsidRPr="000C2823">
        <w:rPr>
          <w:rFonts w:asciiTheme="minorBidi" w:hAnsiTheme="minorBidi"/>
          <w:sz w:val="22"/>
          <w:szCs w:val="22"/>
          <w:lang w:val="en-GB"/>
        </w:rPr>
        <w:t xml:space="preserve"> Available at: </w:t>
      </w:r>
      <w:hyperlink r:id="rId13" w:tgtFrame="_new" w:history="1">
        <w:r w:rsidRPr="000C2823">
          <w:rPr>
            <w:rStyle w:val="Hyperlink"/>
            <w:rFonts w:asciiTheme="minorBidi" w:hAnsiTheme="minorBidi"/>
            <w:sz w:val="22"/>
            <w:szCs w:val="22"/>
            <w:lang w:val="en-GB"/>
          </w:rPr>
          <w:t>https://www.england.nhs.uk</w:t>
        </w:r>
      </w:hyperlink>
      <w:r w:rsidRPr="000C2823">
        <w:rPr>
          <w:rFonts w:asciiTheme="minorBidi" w:hAnsiTheme="minorBidi"/>
          <w:sz w:val="22"/>
          <w:szCs w:val="22"/>
          <w:lang w:val="en-GB"/>
        </w:rPr>
        <w:t xml:space="preserve"> (Accessed: 18 January 2026).</w:t>
      </w:r>
    </w:p>
    <w:p w14:paraId="3A626E34" w14:textId="77777777" w:rsidR="000C2823" w:rsidRPr="000C2823" w:rsidRDefault="000C2823" w:rsidP="000C2823">
      <w:pPr>
        <w:rPr>
          <w:rFonts w:asciiTheme="minorBidi" w:hAnsiTheme="minorBidi"/>
          <w:sz w:val="22"/>
          <w:szCs w:val="22"/>
          <w:lang w:val="en-GB"/>
        </w:rPr>
      </w:pPr>
      <w:r w:rsidRPr="000C2823">
        <w:rPr>
          <w:rFonts w:asciiTheme="minorBidi" w:hAnsiTheme="minorBidi"/>
          <w:sz w:val="22"/>
          <w:szCs w:val="22"/>
          <w:lang w:val="en-GB"/>
        </w:rPr>
        <w:t xml:space="preserve">NHS Leadership Academy (n.d.) </w:t>
      </w:r>
      <w:r w:rsidRPr="000C2823">
        <w:rPr>
          <w:rFonts w:asciiTheme="minorBidi" w:hAnsiTheme="minorBidi"/>
          <w:i/>
          <w:iCs/>
          <w:sz w:val="22"/>
          <w:szCs w:val="22"/>
          <w:lang w:val="en-GB"/>
        </w:rPr>
        <w:t>Introducing the Leadership Framework (A5 handout)</w:t>
      </w:r>
      <w:r w:rsidRPr="000C2823">
        <w:rPr>
          <w:rFonts w:asciiTheme="minorBidi" w:hAnsiTheme="minorBidi"/>
          <w:sz w:val="22"/>
          <w:szCs w:val="22"/>
          <w:lang w:val="en-GB"/>
        </w:rPr>
        <w:t>. Available at: NHS Leadership Academy website (Accessed: 24 February 2026).</w:t>
      </w:r>
    </w:p>
    <w:p w14:paraId="6D2AA3A5" w14:textId="77777777" w:rsidR="000C2823" w:rsidRPr="000C2823" w:rsidRDefault="000C2823" w:rsidP="000C2823">
      <w:pPr>
        <w:rPr>
          <w:rFonts w:asciiTheme="minorBidi" w:hAnsiTheme="minorBidi"/>
          <w:sz w:val="22"/>
          <w:szCs w:val="22"/>
          <w:lang w:val="en-GB"/>
        </w:rPr>
      </w:pPr>
      <w:r w:rsidRPr="000C2823">
        <w:rPr>
          <w:rFonts w:asciiTheme="minorBidi" w:hAnsiTheme="minorBidi"/>
          <w:sz w:val="22"/>
          <w:szCs w:val="22"/>
          <w:lang w:val="en-GB"/>
        </w:rPr>
        <w:t xml:space="preserve">Phelan, S.M. </w:t>
      </w:r>
      <w:r w:rsidRPr="000C2823">
        <w:rPr>
          <w:rFonts w:asciiTheme="minorBidi" w:hAnsiTheme="minorBidi"/>
          <w:i/>
          <w:iCs/>
          <w:sz w:val="22"/>
          <w:szCs w:val="22"/>
          <w:lang w:val="en-GB"/>
        </w:rPr>
        <w:t>et al.</w:t>
      </w:r>
      <w:r w:rsidRPr="000C2823">
        <w:rPr>
          <w:rFonts w:asciiTheme="minorBidi" w:hAnsiTheme="minorBidi"/>
          <w:sz w:val="22"/>
          <w:szCs w:val="22"/>
          <w:lang w:val="en-GB"/>
        </w:rPr>
        <w:t xml:space="preserve"> (2023) ‘Patient and health care professional perspectives on mental illness stigma as a barrier to engagement with integrated behavioural health’, </w:t>
      </w:r>
      <w:r w:rsidRPr="000C2823">
        <w:rPr>
          <w:rFonts w:asciiTheme="minorBidi" w:hAnsiTheme="minorBidi"/>
          <w:i/>
          <w:iCs/>
          <w:sz w:val="22"/>
          <w:szCs w:val="22"/>
          <w:lang w:val="en-GB"/>
        </w:rPr>
        <w:t>PMC Journal</w:t>
      </w:r>
      <w:r w:rsidRPr="000C2823">
        <w:rPr>
          <w:rFonts w:asciiTheme="minorBidi" w:hAnsiTheme="minorBidi"/>
          <w:sz w:val="22"/>
          <w:szCs w:val="22"/>
          <w:lang w:val="en-GB"/>
        </w:rPr>
        <w:t xml:space="preserve">. Available at: </w:t>
      </w:r>
      <w:hyperlink r:id="rId14" w:tgtFrame="_new" w:history="1">
        <w:r w:rsidRPr="000C2823">
          <w:rPr>
            <w:rStyle w:val="Hyperlink"/>
            <w:rFonts w:asciiTheme="minorBidi" w:hAnsiTheme="minorBidi"/>
            <w:sz w:val="22"/>
            <w:szCs w:val="22"/>
            <w:lang w:val="en-GB"/>
          </w:rPr>
          <w:t>https://pmc.ncbi.nlm.nih.gov/articles/PMC9970680/</w:t>
        </w:r>
      </w:hyperlink>
      <w:r w:rsidRPr="000C2823">
        <w:rPr>
          <w:rFonts w:asciiTheme="minorBidi" w:hAnsiTheme="minorBidi"/>
          <w:sz w:val="22"/>
          <w:szCs w:val="22"/>
          <w:lang w:val="en-GB"/>
        </w:rPr>
        <w:t xml:space="preserve"> (Accessed: 24 February 2026).</w:t>
      </w:r>
    </w:p>
    <w:p w14:paraId="17D4DA38" w14:textId="77777777" w:rsidR="000C2823" w:rsidRPr="000C2823" w:rsidRDefault="000C2823" w:rsidP="000C2823">
      <w:pPr>
        <w:rPr>
          <w:rFonts w:asciiTheme="minorBidi" w:hAnsiTheme="minorBidi"/>
          <w:sz w:val="22"/>
          <w:szCs w:val="22"/>
          <w:lang w:val="en-GB"/>
        </w:rPr>
      </w:pPr>
      <w:r w:rsidRPr="000C2823">
        <w:rPr>
          <w:rFonts w:asciiTheme="minorBidi" w:hAnsiTheme="minorBidi"/>
          <w:sz w:val="22"/>
          <w:szCs w:val="22"/>
          <w:lang w:val="en-GB"/>
        </w:rPr>
        <w:t xml:space="preserve">Porter, M.E. (2010) ‘What is value in health care?’, </w:t>
      </w:r>
      <w:r w:rsidRPr="000C2823">
        <w:rPr>
          <w:rFonts w:asciiTheme="minorBidi" w:hAnsiTheme="minorBidi"/>
          <w:i/>
          <w:iCs/>
          <w:sz w:val="22"/>
          <w:szCs w:val="22"/>
          <w:lang w:val="en-GB"/>
        </w:rPr>
        <w:t>New England Journal of Medicine</w:t>
      </w:r>
      <w:r w:rsidRPr="000C2823">
        <w:rPr>
          <w:rFonts w:asciiTheme="minorBidi" w:hAnsiTheme="minorBidi"/>
          <w:sz w:val="22"/>
          <w:szCs w:val="22"/>
          <w:lang w:val="en-GB"/>
        </w:rPr>
        <w:t>, 363(26), pp. 2477–2481.</w:t>
      </w:r>
    </w:p>
    <w:p w14:paraId="5BC451C3" w14:textId="77777777" w:rsidR="000C2823" w:rsidRPr="000C2823" w:rsidRDefault="000C2823" w:rsidP="000C2823">
      <w:pPr>
        <w:rPr>
          <w:rFonts w:asciiTheme="minorBidi" w:hAnsiTheme="minorBidi"/>
          <w:sz w:val="22"/>
          <w:szCs w:val="22"/>
          <w:lang w:val="en-GB"/>
        </w:rPr>
      </w:pPr>
      <w:r w:rsidRPr="000C2823">
        <w:rPr>
          <w:rFonts w:asciiTheme="minorBidi" w:hAnsiTheme="minorBidi"/>
          <w:sz w:val="22"/>
          <w:szCs w:val="22"/>
          <w:lang w:val="en-GB"/>
        </w:rPr>
        <w:t xml:space="preserve">The Health Foundation (2021) </w:t>
      </w:r>
      <w:r w:rsidRPr="000C2823">
        <w:rPr>
          <w:rFonts w:asciiTheme="minorBidi" w:hAnsiTheme="minorBidi"/>
          <w:i/>
          <w:iCs/>
          <w:sz w:val="22"/>
          <w:szCs w:val="22"/>
          <w:lang w:val="en-GB"/>
        </w:rPr>
        <w:t>Quality improvement made simple</w:t>
      </w:r>
      <w:r w:rsidRPr="000C2823">
        <w:rPr>
          <w:rFonts w:asciiTheme="minorBidi" w:hAnsiTheme="minorBidi"/>
          <w:sz w:val="22"/>
          <w:szCs w:val="22"/>
          <w:lang w:val="en-GB"/>
        </w:rPr>
        <w:t xml:space="preserve">. Available at: </w:t>
      </w:r>
      <w:hyperlink r:id="rId15" w:tgtFrame="_new" w:history="1">
        <w:r w:rsidRPr="000C2823">
          <w:rPr>
            <w:rStyle w:val="Hyperlink"/>
            <w:rFonts w:asciiTheme="minorBidi" w:hAnsiTheme="minorBidi"/>
            <w:sz w:val="22"/>
            <w:szCs w:val="22"/>
            <w:lang w:val="en-GB"/>
          </w:rPr>
          <w:t>https://www.health.org.uk</w:t>
        </w:r>
      </w:hyperlink>
      <w:r w:rsidRPr="000C2823">
        <w:rPr>
          <w:rFonts w:asciiTheme="minorBidi" w:hAnsiTheme="minorBidi"/>
          <w:sz w:val="22"/>
          <w:szCs w:val="22"/>
          <w:lang w:val="en-GB"/>
        </w:rPr>
        <w:t xml:space="preserve"> (Accessed: 18 January 2026).</w:t>
      </w:r>
    </w:p>
    <w:p w14:paraId="6FB9AA9B" w14:textId="36742CCC" w:rsidR="021F216E" w:rsidRPr="008F3C3A" w:rsidRDefault="000C2823" w:rsidP="0045271E">
      <w:pPr>
        <w:rPr>
          <w:rFonts w:asciiTheme="minorBidi" w:hAnsiTheme="minorBidi"/>
          <w:sz w:val="22"/>
          <w:szCs w:val="22"/>
          <w:lang w:val="en-GB"/>
        </w:rPr>
      </w:pPr>
      <w:r w:rsidRPr="000C2823">
        <w:rPr>
          <w:rFonts w:asciiTheme="minorBidi" w:hAnsiTheme="minorBidi"/>
          <w:sz w:val="22"/>
          <w:szCs w:val="22"/>
          <w:lang w:val="en-GB"/>
        </w:rPr>
        <w:t xml:space="preserve">West, M. (2017) ‘Compassion and innovation in the NHS’, </w:t>
      </w:r>
      <w:r w:rsidRPr="000C2823">
        <w:rPr>
          <w:rFonts w:asciiTheme="minorBidi" w:hAnsiTheme="minorBidi"/>
          <w:i/>
          <w:iCs/>
          <w:sz w:val="22"/>
          <w:szCs w:val="22"/>
          <w:lang w:val="en-GB"/>
        </w:rPr>
        <w:t>The King’s Fund</w:t>
      </w:r>
      <w:r w:rsidRPr="000C2823">
        <w:rPr>
          <w:rFonts w:asciiTheme="minorBidi" w:hAnsiTheme="minorBidi"/>
          <w:sz w:val="22"/>
          <w:szCs w:val="22"/>
          <w:lang w:val="en-GB"/>
        </w:rPr>
        <w:t>, 27 September. Available at: The King’s Fund website (Accessed: 24 February 2026).</w:t>
      </w:r>
      <w:r w:rsidR="00BB2DD6" w:rsidRPr="00BB2DD6">
        <w:rPr>
          <w:rFonts w:asciiTheme="minorBidi" w:hAnsiTheme="minorBidi"/>
          <w:sz w:val="22"/>
          <w:szCs w:val="22"/>
          <w:lang w:val="en-GB"/>
        </w:rPr>
        <w:t xml:space="preserve"> </w:t>
      </w:r>
    </w:p>
    <w:sectPr w:rsidR="021F216E" w:rsidRPr="008F3C3A">
      <w:headerReference w:type="default" r:id="rId16"/>
      <w:footerReference w:type="defaul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ADB9B8" w14:textId="77777777" w:rsidR="003D50C3" w:rsidRDefault="003D50C3" w:rsidP="00255A0D">
      <w:pPr>
        <w:spacing w:after="0" w:line="240" w:lineRule="auto"/>
      </w:pPr>
      <w:r>
        <w:separator/>
      </w:r>
    </w:p>
  </w:endnote>
  <w:endnote w:type="continuationSeparator" w:id="0">
    <w:p w14:paraId="536BCAA1" w14:textId="77777777" w:rsidR="003D50C3" w:rsidRDefault="003D50C3" w:rsidP="00255A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Nova">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86432504"/>
      <w:docPartObj>
        <w:docPartGallery w:val="Page Numbers (Bottom of Page)"/>
        <w:docPartUnique/>
      </w:docPartObj>
    </w:sdtPr>
    <w:sdtEndPr>
      <w:rPr>
        <w:noProof/>
      </w:rPr>
    </w:sdtEndPr>
    <w:sdtContent>
      <w:p w14:paraId="05CE2A4B" w14:textId="6216BD36" w:rsidR="00144FFB" w:rsidRDefault="00144FF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148945B" w14:textId="77777777" w:rsidR="00144FFB" w:rsidRDefault="00144F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DABF9C" w14:textId="77777777" w:rsidR="003D50C3" w:rsidRDefault="003D50C3" w:rsidP="00255A0D">
      <w:pPr>
        <w:spacing w:after="0" w:line="240" w:lineRule="auto"/>
      </w:pPr>
      <w:r>
        <w:separator/>
      </w:r>
    </w:p>
  </w:footnote>
  <w:footnote w:type="continuationSeparator" w:id="0">
    <w:p w14:paraId="58418372" w14:textId="77777777" w:rsidR="003D50C3" w:rsidRDefault="003D50C3" w:rsidP="00255A0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01C85C" w14:textId="348C40E0" w:rsidR="00144FFB" w:rsidRDefault="00144FFB">
    <w:pPr>
      <w:pStyle w:val="Header"/>
    </w:pPr>
    <w:r>
      <w:t>Zamzam Abdallah</w:t>
    </w:r>
  </w:p>
  <w:p w14:paraId="6C602C95" w14:textId="1C8179B0" w:rsidR="00144FFB" w:rsidRDefault="00144FFB">
    <w:pPr>
      <w:pStyle w:val="Header"/>
    </w:pPr>
    <w:r>
      <w:t>2408411</w:t>
    </w:r>
  </w:p>
  <w:p w14:paraId="34B254EA" w14:textId="77777777" w:rsidR="00144FFB" w:rsidRDefault="00144FF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7F8716"/>
    <w:multiLevelType w:val="hybridMultilevel"/>
    <w:tmpl w:val="A37C541A"/>
    <w:lvl w:ilvl="0" w:tplc="01986154">
      <w:start w:val="1"/>
      <w:numFmt w:val="decimal"/>
      <w:lvlText w:val="%1."/>
      <w:lvlJc w:val="left"/>
      <w:pPr>
        <w:ind w:left="720" w:hanging="360"/>
      </w:pPr>
    </w:lvl>
    <w:lvl w:ilvl="1" w:tplc="40648882">
      <w:start w:val="1"/>
      <w:numFmt w:val="lowerLetter"/>
      <w:lvlText w:val="%2."/>
      <w:lvlJc w:val="left"/>
      <w:pPr>
        <w:ind w:left="1440" w:hanging="360"/>
      </w:pPr>
    </w:lvl>
    <w:lvl w:ilvl="2" w:tplc="892CC2C4">
      <w:start w:val="1"/>
      <w:numFmt w:val="lowerRoman"/>
      <w:lvlText w:val="%3."/>
      <w:lvlJc w:val="right"/>
      <w:pPr>
        <w:ind w:left="2160" w:hanging="180"/>
      </w:pPr>
    </w:lvl>
    <w:lvl w:ilvl="3" w:tplc="6F80E3AA">
      <w:start w:val="1"/>
      <w:numFmt w:val="decimal"/>
      <w:lvlText w:val="%4."/>
      <w:lvlJc w:val="left"/>
      <w:pPr>
        <w:ind w:left="2880" w:hanging="360"/>
      </w:pPr>
    </w:lvl>
    <w:lvl w:ilvl="4" w:tplc="956CDD90">
      <w:start w:val="1"/>
      <w:numFmt w:val="lowerLetter"/>
      <w:lvlText w:val="%5."/>
      <w:lvlJc w:val="left"/>
      <w:pPr>
        <w:ind w:left="3600" w:hanging="360"/>
      </w:pPr>
    </w:lvl>
    <w:lvl w:ilvl="5" w:tplc="68F63794">
      <w:start w:val="1"/>
      <w:numFmt w:val="lowerRoman"/>
      <w:lvlText w:val="%6."/>
      <w:lvlJc w:val="right"/>
      <w:pPr>
        <w:ind w:left="4320" w:hanging="180"/>
      </w:pPr>
    </w:lvl>
    <w:lvl w:ilvl="6" w:tplc="99B64EEC">
      <w:start w:val="1"/>
      <w:numFmt w:val="decimal"/>
      <w:lvlText w:val="%7."/>
      <w:lvlJc w:val="left"/>
      <w:pPr>
        <w:ind w:left="5040" w:hanging="360"/>
      </w:pPr>
    </w:lvl>
    <w:lvl w:ilvl="7" w:tplc="1BF01534">
      <w:start w:val="1"/>
      <w:numFmt w:val="lowerLetter"/>
      <w:lvlText w:val="%8."/>
      <w:lvlJc w:val="left"/>
      <w:pPr>
        <w:ind w:left="5760" w:hanging="360"/>
      </w:pPr>
    </w:lvl>
    <w:lvl w:ilvl="8" w:tplc="D182DF22">
      <w:start w:val="1"/>
      <w:numFmt w:val="lowerRoman"/>
      <w:lvlText w:val="%9."/>
      <w:lvlJc w:val="right"/>
      <w:pPr>
        <w:ind w:left="6480" w:hanging="180"/>
      </w:pPr>
    </w:lvl>
  </w:abstractNum>
  <w:num w:numId="1" w16cid:durableId="13397749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14F69"/>
    <w:rsid w:val="00024C23"/>
    <w:rsid w:val="0004424D"/>
    <w:rsid w:val="00056D52"/>
    <w:rsid w:val="0006307E"/>
    <w:rsid w:val="00094EFD"/>
    <w:rsid w:val="000C2823"/>
    <w:rsid w:val="000C5FFE"/>
    <w:rsid w:val="00144FFB"/>
    <w:rsid w:val="00154906"/>
    <w:rsid w:val="00191524"/>
    <w:rsid w:val="00196EF0"/>
    <w:rsid w:val="001A0E8E"/>
    <w:rsid w:val="001A5F0D"/>
    <w:rsid w:val="001C40BE"/>
    <w:rsid w:val="002263BE"/>
    <w:rsid w:val="00255A0D"/>
    <w:rsid w:val="00255ADF"/>
    <w:rsid w:val="002D4A3A"/>
    <w:rsid w:val="002E3BA5"/>
    <w:rsid w:val="00337274"/>
    <w:rsid w:val="00352BC6"/>
    <w:rsid w:val="003653CE"/>
    <w:rsid w:val="003941BF"/>
    <w:rsid w:val="003B0A5F"/>
    <w:rsid w:val="003D50C3"/>
    <w:rsid w:val="003E1E84"/>
    <w:rsid w:val="00431EC9"/>
    <w:rsid w:val="0045271E"/>
    <w:rsid w:val="00456C61"/>
    <w:rsid w:val="00490F0A"/>
    <w:rsid w:val="0049147A"/>
    <w:rsid w:val="004D3F52"/>
    <w:rsid w:val="00500C32"/>
    <w:rsid w:val="00523362"/>
    <w:rsid w:val="00524046"/>
    <w:rsid w:val="00526EC4"/>
    <w:rsid w:val="00540B63"/>
    <w:rsid w:val="00561893"/>
    <w:rsid w:val="00563EB8"/>
    <w:rsid w:val="00577423"/>
    <w:rsid w:val="00584912"/>
    <w:rsid w:val="00595C69"/>
    <w:rsid w:val="0059786D"/>
    <w:rsid w:val="005C6772"/>
    <w:rsid w:val="0066759E"/>
    <w:rsid w:val="00687270"/>
    <w:rsid w:val="00690672"/>
    <w:rsid w:val="006B0245"/>
    <w:rsid w:val="006E2D4C"/>
    <w:rsid w:val="006E7AD3"/>
    <w:rsid w:val="006F388D"/>
    <w:rsid w:val="00712D60"/>
    <w:rsid w:val="007C1E57"/>
    <w:rsid w:val="007F0718"/>
    <w:rsid w:val="0080525C"/>
    <w:rsid w:val="00882DA3"/>
    <w:rsid w:val="008850B9"/>
    <w:rsid w:val="008F2FE9"/>
    <w:rsid w:val="008F3C3A"/>
    <w:rsid w:val="009969CD"/>
    <w:rsid w:val="009B3AA9"/>
    <w:rsid w:val="009C5459"/>
    <w:rsid w:val="00A507D8"/>
    <w:rsid w:val="00A67CC0"/>
    <w:rsid w:val="00AE5D76"/>
    <w:rsid w:val="00B359D6"/>
    <w:rsid w:val="00B96EBA"/>
    <w:rsid w:val="00BB2DD6"/>
    <w:rsid w:val="00BB5E96"/>
    <w:rsid w:val="00BF4986"/>
    <w:rsid w:val="00C0472F"/>
    <w:rsid w:val="00C50391"/>
    <w:rsid w:val="00C80406"/>
    <w:rsid w:val="00C90B91"/>
    <w:rsid w:val="00CA384C"/>
    <w:rsid w:val="00CA547B"/>
    <w:rsid w:val="00D0773F"/>
    <w:rsid w:val="00D377DF"/>
    <w:rsid w:val="00D44321"/>
    <w:rsid w:val="00D66ED4"/>
    <w:rsid w:val="00DB7912"/>
    <w:rsid w:val="00DC2ECF"/>
    <w:rsid w:val="00E27A2D"/>
    <w:rsid w:val="00E41419"/>
    <w:rsid w:val="00E420DC"/>
    <w:rsid w:val="00E5196E"/>
    <w:rsid w:val="00E80815"/>
    <w:rsid w:val="00ED1DDB"/>
    <w:rsid w:val="00F31471"/>
    <w:rsid w:val="00F52313"/>
    <w:rsid w:val="00F56D53"/>
    <w:rsid w:val="00F61D78"/>
    <w:rsid w:val="00F72442"/>
    <w:rsid w:val="00FA0310"/>
    <w:rsid w:val="00FA19C9"/>
    <w:rsid w:val="00FE6B34"/>
    <w:rsid w:val="021F216E"/>
    <w:rsid w:val="02449CD0"/>
    <w:rsid w:val="0265074D"/>
    <w:rsid w:val="0301BA44"/>
    <w:rsid w:val="04D995C7"/>
    <w:rsid w:val="073417F5"/>
    <w:rsid w:val="081F19E1"/>
    <w:rsid w:val="0F5D0B49"/>
    <w:rsid w:val="111C6C6B"/>
    <w:rsid w:val="118E4763"/>
    <w:rsid w:val="11DCB36E"/>
    <w:rsid w:val="1260D88E"/>
    <w:rsid w:val="14410AF1"/>
    <w:rsid w:val="16AAC293"/>
    <w:rsid w:val="1751A648"/>
    <w:rsid w:val="17E92B46"/>
    <w:rsid w:val="1AD7CC6F"/>
    <w:rsid w:val="1AEA2BF4"/>
    <w:rsid w:val="1D4C7ABC"/>
    <w:rsid w:val="21B62BFC"/>
    <w:rsid w:val="22567C85"/>
    <w:rsid w:val="240D90F5"/>
    <w:rsid w:val="251C0B80"/>
    <w:rsid w:val="27053207"/>
    <w:rsid w:val="284520E4"/>
    <w:rsid w:val="284F49DD"/>
    <w:rsid w:val="2A01ADFD"/>
    <w:rsid w:val="2A23208A"/>
    <w:rsid w:val="2B7DCDE6"/>
    <w:rsid w:val="3299FD2E"/>
    <w:rsid w:val="32ADAAF6"/>
    <w:rsid w:val="3575C376"/>
    <w:rsid w:val="3622B505"/>
    <w:rsid w:val="36FBD366"/>
    <w:rsid w:val="387BE15F"/>
    <w:rsid w:val="38F3069B"/>
    <w:rsid w:val="39E5AD7F"/>
    <w:rsid w:val="3EA1690F"/>
    <w:rsid w:val="3EF52F69"/>
    <w:rsid w:val="3F99161F"/>
    <w:rsid w:val="469F9A50"/>
    <w:rsid w:val="47853A3C"/>
    <w:rsid w:val="47F71378"/>
    <w:rsid w:val="4CDDFD23"/>
    <w:rsid w:val="4D842DEF"/>
    <w:rsid w:val="4FBCB652"/>
    <w:rsid w:val="50F1DE52"/>
    <w:rsid w:val="5137FA03"/>
    <w:rsid w:val="5790A825"/>
    <w:rsid w:val="5C25A517"/>
    <w:rsid w:val="5D1B1139"/>
    <w:rsid w:val="648C21D4"/>
    <w:rsid w:val="6D60DCDE"/>
    <w:rsid w:val="6D65878B"/>
    <w:rsid w:val="6F4F07BE"/>
    <w:rsid w:val="6FE7966A"/>
    <w:rsid w:val="7016E409"/>
    <w:rsid w:val="723804E2"/>
    <w:rsid w:val="72B6EECC"/>
    <w:rsid w:val="74CF99F4"/>
    <w:rsid w:val="761B3D0B"/>
    <w:rsid w:val="776AEF63"/>
    <w:rsid w:val="78EB0FE3"/>
    <w:rsid w:val="79E626CA"/>
    <w:rsid w:val="7DA3B185"/>
    <w:rsid w:val="7F7A4B3B"/>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255A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5A0D"/>
  </w:style>
  <w:style w:type="paragraph" w:styleId="Footer">
    <w:name w:val="footer"/>
    <w:basedOn w:val="Normal"/>
    <w:link w:val="FooterChar"/>
    <w:uiPriority w:val="99"/>
    <w:unhideWhenUsed/>
    <w:rsid w:val="00255A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5A0D"/>
  </w:style>
  <w:style w:type="character" w:styleId="FollowedHyperlink">
    <w:name w:val="FollowedHyperlink"/>
    <w:basedOn w:val="DefaultParagraphFont"/>
    <w:uiPriority w:val="99"/>
    <w:semiHidden/>
    <w:unhideWhenUsed/>
    <w:rsid w:val="00255A0D"/>
    <w:rPr>
      <w:color w:val="96607D" w:themeColor="followedHyperlink"/>
      <w:u w:val="single"/>
    </w:rPr>
  </w:style>
  <w:style w:type="character" w:styleId="UnresolvedMention">
    <w:name w:val="Unresolved Mention"/>
    <w:basedOn w:val="DefaultParagraphFont"/>
    <w:uiPriority w:val="99"/>
    <w:semiHidden/>
    <w:unhideWhenUsed/>
    <w:rsid w:val="0058491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england.nhs.uk"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pmc.ncbi.nlm.nih.gov/articles/PMC5347358/"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oleObject" Target="embeddings/oleObject1.bin"/><Relationship Id="rId5" Type="http://schemas.openxmlformats.org/officeDocument/2006/relationships/webSettings" Target="webSettings.xml"/><Relationship Id="rId15" Type="http://schemas.openxmlformats.org/officeDocument/2006/relationships/hyperlink" Target="https://www.health.org.uk" TargetMode="External"/><Relationship Id="rId10" Type="http://schemas.openxmlformats.org/officeDocument/2006/relationships/image" Target="media/image3.emf"/><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pmc.ncbi.nlm.nih.gov/articles/PMC997068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1A0455-4A07-44EC-8519-230ED5187B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23554</TotalTime>
  <Pages>10</Pages>
  <Words>2142</Words>
  <Characters>12211</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Zamzam Wafiq Abdel Latif Abdallah (2408411)</cp:lastModifiedBy>
  <cp:revision>65</cp:revision>
  <dcterms:created xsi:type="dcterms:W3CDTF">2026-02-20T22:00:00Z</dcterms:created>
  <dcterms:modified xsi:type="dcterms:W3CDTF">2026-03-23T23:35:00Z</dcterms:modified>
</cp:coreProperties>
</file>