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6E004" w14:textId="77777777" w:rsidR="00C91962" w:rsidRDefault="00C91962" w:rsidP="00C91962">
      <w:pPr>
        <w:pStyle w:val="Heading1"/>
      </w:pPr>
      <w:r>
        <w:t xml:space="preserve">                                   </w:t>
      </w:r>
      <w:bookmarkStart w:id="0" w:name="_Toc234442983"/>
      <w:bookmarkStart w:id="1" w:name="_Toc234443534"/>
      <w:bookmarkStart w:id="2" w:name="_Toc234444295"/>
      <w:bookmarkStart w:id="3" w:name="_Toc234445777"/>
      <w:r>
        <w:rPr>
          <w:noProof/>
        </w:rPr>
        <w:drawing>
          <wp:inline distT="0" distB="0" distL="0" distR="0" wp14:anchorId="4AD5FD00" wp14:editId="0E57D713">
            <wp:extent cx="1743710" cy="579120"/>
            <wp:effectExtent l="0" t="0" r="8890" b="0"/>
            <wp:docPr id="1578356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710" cy="579120"/>
                    </a:xfrm>
                    <a:prstGeom prst="rect">
                      <a:avLst/>
                    </a:prstGeom>
                    <a:noFill/>
                  </pic:spPr>
                </pic:pic>
              </a:graphicData>
            </a:graphic>
          </wp:inline>
        </w:drawing>
      </w:r>
      <w:bookmarkEnd w:id="0"/>
      <w:bookmarkEnd w:id="1"/>
      <w:bookmarkEnd w:id="2"/>
      <w:bookmarkEnd w:id="3"/>
    </w:p>
    <w:p w14:paraId="40CCCAE7" w14:textId="77777777" w:rsidR="00C91962" w:rsidRPr="00A2391D" w:rsidRDefault="00C91962" w:rsidP="00C91962">
      <w:pPr>
        <w:jc w:val="center"/>
        <w:rPr>
          <w:rFonts w:ascii="Arial" w:hAnsi="Arial" w:cs="Arial"/>
          <w:sz w:val="44"/>
          <w:szCs w:val="44"/>
        </w:rPr>
      </w:pPr>
    </w:p>
    <w:p w14:paraId="0B90C468" w14:textId="77777777" w:rsidR="00C91962" w:rsidRPr="00A2391D" w:rsidRDefault="00C91962" w:rsidP="00C91962">
      <w:pPr>
        <w:jc w:val="center"/>
        <w:rPr>
          <w:rFonts w:ascii="Arial" w:hAnsi="Arial" w:cs="Arial"/>
          <w:b/>
          <w:bCs/>
          <w:sz w:val="44"/>
          <w:szCs w:val="44"/>
        </w:rPr>
      </w:pPr>
      <w:r w:rsidRPr="00A2391D">
        <w:rPr>
          <w:rFonts w:ascii="Arial" w:hAnsi="Arial" w:cs="Arial"/>
          <w:b/>
          <w:bCs/>
          <w:sz w:val="44"/>
          <w:szCs w:val="44"/>
        </w:rPr>
        <w:t>Module name and code: Managing Projects in the Organisation</w:t>
      </w:r>
    </w:p>
    <w:p w14:paraId="4BCB7E02" w14:textId="77777777" w:rsidR="00C91962" w:rsidRDefault="00C91962" w:rsidP="00C91962">
      <w:pPr>
        <w:jc w:val="center"/>
        <w:rPr>
          <w:rFonts w:ascii="Arial" w:hAnsi="Arial" w:cs="Arial"/>
          <w:b/>
          <w:bCs/>
          <w:sz w:val="44"/>
          <w:szCs w:val="44"/>
        </w:rPr>
      </w:pPr>
      <w:r w:rsidRPr="00A2391D">
        <w:rPr>
          <w:rFonts w:ascii="Arial" w:hAnsi="Arial" w:cs="Arial"/>
          <w:b/>
          <w:bCs/>
          <w:sz w:val="44"/>
          <w:szCs w:val="44"/>
        </w:rPr>
        <w:t>BMSW5009</w:t>
      </w:r>
    </w:p>
    <w:p w14:paraId="4CDB8AEA" w14:textId="77777777" w:rsidR="00A57CCA" w:rsidRDefault="00A57CCA" w:rsidP="00C91962">
      <w:pPr>
        <w:rPr>
          <w:rFonts w:ascii="Arial" w:hAnsi="Arial" w:cs="Arial"/>
          <w:b/>
          <w:bCs/>
          <w:sz w:val="44"/>
          <w:szCs w:val="44"/>
        </w:rPr>
      </w:pPr>
    </w:p>
    <w:p w14:paraId="36707F86" w14:textId="2EDC19EE" w:rsidR="00A57CCA" w:rsidRDefault="00FB54C9" w:rsidP="00C91962">
      <w:pPr>
        <w:rPr>
          <w:rFonts w:ascii="Arial" w:hAnsi="Arial" w:cs="Arial"/>
          <w:b/>
          <w:bCs/>
          <w:sz w:val="44"/>
          <w:szCs w:val="44"/>
        </w:rPr>
      </w:pPr>
      <w:r>
        <w:rPr>
          <w:rFonts w:ascii="Arial" w:hAnsi="Arial" w:cs="Arial"/>
          <w:b/>
          <w:bCs/>
          <w:sz w:val="44"/>
          <w:szCs w:val="44"/>
        </w:rPr>
        <w:t>Project:</w:t>
      </w:r>
      <w:r w:rsidR="00A57CCA">
        <w:rPr>
          <w:rFonts w:ascii="Arial" w:hAnsi="Arial" w:cs="Arial"/>
          <w:b/>
          <w:bCs/>
          <w:sz w:val="44"/>
          <w:szCs w:val="44"/>
        </w:rPr>
        <w:t xml:space="preserve"> </w:t>
      </w:r>
      <w:r w:rsidR="00A57CCA" w:rsidRPr="00A57CCA">
        <w:rPr>
          <w:rFonts w:ascii="Arial" w:hAnsi="Arial" w:cs="Arial"/>
          <w:b/>
          <w:bCs/>
          <w:sz w:val="44"/>
          <w:szCs w:val="44"/>
        </w:rPr>
        <w:t xml:space="preserve">1-week inclusive STEM Camp for </w:t>
      </w:r>
      <w:r w:rsidR="00A57CCA">
        <w:rPr>
          <w:rFonts w:ascii="Arial" w:hAnsi="Arial" w:cs="Arial"/>
          <w:b/>
          <w:bCs/>
          <w:sz w:val="44"/>
          <w:szCs w:val="44"/>
        </w:rPr>
        <w:t xml:space="preserve">   </w:t>
      </w:r>
    </w:p>
    <w:p w14:paraId="58ADDD5B" w14:textId="424A1388" w:rsidR="00C91962" w:rsidRPr="00A2391D" w:rsidRDefault="00A57CCA" w:rsidP="00C91962">
      <w:pPr>
        <w:rPr>
          <w:rFonts w:ascii="Arial" w:hAnsi="Arial" w:cs="Arial"/>
          <w:b/>
          <w:bCs/>
          <w:sz w:val="44"/>
          <w:szCs w:val="44"/>
        </w:rPr>
      </w:pPr>
      <w:r>
        <w:rPr>
          <w:rFonts w:ascii="Arial" w:hAnsi="Arial" w:cs="Arial"/>
          <w:b/>
          <w:bCs/>
          <w:sz w:val="44"/>
          <w:szCs w:val="44"/>
        </w:rPr>
        <w:t xml:space="preserve">                 </w:t>
      </w:r>
      <w:r w:rsidRPr="00A57CCA">
        <w:rPr>
          <w:rFonts w:ascii="Arial" w:hAnsi="Arial" w:cs="Arial"/>
          <w:b/>
          <w:bCs/>
          <w:sz w:val="44"/>
          <w:szCs w:val="44"/>
        </w:rPr>
        <w:t>Children with Disabilities</w:t>
      </w:r>
    </w:p>
    <w:p w14:paraId="2111C29A" w14:textId="77777777" w:rsidR="00C91962" w:rsidRPr="00A2391D" w:rsidRDefault="00C91962" w:rsidP="00C91962">
      <w:pPr>
        <w:jc w:val="center"/>
        <w:rPr>
          <w:rFonts w:ascii="Arial" w:hAnsi="Arial" w:cs="Arial"/>
          <w:b/>
          <w:bCs/>
          <w:sz w:val="44"/>
          <w:szCs w:val="44"/>
        </w:rPr>
      </w:pPr>
    </w:p>
    <w:p w14:paraId="41635FEB" w14:textId="77777777" w:rsidR="00C91962" w:rsidRDefault="00C91962" w:rsidP="00C91962">
      <w:pPr>
        <w:jc w:val="center"/>
        <w:rPr>
          <w:rFonts w:ascii="Arial" w:hAnsi="Arial" w:cs="Arial"/>
          <w:b/>
          <w:bCs/>
          <w:sz w:val="44"/>
          <w:szCs w:val="44"/>
        </w:rPr>
      </w:pPr>
      <w:r w:rsidRPr="00A2391D">
        <w:rPr>
          <w:rFonts w:ascii="Arial" w:hAnsi="Arial" w:cs="Arial"/>
          <w:b/>
          <w:bCs/>
          <w:sz w:val="44"/>
          <w:szCs w:val="44"/>
        </w:rPr>
        <w:t>Student name: Laura Bogdana Jurje</w:t>
      </w:r>
    </w:p>
    <w:p w14:paraId="1C638946" w14:textId="77777777" w:rsidR="00C91962" w:rsidRPr="00A2391D" w:rsidRDefault="00C91962" w:rsidP="00C91962">
      <w:pPr>
        <w:jc w:val="center"/>
        <w:rPr>
          <w:rFonts w:ascii="Arial" w:hAnsi="Arial" w:cs="Arial"/>
          <w:b/>
          <w:bCs/>
          <w:sz w:val="44"/>
          <w:szCs w:val="44"/>
        </w:rPr>
      </w:pPr>
    </w:p>
    <w:p w14:paraId="3196002C" w14:textId="77777777" w:rsidR="00C91962" w:rsidRPr="00A2391D" w:rsidRDefault="00C91962" w:rsidP="00C91962">
      <w:pPr>
        <w:jc w:val="center"/>
        <w:rPr>
          <w:rFonts w:ascii="Arial" w:hAnsi="Arial" w:cs="Arial"/>
          <w:b/>
          <w:bCs/>
          <w:sz w:val="44"/>
          <w:szCs w:val="44"/>
        </w:rPr>
      </w:pPr>
    </w:p>
    <w:p w14:paraId="6291653C" w14:textId="77777777" w:rsidR="00C91962" w:rsidRDefault="00C91962" w:rsidP="00C91962">
      <w:pPr>
        <w:jc w:val="center"/>
        <w:rPr>
          <w:rFonts w:ascii="Arial" w:hAnsi="Arial" w:cs="Arial"/>
          <w:b/>
          <w:bCs/>
          <w:sz w:val="44"/>
          <w:szCs w:val="44"/>
        </w:rPr>
      </w:pPr>
      <w:r w:rsidRPr="00A2391D">
        <w:rPr>
          <w:rFonts w:ascii="Arial" w:hAnsi="Arial" w:cs="Arial"/>
          <w:b/>
          <w:bCs/>
          <w:sz w:val="44"/>
          <w:szCs w:val="44"/>
        </w:rPr>
        <w:t>Student number: 2329890</w:t>
      </w:r>
    </w:p>
    <w:p w14:paraId="7EE5930C" w14:textId="77777777" w:rsidR="00C91962" w:rsidRPr="00A2391D" w:rsidRDefault="00C91962" w:rsidP="00C91962">
      <w:pPr>
        <w:jc w:val="center"/>
        <w:rPr>
          <w:rFonts w:ascii="Arial" w:hAnsi="Arial" w:cs="Arial"/>
          <w:b/>
          <w:bCs/>
          <w:sz w:val="44"/>
          <w:szCs w:val="44"/>
        </w:rPr>
      </w:pPr>
    </w:p>
    <w:p w14:paraId="484734E9" w14:textId="77777777" w:rsidR="00C91962" w:rsidRPr="00A2391D" w:rsidRDefault="00C91962" w:rsidP="00C91962">
      <w:pPr>
        <w:jc w:val="center"/>
        <w:rPr>
          <w:rFonts w:ascii="Arial" w:hAnsi="Arial" w:cs="Arial"/>
          <w:b/>
          <w:bCs/>
          <w:sz w:val="44"/>
          <w:szCs w:val="44"/>
        </w:rPr>
      </w:pPr>
    </w:p>
    <w:p w14:paraId="6EC5AABB" w14:textId="31F6E82F" w:rsidR="00C91962" w:rsidRDefault="00C91962" w:rsidP="00C91962">
      <w:pPr>
        <w:jc w:val="center"/>
        <w:rPr>
          <w:rFonts w:ascii="Arial" w:hAnsi="Arial" w:cs="Arial"/>
          <w:b/>
          <w:bCs/>
          <w:sz w:val="44"/>
          <w:szCs w:val="44"/>
        </w:rPr>
      </w:pPr>
      <w:r w:rsidRPr="00A2391D">
        <w:rPr>
          <w:rFonts w:ascii="Arial" w:hAnsi="Arial" w:cs="Arial"/>
          <w:b/>
          <w:bCs/>
          <w:sz w:val="44"/>
          <w:szCs w:val="44"/>
        </w:rPr>
        <w:t xml:space="preserve">Date: </w:t>
      </w:r>
      <w:r w:rsidR="00CF17D7">
        <w:rPr>
          <w:rFonts w:ascii="Arial" w:hAnsi="Arial" w:cs="Arial"/>
          <w:b/>
          <w:bCs/>
          <w:sz w:val="44"/>
          <w:szCs w:val="44"/>
        </w:rPr>
        <w:t>08</w:t>
      </w:r>
      <w:r w:rsidRPr="00A2391D">
        <w:rPr>
          <w:rFonts w:ascii="Arial" w:hAnsi="Arial" w:cs="Arial"/>
          <w:b/>
          <w:bCs/>
          <w:sz w:val="44"/>
          <w:szCs w:val="44"/>
        </w:rPr>
        <w:t>.0</w:t>
      </w:r>
      <w:r w:rsidR="00CF17D7">
        <w:rPr>
          <w:rFonts w:ascii="Arial" w:hAnsi="Arial" w:cs="Arial"/>
          <w:b/>
          <w:bCs/>
          <w:sz w:val="44"/>
          <w:szCs w:val="44"/>
        </w:rPr>
        <w:t>7</w:t>
      </w:r>
      <w:r w:rsidRPr="00A2391D">
        <w:rPr>
          <w:rFonts w:ascii="Arial" w:hAnsi="Arial" w:cs="Arial"/>
          <w:b/>
          <w:bCs/>
          <w:sz w:val="44"/>
          <w:szCs w:val="44"/>
        </w:rPr>
        <w:t>.2026</w:t>
      </w:r>
    </w:p>
    <w:p w14:paraId="4DDFDF50" w14:textId="77777777" w:rsidR="000F41E3" w:rsidRDefault="000F41E3" w:rsidP="00C91962">
      <w:pPr>
        <w:jc w:val="center"/>
        <w:rPr>
          <w:rFonts w:ascii="Arial" w:hAnsi="Arial" w:cs="Arial"/>
          <w:b/>
          <w:bCs/>
          <w:sz w:val="44"/>
          <w:szCs w:val="44"/>
        </w:rPr>
      </w:pPr>
    </w:p>
    <w:p w14:paraId="6F7C4EEF" w14:textId="77777777" w:rsidR="000F41E3" w:rsidRDefault="000F41E3" w:rsidP="00C91962">
      <w:pPr>
        <w:jc w:val="center"/>
        <w:rPr>
          <w:rFonts w:ascii="Arial" w:hAnsi="Arial" w:cs="Arial"/>
          <w:b/>
          <w:bCs/>
          <w:sz w:val="44"/>
          <w:szCs w:val="44"/>
        </w:rPr>
      </w:pPr>
    </w:p>
    <w:p w14:paraId="3897E4F7" w14:textId="77777777" w:rsidR="000F41E3" w:rsidRDefault="000F41E3" w:rsidP="00C91962">
      <w:pPr>
        <w:jc w:val="center"/>
        <w:rPr>
          <w:rFonts w:ascii="Arial" w:hAnsi="Arial" w:cs="Arial"/>
          <w:b/>
          <w:bCs/>
          <w:sz w:val="44"/>
          <w:szCs w:val="44"/>
        </w:rPr>
      </w:pPr>
    </w:p>
    <w:p w14:paraId="67438327" w14:textId="3F8A5EE8" w:rsidR="000F41E3" w:rsidRDefault="000F41E3" w:rsidP="00051E31">
      <w:pPr>
        <w:rPr>
          <w:rFonts w:ascii="Arial" w:hAnsi="Arial" w:cs="Arial"/>
          <w:b/>
          <w:bCs/>
          <w:sz w:val="44"/>
          <w:szCs w:val="44"/>
        </w:rPr>
      </w:pPr>
    </w:p>
    <w:p w14:paraId="418AEB68" w14:textId="77777777" w:rsidR="00F20AC4" w:rsidRPr="000437B6" w:rsidRDefault="00F20AC4" w:rsidP="00051E31">
      <w:pPr>
        <w:rPr>
          <w:rFonts w:ascii="Arial" w:hAnsi="Arial" w:cs="Arial"/>
          <w:b/>
          <w:bCs/>
          <w:sz w:val="24"/>
          <w:szCs w:val="24"/>
        </w:rPr>
      </w:pPr>
    </w:p>
    <w:p w14:paraId="544E731B" w14:textId="67434DD0" w:rsidR="00385E9A" w:rsidRPr="00FC6C29" w:rsidRDefault="00385E9A" w:rsidP="007C700B">
      <w:pPr>
        <w:pStyle w:val="Heading1"/>
        <w:rPr>
          <w:rStyle w:val="Strong"/>
          <w:rFonts w:ascii="Arial" w:hAnsi="Arial" w:cs="Arial"/>
          <w:color w:val="auto"/>
          <w:sz w:val="24"/>
          <w:szCs w:val="24"/>
        </w:rPr>
      </w:pPr>
      <w:bookmarkStart w:id="4" w:name="_Toc234445778"/>
      <w:r w:rsidRPr="00FC6C29">
        <w:rPr>
          <w:rStyle w:val="Strong"/>
          <w:rFonts w:ascii="Arial" w:hAnsi="Arial" w:cs="Arial"/>
          <w:color w:val="auto"/>
          <w:sz w:val="24"/>
          <w:szCs w:val="24"/>
        </w:rPr>
        <w:t>Executive Summary</w:t>
      </w:r>
      <w:bookmarkEnd w:id="4"/>
    </w:p>
    <w:p w14:paraId="5D921948" w14:textId="369BCC1F" w:rsidR="00385E9A" w:rsidRPr="000437B6" w:rsidRDefault="00385E9A" w:rsidP="00385E9A">
      <w:pPr>
        <w:pStyle w:val="isselectedend"/>
        <w:rPr>
          <w:rStyle w:val="Strong"/>
          <w:rFonts w:ascii="Arial" w:hAnsi="Arial" w:cs="Arial"/>
          <w:b w:val="0"/>
          <w:bCs w:val="0"/>
        </w:rPr>
      </w:pPr>
      <w:r w:rsidRPr="000437B6">
        <w:rPr>
          <w:rStyle w:val="Strong"/>
          <w:rFonts w:ascii="Arial" w:hAnsi="Arial" w:cs="Arial"/>
          <w:b w:val="0"/>
          <w:bCs w:val="0"/>
        </w:rPr>
        <w:t>This report evaluates the planning and management of the Summer Camp for Children with Disabilities (SCCD), a one-week inclusive STEM project designed to provide accessible learning opportunities for children with physical, sensory and cognitive disabilities. The project focused on creating a safe and supportive environment where children could engage in adapted STEM activities, build confidence, develop social skills and experience equal opportunities for participation.</w:t>
      </w:r>
    </w:p>
    <w:p w14:paraId="74C06B48" w14:textId="7D906810" w:rsidR="00385E9A" w:rsidRPr="000437B6" w:rsidRDefault="00385E9A" w:rsidP="00385E9A">
      <w:pPr>
        <w:pStyle w:val="isselectedend"/>
        <w:rPr>
          <w:rStyle w:val="Strong"/>
          <w:rFonts w:ascii="Arial" w:hAnsi="Arial" w:cs="Arial"/>
          <w:b w:val="0"/>
          <w:bCs w:val="0"/>
        </w:rPr>
      </w:pPr>
      <w:r w:rsidRPr="000437B6">
        <w:rPr>
          <w:rStyle w:val="Strong"/>
          <w:rFonts w:ascii="Arial" w:hAnsi="Arial" w:cs="Arial"/>
          <w:b w:val="0"/>
          <w:bCs w:val="0"/>
        </w:rPr>
        <w:t>The report critically examines the project management tools and techniques used to plan and organise the SCCD project, including the Project Lifecycle, Iron Triangle, Work Breakdown Structure (WBS), Gantt Chart, Stakeholder Analysis, Risk Analysis, SWOT Analysis and Belbin Team Roles. It considers how these tools supported decision-making, task organisation, communication, stakeholder engagement and the identification of potential challenges.</w:t>
      </w:r>
    </w:p>
    <w:p w14:paraId="097D83CB" w14:textId="0839759C" w:rsidR="00385E9A" w:rsidRPr="000437B6" w:rsidRDefault="00385E9A" w:rsidP="00385E9A">
      <w:pPr>
        <w:pStyle w:val="isselectedend"/>
        <w:rPr>
          <w:rStyle w:val="Strong"/>
          <w:rFonts w:ascii="Arial" w:hAnsi="Arial" w:cs="Arial"/>
          <w:b w:val="0"/>
          <w:bCs w:val="0"/>
        </w:rPr>
      </w:pPr>
      <w:r w:rsidRPr="000437B6">
        <w:rPr>
          <w:rStyle w:val="Strong"/>
          <w:rFonts w:ascii="Arial" w:hAnsi="Arial" w:cs="Arial"/>
          <w:b w:val="0"/>
          <w:bCs w:val="0"/>
        </w:rPr>
        <w:t>The report also reflects on what worked well during the planning process, including clear role allocation, structured planning and a strong focus on inclusion. It also identifies areas for improvement, such as earlier stakeholder involvement, stronger contingency planning, regular risk reviews and clearer communication processes.</w:t>
      </w:r>
    </w:p>
    <w:p w14:paraId="46243799" w14:textId="2F35BD0B" w:rsidR="00385E9A" w:rsidRPr="000437B6" w:rsidRDefault="00385E9A" w:rsidP="00385E9A">
      <w:pPr>
        <w:pStyle w:val="isselectedend"/>
        <w:rPr>
          <w:rStyle w:val="Strong"/>
          <w:rFonts w:ascii="Arial" w:hAnsi="Arial" w:cs="Arial"/>
          <w:b w:val="0"/>
          <w:bCs w:val="0"/>
        </w:rPr>
      </w:pPr>
      <w:r w:rsidRPr="000437B6">
        <w:rPr>
          <w:rStyle w:val="Strong"/>
          <w:rFonts w:ascii="Arial" w:hAnsi="Arial" w:cs="Arial"/>
          <w:b w:val="0"/>
          <w:bCs w:val="0"/>
        </w:rPr>
        <w:t>Overall, the report shows that effective project management tools can support the development of a realistic, inclusive and well-organised community project when they are applied critically and used together throughout the project lifecycle.</w:t>
      </w:r>
    </w:p>
    <w:p w14:paraId="1E65BE45" w14:textId="77777777" w:rsidR="00385E9A" w:rsidRPr="000437B6" w:rsidRDefault="00385E9A" w:rsidP="002E45F2">
      <w:pPr>
        <w:pStyle w:val="isselectedend"/>
        <w:rPr>
          <w:rStyle w:val="Strong"/>
          <w:rFonts w:ascii="Arial" w:hAnsi="Arial" w:cs="Arial"/>
          <w:b w:val="0"/>
          <w:bCs w:val="0"/>
        </w:rPr>
      </w:pPr>
    </w:p>
    <w:p w14:paraId="1FA24271" w14:textId="77777777" w:rsidR="00385E9A" w:rsidRPr="000437B6" w:rsidRDefault="00385E9A" w:rsidP="002E45F2">
      <w:pPr>
        <w:pStyle w:val="isselectedend"/>
        <w:rPr>
          <w:rStyle w:val="Strong"/>
          <w:rFonts w:ascii="Arial" w:hAnsi="Arial" w:cs="Arial"/>
          <w:b w:val="0"/>
          <w:bCs w:val="0"/>
        </w:rPr>
      </w:pPr>
    </w:p>
    <w:p w14:paraId="16B750CB"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3DB05FDC"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4F02480B"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09C9E58D"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14BEB2DB"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2111148F"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09222F68"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20FC5ECE"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4EBC7D59"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sdt>
      <w:sdtPr>
        <w:rPr>
          <w:rFonts w:asciiTheme="minorHAnsi" w:eastAsiaTheme="minorHAnsi" w:hAnsiTheme="minorHAnsi" w:cstheme="minorBidi"/>
          <w:b/>
          <w:bCs/>
          <w:color w:val="auto"/>
          <w:kern w:val="2"/>
          <w:sz w:val="22"/>
          <w:szCs w:val="22"/>
          <w:lang w:eastAsia="en-US"/>
          <w14:ligatures w14:val="standardContextual"/>
        </w:rPr>
        <w:id w:val="981658812"/>
        <w:docPartObj>
          <w:docPartGallery w:val="Table of Contents"/>
          <w:docPartUnique/>
        </w:docPartObj>
      </w:sdtPr>
      <w:sdtEndPr/>
      <w:sdtContent>
        <w:p w14:paraId="4AF7390F" w14:textId="70A052B4" w:rsidR="00C661CB" w:rsidRPr="00C661CB" w:rsidRDefault="00C661CB" w:rsidP="00C661CB">
          <w:pPr>
            <w:pStyle w:val="TOCHeading"/>
          </w:pPr>
          <w:r w:rsidRPr="00C661CB">
            <w:rPr>
              <w:b/>
              <w:bCs/>
              <w:color w:val="auto"/>
            </w:rPr>
            <w:t>Table of Contents</w:t>
          </w:r>
          <w:r w:rsidR="00F1439B">
            <w:rPr>
              <w:b/>
              <w:bCs/>
              <w:color w:val="auto"/>
            </w:rPr>
            <w:t>:</w:t>
          </w:r>
          <w:r>
            <w:fldChar w:fldCharType="begin"/>
          </w:r>
          <w:r>
            <w:instrText xml:space="preserve"> TOC \o "1-3" \h \z \u </w:instrText>
          </w:r>
          <w:r>
            <w:fldChar w:fldCharType="separate"/>
          </w:r>
          <w:hyperlink w:anchor="_Toc234445777" w:history="1">
            <w:r>
              <w:rPr>
                <w:noProof/>
                <w:webHidden/>
              </w:rPr>
              <w:tab/>
            </w:r>
          </w:hyperlink>
        </w:p>
        <w:p w14:paraId="0954D64F" w14:textId="5E3B87DF" w:rsidR="00C661CB" w:rsidRDefault="00C661CB">
          <w:pPr>
            <w:pStyle w:val="TOC1"/>
            <w:rPr>
              <w:rFonts w:asciiTheme="minorHAnsi" w:eastAsiaTheme="minorEastAsia" w:hAnsiTheme="minorHAnsi" w:cstheme="minorBidi"/>
              <w:kern w:val="2"/>
              <w:sz w:val="24"/>
              <w:szCs w:val="24"/>
            </w:rPr>
          </w:pPr>
          <w:hyperlink w:anchor="_Toc234445778" w:history="1">
            <w:r w:rsidRPr="008770C1">
              <w:rPr>
                <w:rStyle w:val="Hyperlink"/>
                <w:b/>
                <w:bCs/>
              </w:rPr>
              <w:t>Executive Summary</w:t>
            </w:r>
            <w:r>
              <w:rPr>
                <w:webHidden/>
              </w:rPr>
              <w:tab/>
            </w:r>
            <w:r>
              <w:rPr>
                <w:webHidden/>
              </w:rPr>
              <w:fldChar w:fldCharType="begin"/>
            </w:r>
            <w:r>
              <w:rPr>
                <w:webHidden/>
              </w:rPr>
              <w:instrText xml:space="preserve"> PAGEREF _Toc234445778 \h </w:instrText>
            </w:r>
            <w:r>
              <w:rPr>
                <w:webHidden/>
              </w:rPr>
            </w:r>
            <w:r>
              <w:rPr>
                <w:webHidden/>
              </w:rPr>
              <w:fldChar w:fldCharType="separate"/>
            </w:r>
            <w:r>
              <w:rPr>
                <w:webHidden/>
              </w:rPr>
              <w:t>2</w:t>
            </w:r>
            <w:r>
              <w:rPr>
                <w:webHidden/>
              </w:rPr>
              <w:fldChar w:fldCharType="end"/>
            </w:r>
          </w:hyperlink>
        </w:p>
        <w:p w14:paraId="16AE50B8" w14:textId="0145A955" w:rsidR="00C661CB" w:rsidRDefault="00C661CB">
          <w:pPr>
            <w:pStyle w:val="TOC1"/>
            <w:rPr>
              <w:rFonts w:asciiTheme="minorHAnsi" w:eastAsiaTheme="minorEastAsia" w:hAnsiTheme="minorHAnsi" w:cstheme="minorBidi"/>
              <w:kern w:val="2"/>
              <w:sz w:val="24"/>
              <w:szCs w:val="24"/>
            </w:rPr>
          </w:pPr>
          <w:hyperlink w:anchor="_Toc234445779" w:history="1">
            <w:r w:rsidRPr="008770C1">
              <w:rPr>
                <w:rStyle w:val="Hyperlink"/>
                <w:b/>
                <w:bCs/>
              </w:rPr>
              <w:t>1.Introduction</w:t>
            </w:r>
            <w:r>
              <w:rPr>
                <w:webHidden/>
              </w:rPr>
              <w:tab/>
            </w:r>
            <w:r>
              <w:rPr>
                <w:webHidden/>
              </w:rPr>
              <w:fldChar w:fldCharType="begin"/>
            </w:r>
            <w:r>
              <w:rPr>
                <w:webHidden/>
              </w:rPr>
              <w:instrText xml:space="preserve"> PAGEREF _Toc234445779 \h </w:instrText>
            </w:r>
            <w:r>
              <w:rPr>
                <w:webHidden/>
              </w:rPr>
            </w:r>
            <w:r>
              <w:rPr>
                <w:webHidden/>
              </w:rPr>
              <w:fldChar w:fldCharType="separate"/>
            </w:r>
            <w:r>
              <w:rPr>
                <w:webHidden/>
              </w:rPr>
              <w:t>4</w:t>
            </w:r>
            <w:r>
              <w:rPr>
                <w:webHidden/>
              </w:rPr>
              <w:fldChar w:fldCharType="end"/>
            </w:r>
          </w:hyperlink>
        </w:p>
        <w:p w14:paraId="385B6947" w14:textId="3D3E2371" w:rsidR="00C661CB" w:rsidRDefault="00C661CB">
          <w:pPr>
            <w:pStyle w:val="TOC1"/>
            <w:rPr>
              <w:rFonts w:asciiTheme="minorHAnsi" w:eastAsiaTheme="minorEastAsia" w:hAnsiTheme="minorHAnsi" w:cstheme="minorBidi"/>
              <w:kern w:val="2"/>
              <w:sz w:val="24"/>
              <w:szCs w:val="24"/>
            </w:rPr>
          </w:pPr>
          <w:hyperlink w:anchor="_Toc234445780" w:history="1">
            <w:r w:rsidRPr="008770C1">
              <w:rPr>
                <w:rStyle w:val="Hyperlink"/>
                <w:b/>
                <w:bCs/>
              </w:rPr>
              <w:t>2. Findings</w:t>
            </w:r>
            <w:r>
              <w:rPr>
                <w:webHidden/>
              </w:rPr>
              <w:tab/>
            </w:r>
            <w:r>
              <w:rPr>
                <w:webHidden/>
              </w:rPr>
              <w:fldChar w:fldCharType="begin"/>
            </w:r>
            <w:r>
              <w:rPr>
                <w:webHidden/>
              </w:rPr>
              <w:instrText xml:space="preserve"> PAGEREF _Toc234445780 \h </w:instrText>
            </w:r>
            <w:r>
              <w:rPr>
                <w:webHidden/>
              </w:rPr>
            </w:r>
            <w:r>
              <w:rPr>
                <w:webHidden/>
              </w:rPr>
              <w:fldChar w:fldCharType="separate"/>
            </w:r>
            <w:r>
              <w:rPr>
                <w:webHidden/>
              </w:rPr>
              <w:t>4</w:t>
            </w:r>
            <w:r>
              <w:rPr>
                <w:webHidden/>
              </w:rPr>
              <w:fldChar w:fldCharType="end"/>
            </w:r>
          </w:hyperlink>
        </w:p>
        <w:p w14:paraId="25E298BE" w14:textId="71711518" w:rsidR="00C661CB" w:rsidRDefault="00C661CB">
          <w:pPr>
            <w:pStyle w:val="TOC2"/>
            <w:tabs>
              <w:tab w:val="right" w:leader="dot" w:pos="9016"/>
            </w:tabs>
            <w:rPr>
              <w:rFonts w:eastAsiaTheme="minorEastAsia"/>
              <w:noProof/>
              <w:sz w:val="24"/>
              <w:szCs w:val="24"/>
              <w:lang w:eastAsia="en-GB"/>
            </w:rPr>
          </w:pPr>
          <w:hyperlink w:anchor="_Toc234445781" w:history="1">
            <w:r w:rsidRPr="008770C1">
              <w:rPr>
                <w:rStyle w:val="Hyperlink"/>
                <w:rFonts w:ascii="Arial" w:eastAsia="Times New Roman" w:hAnsi="Arial" w:cs="Arial"/>
                <w:noProof/>
                <w:lang w:eastAsia="en-GB"/>
              </w:rPr>
              <w:t>2.1. Critical Discussion of Project Management Tools and Techniques</w:t>
            </w:r>
            <w:r>
              <w:rPr>
                <w:noProof/>
                <w:webHidden/>
              </w:rPr>
              <w:tab/>
            </w:r>
            <w:r>
              <w:rPr>
                <w:noProof/>
                <w:webHidden/>
              </w:rPr>
              <w:fldChar w:fldCharType="begin"/>
            </w:r>
            <w:r>
              <w:rPr>
                <w:noProof/>
                <w:webHidden/>
              </w:rPr>
              <w:instrText xml:space="preserve"> PAGEREF _Toc234445781 \h </w:instrText>
            </w:r>
            <w:r>
              <w:rPr>
                <w:noProof/>
                <w:webHidden/>
              </w:rPr>
            </w:r>
            <w:r>
              <w:rPr>
                <w:noProof/>
                <w:webHidden/>
              </w:rPr>
              <w:fldChar w:fldCharType="separate"/>
            </w:r>
            <w:r>
              <w:rPr>
                <w:noProof/>
                <w:webHidden/>
              </w:rPr>
              <w:t>4</w:t>
            </w:r>
            <w:r>
              <w:rPr>
                <w:noProof/>
                <w:webHidden/>
              </w:rPr>
              <w:fldChar w:fldCharType="end"/>
            </w:r>
          </w:hyperlink>
        </w:p>
        <w:p w14:paraId="0B673E81" w14:textId="0EC6F97E" w:rsidR="00C661CB" w:rsidRDefault="00C661CB">
          <w:pPr>
            <w:pStyle w:val="TOC2"/>
            <w:tabs>
              <w:tab w:val="right" w:leader="dot" w:pos="9016"/>
            </w:tabs>
            <w:rPr>
              <w:rFonts w:eastAsiaTheme="minorEastAsia"/>
              <w:noProof/>
              <w:sz w:val="24"/>
              <w:szCs w:val="24"/>
              <w:lang w:eastAsia="en-GB"/>
            </w:rPr>
          </w:pPr>
          <w:hyperlink w:anchor="_Toc234445783" w:history="1">
            <w:r w:rsidRPr="008770C1">
              <w:rPr>
                <w:rStyle w:val="Hyperlink"/>
                <w:rFonts w:ascii="Arial" w:eastAsia="Times New Roman" w:hAnsi="Arial" w:cs="Arial"/>
                <w:noProof/>
                <w:lang w:eastAsia="en-GB"/>
              </w:rPr>
              <w:t>2.1.1. Aim and Objectives</w:t>
            </w:r>
            <w:r>
              <w:rPr>
                <w:noProof/>
                <w:webHidden/>
              </w:rPr>
              <w:tab/>
            </w:r>
            <w:r>
              <w:rPr>
                <w:noProof/>
                <w:webHidden/>
              </w:rPr>
              <w:fldChar w:fldCharType="begin"/>
            </w:r>
            <w:r>
              <w:rPr>
                <w:noProof/>
                <w:webHidden/>
              </w:rPr>
              <w:instrText xml:space="preserve"> PAGEREF _Toc234445783 \h </w:instrText>
            </w:r>
            <w:r>
              <w:rPr>
                <w:noProof/>
                <w:webHidden/>
              </w:rPr>
            </w:r>
            <w:r>
              <w:rPr>
                <w:noProof/>
                <w:webHidden/>
              </w:rPr>
              <w:fldChar w:fldCharType="separate"/>
            </w:r>
            <w:r>
              <w:rPr>
                <w:noProof/>
                <w:webHidden/>
              </w:rPr>
              <w:t>4</w:t>
            </w:r>
            <w:r>
              <w:rPr>
                <w:noProof/>
                <w:webHidden/>
              </w:rPr>
              <w:fldChar w:fldCharType="end"/>
            </w:r>
          </w:hyperlink>
        </w:p>
        <w:p w14:paraId="12D59E01" w14:textId="6D06C78F" w:rsidR="00C661CB" w:rsidRDefault="00C661CB">
          <w:pPr>
            <w:pStyle w:val="TOC2"/>
            <w:tabs>
              <w:tab w:val="right" w:leader="dot" w:pos="9016"/>
            </w:tabs>
            <w:rPr>
              <w:rFonts w:eastAsiaTheme="minorEastAsia"/>
              <w:noProof/>
              <w:sz w:val="24"/>
              <w:szCs w:val="24"/>
              <w:lang w:eastAsia="en-GB"/>
            </w:rPr>
          </w:pPr>
          <w:hyperlink w:anchor="_Toc234445784" w:history="1">
            <w:r w:rsidRPr="008770C1">
              <w:rPr>
                <w:rStyle w:val="Hyperlink"/>
                <w:rFonts w:ascii="Arial" w:eastAsia="Times New Roman" w:hAnsi="Arial" w:cs="Arial"/>
                <w:noProof/>
                <w:lang w:eastAsia="en-GB"/>
              </w:rPr>
              <w:t>2.1.2. Project Lifecycle</w:t>
            </w:r>
            <w:r>
              <w:rPr>
                <w:noProof/>
                <w:webHidden/>
              </w:rPr>
              <w:tab/>
            </w:r>
            <w:r>
              <w:rPr>
                <w:noProof/>
                <w:webHidden/>
              </w:rPr>
              <w:fldChar w:fldCharType="begin"/>
            </w:r>
            <w:r>
              <w:rPr>
                <w:noProof/>
                <w:webHidden/>
              </w:rPr>
              <w:instrText xml:space="preserve"> PAGEREF _Toc234445784 \h </w:instrText>
            </w:r>
            <w:r>
              <w:rPr>
                <w:noProof/>
                <w:webHidden/>
              </w:rPr>
            </w:r>
            <w:r>
              <w:rPr>
                <w:noProof/>
                <w:webHidden/>
              </w:rPr>
              <w:fldChar w:fldCharType="separate"/>
            </w:r>
            <w:r>
              <w:rPr>
                <w:noProof/>
                <w:webHidden/>
              </w:rPr>
              <w:t>5</w:t>
            </w:r>
            <w:r>
              <w:rPr>
                <w:noProof/>
                <w:webHidden/>
              </w:rPr>
              <w:fldChar w:fldCharType="end"/>
            </w:r>
          </w:hyperlink>
        </w:p>
        <w:p w14:paraId="281B41C0" w14:textId="2285AB21" w:rsidR="00C661CB" w:rsidRDefault="00C661CB">
          <w:pPr>
            <w:pStyle w:val="TOC2"/>
            <w:tabs>
              <w:tab w:val="right" w:leader="dot" w:pos="9016"/>
            </w:tabs>
            <w:rPr>
              <w:rFonts w:eastAsiaTheme="minorEastAsia"/>
              <w:noProof/>
              <w:sz w:val="24"/>
              <w:szCs w:val="24"/>
              <w:lang w:eastAsia="en-GB"/>
            </w:rPr>
          </w:pPr>
          <w:hyperlink w:anchor="_Toc234445785" w:history="1">
            <w:r w:rsidRPr="008770C1">
              <w:rPr>
                <w:rStyle w:val="Hyperlink"/>
                <w:rFonts w:ascii="Arial" w:eastAsia="Times New Roman" w:hAnsi="Arial" w:cs="Arial"/>
                <w:noProof/>
                <w:lang w:eastAsia="en-GB"/>
              </w:rPr>
              <w:t>2.1.3. Iron Triangle</w:t>
            </w:r>
            <w:r>
              <w:rPr>
                <w:noProof/>
                <w:webHidden/>
              </w:rPr>
              <w:tab/>
            </w:r>
            <w:r>
              <w:rPr>
                <w:noProof/>
                <w:webHidden/>
              </w:rPr>
              <w:fldChar w:fldCharType="begin"/>
            </w:r>
            <w:r>
              <w:rPr>
                <w:noProof/>
                <w:webHidden/>
              </w:rPr>
              <w:instrText xml:space="preserve"> PAGEREF _Toc234445785 \h </w:instrText>
            </w:r>
            <w:r>
              <w:rPr>
                <w:noProof/>
                <w:webHidden/>
              </w:rPr>
            </w:r>
            <w:r>
              <w:rPr>
                <w:noProof/>
                <w:webHidden/>
              </w:rPr>
              <w:fldChar w:fldCharType="separate"/>
            </w:r>
            <w:r>
              <w:rPr>
                <w:noProof/>
                <w:webHidden/>
              </w:rPr>
              <w:t>5</w:t>
            </w:r>
            <w:r>
              <w:rPr>
                <w:noProof/>
                <w:webHidden/>
              </w:rPr>
              <w:fldChar w:fldCharType="end"/>
            </w:r>
          </w:hyperlink>
        </w:p>
        <w:p w14:paraId="38B6397B" w14:textId="6E463A41" w:rsidR="00C661CB" w:rsidRDefault="00C661CB">
          <w:pPr>
            <w:pStyle w:val="TOC2"/>
            <w:tabs>
              <w:tab w:val="right" w:leader="dot" w:pos="9016"/>
            </w:tabs>
            <w:rPr>
              <w:rFonts w:eastAsiaTheme="minorEastAsia"/>
              <w:noProof/>
              <w:sz w:val="24"/>
              <w:szCs w:val="24"/>
              <w:lang w:eastAsia="en-GB"/>
            </w:rPr>
          </w:pPr>
          <w:hyperlink w:anchor="_Toc234445786" w:history="1">
            <w:r w:rsidRPr="008770C1">
              <w:rPr>
                <w:rStyle w:val="Hyperlink"/>
                <w:rFonts w:ascii="Arial" w:eastAsia="Times New Roman" w:hAnsi="Arial" w:cs="Arial"/>
                <w:noProof/>
                <w:lang w:eastAsia="en-GB"/>
              </w:rPr>
              <w:t>2.1.4. Work Breakdown Structure (WBS)</w:t>
            </w:r>
            <w:r>
              <w:rPr>
                <w:noProof/>
                <w:webHidden/>
              </w:rPr>
              <w:tab/>
            </w:r>
            <w:r>
              <w:rPr>
                <w:noProof/>
                <w:webHidden/>
              </w:rPr>
              <w:fldChar w:fldCharType="begin"/>
            </w:r>
            <w:r>
              <w:rPr>
                <w:noProof/>
                <w:webHidden/>
              </w:rPr>
              <w:instrText xml:space="preserve"> PAGEREF _Toc234445786 \h </w:instrText>
            </w:r>
            <w:r>
              <w:rPr>
                <w:noProof/>
                <w:webHidden/>
              </w:rPr>
            </w:r>
            <w:r>
              <w:rPr>
                <w:noProof/>
                <w:webHidden/>
              </w:rPr>
              <w:fldChar w:fldCharType="separate"/>
            </w:r>
            <w:r>
              <w:rPr>
                <w:noProof/>
                <w:webHidden/>
              </w:rPr>
              <w:t>6</w:t>
            </w:r>
            <w:r>
              <w:rPr>
                <w:noProof/>
                <w:webHidden/>
              </w:rPr>
              <w:fldChar w:fldCharType="end"/>
            </w:r>
          </w:hyperlink>
        </w:p>
        <w:p w14:paraId="41C7F3E5" w14:textId="034D7AE3" w:rsidR="00C661CB" w:rsidRDefault="00C661CB">
          <w:pPr>
            <w:pStyle w:val="TOC2"/>
            <w:tabs>
              <w:tab w:val="right" w:leader="dot" w:pos="9016"/>
            </w:tabs>
            <w:rPr>
              <w:rFonts w:eastAsiaTheme="minorEastAsia"/>
              <w:noProof/>
              <w:sz w:val="24"/>
              <w:szCs w:val="24"/>
              <w:lang w:eastAsia="en-GB"/>
            </w:rPr>
          </w:pPr>
          <w:hyperlink w:anchor="_Toc234445787" w:history="1">
            <w:r w:rsidRPr="008770C1">
              <w:rPr>
                <w:rStyle w:val="Hyperlink"/>
                <w:rFonts w:ascii="Arial" w:eastAsia="Times New Roman" w:hAnsi="Arial" w:cs="Arial"/>
                <w:noProof/>
                <w:lang w:eastAsia="en-GB"/>
              </w:rPr>
              <w:t>2.1.5. Gantt Chart</w:t>
            </w:r>
            <w:r>
              <w:rPr>
                <w:noProof/>
                <w:webHidden/>
              </w:rPr>
              <w:tab/>
            </w:r>
            <w:r>
              <w:rPr>
                <w:noProof/>
                <w:webHidden/>
              </w:rPr>
              <w:fldChar w:fldCharType="begin"/>
            </w:r>
            <w:r>
              <w:rPr>
                <w:noProof/>
                <w:webHidden/>
              </w:rPr>
              <w:instrText xml:space="preserve"> PAGEREF _Toc234445787 \h </w:instrText>
            </w:r>
            <w:r>
              <w:rPr>
                <w:noProof/>
                <w:webHidden/>
              </w:rPr>
            </w:r>
            <w:r>
              <w:rPr>
                <w:noProof/>
                <w:webHidden/>
              </w:rPr>
              <w:fldChar w:fldCharType="separate"/>
            </w:r>
            <w:r>
              <w:rPr>
                <w:noProof/>
                <w:webHidden/>
              </w:rPr>
              <w:t>6</w:t>
            </w:r>
            <w:r>
              <w:rPr>
                <w:noProof/>
                <w:webHidden/>
              </w:rPr>
              <w:fldChar w:fldCharType="end"/>
            </w:r>
          </w:hyperlink>
        </w:p>
        <w:p w14:paraId="2EE47002" w14:textId="2CC3DA74" w:rsidR="00C661CB" w:rsidRDefault="00F1439B">
          <w:pPr>
            <w:pStyle w:val="TOC1"/>
            <w:rPr>
              <w:rFonts w:asciiTheme="minorHAnsi" w:eastAsiaTheme="minorEastAsia" w:hAnsiTheme="minorHAnsi" w:cstheme="minorBidi"/>
              <w:kern w:val="2"/>
              <w:sz w:val="24"/>
              <w:szCs w:val="24"/>
            </w:rPr>
          </w:pPr>
          <w:r>
            <w:rPr>
              <w:rStyle w:val="Hyperlink"/>
            </w:rPr>
            <w:t xml:space="preserve">   </w:t>
          </w:r>
          <w:hyperlink w:anchor="_Toc234445788" w:history="1">
            <w:r w:rsidR="00C661CB" w:rsidRPr="008770C1">
              <w:rPr>
                <w:rStyle w:val="Hyperlink"/>
              </w:rPr>
              <w:t>2.1.6. Stakeholder Analysis</w:t>
            </w:r>
            <w:r w:rsidR="00C661CB">
              <w:rPr>
                <w:webHidden/>
              </w:rPr>
              <w:tab/>
            </w:r>
            <w:r w:rsidR="00C661CB">
              <w:rPr>
                <w:webHidden/>
              </w:rPr>
              <w:fldChar w:fldCharType="begin"/>
            </w:r>
            <w:r w:rsidR="00C661CB">
              <w:rPr>
                <w:webHidden/>
              </w:rPr>
              <w:instrText xml:space="preserve"> PAGEREF _Toc234445788 \h </w:instrText>
            </w:r>
            <w:r w:rsidR="00C661CB">
              <w:rPr>
                <w:webHidden/>
              </w:rPr>
            </w:r>
            <w:r w:rsidR="00C661CB">
              <w:rPr>
                <w:webHidden/>
              </w:rPr>
              <w:fldChar w:fldCharType="separate"/>
            </w:r>
            <w:r w:rsidR="00C661CB">
              <w:rPr>
                <w:webHidden/>
              </w:rPr>
              <w:t>7</w:t>
            </w:r>
            <w:r w:rsidR="00C661CB">
              <w:rPr>
                <w:webHidden/>
              </w:rPr>
              <w:fldChar w:fldCharType="end"/>
            </w:r>
          </w:hyperlink>
        </w:p>
        <w:p w14:paraId="0CA9D213" w14:textId="0A12F75C" w:rsidR="00C661CB" w:rsidRDefault="00C661CB">
          <w:pPr>
            <w:pStyle w:val="TOC2"/>
            <w:tabs>
              <w:tab w:val="right" w:leader="dot" w:pos="9016"/>
            </w:tabs>
            <w:rPr>
              <w:rFonts w:eastAsiaTheme="minorEastAsia"/>
              <w:noProof/>
              <w:sz w:val="24"/>
              <w:szCs w:val="24"/>
              <w:lang w:eastAsia="en-GB"/>
            </w:rPr>
          </w:pPr>
          <w:hyperlink w:anchor="_Toc234445789" w:history="1">
            <w:r w:rsidRPr="008770C1">
              <w:rPr>
                <w:rStyle w:val="Hyperlink"/>
                <w:rFonts w:ascii="Arial" w:eastAsia="Times New Roman" w:hAnsi="Arial" w:cs="Arial"/>
                <w:noProof/>
                <w:lang w:eastAsia="en-GB"/>
              </w:rPr>
              <w:t>2.1.7. Risk Analysis</w:t>
            </w:r>
            <w:r>
              <w:rPr>
                <w:noProof/>
                <w:webHidden/>
              </w:rPr>
              <w:tab/>
            </w:r>
            <w:r>
              <w:rPr>
                <w:noProof/>
                <w:webHidden/>
              </w:rPr>
              <w:fldChar w:fldCharType="begin"/>
            </w:r>
            <w:r>
              <w:rPr>
                <w:noProof/>
                <w:webHidden/>
              </w:rPr>
              <w:instrText xml:space="preserve"> PAGEREF _Toc234445789 \h </w:instrText>
            </w:r>
            <w:r>
              <w:rPr>
                <w:noProof/>
                <w:webHidden/>
              </w:rPr>
            </w:r>
            <w:r>
              <w:rPr>
                <w:noProof/>
                <w:webHidden/>
              </w:rPr>
              <w:fldChar w:fldCharType="separate"/>
            </w:r>
            <w:r>
              <w:rPr>
                <w:noProof/>
                <w:webHidden/>
              </w:rPr>
              <w:t>7</w:t>
            </w:r>
            <w:r>
              <w:rPr>
                <w:noProof/>
                <w:webHidden/>
              </w:rPr>
              <w:fldChar w:fldCharType="end"/>
            </w:r>
          </w:hyperlink>
        </w:p>
        <w:p w14:paraId="69ECD21B" w14:textId="1475443B" w:rsidR="00C661CB" w:rsidRDefault="00C661CB">
          <w:pPr>
            <w:pStyle w:val="TOC2"/>
            <w:tabs>
              <w:tab w:val="right" w:leader="dot" w:pos="9016"/>
            </w:tabs>
            <w:rPr>
              <w:rFonts w:eastAsiaTheme="minorEastAsia"/>
              <w:noProof/>
              <w:sz w:val="24"/>
              <w:szCs w:val="24"/>
              <w:lang w:eastAsia="en-GB"/>
            </w:rPr>
          </w:pPr>
          <w:hyperlink w:anchor="_Toc234445790" w:history="1">
            <w:r w:rsidRPr="008770C1">
              <w:rPr>
                <w:rStyle w:val="Hyperlink"/>
                <w:rFonts w:ascii="Arial" w:eastAsia="Times New Roman" w:hAnsi="Arial" w:cs="Arial"/>
                <w:noProof/>
                <w:lang w:eastAsia="en-GB"/>
              </w:rPr>
              <w:t>2.1.8. SWOT Analysis</w:t>
            </w:r>
            <w:r>
              <w:rPr>
                <w:noProof/>
                <w:webHidden/>
              </w:rPr>
              <w:tab/>
            </w:r>
            <w:r>
              <w:rPr>
                <w:noProof/>
                <w:webHidden/>
              </w:rPr>
              <w:fldChar w:fldCharType="begin"/>
            </w:r>
            <w:r>
              <w:rPr>
                <w:noProof/>
                <w:webHidden/>
              </w:rPr>
              <w:instrText xml:space="preserve"> PAGEREF _Toc234445790 \h </w:instrText>
            </w:r>
            <w:r>
              <w:rPr>
                <w:noProof/>
                <w:webHidden/>
              </w:rPr>
            </w:r>
            <w:r>
              <w:rPr>
                <w:noProof/>
                <w:webHidden/>
              </w:rPr>
              <w:fldChar w:fldCharType="separate"/>
            </w:r>
            <w:r>
              <w:rPr>
                <w:noProof/>
                <w:webHidden/>
              </w:rPr>
              <w:t>7</w:t>
            </w:r>
            <w:r>
              <w:rPr>
                <w:noProof/>
                <w:webHidden/>
              </w:rPr>
              <w:fldChar w:fldCharType="end"/>
            </w:r>
          </w:hyperlink>
        </w:p>
        <w:p w14:paraId="3D454048" w14:textId="03B40319" w:rsidR="00C661CB" w:rsidRDefault="00C661CB">
          <w:pPr>
            <w:pStyle w:val="TOC2"/>
            <w:tabs>
              <w:tab w:val="right" w:leader="dot" w:pos="9016"/>
            </w:tabs>
            <w:rPr>
              <w:rFonts w:eastAsiaTheme="minorEastAsia"/>
              <w:noProof/>
              <w:sz w:val="24"/>
              <w:szCs w:val="24"/>
              <w:lang w:eastAsia="en-GB"/>
            </w:rPr>
          </w:pPr>
          <w:hyperlink w:anchor="_Toc234445791" w:history="1">
            <w:r w:rsidRPr="008770C1">
              <w:rPr>
                <w:rStyle w:val="Hyperlink"/>
                <w:rFonts w:eastAsia="Times New Roman"/>
                <w:noProof/>
                <w:lang w:eastAsia="en-GB"/>
              </w:rPr>
              <w:t>2.1.9. Belbin Team Roles</w:t>
            </w:r>
            <w:r>
              <w:rPr>
                <w:noProof/>
                <w:webHidden/>
              </w:rPr>
              <w:tab/>
            </w:r>
            <w:r>
              <w:rPr>
                <w:noProof/>
                <w:webHidden/>
              </w:rPr>
              <w:fldChar w:fldCharType="begin"/>
            </w:r>
            <w:r>
              <w:rPr>
                <w:noProof/>
                <w:webHidden/>
              </w:rPr>
              <w:instrText xml:space="preserve"> PAGEREF _Toc234445791 \h </w:instrText>
            </w:r>
            <w:r>
              <w:rPr>
                <w:noProof/>
                <w:webHidden/>
              </w:rPr>
            </w:r>
            <w:r>
              <w:rPr>
                <w:noProof/>
                <w:webHidden/>
              </w:rPr>
              <w:fldChar w:fldCharType="separate"/>
            </w:r>
            <w:r>
              <w:rPr>
                <w:noProof/>
                <w:webHidden/>
              </w:rPr>
              <w:t>8</w:t>
            </w:r>
            <w:r>
              <w:rPr>
                <w:noProof/>
                <w:webHidden/>
              </w:rPr>
              <w:fldChar w:fldCharType="end"/>
            </w:r>
          </w:hyperlink>
        </w:p>
        <w:p w14:paraId="24BFE845" w14:textId="6A789CEF" w:rsidR="00C661CB" w:rsidRDefault="00C661CB">
          <w:pPr>
            <w:pStyle w:val="TOC1"/>
            <w:rPr>
              <w:rFonts w:asciiTheme="minorHAnsi" w:eastAsiaTheme="minorEastAsia" w:hAnsiTheme="minorHAnsi" w:cstheme="minorBidi"/>
              <w:kern w:val="2"/>
              <w:sz w:val="24"/>
              <w:szCs w:val="24"/>
            </w:rPr>
          </w:pPr>
          <w:hyperlink w:anchor="_Toc234445792" w:history="1">
            <w:r w:rsidRPr="008770C1">
              <w:rPr>
                <w:rStyle w:val="Hyperlink"/>
                <w:b/>
                <w:bCs/>
              </w:rPr>
              <w:t>3.Conclusion and Recommendations</w:t>
            </w:r>
            <w:r>
              <w:rPr>
                <w:webHidden/>
              </w:rPr>
              <w:tab/>
            </w:r>
            <w:r>
              <w:rPr>
                <w:webHidden/>
              </w:rPr>
              <w:fldChar w:fldCharType="begin"/>
            </w:r>
            <w:r>
              <w:rPr>
                <w:webHidden/>
              </w:rPr>
              <w:instrText xml:space="preserve"> PAGEREF _Toc234445792 \h </w:instrText>
            </w:r>
            <w:r>
              <w:rPr>
                <w:webHidden/>
              </w:rPr>
            </w:r>
            <w:r>
              <w:rPr>
                <w:webHidden/>
              </w:rPr>
              <w:fldChar w:fldCharType="separate"/>
            </w:r>
            <w:r>
              <w:rPr>
                <w:webHidden/>
              </w:rPr>
              <w:t>8</w:t>
            </w:r>
            <w:r>
              <w:rPr>
                <w:webHidden/>
              </w:rPr>
              <w:fldChar w:fldCharType="end"/>
            </w:r>
          </w:hyperlink>
        </w:p>
        <w:p w14:paraId="713E57EF" w14:textId="3DFCBD46" w:rsidR="00C661CB" w:rsidRDefault="00C661CB">
          <w:pPr>
            <w:pStyle w:val="TOC1"/>
            <w:rPr>
              <w:rFonts w:asciiTheme="minorHAnsi" w:eastAsiaTheme="minorEastAsia" w:hAnsiTheme="minorHAnsi" w:cstheme="minorBidi"/>
              <w:kern w:val="2"/>
              <w:sz w:val="24"/>
              <w:szCs w:val="24"/>
            </w:rPr>
          </w:pPr>
          <w:hyperlink w:anchor="_Toc234445793" w:history="1">
            <w:r w:rsidRPr="008770C1">
              <w:rPr>
                <w:rStyle w:val="Hyperlink"/>
                <w:b/>
                <w:bCs/>
              </w:rPr>
              <w:t>4.References:</w:t>
            </w:r>
            <w:r>
              <w:rPr>
                <w:webHidden/>
              </w:rPr>
              <w:tab/>
            </w:r>
            <w:r>
              <w:rPr>
                <w:webHidden/>
              </w:rPr>
              <w:fldChar w:fldCharType="begin"/>
            </w:r>
            <w:r>
              <w:rPr>
                <w:webHidden/>
              </w:rPr>
              <w:instrText xml:space="preserve"> PAGEREF _Toc234445793 \h </w:instrText>
            </w:r>
            <w:r>
              <w:rPr>
                <w:webHidden/>
              </w:rPr>
            </w:r>
            <w:r>
              <w:rPr>
                <w:webHidden/>
              </w:rPr>
              <w:fldChar w:fldCharType="separate"/>
            </w:r>
            <w:r>
              <w:rPr>
                <w:webHidden/>
              </w:rPr>
              <w:t>9</w:t>
            </w:r>
            <w:r>
              <w:rPr>
                <w:webHidden/>
              </w:rPr>
              <w:fldChar w:fldCharType="end"/>
            </w:r>
          </w:hyperlink>
        </w:p>
        <w:p w14:paraId="07645237" w14:textId="23F5FC13" w:rsidR="00C661CB" w:rsidRDefault="00C661CB">
          <w:r>
            <w:rPr>
              <w:b/>
              <w:bCs/>
            </w:rPr>
            <w:fldChar w:fldCharType="end"/>
          </w:r>
        </w:p>
      </w:sdtContent>
    </w:sdt>
    <w:p w14:paraId="615DF920"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2E49235D" w14:textId="77777777" w:rsidR="007B367E" w:rsidRPr="000437B6" w:rsidRDefault="007B367E" w:rsidP="00A904C4">
      <w:pPr>
        <w:pStyle w:val="Heading1"/>
        <w:rPr>
          <w:rFonts w:ascii="Arial" w:eastAsia="Times New Roman" w:hAnsi="Arial" w:cs="Arial"/>
          <w:sz w:val="24"/>
          <w:szCs w:val="24"/>
          <w:lang w:eastAsia="en-GB"/>
        </w:rPr>
      </w:pPr>
    </w:p>
    <w:p w14:paraId="5E306BDE"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5EF50C70"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497DCF56"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4B2671E8"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3D42A362"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7409361D"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36A7F683" w14:textId="77777777" w:rsidR="007B367E" w:rsidRPr="000437B6" w:rsidRDefault="007B367E" w:rsidP="003B459C">
      <w:pPr>
        <w:spacing w:before="100" w:beforeAutospacing="1" w:after="100" w:afterAutospacing="1" w:line="240" w:lineRule="auto"/>
        <w:rPr>
          <w:rFonts w:ascii="Arial" w:eastAsia="Times New Roman" w:hAnsi="Arial" w:cs="Arial"/>
          <w:kern w:val="0"/>
          <w:sz w:val="24"/>
          <w:szCs w:val="24"/>
          <w:lang w:eastAsia="en-GB"/>
          <w14:ligatures w14:val="none"/>
        </w:rPr>
      </w:pPr>
    </w:p>
    <w:p w14:paraId="06315D59" w14:textId="77777777" w:rsidR="007B367E" w:rsidRPr="00A67DCB" w:rsidRDefault="007B367E" w:rsidP="00946F04">
      <w:pPr>
        <w:pStyle w:val="Heading1"/>
        <w:rPr>
          <w:rFonts w:ascii="Arial" w:eastAsia="Times New Roman" w:hAnsi="Arial" w:cs="Arial"/>
          <w:sz w:val="24"/>
          <w:szCs w:val="24"/>
          <w:lang w:eastAsia="en-GB"/>
        </w:rPr>
      </w:pPr>
    </w:p>
    <w:p w14:paraId="3580FBE6" w14:textId="3690E555" w:rsidR="00547C21" w:rsidRPr="00A67DCB" w:rsidRDefault="002B4E8C" w:rsidP="00946F04">
      <w:pPr>
        <w:pStyle w:val="Heading1"/>
        <w:rPr>
          <w:rFonts w:ascii="Arial" w:eastAsia="Times New Roman" w:hAnsi="Arial" w:cs="Arial"/>
          <w:b/>
          <w:bCs/>
          <w:color w:val="auto"/>
          <w:kern w:val="36"/>
          <w:sz w:val="24"/>
          <w:szCs w:val="24"/>
          <w:lang w:eastAsia="en-GB"/>
        </w:rPr>
      </w:pPr>
      <w:bookmarkStart w:id="5" w:name="_Toc234442984"/>
      <w:bookmarkStart w:id="6" w:name="_Toc234445779"/>
      <w:r w:rsidRPr="00A67DCB">
        <w:rPr>
          <w:rFonts w:ascii="Arial" w:eastAsia="Times New Roman" w:hAnsi="Arial" w:cs="Arial"/>
          <w:b/>
          <w:bCs/>
          <w:color w:val="auto"/>
          <w:kern w:val="36"/>
          <w:sz w:val="24"/>
          <w:szCs w:val="24"/>
          <w:lang w:eastAsia="en-GB"/>
        </w:rPr>
        <w:t>1.</w:t>
      </w:r>
      <w:r w:rsidR="007B367E" w:rsidRPr="00A67DCB">
        <w:rPr>
          <w:rFonts w:ascii="Arial" w:eastAsia="Times New Roman" w:hAnsi="Arial" w:cs="Arial"/>
          <w:b/>
          <w:bCs/>
          <w:color w:val="auto"/>
          <w:kern w:val="36"/>
          <w:sz w:val="24"/>
          <w:szCs w:val="24"/>
          <w:lang w:eastAsia="en-GB"/>
        </w:rPr>
        <w:t>Introduction</w:t>
      </w:r>
      <w:bookmarkEnd w:id="5"/>
      <w:bookmarkEnd w:id="6"/>
    </w:p>
    <w:p w14:paraId="4B2C13E1" w14:textId="77777777" w:rsidR="007B367E" w:rsidRPr="00A67DCB" w:rsidRDefault="007B367E" w:rsidP="007B367E">
      <w:pPr>
        <w:spacing w:before="100" w:beforeAutospacing="1" w:after="100" w:afterAutospacing="1"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Project management provides a structured approach to planning, organising, and controlling activities to achieve defined objectives while balancing available resources, stakeholder expectations, and project constraints (Clegg, </w:t>
      </w:r>
      <w:proofErr w:type="spellStart"/>
      <w:r w:rsidRPr="00A67DCB">
        <w:rPr>
          <w:rFonts w:ascii="Arial" w:eastAsia="Times New Roman" w:hAnsi="Arial" w:cs="Arial"/>
          <w:kern w:val="0"/>
          <w:sz w:val="24"/>
          <w:szCs w:val="24"/>
          <w:lang w:eastAsia="en-GB"/>
          <w14:ligatures w14:val="none"/>
        </w:rPr>
        <w:t>Skyttermoen</w:t>
      </w:r>
      <w:proofErr w:type="spellEnd"/>
      <w:r w:rsidRPr="00A67DCB">
        <w:rPr>
          <w:rFonts w:ascii="Arial" w:eastAsia="Times New Roman" w:hAnsi="Arial" w:cs="Arial"/>
          <w:kern w:val="0"/>
          <w:sz w:val="24"/>
          <w:szCs w:val="24"/>
          <w:lang w:eastAsia="en-GB"/>
          <w14:ligatures w14:val="none"/>
        </w:rPr>
        <w:t xml:space="preserve"> and </w:t>
      </w:r>
      <w:proofErr w:type="spellStart"/>
      <w:r w:rsidRPr="00A67DCB">
        <w:rPr>
          <w:rFonts w:ascii="Arial" w:eastAsia="Times New Roman" w:hAnsi="Arial" w:cs="Arial"/>
          <w:kern w:val="0"/>
          <w:sz w:val="24"/>
          <w:szCs w:val="24"/>
          <w:lang w:eastAsia="en-GB"/>
          <w14:ligatures w14:val="none"/>
        </w:rPr>
        <w:t>Vaagaasar</w:t>
      </w:r>
      <w:proofErr w:type="spellEnd"/>
      <w:r w:rsidRPr="00A67DCB">
        <w:rPr>
          <w:rFonts w:ascii="Arial" w:eastAsia="Times New Roman" w:hAnsi="Arial" w:cs="Arial"/>
          <w:kern w:val="0"/>
          <w:sz w:val="24"/>
          <w:szCs w:val="24"/>
          <w:lang w:eastAsia="en-GB"/>
          <w14:ligatures w14:val="none"/>
        </w:rPr>
        <w:t>, 2020). Applying these principles was fundamental to the development of the Summer Camp for Children with Disabilities (SCCD), an inclusive STEM project designed to create accessible learning opportunities for children with physical, sensory, and cognitive disabilities.</w:t>
      </w:r>
    </w:p>
    <w:p w14:paraId="75037308" w14:textId="77777777" w:rsidR="007B367E" w:rsidRPr="00A67DCB" w:rsidRDefault="007B367E" w:rsidP="007B367E">
      <w:pPr>
        <w:spacing w:before="100" w:beforeAutospacing="1" w:after="100" w:afterAutospacing="1"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The project aimed to create a safe and supportive environment where children could participate in adapted STEM activities, develop confidence, strengthen social skills, and experience equal opportunities for learning. Throughout the planning process, careful consideration was given to accessibility, resource allocation, stakeholder needs, and effective project organisation to ensure that the proposed camp was both inclusive and achievable.</w:t>
      </w:r>
    </w:p>
    <w:p w14:paraId="2060E103" w14:textId="73694141" w:rsidR="007B367E" w:rsidRPr="00A67DCB" w:rsidRDefault="007B367E" w:rsidP="007B367E">
      <w:pPr>
        <w:spacing w:before="100" w:beforeAutospacing="1" w:after="100" w:afterAutospacing="1"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This report critically evaluates the project management tools and techniques applied throughout the project lifecycle and examines how they contributed to the planning and organisation of the SCCD project. It also discusses stakeholder management, communication strategies, and key areas for improvement, providing recommendations that may support the successful management of similar projects in the future.</w:t>
      </w:r>
      <w:r w:rsidR="00340CE1" w:rsidRPr="00A67DCB">
        <w:rPr>
          <w:rFonts w:ascii="Arial" w:hAnsi="Arial" w:cs="Arial"/>
          <w:sz w:val="24"/>
          <w:szCs w:val="24"/>
        </w:rPr>
        <w:t xml:space="preserve"> </w:t>
      </w:r>
      <w:r w:rsidR="00340CE1" w:rsidRPr="00A67DCB">
        <w:rPr>
          <w:rFonts w:ascii="Arial" w:eastAsia="Times New Roman" w:hAnsi="Arial" w:cs="Arial"/>
          <w:kern w:val="0"/>
          <w:sz w:val="24"/>
          <w:szCs w:val="24"/>
          <w:lang w:eastAsia="en-GB"/>
          <w14:ligatures w14:val="none"/>
        </w:rPr>
        <w:t>The discussion is supported by recognised project management literature, including guidance from the Project Management Institute (2021), Kerzner (2022) and Clegg et al. (2020).</w:t>
      </w:r>
    </w:p>
    <w:p w14:paraId="2637A1E0" w14:textId="7E02F0A7" w:rsidR="00B331A1" w:rsidRPr="00A67DCB" w:rsidRDefault="00B331A1" w:rsidP="00FC089F">
      <w:pPr>
        <w:pStyle w:val="Heading1"/>
        <w:rPr>
          <w:rFonts w:ascii="Arial" w:eastAsia="Times New Roman" w:hAnsi="Arial" w:cs="Arial"/>
          <w:b/>
          <w:bCs/>
          <w:color w:val="auto"/>
          <w:sz w:val="24"/>
          <w:szCs w:val="24"/>
          <w:lang w:eastAsia="en-GB"/>
        </w:rPr>
      </w:pPr>
      <w:bookmarkStart w:id="7" w:name="_Toc234442985"/>
      <w:bookmarkStart w:id="8" w:name="_Toc234445780"/>
      <w:r w:rsidRPr="00A67DCB">
        <w:rPr>
          <w:rFonts w:ascii="Arial" w:eastAsia="Times New Roman" w:hAnsi="Arial" w:cs="Arial"/>
          <w:b/>
          <w:bCs/>
          <w:color w:val="auto"/>
          <w:sz w:val="24"/>
          <w:szCs w:val="24"/>
          <w:lang w:eastAsia="en-GB"/>
        </w:rPr>
        <w:t>2. Findings</w:t>
      </w:r>
      <w:bookmarkEnd w:id="7"/>
      <w:bookmarkEnd w:id="8"/>
    </w:p>
    <w:p w14:paraId="3F49E837" w14:textId="7D8BFBC5" w:rsidR="00B331A1" w:rsidRPr="00A67DCB" w:rsidRDefault="00B331A1" w:rsidP="00FC089F">
      <w:pPr>
        <w:pStyle w:val="Heading2"/>
        <w:rPr>
          <w:rFonts w:ascii="Arial" w:eastAsia="Times New Roman" w:hAnsi="Arial" w:cs="Arial"/>
          <w:color w:val="auto"/>
          <w:sz w:val="24"/>
          <w:szCs w:val="24"/>
          <w:lang w:eastAsia="en-GB"/>
        </w:rPr>
      </w:pPr>
      <w:bookmarkStart w:id="9" w:name="_Toc234442986"/>
      <w:bookmarkStart w:id="10" w:name="_Toc234445781"/>
      <w:r w:rsidRPr="00A67DCB">
        <w:rPr>
          <w:rFonts w:ascii="Arial" w:eastAsia="Times New Roman" w:hAnsi="Arial" w:cs="Arial"/>
          <w:color w:val="auto"/>
          <w:sz w:val="24"/>
          <w:szCs w:val="24"/>
          <w:lang w:eastAsia="en-GB"/>
        </w:rPr>
        <w:t>2.1</w:t>
      </w:r>
      <w:r w:rsidR="00F53A04" w:rsidRPr="00A67DCB">
        <w:rPr>
          <w:rFonts w:ascii="Arial" w:eastAsia="Times New Roman" w:hAnsi="Arial" w:cs="Arial"/>
          <w:color w:val="auto"/>
          <w:sz w:val="24"/>
          <w:szCs w:val="24"/>
          <w:lang w:eastAsia="en-GB"/>
        </w:rPr>
        <w:t>.</w:t>
      </w:r>
      <w:r w:rsidRPr="00A67DCB">
        <w:rPr>
          <w:rFonts w:ascii="Arial" w:eastAsia="Times New Roman" w:hAnsi="Arial" w:cs="Arial"/>
          <w:color w:val="auto"/>
          <w:sz w:val="24"/>
          <w:szCs w:val="24"/>
          <w:lang w:eastAsia="en-GB"/>
        </w:rPr>
        <w:t xml:space="preserve"> Critical Discussion of Project Management Tools and Techniques</w:t>
      </w:r>
      <w:bookmarkEnd w:id="9"/>
      <w:bookmarkEnd w:id="10"/>
    </w:p>
    <w:p w14:paraId="2DF64418" w14:textId="4999AAE6" w:rsidR="00D5007A" w:rsidRPr="00A67DCB" w:rsidRDefault="00D5007A" w:rsidP="00B331A1">
      <w:pPr>
        <w:spacing w:before="100" w:beforeAutospacing="1" w:after="100" w:afterAutospacing="1" w:line="240" w:lineRule="auto"/>
        <w:outlineLvl w:val="1"/>
        <w:rPr>
          <w:rFonts w:ascii="Arial" w:eastAsia="Times New Roman" w:hAnsi="Arial" w:cs="Arial"/>
          <w:kern w:val="0"/>
          <w:sz w:val="24"/>
          <w:szCs w:val="24"/>
          <w:lang w:eastAsia="en-GB"/>
          <w14:ligatures w14:val="none"/>
        </w:rPr>
      </w:pPr>
      <w:bookmarkStart w:id="11" w:name="_Toc234442987"/>
      <w:bookmarkStart w:id="12" w:name="_Toc234443050"/>
      <w:bookmarkStart w:id="13" w:name="_Toc234443099"/>
      <w:bookmarkStart w:id="14" w:name="_Toc234443244"/>
      <w:bookmarkStart w:id="15" w:name="_Toc234443539"/>
      <w:bookmarkStart w:id="16" w:name="_Toc234444300"/>
      <w:bookmarkStart w:id="17" w:name="_Toc234445782"/>
      <w:r w:rsidRPr="00A67DCB">
        <w:rPr>
          <w:rFonts w:ascii="Arial" w:eastAsia="Times New Roman" w:hAnsi="Arial" w:cs="Arial"/>
          <w:kern w:val="0"/>
          <w:sz w:val="24"/>
          <w:szCs w:val="24"/>
          <w:lang w:eastAsia="en-GB"/>
          <w14:ligatures w14:val="none"/>
        </w:rPr>
        <w:t>Effective project planning relies on the appropriate selection and application of project management tools and techniques. While each tool offers specific strengths that support planning, organisation and decision-making, each also has limitations that should be recognised. The following sections critically evaluate the key tools used during the planning of the SCCD project, considering their contribution to the planning process, together with their strengths, limitations and overall effectiveness.</w:t>
      </w:r>
      <w:bookmarkEnd w:id="11"/>
      <w:bookmarkEnd w:id="12"/>
      <w:bookmarkEnd w:id="13"/>
      <w:bookmarkEnd w:id="14"/>
      <w:bookmarkEnd w:id="15"/>
      <w:bookmarkEnd w:id="16"/>
      <w:bookmarkEnd w:id="17"/>
    </w:p>
    <w:p w14:paraId="0F9E6E23" w14:textId="1605D741" w:rsidR="008B4A14" w:rsidRPr="00A67DCB" w:rsidRDefault="008B4A14" w:rsidP="006D35DB">
      <w:pPr>
        <w:pStyle w:val="Heading2"/>
        <w:rPr>
          <w:rFonts w:ascii="Arial" w:eastAsia="Times New Roman" w:hAnsi="Arial" w:cs="Arial"/>
          <w:color w:val="auto"/>
          <w:sz w:val="24"/>
          <w:szCs w:val="24"/>
          <w:lang w:eastAsia="en-GB"/>
        </w:rPr>
      </w:pPr>
      <w:bookmarkStart w:id="18" w:name="_Toc234445783"/>
      <w:r w:rsidRPr="00A67DCB">
        <w:rPr>
          <w:rFonts w:ascii="Arial" w:eastAsia="Times New Roman" w:hAnsi="Arial" w:cs="Arial"/>
          <w:color w:val="auto"/>
          <w:sz w:val="24"/>
          <w:szCs w:val="24"/>
          <w:lang w:eastAsia="en-GB"/>
        </w:rPr>
        <w:t>2.</w:t>
      </w:r>
      <w:r w:rsidR="001734E0" w:rsidRPr="00A67DCB">
        <w:rPr>
          <w:rFonts w:ascii="Arial" w:eastAsia="Times New Roman" w:hAnsi="Arial" w:cs="Arial"/>
          <w:color w:val="auto"/>
          <w:sz w:val="24"/>
          <w:szCs w:val="24"/>
          <w:lang w:eastAsia="en-GB"/>
        </w:rPr>
        <w:t>1.</w:t>
      </w:r>
      <w:r w:rsidR="008F23FE" w:rsidRPr="00A67DCB">
        <w:rPr>
          <w:rFonts w:ascii="Arial" w:eastAsia="Times New Roman" w:hAnsi="Arial" w:cs="Arial"/>
          <w:color w:val="auto"/>
          <w:sz w:val="24"/>
          <w:szCs w:val="24"/>
          <w:lang w:eastAsia="en-GB"/>
        </w:rPr>
        <w:t>1</w:t>
      </w:r>
      <w:r w:rsidR="00F53A04" w:rsidRPr="00A67DCB">
        <w:rPr>
          <w:rFonts w:ascii="Arial" w:eastAsia="Times New Roman" w:hAnsi="Arial" w:cs="Arial"/>
          <w:color w:val="auto"/>
          <w:sz w:val="24"/>
          <w:szCs w:val="24"/>
          <w:lang w:eastAsia="en-GB"/>
        </w:rPr>
        <w:t>.</w:t>
      </w:r>
      <w:r w:rsidRPr="00A67DCB">
        <w:rPr>
          <w:rFonts w:ascii="Arial" w:eastAsia="Times New Roman" w:hAnsi="Arial" w:cs="Arial"/>
          <w:color w:val="auto"/>
          <w:sz w:val="24"/>
          <w:szCs w:val="24"/>
          <w:lang w:eastAsia="en-GB"/>
        </w:rPr>
        <w:t xml:space="preserve"> Aim and Objectives</w:t>
      </w:r>
      <w:bookmarkEnd w:id="18"/>
    </w:p>
    <w:p w14:paraId="4BF3E618" w14:textId="77777777" w:rsidR="008B4A14" w:rsidRPr="00A67DCB" w:rsidRDefault="008B4A14" w:rsidP="008B4A14">
      <w:pPr>
        <w:spacing w:after="0" w:line="240" w:lineRule="auto"/>
        <w:rPr>
          <w:rFonts w:ascii="Arial" w:eastAsia="Times New Roman" w:hAnsi="Arial" w:cs="Arial"/>
          <w:kern w:val="0"/>
          <w:sz w:val="24"/>
          <w:szCs w:val="24"/>
          <w:lang w:eastAsia="en-GB"/>
          <w14:ligatures w14:val="none"/>
        </w:rPr>
      </w:pPr>
    </w:p>
    <w:p w14:paraId="66CEF517" w14:textId="77777777" w:rsidR="008B4A14" w:rsidRPr="00A67DCB" w:rsidRDefault="008B4A14" w:rsidP="008B4A14">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Clearly defined aims and objectives provide the foundation for effective project planning by establishing a clear direction and supporting decision-making throughout the project lifecycle (Heagney, 2016). They also help define project priorities, allocate resources effectively and provide a benchmark against which project success can be evaluated.</w:t>
      </w:r>
    </w:p>
    <w:p w14:paraId="2C9D7369" w14:textId="77777777" w:rsidR="008B4A14" w:rsidRPr="00A67DCB" w:rsidRDefault="008B4A14" w:rsidP="008B4A14">
      <w:pPr>
        <w:spacing w:after="0" w:line="240" w:lineRule="auto"/>
        <w:rPr>
          <w:rFonts w:ascii="Arial" w:eastAsia="Times New Roman" w:hAnsi="Arial" w:cs="Arial"/>
          <w:kern w:val="0"/>
          <w:sz w:val="24"/>
          <w:szCs w:val="24"/>
          <w:lang w:eastAsia="en-GB"/>
          <w14:ligatures w14:val="none"/>
        </w:rPr>
      </w:pPr>
    </w:p>
    <w:p w14:paraId="2F6146E2" w14:textId="77777777" w:rsidR="008B4A14" w:rsidRPr="00A67DCB" w:rsidRDefault="008B4A14" w:rsidP="008B4A14">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For the Summer Camp for Children with Disabilities (SCCD), the project aimed to deliver a one-week inclusive STEM summer camp for 30 children with physical, </w:t>
      </w:r>
      <w:r w:rsidRPr="00A67DCB">
        <w:rPr>
          <w:rFonts w:ascii="Arial" w:eastAsia="Times New Roman" w:hAnsi="Arial" w:cs="Arial"/>
          <w:kern w:val="0"/>
          <w:sz w:val="24"/>
          <w:szCs w:val="24"/>
          <w:lang w:eastAsia="en-GB"/>
          <w14:ligatures w14:val="none"/>
        </w:rPr>
        <w:lastRenderedPageBreak/>
        <w:t>sensory and cognitive disabilities, providing 30 fully funded places to ensure that participation remained free of charge for families. To achieve this, the project sought to secure £42,500 in funding, allowing the proposed activities, specialist support and accessible resources to be planned within a realistic budget.</w:t>
      </w:r>
    </w:p>
    <w:p w14:paraId="41E9075F" w14:textId="77777777" w:rsidR="008B4A14" w:rsidRPr="00A67DCB" w:rsidRDefault="008B4A14" w:rsidP="008B4A14">
      <w:pPr>
        <w:spacing w:after="0" w:line="240" w:lineRule="auto"/>
        <w:rPr>
          <w:rFonts w:ascii="Arial" w:eastAsia="Times New Roman" w:hAnsi="Arial" w:cs="Arial"/>
          <w:kern w:val="0"/>
          <w:sz w:val="24"/>
          <w:szCs w:val="24"/>
          <w:lang w:eastAsia="en-GB"/>
          <w14:ligatures w14:val="none"/>
        </w:rPr>
      </w:pPr>
    </w:p>
    <w:p w14:paraId="07B253ED" w14:textId="4406CED3" w:rsidR="00B331A1" w:rsidRPr="00A67DCB" w:rsidRDefault="008B4A14" w:rsidP="008B4A14">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Establishing these aims and objectives helped define the overall project scope and ensured that subsequent planning decisions remained aligned with the intended outcomes. They also provided a clear reference point when selecting project activities, identifying stakeholder requirements and allocating resources. However, although the objectives established a realistic direction for the project, their successful delivery depended on securing external funding and maintaining stakeholder commitment throughout the planning process, demonstrating the importance of supporting project objectives with appropriate project management tools (Project Management Institute, 2021).</w:t>
      </w:r>
    </w:p>
    <w:p w14:paraId="63F345C1" w14:textId="77777777" w:rsidR="00BF2E25" w:rsidRPr="00A67DCB" w:rsidRDefault="00BF2E25" w:rsidP="008B4A14">
      <w:pPr>
        <w:spacing w:after="0" w:line="240" w:lineRule="auto"/>
        <w:rPr>
          <w:rFonts w:ascii="Arial" w:eastAsia="Times New Roman" w:hAnsi="Arial" w:cs="Arial"/>
          <w:kern w:val="0"/>
          <w:sz w:val="24"/>
          <w:szCs w:val="24"/>
          <w:lang w:eastAsia="en-GB"/>
          <w14:ligatures w14:val="none"/>
        </w:rPr>
      </w:pPr>
    </w:p>
    <w:p w14:paraId="7812F810" w14:textId="595B92FC" w:rsidR="00B1371D" w:rsidRPr="00A67DCB" w:rsidRDefault="00A11348" w:rsidP="00FC089F">
      <w:pPr>
        <w:pStyle w:val="Heading2"/>
        <w:rPr>
          <w:rFonts w:ascii="Arial" w:eastAsia="Times New Roman" w:hAnsi="Arial" w:cs="Arial"/>
          <w:color w:val="auto"/>
          <w:sz w:val="24"/>
          <w:szCs w:val="24"/>
          <w:lang w:eastAsia="en-GB"/>
        </w:rPr>
      </w:pPr>
      <w:bookmarkStart w:id="19" w:name="_Toc234445784"/>
      <w:r w:rsidRPr="00A67DCB">
        <w:rPr>
          <w:rFonts w:ascii="Arial" w:eastAsia="Times New Roman" w:hAnsi="Arial" w:cs="Arial"/>
          <w:color w:val="auto"/>
          <w:sz w:val="24"/>
          <w:szCs w:val="24"/>
          <w:lang w:eastAsia="en-GB"/>
        </w:rPr>
        <w:t>2.</w:t>
      </w:r>
      <w:r w:rsidR="008F23FE" w:rsidRPr="00A67DCB">
        <w:rPr>
          <w:rFonts w:ascii="Arial" w:eastAsia="Times New Roman" w:hAnsi="Arial" w:cs="Arial"/>
          <w:color w:val="auto"/>
          <w:sz w:val="24"/>
          <w:szCs w:val="24"/>
          <w:lang w:eastAsia="en-GB"/>
        </w:rPr>
        <w:t>1</w:t>
      </w:r>
      <w:r w:rsidR="00F53A04" w:rsidRPr="00A67DCB">
        <w:rPr>
          <w:rFonts w:ascii="Arial" w:eastAsia="Times New Roman" w:hAnsi="Arial" w:cs="Arial"/>
          <w:color w:val="auto"/>
          <w:sz w:val="24"/>
          <w:szCs w:val="24"/>
          <w:lang w:eastAsia="en-GB"/>
        </w:rPr>
        <w:t>.</w:t>
      </w:r>
      <w:r w:rsidR="002E0292" w:rsidRPr="00A67DCB">
        <w:rPr>
          <w:rFonts w:ascii="Arial" w:eastAsia="Times New Roman" w:hAnsi="Arial" w:cs="Arial"/>
          <w:color w:val="auto"/>
          <w:sz w:val="24"/>
          <w:szCs w:val="24"/>
          <w:lang w:eastAsia="en-GB"/>
        </w:rPr>
        <w:t>2.</w:t>
      </w:r>
      <w:r w:rsidRPr="00A67DCB">
        <w:rPr>
          <w:rFonts w:ascii="Arial" w:eastAsia="Times New Roman" w:hAnsi="Arial" w:cs="Arial"/>
          <w:color w:val="auto"/>
          <w:sz w:val="24"/>
          <w:szCs w:val="24"/>
          <w:lang w:eastAsia="en-GB"/>
        </w:rPr>
        <w:t xml:space="preserve"> </w:t>
      </w:r>
      <w:r w:rsidR="00BF2E25" w:rsidRPr="00A67DCB">
        <w:rPr>
          <w:rFonts w:ascii="Arial" w:eastAsia="Times New Roman" w:hAnsi="Arial" w:cs="Arial"/>
          <w:color w:val="auto"/>
          <w:sz w:val="24"/>
          <w:szCs w:val="24"/>
          <w:lang w:eastAsia="en-GB"/>
        </w:rPr>
        <w:t>Project Lifecycle</w:t>
      </w:r>
      <w:bookmarkEnd w:id="19"/>
    </w:p>
    <w:p w14:paraId="48E74C14" w14:textId="77777777" w:rsidR="00A11348" w:rsidRPr="00A67DCB" w:rsidRDefault="00A11348" w:rsidP="008B4A14">
      <w:pPr>
        <w:spacing w:after="0" w:line="240" w:lineRule="auto"/>
        <w:rPr>
          <w:rFonts w:ascii="Arial" w:eastAsia="Times New Roman" w:hAnsi="Arial" w:cs="Arial"/>
          <w:kern w:val="0"/>
          <w:sz w:val="24"/>
          <w:szCs w:val="24"/>
          <w:lang w:eastAsia="en-GB"/>
          <w14:ligatures w14:val="none"/>
        </w:rPr>
      </w:pPr>
    </w:p>
    <w:p w14:paraId="71DF2073" w14:textId="25B7A73E" w:rsidR="00BF2E25" w:rsidRPr="00A67DCB" w:rsidRDefault="00AC3177" w:rsidP="008B4A14">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The Project Lifecycle provided the overall framework for planning the SCCD project, guiding the team from identifying the need for an inclusive STEM summer camp and defining its aims and objectives to planning the project scope, budget, stakeholder engagement, Work Breakdown Structure (WBS), Gantt Chart and Risk Analysis, while also considering how the proposed project would be monitored and evaluated if implemented. Although the Project Lifecycle offered a clear and logical structure for planning, its sequential approach can reduce flexibility when project requirements or stakeholder expectations change. Therefore, it was supported by additional project management tools to improve decision-making and enable the project plan to adapt more effectively to changing circumstances (Wysocki, 2014; Heagney, 2016).</w:t>
      </w:r>
    </w:p>
    <w:p w14:paraId="60B553C7" w14:textId="77777777" w:rsidR="00AC3177" w:rsidRPr="00A67DCB" w:rsidRDefault="00AC3177" w:rsidP="008B4A14">
      <w:pPr>
        <w:spacing w:after="0" w:line="240" w:lineRule="auto"/>
        <w:rPr>
          <w:rFonts w:ascii="Arial" w:eastAsia="Times New Roman" w:hAnsi="Arial" w:cs="Arial"/>
          <w:kern w:val="0"/>
          <w:sz w:val="24"/>
          <w:szCs w:val="24"/>
          <w:lang w:eastAsia="en-GB"/>
          <w14:ligatures w14:val="none"/>
        </w:rPr>
      </w:pPr>
    </w:p>
    <w:p w14:paraId="270E89F6" w14:textId="011AAA70" w:rsidR="00512E56" w:rsidRPr="00A67DCB" w:rsidRDefault="00A11348" w:rsidP="00FC089F">
      <w:pPr>
        <w:pStyle w:val="Heading2"/>
        <w:rPr>
          <w:rFonts w:ascii="Arial" w:eastAsia="Times New Roman" w:hAnsi="Arial" w:cs="Arial"/>
          <w:color w:val="auto"/>
          <w:sz w:val="24"/>
          <w:szCs w:val="24"/>
          <w:lang w:eastAsia="en-GB"/>
        </w:rPr>
      </w:pPr>
      <w:bookmarkStart w:id="20" w:name="_Toc234445785"/>
      <w:r w:rsidRPr="00A67DCB">
        <w:rPr>
          <w:rFonts w:ascii="Arial" w:eastAsia="Times New Roman" w:hAnsi="Arial" w:cs="Arial"/>
          <w:color w:val="auto"/>
          <w:sz w:val="24"/>
          <w:szCs w:val="24"/>
          <w:lang w:eastAsia="en-GB"/>
        </w:rPr>
        <w:t>2.</w:t>
      </w:r>
      <w:r w:rsidR="002E0292" w:rsidRPr="00A67DCB">
        <w:rPr>
          <w:rFonts w:ascii="Arial" w:eastAsia="Times New Roman" w:hAnsi="Arial" w:cs="Arial"/>
          <w:color w:val="auto"/>
          <w:sz w:val="24"/>
          <w:szCs w:val="24"/>
          <w:lang w:eastAsia="en-GB"/>
        </w:rPr>
        <w:t>1</w:t>
      </w:r>
      <w:r w:rsidR="00F53A04" w:rsidRPr="00A67DCB">
        <w:rPr>
          <w:rFonts w:ascii="Arial" w:eastAsia="Times New Roman" w:hAnsi="Arial" w:cs="Arial"/>
          <w:color w:val="auto"/>
          <w:sz w:val="24"/>
          <w:szCs w:val="24"/>
          <w:lang w:eastAsia="en-GB"/>
        </w:rPr>
        <w:t>.</w:t>
      </w:r>
      <w:r w:rsidR="002E0292" w:rsidRPr="00A67DCB">
        <w:rPr>
          <w:rFonts w:ascii="Arial" w:eastAsia="Times New Roman" w:hAnsi="Arial" w:cs="Arial"/>
          <w:color w:val="auto"/>
          <w:sz w:val="24"/>
          <w:szCs w:val="24"/>
          <w:lang w:eastAsia="en-GB"/>
        </w:rPr>
        <w:t>3.</w:t>
      </w:r>
      <w:r w:rsidRPr="00A67DCB">
        <w:rPr>
          <w:rFonts w:ascii="Arial" w:eastAsia="Times New Roman" w:hAnsi="Arial" w:cs="Arial"/>
          <w:color w:val="auto"/>
          <w:sz w:val="24"/>
          <w:szCs w:val="24"/>
          <w:lang w:eastAsia="en-GB"/>
        </w:rPr>
        <w:t xml:space="preserve"> </w:t>
      </w:r>
      <w:r w:rsidR="00512E56" w:rsidRPr="00A67DCB">
        <w:rPr>
          <w:rFonts w:ascii="Arial" w:eastAsia="Times New Roman" w:hAnsi="Arial" w:cs="Arial"/>
          <w:color w:val="auto"/>
          <w:sz w:val="24"/>
          <w:szCs w:val="24"/>
          <w:lang w:eastAsia="en-GB"/>
        </w:rPr>
        <w:t>Iron Triangle</w:t>
      </w:r>
      <w:bookmarkEnd w:id="20"/>
    </w:p>
    <w:p w14:paraId="6DA7F68D" w14:textId="77777777" w:rsidR="00F6402E" w:rsidRPr="00A67DCB" w:rsidRDefault="00F6402E" w:rsidP="008B4A14">
      <w:pPr>
        <w:spacing w:after="0" w:line="240" w:lineRule="auto"/>
        <w:rPr>
          <w:rFonts w:ascii="Arial" w:eastAsia="Times New Roman" w:hAnsi="Arial" w:cs="Arial"/>
          <w:kern w:val="0"/>
          <w:sz w:val="24"/>
          <w:szCs w:val="24"/>
          <w:lang w:eastAsia="en-GB"/>
          <w14:ligatures w14:val="none"/>
        </w:rPr>
      </w:pPr>
    </w:p>
    <w:p w14:paraId="39DFD7F9" w14:textId="77777777" w:rsidR="00F6402E" w:rsidRPr="00A67DCB" w:rsidRDefault="00F6402E" w:rsidP="00F6402E">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The Iron Triangle is a widely recognised project management tool that demonstrates the relationship between scope, time and cost, highlighting that changes to one constraint are likely to influence the others. By balancing these three elements, project teams are better able to make informed decisions and improve overall project planning (Clegg, </w:t>
      </w:r>
      <w:proofErr w:type="spellStart"/>
      <w:r w:rsidRPr="00A67DCB">
        <w:rPr>
          <w:rFonts w:ascii="Arial" w:eastAsia="Times New Roman" w:hAnsi="Arial" w:cs="Arial"/>
          <w:kern w:val="0"/>
          <w:sz w:val="24"/>
          <w:szCs w:val="24"/>
          <w:lang w:eastAsia="en-GB"/>
          <w14:ligatures w14:val="none"/>
        </w:rPr>
        <w:t>Skyttermoen</w:t>
      </w:r>
      <w:proofErr w:type="spellEnd"/>
      <w:r w:rsidRPr="00A67DCB">
        <w:rPr>
          <w:rFonts w:ascii="Arial" w:eastAsia="Times New Roman" w:hAnsi="Arial" w:cs="Arial"/>
          <w:kern w:val="0"/>
          <w:sz w:val="24"/>
          <w:szCs w:val="24"/>
          <w:lang w:eastAsia="en-GB"/>
          <w14:ligatures w14:val="none"/>
        </w:rPr>
        <w:t xml:space="preserve"> and </w:t>
      </w:r>
      <w:proofErr w:type="spellStart"/>
      <w:r w:rsidRPr="00A67DCB">
        <w:rPr>
          <w:rFonts w:ascii="Arial" w:eastAsia="Times New Roman" w:hAnsi="Arial" w:cs="Arial"/>
          <w:kern w:val="0"/>
          <w:sz w:val="24"/>
          <w:szCs w:val="24"/>
          <w:lang w:eastAsia="en-GB"/>
          <w14:ligatures w14:val="none"/>
        </w:rPr>
        <w:t>Vaagaasar</w:t>
      </w:r>
      <w:proofErr w:type="spellEnd"/>
      <w:r w:rsidRPr="00A67DCB">
        <w:rPr>
          <w:rFonts w:ascii="Arial" w:eastAsia="Times New Roman" w:hAnsi="Arial" w:cs="Arial"/>
          <w:kern w:val="0"/>
          <w:sz w:val="24"/>
          <w:szCs w:val="24"/>
          <w:lang w:eastAsia="en-GB"/>
          <w14:ligatures w14:val="none"/>
        </w:rPr>
        <w:t>, 2020).</w:t>
      </w:r>
    </w:p>
    <w:p w14:paraId="5B6D4CCA" w14:textId="77777777" w:rsidR="00F6402E" w:rsidRPr="00A67DCB" w:rsidRDefault="00F6402E" w:rsidP="00F6402E">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For the SCCD project, the Iron Triangle was used to evaluate whether the original proposal could be delivered within the available resources. The initial concept involved a three to four-week summer camp; however, after reviewing the available timeframe, the proposed £42,500 budget and the available resources, the team concluded that the original scope was too ambitious. As a result, the project was redesigned as a one-week inclusive STEM camp for 30 children, providing 30 fully funded places to ensure that participation remained free of charge for families while maintaining the project's core objective of delivering an accessible and inclusive learning experience.</w:t>
      </w:r>
    </w:p>
    <w:p w14:paraId="5D9991D9" w14:textId="259F8EF8" w:rsidR="00A11348" w:rsidRPr="00A67DCB" w:rsidRDefault="00F6402E" w:rsidP="005C1CED">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The Iron Triangle supported realistic planning by balancing scope, time and cost. However, Atkinson (1999) argues that these three constraints alone do not provide a complete measure of project success, as they overlook broader measures of success, including long-term value and stakeholder benefits.</w:t>
      </w:r>
    </w:p>
    <w:p w14:paraId="2B97B4CC" w14:textId="77777777" w:rsidR="005C1CED" w:rsidRPr="00A67DCB" w:rsidRDefault="005C1CED" w:rsidP="005C1CED">
      <w:pPr>
        <w:spacing w:after="0" w:line="240" w:lineRule="auto"/>
        <w:rPr>
          <w:rFonts w:ascii="Arial" w:eastAsia="Times New Roman" w:hAnsi="Arial" w:cs="Arial"/>
          <w:kern w:val="0"/>
          <w:sz w:val="24"/>
          <w:szCs w:val="24"/>
          <w:lang w:eastAsia="en-GB"/>
          <w14:ligatures w14:val="none"/>
        </w:rPr>
      </w:pPr>
    </w:p>
    <w:p w14:paraId="04F68E74" w14:textId="232CFDF4" w:rsidR="00E17FCF" w:rsidRPr="00A67DCB" w:rsidRDefault="00E17FCF" w:rsidP="00993C94">
      <w:pPr>
        <w:pStyle w:val="Heading2"/>
        <w:rPr>
          <w:rFonts w:ascii="Arial" w:eastAsia="Times New Roman" w:hAnsi="Arial" w:cs="Arial"/>
          <w:color w:val="auto"/>
          <w:sz w:val="24"/>
          <w:szCs w:val="24"/>
          <w:lang w:eastAsia="en-GB"/>
        </w:rPr>
      </w:pPr>
      <w:bookmarkStart w:id="21" w:name="_Toc234445786"/>
      <w:r w:rsidRPr="00A67DCB">
        <w:rPr>
          <w:rFonts w:ascii="Arial" w:eastAsia="Times New Roman" w:hAnsi="Arial" w:cs="Arial"/>
          <w:color w:val="auto"/>
          <w:sz w:val="24"/>
          <w:szCs w:val="24"/>
          <w:lang w:eastAsia="en-GB"/>
        </w:rPr>
        <w:t>2.</w:t>
      </w:r>
      <w:r w:rsidR="002E0292" w:rsidRPr="00A67DCB">
        <w:rPr>
          <w:rFonts w:ascii="Arial" w:eastAsia="Times New Roman" w:hAnsi="Arial" w:cs="Arial"/>
          <w:color w:val="auto"/>
          <w:sz w:val="24"/>
          <w:szCs w:val="24"/>
          <w:lang w:eastAsia="en-GB"/>
        </w:rPr>
        <w:t>1.4.</w:t>
      </w:r>
      <w:r w:rsidR="00A11348" w:rsidRPr="00A67DCB">
        <w:rPr>
          <w:rFonts w:ascii="Arial" w:eastAsia="Times New Roman" w:hAnsi="Arial" w:cs="Arial"/>
          <w:color w:val="auto"/>
          <w:sz w:val="24"/>
          <w:szCs w:val="24"/>
          <w:lang w:eastAsia="en-GB"/>
        </w:rPr>
        <w:t xml:space="preserve"> </w:t>
      </w:r>
      <w:r w:rsidRPr="00A67DCB">
        <w:rPr>
          <w:rFonts w:ascii="Arial" w:eastAsia="Times New Roman" w:hAnsi="Arial" w:cs="Arial"/>
          <w:color w:val="auto"/>
          <w:sz w:val="24"/>
          <w:szCs w:val="24"/>
          <w:lang w:eastAsia="en-GB"/>
        </w:rPr>
        <w:t>Work Breakdown Structure (WBS)</w:t>
      </w:r>
      <w:bookmarkEnd w:id="21"/>
    </w:p>
    <w:p w14:paraId="6F8EFCD6" w14:textId="77777777" w:rsidR="006D0808" w:rsidRPr="00A67DCB" w:rsidRDefault="006D0808" w:rsidP="00E17FCF">
      <w:pPr>
        <w:spacing w:after="0" w:line="240" w:lineRule="auto"/>
        <w:rPr>
          <w:rFonts w:ascii="Arial" w:eastAsia="Times New Roman" w:hAnsi="Arial" w:cs="Arial"/>
          <w:kern w:val="0"/>
          <w:sz w:val="24"/>
          <w:szCs w:val="24"/>
          <w:lang w:eastAsia="en-GB"/>
          <w14:ligatures w14:val="none"/>
        </w:rPr>
      </w:pPr>
    </w:p>
    <w:p w14:paraId="01C3A986" w14:textId="77777777" w:rsidR="00E17FCF" w:rsidRPr="00A67DCB" w:rsidRDefault="00E17FCF" w:rsidP="00E17FCF">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A Work Breakdown Structure (WBS) is a project management tool that divides a project into smaller and more manageable work packages. By decomposing a complex project into clearly defined activities, it provides a structured framework for organising work, allocating responsibilities and ensuring that essential tasks are identified at an early stage of the planning process (Meredith and Mantel, 2009).</w:t>
      </w:r>
    </w:p>
    <w:p w14:paraId="4A4B21B1" w14:textId="77777777" w:rsidR="00E17FCF" w:rsidRPr="00A67DCB" w:rsidRDefault="00E17FCF" w:rsidP="00E17FCF">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For the SCCD project, the WBS played a key role in transforming the initial project concept into a structured and achievable plan. The project was organised into major work packages covering project planning, resource management, volunteer preparation, activity delivery and project evaluation. This enabled the team to organise the work logically, allocate responsibilities and identify the activities required to support each stage of the proposed summer camp. As a result, the WBS provided a clear overview of the project and established the foundation for developing the Gantt Chart.</w:t>
      </w:r>
    </w:p>
    <w:p w14:paraId="593C5904" w14:textId="5CB8A92E" w:rsidR="00BD7D68" w:rsidRPr="00A67DCB" w:rsidRDefault="00BD7D68" w:rsidP="00E17FCF">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The effectiveness of the WBS depended largely on how the project was decomposed into individual work packages. If activities were defined too broadly, important sub-tasks could be overlooked, whereas excessive detail could make the structure unnecessarily complex and more difficult to manage (Project Management Institute, 2019). For the SCCD project, volunteer preparation included several essential activities, such as safeguarding, disability awareness training and role allocation, which required separate consideration to ensure that the camp could be planned safely and effectively. In addition, while the WBS clearly identified what work needed to be completed, it did not establish when activities should take place or how individual tasks depended on one another. Consequently, the WBS needed to be complemented by the Gantt Chart, which converted the work packages into a realistic project schedule and sequence of activities, supporting more effective coordination and time management (Burke, 2013).</w:t>
      </w:r>
    </w:p>
    <w:p w14:paraId="5BD13093" w14:textId="77777777" w:rsidR="00092C09" w:rsidRPr="00A67DCB" w:rsidRDefault="00092C09" w:rsidP="00993C94">
      <w:pPr>
        <w:pStyle w:val="Heading2"/>
        <w:rPr>
          <w:rFonts w:ascii="Arial" w:eastAsia="Times New Roman" w:hAnsi="Arial" w:cs="Arial"/>
          <w:sz w:val="24"/>
          <w:szCs w:val="24"/>
          <w:lang w:eastAsia="en-GB"/>
        </w:rPr>
      </w:pPr>
    </w:p>
    <w:p w14:paraId="7482D0F9" w14:textId="46C7F8D5" w:rsidR="00092C09" w:rsidRPr="00A67DCB" w:rsidRDefault="00092C09" w:rsidP="00993C94">
      <w:pPr>
        <w:pStyle w:val="Heading2"/>
        <w:rPr>
          <w:rFonts w:ascii="Arial" w:eastAsia="Times New Roman" w:hAnsi="Arial" w:cs="Arial"/>
          <w:color w:val="auto"/>
          <w:sz w:val="24"/>
          <w:szCs w:val="24"/>
          <w:lang w:eastAsia="en-GB"/>
        </w:rPr>
      </w:pPr>
      <w:bookmarkStart w:id="22" w:name="_Toc234445787"/>
      <w:r w:rsidRPr="00A67DCB">
        <w:rPr>
          <w:rFonts w:ascii="Arial" w:eastAsia="Times New Roman" w:hAnsi="Arial" w:cs="Arial"/>
          <w:color w:val="auto"/>
          <w:sz w:val="24"/>
          <w:szCs w:val="24"/>
          <w:lang w:eastAsia="en-GB"/>
        </w:rPr>
        <w:t>2.</w:t>
      </w:r>
      <w:r w:rsidR="00A407E7" w:rsidRPr="00A67DCB">
        <w:rPr>
          <w:rFonts w:ascii="Arial" w:eastAsia="Times New Roman" w:hAnsi="Arial" w:cs="Arial"/>
          <w:color w:val="auto"/>
          <w:sz w:val="24"/>
          <w:szCs w:val="24"/>
          <w:lang w:eastAsia="en-GB"/>
        </w:rPr>
        <w:t xml:space="preserve">1.5. </w:t>
      </w:r>
      <w:r w:rsidRPr="00A67DCB">
        <w:rPr>
          <w:rFonts w:ascii="Arial" w:eastAsia="Times New Roman" w:hAnsi="Arial" w:cs="Arial"/>
          <w:color w:val="auto"/>
          <w:sz w:val="24"/>
          <w:szCs w:val="24"/>
          <w:lang w:eastAsia="en-GB"/>
        </w:rPr>
        <w:t>Gantt Chart</w:t>
      </w:r>
      <w:bookmarkEnd w:id="22"/>
    </w:p>
    <w:p w14:paraId="612AB170" w14:textId="77777777" w:rsidR="00092C09" w:rsidRPr="00A67DCB" w:rsidRDefault="00092C09" w:rsidP="00092C09">
      <w:pPr>
        <w:spacing w:after="0" w:line="240" w:lineRule="auto"/>
        <w:rPr>
          <w:rFonts w:ascii="Arial" w:eastAsia="Times New Roman" w:hAnsi="Arial" w:cs="Arial"/>
          <w:b/>
          <w:bCs/>
          <w:kern w:val="0"/>
          <w:sz w:val="24"/>
          <w:szCs w:val="24"/>
          <w:lang w:eastAsia="en-GB"/>
          <w14:ligatures w14:val="none"/>
        </w:rPr>
      </w:pPr>
    </w:p>
    <w:p w14:paraId="7D4A3184" w14:textId="639B7E0A" w:rsidR="002D10FA" w:rsidRPr="00A67DCB" w:rsidRDefault="00834675" w:rsidP="000437B6">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The Gantt Chart was developed after the WBS to convert the planned project activities into a realistic six-month schedule. It enabled the team to visualise the project timeline, identify task dependencies and monitor key milestones, ensuring that activities such as sponsorship, venue preparation and volunteer recruitment were completed in the correct sequence before the proposed summer camp. Kerzner (2022) highlights that one of the main strengths of a Gantt Chart is its ability to improve scheduling and time management through a clear visual representation of project activities. However, Geraldi and </w:t>
      </w:r>
      <w:proofErr w:type="spellStart"/>
      <w:r w:rsidRPr="00A67DCB">
        <w:rPr>
          <w:rFonts w:ascii="Arial" w:eastAsia="Times New Roman" w:hAnsi="Arial" w:cs="Arial"/>
          <w:kern w:val="0"/>
          <w:sz w:val="24"/>
          <w:szCs w:val="24"/>
          <w:lang w:eastAsia="en-GB"/>
          <w14:ligatures w14:val="none"/>
        </w:rPr>
        <w:t>Lechter</w:t>
      </w:r>
      <w:proofErr w:type="spellEnd"/>
      <w:r w:rsidRPr="00A67DCB">
        <w:rPr>
          <w:rFonts w:ascii="Arial" w:eastAsia="Times New Roman" w:hAnsi="Arial" w:cs="Arial"/>
          <w:kern w:val="0"/>
          <w:sz w:val="24"/>
          <w:szCs w:val="24"/>
          <w:lang w:eastAsia="en-GB"/>
          <w14:ligatures w14:val="none"/>
        </w:rPr>
        <w:t xml:space="preserve"> (2012) argue that Gantt Charts become less effective when projects experience frequent changes, as delays or revised priorities require continuous updates to the schedule. For the SCCD project, any delay in securing sponsorship or confirming an accessible venue would have required the project timeline to be revised to maintain realistic planning.</w:t>
      </w:r>
    </w:p>
    <w:p w14:paraId="03D68DA8" w14:textId="77777777" w:rsidR="00340FD0" w:rsidRPr="00A67DCB" w:rsidRDefault="00340FD0" w:rsidP="00993C94">
      <w:pPr>
        <w:pStyle w:val="Heading1"/>
        <w:rPr>
          <w:rFonts w:ascii="Arial" w:eastAsia="Times New Roman" w:hAnsi="Arial" w:cs="Arial"/>
          <w:color w:val="auto"/>
          <w:sz w:val="24"/>
          <w:szCs w:val="24"/>
          <w:lang w:eastAsia="en-GB"/>
        </w:rPr>
      </w:pPr>
    </w:p>
    <w:p w14:paraId="34DC6F1A" w14:textId="613EB811" w:rsidR="002D10FA" w:rsidRPr="00A67DCB" w:rsidRDefault="00B209A4" w:rsidP="00993C94">
      <w:pPr>
        <w:pStyle w:val="Heading1"/>
        <w:rPr>
          <w:rFonts w:ascii="Arial" w:eastAsia="Times New Roman" w:hAnsi="Arial" w:cs="Arial"/>
          <w:color w:val="auto"/>
          <w:sz w:val="24"/>
          <w:szCs w:val="24"/>
          <w:lang w:eastAsia="en-GB"/>
        </w:rPr>
      </w:pPr>
      <w:bookmarkStart w:id="23" w:name="_Toc234445788"/>
      <w:r w:rsidRPr="00A67DCB">
        <w:rPr>
          <w:rFonts w:ascii="Arial" w:eastAsia="Times New Roman" w:hAnsi="Arial" w:cs="Arial"/>
          <w:color w:val="auto"/>
          <w:sz w:val="24"/>
          <w:szCs w:val="24"/>
          <w:lang w:eastAsia="en-GB"/>
        </w:rPr>
        <w:t>2.1.6</w:t>
      </w:r>
      <w:r w:rsidR="00A11348" w:rsidRPr="00A67DCB">
        <w:rPr>
          <w:rFonts w:ascii="Arial" w:eastAsia="Times New Roman" w:hAnsi="Arial" w:cs="Arial"/>
          <w:color w:val="auto"/>
          <w:sz w:val="24"/>
          <w:szCs w:val="24"/>
          <w:lang w:eastAsia="en-GB"/>
        </w:rPr>
        <w:t xml:space="preserve">. </w:t>
      </w:r>
      <w:r w:rsidR="002D10FA" w:rsidRPr="00A67DCB">
        <w:rPr>
          <w:rFonts w:ascii="Arial" w:eastAsia="Times New Roman" w:hAnsi="Arial" w:cs="Arial"/>
          <w:color w:val="auto"/>
          <w:sz w:val="24"/>
          <w:szCs w:val="24"/>
          <w:lang w:eastAsia="en-GB"/>
        </w:rPr>
        <w:t>Stakeholder Analysis</w:t>
      </w:r>
      <w:bookmarkEnd w:id="23"/>
    </w:p>
    <w:p w14:paraId="079F10F0" w14:textId="77777777" w:rsidR="002D10FA" w:rsidRPr="00A67DCB" w:rsidRDefault="002D10FA" w:rsidP="002D10FA">
      <w:pPr>
        <w:spacing w:after="0" w:line="240" w:lineRule="auto"/>
        <w:rPr>
          <w:rFonts w:ascii="Arial" w:eastAsia="Times New Roman" w:hAnsi="Arial" w:cs="Arial"/>
          <w:kern w:val="0"/>
          <w:sz w:val="24"/>
          <w:szCs w:val="24"/>
          <w:lang w:eastAsia="en-GB"/>
          <w14:ligatures w14:val="none"/>
        </w:rPr>
      </w:pPr>
    </w:p>
    <w:p w14:paraId="0C954A38" w14:textId="45BB2251" w:rsidR="002D10FA" w:rsidRPr="00A67DCB" w:rsidRDefault="00B31476" w:rsidP="00E17FCF">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Stakeholder Analysis was used to identify the individuals and organisations that could influence or be affected by the SCCD project, enabling the team to prioritise planning according to stakeholder needs and levels of influence (Bourne, 2016). Parents and sponsors were identified as high-power stakeholders because they directly influenced funding, accessibility and project delivery, while children were recognised as the primary beneficiaries whose safety, inclusion and learning needs guided all major planning decisions. The analysis also informed the Communication Plan by establishing different communication methods and frequencies for each stakeholder group, including daily updates for parents, monthly progress reports for sponsors and weekly meetings with healthcare professionals and camp coordinators. This structured approach improved coordination throughout the planning process. However, stakeholder priorities can change as projects develop, requiring the analysis to be reviewed regularly to ensure that communication and planning decisions remain aligned with stakeholder expectations (Bourne, 2016).</w:t>
      </w:r>
    </w:p>
    <w:p w14:paraId="6E92AB2C" w14:textId="77777777" w:rsidR="001319F3" w:rsidRPr="00A67DCB" w:rsidRDefault="001319F3" w:rsidP="00993C94">
      <w:pPr>
        <w:pStyle w:val="Heading2"/>
        <w:rPr>
          <w:rFonts w:ascii="Arial" w:eastAsia="Times New Roman" w:hAnsi="Arial" w:cs="Arial"/>
          <w:sz w:val="24"/>
          <w:szCs w:val="24"/>
          <w:lang w:eastAsia="en-GB"/>
        </w:rPr>
      </w:pPr>
    </w:p>
    <w:p w14:paraId="51D1ABC9" w14:textId="54575958" w:rsidR="00426CE1" w:rsidRPr="00A67DCB" w:rsidRDefault="00780C13" w:rsidP="00993C94">
      <w:pPr>
        <w:pStyle w:val="Heading2"/>
        <w:rPr>
          <w:rFonts w:ascii="Arial" w:eastAsia="Times New Roman" w:hAnsi="Arial" w:cs="Arial"/>
          <w:color w:val="auto"/>
          <w:sz w:val="24"/>
          <w:szCs w:val="24"/>
          <w:lang w:eastAsia="en-GB"/>
        </w:rPr>
      </w:pPr>
      <w:bookmarkStart w:id="24" w:name="_Toc234445789"/>
      <w:r w:rsidRPr="00A67DCB">
        <w:rPr>
          <w:rFonts w:ascii="Arial" w:eastAsia="Times New Roman" w:hAnsi="Arial" w:cs="Arial"/>
          <w:color w:val="auto"/>
          <w:sz w:val="24"/>
          <w:szCs w:val="24"/>
          <w:lang w:eastAsia="en-GB"/>
        </w:rPr>
        <w:t>2.1.7.</w:t>
      </w:r>
      <w:r w:rsidR="00A11348" w:rsidRPr="00A67DCB">
        <w:rPr>
          <w:rFonts w:ascii="Arial" w:eastAsia="Times New Roman" w:hAnsi="Arial" w:cs="Arial"/>
          <w:color w:val="auto"/>
          <w:sz w:val="24"/>
          <w:szCs w:val="24"/>
          <w:lang w:eastAsia="en-GB"/>
        </w:rPr>
        <w:t xml:space="preserve"> </w:t>
      </w:r>
      <w:r w:rsidR="00426CE1" w:rsidRPr="00A67DCB">
        <w:rPr>
          <w:rFonts w:ascii="Arial" w:eastAsia="Times New Roman" w:hAnsi="Arial" w:cs="Arial"/>
          <w:color w:val="auto"/>
          <w:sz w:val="24"/>
          <w:szCs w:val="24"/>
          <w:lang w:eastAsia="en-GB"/>
        </w:rPr>
        <w:t>Risk Analysis</w:t>
      </w:r>
      <w:bookmarkEnd w:id="24"/>
    </w:p>
    <w:p w14:paraId="73B81B27" w14:textId="77777777" w:rsidR="00426CE1" w:rsidRPr="00A67DCB" w:rsidRDefault="00426CE1" w:rsidP="00426CE1">
      <w:pPr>
        <w:spacing w:after="0" w:line="240" w:lineRule="auto"/>
        <w:rPr>
          <w:rFonts w:ascii="Arial" w:eastAsia="Times New Roman" w:hAnsi="Arial" w:cs="Arial"/>
          <w:kern w:val="0"/>
          <w:sz w:val="24"/>
          <w:szCs w:val="24"/>
          <w:lang w:eastAsia="en-GB"/>
          <w14:ligatures w14:val="none"/>
        </w:rPr>
      </w:pPr>
    </w:p>
    <w:p w14:paraId="0CAE6A1A" w14:textId="78F69EE6" w:rsidR="0095565D" w:rsidRPr="00A67DCB" w:rsidRDefault="00426CE1" w:rsidP="00426CE1">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Risk Analysis was used to identify and prioritise the risks most likely to affect the successful planning of the SCCD project. Using a Risk Assessment Matrix, the team evaluated the likelihood and impact of key risks, including funding shortages, a lack of trained volunteers, medical emergencies, equipment delivery delays and adverse weather, enabling appropriate mitigation measures to be incorporated into the project plan. This proactive approach strengthened project planning by reducing uncertainty before implementation. However, Aven (2015) argues that project risks are dynamic and should be reviewed continuously, as changes in project circumstances may alter both their likelihood and impact. For the SCCD project, changes such as reduced sponsorship or volunteer availability would have required the risk assessment to be updated to ensure that mitigation strategies remained effective throughout the planning process.</w:t>
      </w:r>
    </w:p>
    <w:p w14:paraId="3E04EA73" w14:textId="77777777" w:rsidR="00E50D7C" w:rsidRPr="00A67DCB" w:rsidRDefault="00E50D7C" w:rsidP="00FA75D0">
      <w:pPr>
        <w:spacing w:after="0" w:line="240" w:lineRule="auto"/>
        <w:rPr>
          <w:rFonts w:ascii="Arial" w:eastAsia="Times New Roman" w:hAnsi="Arial" w:cs="Arial"/>
          <w:kern w:val="0"/>
          <w:sz w:val="24"/>
          <w:szCs w:val="24"/>
          <w:lang w:eastAsia="en-GB"/>
          <w14:ligatures w14:val="none"/>
        </w:rPr>
      </w:pPr>
    </w:p>
    <w:p w14:paraId="56324A08" w14:textId="5E1CAE05" w:rsidR="00E50D7C" w:rsidRPr="00A67DCB" w:rsidRDefault="00780C13" w:rsidP="00993C94">
      <w:pPr>
        <w:pStyle w:val="Heading2"/>
        <w:rPr>
          <w:rFonts w:ascii="Arial" w:eastAsia="Times New Roman" w:hAnsi="Arial" w:cs="Arial"/>
          <w:color w:val="auto"/>
          <w:sz w:val="24"/>
          <w:szCs w:val="24"/>
          <w:lang w:eastAsia="en-GB"/>
        </w:rPr>
      </w:pPr>
      <w:bookmarkStart w:id="25" w:name="_Toc234445790"/>
      <w:r w:rsidRPr="00A67DCB">
        <w:rPr>
          <w:rFonts w:ascii="Arial" w:eastAsia="Times New Roman" w:hAnsi="Arial" w:cs="Arial"/>
          <w:color w:val="auto"/>
          <w:sz w:val="24"/>
          <w:szCs w:val="24"/>
          <w:lang w:eastAsia="en-GB"/>
        </w:rPr>
        <w:t>2.1.8.</w:t>
      </w:r>
      <w:r w:rsidR="00625CC6" w:rsidRPr="00A67DCB">
        <w:rPr>
          <w:rFonts w:ascii="Arial" w:eastAsia="Times New Roman" w:hAnsi="Arial" w:cs="Arial"/>
          <w:color w:val="auto"/>
          <w:sz w:val="24"/>
          <w:szCs w:val="24"/>
          <w:lang w:eastAsia="en-GB"/>
        </w:rPr>
        <w:t xml:space="preserve"> </w:t>
      </w:r>
      <w:r w:rsidR="00E50D7C" w:rsidRPr="00A67DCB">
        <w:rPr>
          <w:rFonts w:ascii="Arial" w:eastAsia="Times New Roman" w:hAnsi="Arial" w:cs="Arial"/>
          <w:color w:val="auto"/>
          <w:sz w:val="24"/>
          <w:szCs w:val="24"/>
          <w:lang w:eastAsia="en-GB"/>
        </w:rPr>
        <w:t>SWOT Analysis</w:t>
      </w:r>
      <w:bookmarkEnd w:id="25"/>
    </w:p>
    <w:p w14:paraId="06580BBC" w14:textId="77777777" w:rsidR="00625CC6" w:rsidRPr="00A67DCB" w:rsidRDefault="00625CC6" w:rsidP="00FA75D0">
      <w:pPr>
        <w:spacing w:after="0" w:line="240" w:lineRule="auto"/>
        <w:rPr>
          <w:rFonts w:ascii="Arial" w:eastAsia="Times New Roman" w:hAnsi="Arial" w:cs="Arial"/>
          <w:kern w:val="0"/>
          <w:sz w:val="24"/>
          <w:szCs w:val="24"/>
          <w:lang w:eastAsia="en-GB"/>
          <w14:ligatures w14:val="none"/>
        </w:rPr>
      </w:pPr>
    </w:p>
    <w:p w14:paraId="3CB028D5" w14:textId="2F3AC85E" w:rsidR="00625CC6" w:rsidRPr="00A67DCB" w:rsidRDefault="00E50D7C" w:rsidP="000437B6">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SWOT Analysis provided a strategic overview of the internal and external factors that could influence the planning of the SCCD project. It helped the team identify key strengths, including the project's inclusive design and stakeholder engagement, while recognising weaknesses such as funding dependency and limited planning time. The analysis also highlighted opportunities for future partnerships and sponsorship alongside external threats, including adverse weather and resource constraints. According to Gürel and Tat (2017), SWOT supports strategic decision-making by evaluating both internal capabilities and external influences; however, as Helms and Nixon (2010) note, its effectiveness depends on the accuracy and objectivity of the information used.</w:t>
      </w:r>
      <w:r w:rsidR="00E63B58" w:rsidRPr="00A67DCB">
        <w:rPr>
          <w:rFonts w:ascii="Arial" w:hAnsi="Arial" w:cs="Arial"/>
          <w:sz w:val="24"/>
          <w:szCs w:val="24"/>
        </w:rPr>
        <w:t xml:space="preserve"> </w:t>
      </w:r>
      <w:r w:rsidR="00E63B58" w:rsidRPr="00A67DCB">
        <w:rPr>
          <w:rFonts w:ascii="Arial" w:eastAsia="Times New Roman" w:hAnsi="Arial" w:cs="Arial"/>
          <w:kern w:val="0"/>
          <w:sz w:val="24"/>
          <w:szCs w:val="24"/>
          <w:lang w:eastAsia="en-GB"/>
          <w14:ligatures w14:val="none"/>
        </w:rPr>
        <w:t>Although SWOT identifies strategic factors, it does not prioritise them; therefore, it should be used alongside Risk Analysis.</w:t>
      </w:r>
    </w:p>
    <w:p w14:paraId="5F49914C" w14:textId="52F65E9A" w:rsidR="00836521" w:rsidRPr="00A67DCB" w:rsidRDefault="00836521" w:rsidP="00525637">
      <w:pPr>
        <w:pStyle w:val="Heading2"/>
        <w:rPr>
          <w:rFonts w:ascii="Arial" w:eastAsia="Times New Roman" w:hAnsi="Arial" w:cs="Arial"/>
          <w:color w:val="auto"/>
          <w:sz w:val="24"/>
          <w:szCs w:val="24"/>
          <w:lang w:eastAsia="en-GB"/>
        </w:rPr>
      </w:pPr>
      <w:bookmarkStart w:id="26" w:name="_Toc234445791"/>
      <w:r w:rsidRPr="00A67DCB">
        <w:rPr>
          <w:rFonts w:ascii="Arial" w:eastAsia="Times New Roman" w:hAnsi="Arial" w:cs="Arial"/>
          <w:color w:val="auto"/>
          <w:sz w:val="24"/>
          <w:szCs w:val="24"/>
          <w:lang w:eastAsia="en-GB"/>
        </w:rPr>
        <w:lastRenderedPageBreak/>
        <w:t>2.1.9. Belbin Team Roles</w:t>
      </w:r>
      <w:bookmarkEnd w:id="26"/>
    </w:p>
    <w:p w14:paraId="1175799A" w14:textId="77777777" w:rsidR="00F22FE0" w:rsidRPr="00A67DCB" w:rsidRDefault="00F22FE0" w:rsidP="00836521">
      <w:pPr>
        <w:spacing w:after="0" w:line="240" w:lineRule="auto"/>
        <w:rPr>
          <w:rFonts w:ascii="Arial" w:eastAsia="Times New Roman" w:hAnsi="Arial" w:cs="Arial"/>
          <w:kern w:val="0"/>
          <w:sz w:val="24"/>
          <w:szCs w:val="24"/>
          <w:lang w:eastAsia="en-GB"/>
          <w14:ligatures w14:val="none"/>
        </w:rPr>
      </w:pPr>
    </w:p>
    <w:p w14:paraId="2457E954" w14:textId="734D7BC0" w:rsidR="00836521" w:rsidRPr="00A67DCB" w:rsidRDefault="00F22FE0" w:rsidP="00836521">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Belbin Team Roles contributed to effective teamwork by enabling responsibilities to be allocated according to each member's knowledge, skills and strengths (Belbin, 2010). Within the SCCD project, I adopted the role of Specialist, drawing on my academic background in Psychology and Educational Sciences to support the planning of inclusive STEM activities and accessibility arrangements for children with physical, sensory and cognitive disabilities. My contribution helped ensure that participant needs were considered throughout the planning process and that the proposed activities reflected the project's inclusive objectives. Belbin (2010) argues that effective teams are achieved through a balance of complementary roles rather than individuals performing identical functions. In practice, however, team members often contributed beyond their primary role, demonstrating the flexibility and collaboration required to support the successful planning of the SCCD project.</w:t>
      </w:r>
    </w:p>
    <w:p w14:paraId="26C12A98" w14:textId="290B4C15" w:rsidR="00C31E1F" w:rsidRPr="00A67DCB" w:rsidRDefault="00444870" w:rsidP="00993C94">
      <w:pPr>
        <w:pStyle w:val="Heading1"/>
        <w:rPr>
          <w:rFonts w:ascii="Arial" w:eastAsia="Times New Roman" w:hAnsi="Arial" w:cs="Arial"/>
          <w:b/>
          <w:bCs/>
          <w:sz w:val="24"/>
          <w:szCs w:val="24"/>
          <w:lang w:eastAsia="en-GB"/>
        </w:rPr>
      </w:pPr>
      <w:bookmarkStart w:id="27" w:name="_Toc234445792"/>
      <w:r w:rsidRPr="00A67DCB">
        <w:rPr>
          <w:rFonts w:ascii="Arial" w:eastAsia="Times New Roman" w:hAnsi="Arial" w:cs="Arial"/>
          <w:b/>
          <w:bCs/>
          <w:color w:val="000000" w:themeColor="text1"/>
          <w:sz w:val="24"/>
          <w:szCs w:val="24"/>
          <w:lang w:eastAsia="en-GB"/>
        </w:rPr>
        <w:t>3</w:t>
      </w:r>
      <w:r w:rsidR="00C31E1F" w:rsidRPr="00A67DCB">
        <w:rPr>
          <w:rFonts w:ascii="Arial" w:eastAsia="Times New Roman" w:hAnsi="Arial" w:cs="Arial"/>
          <w:b/>
          <w:bCs/>
          <w:color w:val="000000" w:themeColor="text1"/>
          <w:sz w:val="24"/>
          <w:szCs w:val="24"/>
          <w:lang w:eastAsia="en-GB"/>
        </w:rPr>
        <w:t>.Conclusion and Recommendations</w:t>
      </w:r>
      <w:bookmarkEnd w:id="27"/>
    </w:p>
    <w:p w14:paraId="2A03FF50" w14:textId="77777777" w:rsidR="00625CC6" w:rsidRPr="00A67DCB" w:rsidRDefault="00625CC6" w:rsidP="00C31E1F">
      <w:pPr>
        <w:spacing w:after="0" w:line="240" w:lineRule="auto"/>
        <w:rPr>
          <w:rFonts w:ascii="Arial" w:eastAsia="Times New Roman" w:hAnsi="Arial" w:cs="Arial"/>
          <w:kern w:val="0"/>
          <w:sz w:val="24"/>
          <w:szCs w:val="24"/>
          <w:lang w:eastAsia="en-GB"/>
          <w14:ligatures w14:val="none"/>
        </w:rPr>
      </w:pPr>
    </w:p>
    <w:p w14:paraId="5B8BCC5A" w14:textId="77777777" w:rsidR="00C31E1F" w:rsidRPr="00A67DCB" w:rsidRDefault="00C31E1F" w:rsidP="00C31E1F">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The SCCD project demonstrated how applying a combination of project management tools and techniques supported the development of a realistic, inclusive and well-structured project plan. Although the summer camp remained at the planning stage, the planning process highlighted the importance of balancing project constraints, organising activities effectively, engaging stakeholders and identifying potential risks at an early stage. The report also showed that no single project management tool is sufficient on its own; instead, combining complementary techniques resulted in more informed planning and decision-making.</w:t>
      </w:r>
    </w:p>
    <w:p w14:paraId="1D2B8F4F" w14:textId="77777777" w:rsidR="00C31E1F" w:rsidRPr="00A67DCB" w:rsidRDefault="00C31E1F" w:rsidP="00C31E1F">
      <w:p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Future projects could be further strengthened by:</w:t>
      </w:r>
    </w:p>
    <w:p w14:paraId="2B2591C8" w14:textId="77777777" w:rsidR="00C31E1F" w:rsidRPr="00A67DCB" w:rsidRDefault="00C31E1F" w:rsidP="00C31E1F">
      <w:pPr>
        <w:numPr>
          <w:ilvl w:val="0"/>
          <w:numId w:val="3"/>
        </w:num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reviewing Risk Analysis and Stakeholder Analysis regularly as project circumstances change; </w:t>
      </w:r>
    </w:p>
    <w:p w14:paraId="5B567574" w14:textId="77777777" w:rsidR="00C31E1F" w:rsidRPr="00A67DCB" w:rsidRDefault="00C31E1F" w:rsidP="00C31E1F">
      <w:pPr>
        <w:numPr>
          <w:ilvl w:val="0"/>
          <w:numId w:val="3"/>
        </w:num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securing sponsorship and specialist partnerships earlier to improve financial stability and resource planning; </w:t>
      </w:r>
    </w:p>
    <w:p w14:paraId="1EE4CE24" w14:textId="77777777" w:rsidR="00C31E1F" w:rsidRPr="00A67DCB" w:rsidRDefault="00C31E1F" w:rsidP="00C31E1F">
      <w:pPr>
        <w:numPr>
          <w:ilvl w:val="0"/>
          <w:numId w:val="3"/>
        </w:num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using digital project management software to improve communication, scheduling and progress monitoring; </w:t>
      </w:r>
    </w:p>
    <w:p w14:paraId="4AC4FD3D" w14:textId="77777777" w:rsidR="00C31E1F" w:rsidRPr="00A67DCB" w:rsidRDefault="00C31E1F" w:rsidP="00C31E1F">
      <w:pPr>
        <w:numPr>
          <w:ilvl w:val="0"/>
          <w:numId w:val="3"/>
        </w:num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 xml:space="preserve">expanding volunteer recruitment and providing additional disability-awareness and safeguarding training; </w:t>
      </w:r>
    </w:p>
    <w:p w14:paraId="0233F5EA" w14:textId="77777777" w:rsidR="00C31E1F" w:rsidRPr="00A67DCB" w:rsidRDefault="00C31E1F" w:rsidP="00C31E1F">
      <w:pPr>
        <w:numPr>
          <w:ilvl w:val="0"/>
          <w:numId w:val="3"/>
        </w:numPr>
        <w:spacing w:after="0" w:line="240" w:lineRule="auto"/>
        <w:rPr>
          <w:rFonts w:ascii="Arial" w:eastAsia="Times New Roman" w:hAnsi="Arial" w:cs="Arial"/>
          <w:kern w:val="0"/>
          <w:sz w:val="24"/>
          <w:szCs w:val="24"/>
          <w:lang w:eastAsia="en-GB"/>
          <w14:ligatures w14:val="none"/>
        </w:rPr>
      </w:pPr>
      <w:r w:rsidRPr="00A67DCB">
        <w:rPr>
          <w:rFonts w:ascii="Arial" w:eastAsia="Times New Roman" w:hAnsi="Arial" w:cs="Arial"/>
          <w:kern w:val="0"/>
          <w:sz w:val="24"/>
          <w:szCs w:val="24"/>
          <w:lang w:eastAsia="en-GB"/>
          <w14:ligatures w14:val="none"/>
        </w:rPr>
        <w:t>introducing clear evaluation measures, including participant and stakeholder feedback, to support continuous improvement.</w:t>
      </w:r>
    </w:p>
    <w:p w14:paraId="36BBC465" w14:textId="77777777" w:rsidR="00C31E1F" w:rsidRPr="00340FD0" w:rsidRDefault="00C31E1F" w:rsidP="00FA75D0">
      <w:pPr>
        <w:spacing w:after="0" w:line="240" w:lineRule="auto"/>
        <w:rPr>
          <w:rFonts w:ascii="Arial" w:eastAsia="Times New Roman" w:hAnsi="Arial" w:cs="Arial"/>
          <w:kern w:val="0"/>
          <w:sz w:val="24"/>
          <w:szCs w:val="24"/>
          <w:lang w:eastAsia="en-GB"/>
          <w14:ligatures w14:val="none"/>
        </w:rPr>
      </w:pPr>
    </w:p>
    <w:p w14:paraId="4137FBD4" w14:textId="77777777" w:rsidR="00FA75D0" w:rsidRPr="00340FD0" w:rsidRDefault="00FA75D0" w:rsidP="00720748">
      <w:pPr>
        <w:spacing w:after="0" w:line="240" w:lineRule="auto"/>
        <w:rPr>
          <w:rFonts w:ascii="Arial" w:eastAsia="Times New Roman" w:hAnsi="Arial" w:cs="Arial"/>
          <w:kern w:val="0"/>
          <w:sz w:val="24"/>
          <w:szCs w:val="24"/>
          <w:lang w:eastAsia="en-GB"/>
          <w14:ligatures w14:val="none"/>
        </w:rPr>
      </w:pPr>
    </w:p>
    <w:p w14:paraId="238AFD6B" w14:textId="77777777" w:rsidR="00862426" w:rsidRPr="00340FD0" w:rsidRDefault="00862426" w:rsidP="001510A7">
      <w:pPr>
        <w:spacing w:after="0" w:line="240" w:lineRule="auto"/>
        <w:rPr>
          <w:rFonts w:ascii="Arial" w:eastAsia="Times New Roman" w:hAnsi="Arial" w:cs="Arial"/>
          <w:kern w:val="0"/>
          <w:sz w:val="24"/>
          <w:szCs w:val="24"/>
          <w:lang w:eastAsia="en-GB"/>
          <w14:ligatures w14:val="none"/>
        </w:rPr>
      </w:pPr>
    </w:p>
    <w:p w14:paraId="6DA21EB4" w14:textId="77777777" w:rsidR="00B15782" w:rsidRPr="00340FD0" w:rsidRDefault="00B15782" w:rsidP="001510A7">
      <w:pPr>
        <w:spacing w:after="0" w:line="240" w:lineRule="auto"/>
        <w:rPr>
          <w:rFonts w:ascii="Arial" w:eastAsia="Times New Roman" w:hAnsi="Arial" w:cs="Arial"/>
          <w:kern w:val="0"/>
          <w:sz w:val="24"/>
          <w:szCs w:val="24"/>
          <w:lang w:eastAsia="en-GB"/>
          <w14:ligatures w14:val="none"/>
        </w:rPr>
      </w:pPr>
    </w:p>
    <w:p w14:paraId="42CA70CC" w14:textId="77777777" w:rsidR="00720748" w:rsidRPr="00340FD0" w:rsidRDefault="00720748" w:rsidP="00E17FCF">
      <w:pPr>
        <w:spacing w:after="0" w:line="240" w:lineRule="auto"/>
        <w:rPr>
          <w:rFonts w:ascii="Arial" w:eastAsia="Times New Roman" w:hAnsi="Arial" w:cs="Arial"/>
          <w:kern w:val="0"/>
          <w:sz w:val="24"/>
          <w:szCs w:val="24"/>
          <w:lang w:eastAsia="en-GB"/>
          <w14:ligatures w14:val="none"/>
        </w:rPr>
      </w:pPr>
    </w:p>
    <w:p w14:paraId="3BD7434B" w14:textId="77777777" w:rsidR="003E76C1" w:rsidRPr="00340FD0" w:rsidRDefault="003E76C1" w:rsidP="008B4A14">
      <w:pPr>
        <w:spacing w:after="0" w:line="240" w:lineRule="auto"/>
        <w:rPr>
          <w:rFonts w:ascii="Arial" w:eastAsia="Times New Roman" w:hAnsi="Arial" w:cs="Arial"/>
          <w:kern w:val="0"/>
          <w:sz w:val="24"/>
          <w:szCs w:val="24"/>
          <w:lang w:eastAsia="en-GB"/>
          <w14:ligatures w14:val="none"/>
        </w:rPr>
      </w:pPr>
    </w:p>
    <w:p w14:paraId="29FED42D" w14:textId="77777777" w:rsidR="007D2EFA" w:rsidRPr="001F5BED" w:rsidRDefault="007D2EFA" w:rsidP="008B4A14">
      <w:pPr>
        <w:spacing w:after="0" w:line="240" w:lineRule="auto"/>
        <w:rPr>
          <w:rFonts w:ascii="Arial" w:eastAsia="Times New Roman" w:hAnsi="Arial" w:cs="Arial"/>
          <w:kern w:val="0"/>
          <w:sz w:val="24"/>
          <w:szCs w:val="24"/>
          <w:lang w:eastAsia="en-GB"/>
          <w14:ligatures w14:val="none"/>
        </w:rPr>
      </w:pPr>
    </w:p>
    <w:p w14:paraId="2B07BE8C" w14:textId="0B6F0DB9" w:rsidR="00B331A1" w:rsidRPr="00B331A1" w:rsidRDefault="00B331A1" w:rsidP="00B331A1">
      <w:pPr>
        <w:spacing w:after="0" w:line="240" w:lineRule="auto"/>
        <w:rPr>
          <w:rFonts w:ascii="Times New Roman" w:eastAsia="Times New Roman" w:hAnsi="Times New Roman" w:cs="Times New Roman"/>
          <w:kern w:val="0"/>
          <w:sz w:val="24"/>
          <w:szCs w:val="24"/>
          <w:lang w:eastAsia="en-GB"/>
          <w14:ligatures w14:val="none"/>
        </w:rPr>
      </w:pPr>
    </w:p>
    <w:p w14:paraId="78D97F1C" w14:textId="77777777" w:rsidR="002B5DDA" w:rsidRDefault="002B5DDA" w:rsidP="00C91962"/>
    <w:p w14:paraId="35A1465D" w14:textId="77777777" w:rsidR="002B5DDA" w:rsidRDefault="002B5DDA" w:rsidP="00C91962"/>
    <w:p w14:paraId="511B484B" w14:textId="4795FFA3" w:rsidR="002B5DDA" w:rsidRDefault="00B209A4" w:rsidP="002B5DDA">
      <w:pPr>
        <w:pStyle w:val="Heading1"/>
        <w:rPr>
          <w:rFonts w:ascii="Arial" w:hAnsi="Arial" w:cs="Arial"/>
          <w:b/>
          <w:bCs/>
          <w:color w:val="auto"/>
          <w:sz w:val="24"/>
          <w:szCs w:val="24"/>
        </w:rPr>
      </w:pPr>
      <w:bookmarkStart w:id="28" w:name="_Toc234445793"/>
      <w:r>
        <w:rPr>
          <w:rFonts w:ascii="Arial" w:hAnsi="Arial" w:cs="Arial"/>
          <w:b/>
          <w:bCs/>
          <w:color w:val="auto"/>
          <w:sz w:val="24"/>
          <w:szCs w:val="24"/>
        </w:rPr>
        <w:lastRenderedPageBreak/>
        <w:t>4</w:t>
      </w:r>
      <w:r w:rsidR="00D74907">
        <w:rPr>
          <w:rFonts w:ascii="Arial" w:hAnsi="Arial" w:cs="Arial"/>
          <w:b/>
          <w:bCs/>
          <w:color w:val="auto"/>
          <w:sz w:val="24"/>
          <w:szCs w:val="24"/>
        </w:rPr>
        <w:t>.</w:t>
      </w:r>
      <w:r w:rsidR="002B5DDA" w:rsidRPr="00D74907">
        <w:rPr>
          <w:rFonts w:ascii="Arial" w:hAnsi="Arial" w:cs="Arial"/>
          <w:b/>
          <w:bCs/>
          <w:color w:val="auto"/>
          <w:sz w:val="24"/>
          <w:szCs w:val="24"/>
        </w:rPr>
        <w:t>References:</w:t>
      </w:r>
      <w:bookmarkEnd w:id="28"/>
    </w:p>
    <w:p w14:paraId="3C9F59D0" w14:textId="77777777" w:rsidR="00D74907" w:rsidRPr="00D74907" w:rsidRDefault="00D74907" w:rsidP="00D74907">
      <w:pPr>
        <w:rPr>
          <w:rFonts w:ascii="Arial" w:hAnsi="Arial" w:cs="Arial"/>
          <w:sz w:val="24"/>
          <w:szCs w:val="24"/>
        </w:rPr>
      </w:pPr>
    </w:p>
    <w:p w14:paraId="40FA0ED8"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Atkinson, R. (1999) ‘Project management: Cost, time and quality, two best guesses and a phenomenon, it’s time to accept other success criteria’, </w:t>
      </w:r>
      <w:r w:rsidRPr="00D74907">
        <w:rPr>
          <w:rFonts w:ascii="Arial" w:hAnsi="Arial" w:cs="Arial"/>
          <w:i/>
          <w:iCs/>
          <w:sz w:val="24"/>
          <w:szCs w:val="24"/>
        </w:rPr>
        <w:t>International Journal of Project Management</w:t>
      </w:r>
      <w:r w:rsidRPr="00D74907">
        <w:rPr>
          <w:rFonts w:ascii="Arial" w:hAnsi="Arial" w:cs="Arial"/>
          <w:sz w:val="24"/>
          <w:szCs w:val="24"/>
        </w:rPr>
        <w:t>, 17(6), pp. 337–342.</w:t>
      </w:r>
    </w:p>
    <w:p w14:paraId="54183CEC" w14:textId="77777777" w:rsidR="00D74907" w:rsidRDefault="00D74907" w:rsidP="00D74907">
      <w:pPr>
        <w:rPr>
          <w:rFonts w:ascii="Arial" w:hAnsi="Arial" w:cs="Arial"/>
          <w:sz w:val="24"/>
          <w:szCs w:val="24"/>
        </w:rPr>
      </w:pPr>
      <w:r w:rsidRPr="00D74907">
        <w:rPr>
          <w:rFonts w:ascii="Arial" w:hAnsi="Arial" w:cs="Arial"/>
          <w:sz w:val="24"/>
          <w:szCs w:val="24"/>
        </w:rPr>
        <w:t xml:space="preserve">Aven, T. (2015) </w:t>
      </w:r>
      <w:r w:rsidRPr="00D74907">
        <w:rPr>
          <w:rFonts w:ascii="Arial" w:hAnsi="Arial" w:cs="Arial"/>
          <w:i/>
          <w:iCs/>
          <w:sz w:val="24"/>
          <w:szCs w:val="24"/>
        </w:rPr>
        <w:t>Risk Analysis</w:t>
      </w:r>
      <w:r w:rsidRPr="00D74907">
        <w:rPr>
          <w:rFonts w:ascii="Arial" w:hAnsi="Arial" w:cs="Arial"/>
          <w:sz w:val="24"/>
          <w:szCs w:val="24"/>
        </w:rPr>
        <w:t xml:space="preserve">. 2nd </w:t>
      </w:r>
      <w:proofErr w:type="spellStart"/>
      <w:r w:rsidRPr="00D74907">
        <w:rPr>
          <w:rFonts w:ascii="Arial" w:hAnsi="Arial" w:cs="Arial"/>
          <w:sz w:val="24"/>
          <w:szCs w:val="24"/>
        </w:rPr>
        <w:t>edn</w:t>
      </w:r>
      <w:proofErr w:type="spellEnd"/>
      <w:r w:rsidRPr="00D74907">
        <w:rPr>
          <w:rFonts w:ascii="Arial" w:hAnsi="Arial" w:cs="Arial"/>
          <w:sz w:val="24"/>
          <w:szCs w:val="24"/>
        </w:rPr>
        <w:t>. Chichester: John Wiley &amp; Sons.</w:t>
      </w:r>
    </w:p>
    <w:p w14:paraId="20125D93" w14:textId="73861E1C" w:rsidR="006F2783" w:rsidRPr="00D74907" w:rsidRDefault="006F2783" w:rsidP="00D74907">
      <w:pPr>
        <w:rPr>
          <w:rFonts w:ascii="Arial" w:hAnsi="Arial" w:cs="Arial"/>
          <w:sz w:val="24"/>
          <w:szCs w:val="24"/>
        </w:rPr>
      </w:pPr>
      <w:r w:rsidRPr="006F2783">
        <w:rPr>
          <w:rFonts w:ascii="Arial" w:hAnsi="Arial" w:cs="Arial"/>
          <w:sz w:val="24"/>
          <w:szCs w:val="24"/>
        </w:rPr>
        <w:t xml:space="preserve">Belbin, R.M. (2010) Team Roles at Work. 2nd </w:t>
      </w:r>
      <w:proofErr w:type="spellStart"/>
      <w:r w:rsidRPr="006F2783">
        <w:rPr>
          <w:rFonts w:ascii="Arial" w:hAnsi="Arial" w:cs="Arial"/>
          <w:sz w:val="24"/>
          <w:szCs w:val="24"/>
        </w:rPr>
        <w:t>edn</w:t>
      </w:r>
      <w:proofErr w:type="spellEnd"/>
      <w:r w:rsidRPr="006F2783">
        <w:rPr>
          <w:rFonts w:ascii="Arial" w:hAnsi="Arial" w:cs="Arial"/>
          <w:sz w:val="24"/>
          <w:szCs w:val="24"/>
        </w:rPr>
        <w:t>. Oxford: Butterworth-Heinemann.</w:t>
      </w:r>
    </w:p>
    <w:p w14:paraId="40E61C60"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Bourne, L. (2016) </w:t>
      </w:r>
      <w:r w:rsidRPr="00D74907">
        <w:rPr>
          <w:rFonts w:ascii="Arial" w:hAnsi="Arial" w:cs="Arial"/>
          <w:i/>
          <w:iCs/>
          <w:sz w:val="24"/>
          <w:szCs w:val="24"/>
        </w:rPr>
        <w:t>Stakeholder Relationship Management: A Maturity Model for Organisational Implementation</w:t>
      </w:r>
      <w:r w:rsidRPr="00D74907">
        <w:rPr>
          <w:rFonts w:ascii="Arial" w:hAnsi="Arial" w:cs="Arial"/>
          <w:sz w:val="24"/>
          <w:szCs w:val="24"/>
        </w:rPr>
        <w:t xml:space="preserve">. 2nd </w:t>
      </w:r>
      <w:proofErr w:type="spellStart"/>
      <w:r w:rsidRPr="00D74907">
        <w:rPr>
          <w:rFonts w:ascii="Arial" w:hAnsi="Arial" w:cs="Arial"/>
          <w:sz w:val="24"/>
          <w:szCs w:val="24"/>
        </w:rPr>
        <w:t>edn</w:t>
      </w:r>
      <w:proofErr w:type="spellEnd"/>
      <w:r w:rsidRPr="00D74907">
        <w:rPr>
          <w:rFonts w:ascii="Arial" w:hAnsi="Arial" w:cs="Arial"/>
          <w:sz w:val="24"/>
          <w:szCs w:val="24"/>
        </w:rPr>
        <w:t>. Farnham: Gower Publishing.</w:t>
      </w:r>
    </w:p>
    <w:p w14:paraId="39C8CC1A"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Clegg, S.R., </w:t>
      </w:r>
      <w:proofErr w:type="spellStart"/>
      <w:r w:rsidRPr="00D74907">
        <w:rPr>
          <w:rFonts w:ascii="Arial" w:hAnsi="Arial" w:cs="Arial"/>
          <w:sz w:val="24"/>
          <w:szCs w:val="24"/>
        </w:rPr>
        <w:t>Skyttermoen</w:t>
      </w:r>
      <w:proofErr w:type="spellEnd"/>
      <w:r w:rsidRPr="00D74907">
        <w:rPr>
          <w:rFonts w:ascii="Arial" w:hAnsi="Arial" w:cs="Arial"/>
          <w:sz w:val="24"/>
          <w:szCs w:val="24"/>
        </w:rPr>
        <w:t xml:space="preserve">, T. and </w:t>
      </w:r>
      <w:proofErr w:type="spellStart"/>
      <w:r w:rsidRPr="00D74907">
        <w:rPr>
          <w:rFonts w:ascii="Arial" w:hAnsi="Arial" w:cs="Arial"/>
          <w:sz w:val="24"/>
          <w:szCs w:val="24"/>
        </w:rPr>
        <w:t>Vaagaasar</w:t>
      </w:r>
      <w:proofErr w:type="spellEnd"/>
      <w:r w:rsidRPr="00D74907">
        <w:rPr>
          <w:rFonts w:ascii="Arial" w:hAnsi="Arial" w:cs="Arial"/>
          <w:sz w:val="24"/>
          <w:szCs w:val="24"/>
        </w:rPr>
        <w:t xml:space="preserve">, A.L. (2020) </w:t>
      </w:r>
      <w:r w:rsidRPr="00D74907">
        <w:rPr>
          <w:rFonts w:ascii="Arial" w:hAnsi="Arial" w:cs="Arial"/>
          <w:i/>
          <w:iCs/>
          <w:sz w:val="24"/>
          <w:szCs w:val="24"/>
        </w:rPr>
        <w:t>Project Management: A Value Creation Approach</w:t>
      </w:r>
      <w:r w:rsidRPr="00D74907">
        <w:rPr>
          <w:rFonts w:ascii="Arial" w:hAnsi="Arial" w:cs="Arial"/>
          <w:sz w:val="24"/>
          <w:szCs w:val="24"/>
        </w:rPr>
        <w:t>. London: Sage Publications.</w:t>
      </w:r>
    </w:p>
    <w:p w14:paraId="674AD896"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Geraldi, J. and </w:t>
      </w:r>
      <w:proofErr w:type="spellStart"/>
      <w:r w:rsidRPr="00D74907">
        <w:rPr>
          <w:rFonts w:ascii="Arial" w:hAnsi="Arial" w:cs="Arial"/>
          <w:sz w:val="24"/>
          <w:szCs w:val="24"/>
        </w:rPr>
        <w:t>Lechter</w:t>
      </w:r>
      <w:proofErr w:type="spellEnd"/>
      <w:r w:rsidRPr="00D74907">
        <w:rPr>
          <w:rFonts w:ascii="Arial" w:hAnsi="Arial" w:cs="Arial"/>
          <w:sz w:val="24"/>
          <w:szCs w:val="24"/>
        </w:rPr>
        <w:t xml:space="preserve">, T. (2012) ‘Gantt charts revisited: A critical analysis of its roots and implications to the management of projects today’, </w:t>
      </w:r>
      <w:r w:rsidRPr="00D74907">
        <w:rPr>
          <w:rFonts w:ascii="Arial" w:hAnsi="Arial" w:cs="Arial"/>
          <w:i/>
          <w:iCs/>
          <w:sz w:val="24"/>
          <w:szCs w:val="24"/>
        </w:rPr>
        <w:t>International Journal of Managing Projects in Business</w:t>
      </w:r>
      <w:r w:rsidRPr="00D74907">
        <w:rPr>
          <w:rFonts w:ascii="Arial" w:hAnsi="Arial" w:cs="Arial"/>
          <w:sz w:val="24"/>
          <w:szCs w:val="24"/>
        </w:rPr>
        <w:t>, 5(4), pp. 578–594.</w:t>
      </w:r>
    </w:p>
    <w:p w14:paraId="3D63D5D9"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Gürel, E. and Tat, M. (2017) ‘SWOT analysis: A theoretical review’, </w:t>
      </w:r>
      <w:r w:rsidRPr="00D74907">
        <w:rPr>
          <w:rFonts w:ascii="Arial" w:hAnsi="Arial" w:cs="Arial"/>
          <w:i/>
          <w:iCs/>
          <w:sz w:val="24"/>
          <w:szCs w:val="24"/>
        </w:rPr>
        <w:t>The Journal of International Social Research</w:t>
      </w:r>
      <w:r w:rsidRPr="00D74907">
        <w:rPr>
          <w:rFonts w:ascii="Arial" w:hAnsi="Arial" w:cs="Arial"/>
          <w:sz w:val="24"/>
          <w:szCs w:val="24"/>
        </w:rPr>
        <w:t>, 10(51), pp. 994–1006.</w:t>
      </w:r>
    </w:p>
    <w:p w14:paraId="3A0FBA21"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Heagney, J. (2016) </w:t>
      </w:r>
      <w:r w:rsidRPr="00D74907">
        <w:rPr>
          <w:rFonts w:ascii="Arial" w:hAnsi="Arial" w:cs="Arial"/>
          <w:i/>
          <w:iCs/>
          <w:sz w:val="24"/>
          <w:szCs w:val="24"/>
        </w:rPr>
        <w:t>Fundamentals of Project Management</w:t>
      </w:r>
      <w:r w:rsidRPr="00D74907">
        <w:rPr>
          <w:rFonts w:ascii="Arial" w:hAnsi="Arial" w:cs="Arial"/>
          <w:sz w:val="24"/>
          <w:szCs w:val="24"/>
        </w:rPr>
        <w:t xml:space="preserve">. 5th </w:t>
      </w:r>
      <w:proofErr w:type="spellStart"/>
      <w:r w:rsidRPr="00D74907">
        <w:rPr>
          <w:rFonts w:ascii="Arial" w:hAnsi="Arial" w:cs="Arial"/>
          <w:sz w:val="24"/>
          <w:szCs w:val="24"/>
        </w:rPr>
        <w:t>edn</w:t>
      </w:r>
      <w:proofErr w:type="spellEnd"/>
      <w:r w:rsidRPr="00D74907">
        <w:rPr>
          <w:rFonts w:ascii="Arial" w:hAnsi="Arial" w:cs="Arial"/>
          <w:sz w:val="24"/>
          <w:szCs w:val="24"/>
        </w:rPr>
        <w:t>. New York: AMACOM.</w:t>
      </w:r>
    </w:p>
    <w:p w14:paraId="086444BB"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Helms, M.M. and Nixon, J. (2010) ‘Exploring SWOT analysis – Where are we now? A review of academic research from the last decade’, </w:t>
      </w:r>
      <w:r w:rsidRPr="00D74907">
        <w:rPr>
          <w:rFonts w:ascii="Arial" w:hAnsi="Arial" w:cs="Arial"/>
          <w:i/>
          <w:iCs/>
          <w:sz w:val="24"/>
          <w:szCs w:val="24"/>
        </w:rPr>
        <w:t>Journal of Strategy and Management</w:t>
      </w:r>
      <w:r w:rsidRPr="00D74907">
        <w:rPr>
          <w:rFonts w:ascii="Arial" w:hAnsi="Arial" w:cs="Arial"/>
          <w:sz w:val="24"/>
          <w:szCs w:val="24"/>
        </w:rPr>
        <w:t>, 3(3), pp. 215–251.</w:t>
      </w:r>
    </w:p>
    <w:p w14:paraId="09AD6B04"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Kerzner, H. (2022) </w:t>
      </w:r>
      <w:r w:rsidRPr="00D74907">
        <w:rPr>
          <w:rFonts w:ascii="Arial" w:hAnsi="Arial" w:cs="Arial"/>
          <w:i/>
          <w:iCs/>
          <w:sz w:val="24"/>
          <w:szCs w:val="24"/>
        </w:rPr>
        <w:t>Project Management: A Systems Approach to Planning, Scheduling, and Controlling</w:t>
      </w:r>
      <w:r w:rsidRPr="00D74907">
        <w:rPr>
          <w:rFonts w:ascii="Arial" w:hAnsi="Arial" w:cs="Arial"/>
          <w:sz w:val="24"/>
          <w:szCs w:val="24"/>
        </w:rPr>
        <w:t xml:space="preserve">. 13th </w:t>
      </w:r>
      <w:proofErr w:type="spellStart"/>
      <w:r w:rsidRPr="00D74907">
        <w:rPr>
          <w:rFonts w:ascii="Arial" w:hAnsi="Arial" w:cs="Arial"/>
          <w:sz w:val="24"/>
          <w:szCs w:val="24"/>
        </w:rPr>
        <w:t>edn</w:t>
      </w:r>
      <w:proofErr w:type="spellEnd"/>
      <w:r w:rsidRPr="00D74907">
        <w:rPr>
          <w:rFonts w:ascii="Arial" w:hAnsi="Arial" w:cs="Arial"/>
          <w:sz w:val="24"/>
          <w:szCs w:val="24"/>
        </w:rPr>
        <w:t>. Hoboken, NJ: John Wiley &amp; Sons.</w:t>
      </w:r>
    </w:p>
    <w:p w14:paraId="5CEF2AF4"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Meredith, J.R. and Mantel, S.J. (2009) </w:t>
      </w:r>
      <w:r w:rsidRPr="00D74907">
        <w:rPr>
          <w:rFonts w:ascii="Arial" w:hAnsi="Arial" w:cs="Arial"/>
          <w:i/>
          <w:iCs/>
          <w:sz w:val="24"/>
          <w:szCs w:val="24"/>
        </w:rPr>
        <w:t>Project Management: A Managerial Approach</w:t>
      </w:r>
      <w:r w:rsidRPr="00D74907">
        <w:rPr>
          <w:rFonts w:ascii="Arial" w:hAnsi="Arial" w:cs="Arial"/>
          <w:sz w:val="24"/>
          <w:szCs w:val="24"/>
        </w:rPr>
        <w:t xml:space="preserve">. 7th </w:t>
      </w:r>
      <w:proofErr w:type="spellStart"/>
      <w:r w:rsidRPr="00D74907">
        <w:rPr>
          <w:rFonts w:ascii="Arial" w:hAnsi="Arial" w:cs="Arial"/>
          <w:sz w:val="24"/>
          <w:szCs w:val="24"/>
        </w:rPr>
        <w:t>edn</w:t>
      </w:r>
      <w:proofErr w:type="spellEnd"/>
      <w:r w:rsidRPr="00D74907">
        <w:rPr>
          <w:rFonts w:ascii="Arial" w:hAnsi="Arial" w:cs="Arial"/>
          <w:sz w:val="24"/>
          <w:szCs w:val="24"/>
        </w:rPr>
        <w:t>. Hoboken, NJ: John Wiley &amp; Sons.</w:t>
      </w:r>
    </w:p>
    <w:p w14:paraId="5E4FBCD0"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Project Management Institute (2019) </w:t>
      </w:r>
      <w:r w:rsidRPr="00D74907">
        <w:rPr>
          <w:rFonts w:ascii="Arial" w:hAnsi="Arial" w:cs="Arial"/>
          <w:i/>
          <w:iCs/>
          <w:sz w:val="24"/>
          <w:szCs w:val="24"/>
        </w:rPr>
        <w:t>Practice Standard for Work Breakdown Structures</w:t>
      </w:r>
      <w:r w:rsidRPr="00D74907">
        <w:rPr>
          <w:rFonts w:ascii="Arial" w:hAnsi="Arial" w:cs="Arial"/>
          <w:sz w:val="24"/>
          <w:szCs w:val="24"/>
        </w:rPr>
        <w:t xml:space="preserve">. 3rd </w:t>
      </w:r>
      <w:proofErr w:type="spellStart"/>
      <w:r w:rsidRPr="00D74907">
        <w:rPr>
          <w:rFonts w:ascii="Arial" w:hAnsi="Arial" w:cs="Arial"/>
          <w:sz w:val="24"/>
          <w:szCs w:val="24"/>
        </w:rPr>
        <w:t>edn</w:t>
      </w:r>
      <w:proofErr w:type="spellEnd"/>
      <w:r w:rsidRPr="00D74907">
        <w:rPr>
          <w:rFonts w:ascii="Arial" w:hAnsi="Arial" w:cs="Arial"/>
          <w:sz w:val="24"/>
          <w:szCs w:val="24"/>
        </w:rPr>
        <w:t>. Newtown Square, PA: Project Management Institute.</w:t>
      </w:r>
    </w:p>
    <w:p w14:paraId="340B602A"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Project Management Institute (2021) </w:t>
      </w:r>
      <w:r w:rsidRPr="00D74907">
        <w:rPr>
          <w:rFonts w:ascii="Arial" w:hAnsi="Arial" w:cs="Arial"/>
          <w:i/>
          <w:iCs/>
          <w:sz w:val="24"/>
          <w:szCs w:val="24"/>
        </w:rPr>
        <w:t>A Guide to the Project Management Body of Knowledge (PMBOK® Guide)</w:t>
      </w:r>
      <w:r w:rsidRPr="00D74907">
        <w:rPr>
          <w:rFonts w:ascii="Arial" w:hAnsi="Arial" w:cs="Arial"/>
          <w:sz w:val="24"/>
          <w:szCs w:val="24"/>
        </w:rPr>
        <w:t xml:space="preserve">. 7th </w:t>
      </w:r>
      <w:proofErr w:type="spellStart"/>
      <w:r w:rsidRPr="00D74907">
        <w:rPr>
          <w:rFonts w:ascii="Arial" w:hAnsi="Arial" w:cs="Arial"/>
          <w:sz w:val="24"/>
          <w:szCs w:val="24"/>
        </w:rPr>
        <w:t>edn</w:t>
      </w:r>
      <w:proofErr w:type="spellEnd"/>
      <w:r w:rsidRPr="00D74907">
        <w:rPr>
          <w:rFonts w:ascii="Arial" w:hAnsi="Arial" w:cs="Arial"/>
          <w:sz w:val="24"/>
          <w:szCs w:val="24"/>
        </w:rPr>
        <w:t>. Newtown Square, PA: Project Management Institute.</w:t>
      </w:r>
    </w:p>
    <w:p w14:paraId="3374F49D" w14:textId="77777777" w:rsidR="00D74907" w:rsidRPr="00D74907" w:rsidRDefault="00D74907" w:rsidP="00D74907">
      <w:pPr>
        <w:rPr>
          <w:rFonts w:ascii="Arial" w:hAnsi="Arial" w:cs="Arial"/>
          <w:sz w:val="24"/>
          <w:szCs w:val="24"/>
        </w:rPr>
      </w:pPr>
      <w:r w:rsidRPr="00D74907">
        <w:rPr>
          <w:rFonts w:ascii="Arial" w:hAnsi="Arial" w:cs="Arial"/>
          <w:sz w:val="24"/>
          <w:szCs w:val="24"/>
        </w:rPr>
        <w:t xml:space="preserve">Wysocki, R.K. (2014) </w:t>
      </w:r>
      <w:r w:rsidRPr="00D74907">
        <w:rPr>
          <w:rFonts w:ascii="Arial" w:hAnsi="Arial" w:cs="Arial"/>
          <w:i/>
          <w:iCs/>
          <w:sz w:val="24"/>
          <w:szCs w:val="24"/>
        </w:rPr>
        <w:t>Effective Project Management: Traditional, Agile, Extreme</w:t>
      </w:r>
      <w:r w:rsidRPr="00D74907">
        <w:rPr>
          <w:rFonts w:ascii="Arial" w:hAnsi="Arial" w:cs="Arial"/>
          <w:sz w:val="24"/>
          <w:szCs w:val="24"/>
        </w:rPr>
        <w:t xml:space="preserve">. 7th </w:t>
      </w:r>
      <w:proofErr w:type="spellStart"/>
      <w:r w:rsidRPr="00D74907">
        <w:rPr>
          <w:rFonts w:ascii="Arial" w:hAnsi="Arial" w:cs="Arial"/>
          <w:sz w:val="24"/>
          <w:szCs w:val="24"/>
        </w:rPr>
        <w:t>edn</w:t>
      </w:r>
      <w:proofErr w:type="spellEnd"/>
      <w:r w:rsidRPr="00D74907">
        <w:rPr>
          <w:rFonts w:ascii="Arial" w:hAnsi="Arial" w:cs="Arial"/>
          <w:sz w:val="24"/>
          <w:szCs w:val="24"/>
        </w:rPr>
        <w:t>. Indianapolis, IN: John Wiley &amp; Sons.</w:t>
      </w:r>
    </w:p>
    <w:p w14:paraId="2509515B" w14:textId="77777777" w:rsidR="00D74907" w:rsidRPr="00D74907" w:rsidRDefault="00D74907" w:rsidP="00D74907"/>
    <w:p w14:paraId="0FB72D36" w14:textId="77777777" w:rsidR="002B5DDA" w:rsidRPr="00A2391D" w:rsidRDefault="002B5DDA" w:rsidP="00C91962"/>
    <w:p w14:paraId="1181D4A3" w14:textId="77777777" w:rsidR="00471BDC" w:rsidRDefault="00471BDC"/>
    <w:sectPr w:rsidR="00471BD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2D823" w14:textId="77777777" w:rsidR="00AB636B" w:rsidRDefault="00AB636B" w:rsidP="00344B0A">
      <w:pPr>
        <w:spacing w:after="0" w:line="240" w:lineRule="auto"/>
      </w:pPr>
      <w:r>
        <w:separator/>
      </w:r>
    </w:p>
  </w:endnote>
  <w:endnote w:type="continuationSeparator" w:id="0">
    <w:p w14:paraId="739195CD" w14:textId="77777777" w:rsidR="00AB636B" w:rsidRDefault="00AB636B" w:rsidP="00344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94EBD" w14:textId="77777777" w:rsidR="00344B0A" w:rsidRDefault="00344B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204520"/>
      <w:docPartObj>
        <w:docPartGallery w:val="Page Numbers (Bottom of Page)"/>
        <w:docPartUnique/>
      </w:docPartObj>
    </w:sdtPr>
    <w:sdtEndPr/>
    <w:sdtContent>
      <w:p w14:paraId="6B069B16" w14:textId="40B29EF8" w:rsidR="00344B0A" w:rsidRDefault="00344B0A">
        <w:pPr>
          <w:pStyle w:val="Footer"/>
          <w:jc w:val="center"/>
        </w:pPr>
        <w:r>
          <w:fldChar w:fldCharType="begin"/>
        </w:r>
        <w:r>
          <w:instrText>PAGE   \* MERGEFORMAT</w:instrText>
        </w:r>
        <w:r>
          <w:fldChar w:fldCharType="separate"/>
        </w:r>
        <w:r>
          <w:t>2</w:t>
        </w:r>
        <w:r>
          <w:fldChar w:fldCharType="end"/>
        </w:r>
      </w:p>
    </w:sdtContent>
  </w:sdt>
  <w:p w14:paraId="759DB44F" w14:textId="77777777" w:rsidR="00344B0A" w:rsidRDefault="00344B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49BB7" w14:textId="77777777" w:rsidR="00344B0A" w:rsidRDefault="00344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50E9F" w14:textId="77777777" w:rsidR="00AB636B" w:rsidRDefault="00AB636B" w:rsidP="00344B0A">
      <w:pPr>
        <w:spacing w:after="0" w:line="240" w:lineRule="auto"/>
      </w:pPr>
      <w:r>
        <w:separator/>
      </w:r>
    </w:p>
  </w:footnote>
  <w:footnote w:type="continuationSeparator" w:id="0">
    <w:p w14:paraId="78FB8196" w14:textId="77777777" w:rsidR="00AB636B" w:rsidRDefault="00AB636B" w:rsidP="00344B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2DAB9" w14:textId="77777777" w:rsidR="00344B0A" w:rsidRDefault="00344B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43DD21" w14:textId="77777777" w:rsidR="00344B0A" w:rsidRDefault="00344B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36AC6" w14:textId="77777777" w:rsidR="00344B0A" w:rsidRDefault="00344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85A73"/>
    <w:multiLevelType w:val="multilevel"/>
    <w:tmpl w:val="8E14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E69C7"/>
    <w:multiLevelType w:val="hybridMultilevel"/>
    <w:tmpl w:val="A6384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096DB5"/>
    <w:multiLevelType w:val="multilevel"/>
    <w:tmpl w:val="05DE9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3498690">
    <w:abstractNumId w:val="2"/>
  </w:num>
  <w:num w:numId="2" w16cid:durableId="1308895009">
    <w:abstractNumId w:val="1"/>
  </w:num>
  <w:num w:numId="3" w16cid:durableId="1553424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A3"/>
    <w:rsid w:val="00036A19"/>
    <w:rsid w:val="000437B6"/>
    <w:rsid w:val="00051E31"/>
    <w:rsid w:val="00092C09"/>
    <w:rsid w:val="000C16BB"/>
    <w:rsid w:val="000F41E3"/>
    <w:rsid w:val="001319F3"/>
    <w:rsid w:val="00142F5F"/>
    <w:rsid w:val="001510A7"/>
    <w:rsid w:val="00172D2E"/>
    <w:rsid w:val="001734E0"/>
    <w:rsid w:val="001C1DC5"/>
    <w:rsid w:val="001F5BED"/>
    <w:rsid w:val="002652EB"/>
    <w:rsid w:val="00293411"/>
    <w:rsid w:val="002B4E8C"/>
    <w:rsid w:val="002B5DDA"/>
    <w:rsid w:val="002D0021"/>
    <w:rsid w:val="002D10FA"/>
    <w:rsid w:val="002E0292"/>
    <w:rsid w:val="002E45F2"/>
    <w:rsid w:val="00325BB6"/>
    <w:rsid w:val="00340CE1"/>
    <w:rsid w:val="00340FD0"/>
    <w:rsid w:val="00344B0A"/>
    <w:rsid w:val="00376235"/>
    <w:rsid w:val="00385E9A"/>
    <w:rsid w:val="003B459C"/>
    <w:rsid w:val="003E76C1"/>
    <w:rsid w:val="00426CE1"/>
    <w:rsid w:val="004341A6"/>
    <w:rsid w:val="00435B20"/>
    <w:rsid w:val="00444870"/>
    <w:rsid w:val="004463FE"/>
    <w:rsid w:val="004627E8"/>
    <w:rsid w:val="00471BDC"/>
    <w:rsid w:val="00474AC7"/>
    <w:rsid w:val="004C4934"/>
    <w:rsid w:val="00512E56"/>
    <w:rsid w:val="00525637"/>
    <w:rsid w:val="00544EAF"/>
    <w:rsid w:val="00547C21"/>
    <w:rsid w:val="005849B4"/>
    <w:rsid w:val="005B238E"/>
    <w:rsid w:val="005C1CED"/>
    <w:rsid w:val="005D1C8B"/>
    <w:rsid w:val="005F330B"/>
    <w:rsid w:val="006052CC"/>
    <w:rsid w:val="0061026F"/>
    <w:rsid w:val="00625CC6"/>
    <w:rsid w:val="00627480"/>
    <w:rsid w:val="00633D2A"/>
    <w:rsid w:val="0067186F"/>
    <w:rsid w:val="006C0092"/>
    <w:rsid w:val="006C36CA"/>
    <w:rsid w:val="006D0808"/>
    <w:rsid w:val="006D258B"/>
    <w:rsid w:val="006D35DB"/>
    <w:rsid w:val="006F2783"/>
    <w:rsid w:val="00720748"/>
    <w:rsid w:val="00752AAA"/>
    <w:rsid w:val="00780C13"/>
    <w:rsid w:val="007B367E"/>
    <w:rsid w:val="007C700B"/>
    <w:rsid w:val="007D2EFA"/>
    <w:rsid w:val="007D505A"/>
    <w:rsid w:val="00834675"/>
    <w:rsid w:val="00836521"/>
    <w:rsid w:val="008512A6"/>
    <w:rsid w:val="00856104"/>
    <w:rsid w:val="00857E4B"/>
    <w:rsid w:val="00862426"/>
    <w:rsid w:val="00864FF1"/>
    <w:rsid w:val="00880B45"/>
    <w:rsid w:val="008877B8"/>
    <w:rsid w:val="008B4A14"/>
    <w:rsid w:val="008C110E"/>
    <w:rsid w:val="008C509F"/>
    <w:rsid w:val="008F23FE"/>
    <w:rsid w:val="008F5373"/>
    <w:rsid w:val="00904905"/>
    <w:rsid w:val="00946F04"/>
    <w:rsid w:val="0095565D"/>
    <w:rsid w:val="00956AF7"/>
    <w:rsid w:val="00984A90"/>
    <w:rsid w:val="00987DB0"/>
    <w:rsid w:val="00993C94"/>
    <w:rsid w:val="00994839"/>
    <w:rsid w:val="009A01EA"/>
    <w:rsid w:val="009F4B58"/>
    <w:rsid w:val="00A00855"/>
    <w:rsid w:val="00A060A6"/>
    <w:rsid w:val="00A11348"/>
    <w:rsid w:val="00A12A30"/>
    <w:rsid w:val="00A32A63"/>
    <w:rsid w:val="00A35F0E"/>
    <w:rsid w:val="00A407E7"/>
    <w:rsid w:val="00A44AB6"/>
    <w:rsid w:val="00A57CCA"/>
    <w:rsid w:val="00A67791"/>
    <w:rsid w:val="00A67DCB"/>
    <w:rsid w:val="00A904C4"/>
    <w:rsid w:val="00AA1BD2"/>
    <w:rsid w:val="00AB636B"/>
    <w:rsid w:val="00AC3177"/>
    <w:rsid w:val="00B1371D"/>
    <w:rsid w:val="00B1425B"/>
    <w:rsid w:val="00B15782"/>
    <w:rsid w:val="00B209A4"/>
    <w:rsid w:val="00B31476"/>
    <w:rsid w:val="00B331A1"/>
    <w:rsid w:val="00B33BB6"/>
    <w:rsid w:val="00B43864"/>
    <w:rsid w:val="00B87775"/>
    <w:rsid w:val="00BD7D68"/>
    <w:rsid w:val="00BF2E25"/>
    <w:rsid w:val="00C30AC2"/>
    <w:rsid w:val="00C31E1F"/>
    <w:rsid w:val="00C348C3"/>
    <w:rsid w:val="00C5060A"/>
    <w:rsid w:val="00C63DA3"/>
    <w:rsid w:val="00C661CB"/>
    <w:rsid w:val="00C91962"/>
    <w:rsid w:val="00CA6ADA"/>
    <w:rsid w:val="00CE1818"/>
    <w:rsid w:val="00CF17D7"/>
    <w:rsid w:val="00D5007A"/>
    <w:rsid w:val="00D52003"/>
    <w:rsid w:val="00D566FE"/>
    <w:rsid w:val="00D74907"/>
    <w:rsid w:val="00DA5245"/>
    <w:rsid w:val="00DB1D1D"/>
    <w:rsid w:val="00DB278F"/>
    <w:rsid w:val="00E002B4"/>
    <w:rsid w:val="00E11CA7"/>
    <w:rsid w:val="00E1339A"/>
    <w:rsid w:val="00E17FCF"/>
    <w:rsid w:val="00E36528"/>
    <w:rsid w:val="00E4300B"/>
    <w:rsid w:val="00E4356E"/>
    <w:rsid w:val="00E50D7C"/>
    <w:rsid w:val="00E55475"/>
    <w:rsid w:val="00E60D31"/>
    <w:rsid w:val="00E63B58"/>
    <w:rsid w:val="00E71272"/>
    <w:rsid w:val="00E90914"/>
    <w:rsid w:val="00EA542B"/>
    <w:rsid w:val="00EC70D3"/>
    <w:rsid w:val="00ED3DBE"/>
    <w:rsid w:val="00EF0E04"/>
    <w:rsid w:val="00F1439B"/>
    <w:rsid w:val="00F20AC4"/>
    <w:rsid w:val="00F22ED2"/>
    <w:rsid w:val="00F22FE0"/>
    <w:rsid w:val="00F308F5"/>
    <w:rsid w:val="00F53A04"/>
    <w:rsid w:val="00F54F99"/>
    <w:rsid w:val="00F6402E"/>
    <w:rsid w:val="00F754E3"/>
    <w:rsid w:val="00F77CDA"/>
    <w:rsid w:val="00FA75D0"/>
    <w:rsid w:val="00FB16BD"/>
    <w:rsid w:val="00FB3131"/>
    <w:rsid w:val="00FB54C9"/>
    <w:rsid w:val="00FC089F"/>
    <w:rsid w:val="00FC6C29"/>
    <w:rsid w:val="00FD6877"/>
    <w:rsid w:val="00FE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8E31E"/>
  <w15:chartTrackingRefBased/>
  <w15:docId w15:val="{93DD9C2D-235C-4EBF-A2F2-0D287A6DA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962"/>
  </w:style>
  <w:style w:type="paragraph" w:styleId="Heading1">
    <w:name w:val="heading 1"/>
    <w:basedOn w:val="Normal"/>
    <w:next w:val="Normal"/>
    <w:link w:val="Heading1Char"/>
    <w:uiPriority w:val="9"/>
    <w:qFormat/>
    <w:rsid w:val="00C63D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63D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3D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3D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3D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3D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3D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3D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3D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D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63D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3D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3D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3D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3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3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3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3DA3"/>
    <w:rPr>
      <w:rFonts w:eastAsiaTheme="majorEastAsia" w:cstheme="majorBidi"/>
      <w:color w:val="272727" w:themeColor="text1" w:themeTint="D8"/>
    </w:rPr>
  </w:style>
  <w:style w:type="paragraph" w:styleId="Title">
    <w:name w:val="Title"/>
    <w:basedOn w:val="Normal"/>
    <w:next w:val="Normal"/>
    <w:link w:val="TitleChar"/>
    <w:uiPriority w:val="10"/>
    <w:qFormat/>
    <w:rsid w:val="00C63D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D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3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3DA3"/>
    <w:pPr>
      <w:spacing w:before="160"/>
      <w:jc w:val="center"/>
    </w:pPr>
    <w:rPr>
      <w:i/>
      <w:iCs/>
      <w:color w:val="404040" w:themeColor="text1" w:themeTint="BF"/>
    </w:rPr>
  </w:style>
  <w:style w:type="character" w:customStyle="1" w:styleId="QuoteChar">
    <w:name w:val="Quote Char"/>
    <w:basedOn w:val="DefaultParagraphFont"/>
    <w:link w:val="Quote"/>
    <w:uiPriority w:val="29"/>
    <w:rsid w:val="00C63DA3"/>
    <w:rPr>
      <w:i/>
      <w:iCs/>
      <w:color w:val="404040" w:themeColor="text1" w:themeTint="BF"/>
    </w:rPr>
  </w:style>
  <w:style w:type="paragraph" w:styleId="ListParagraph">
    <w:name w:val="List Paragraph"/>
    <w:basedOn w:val="Normal"/>
    <w:uiPriority w:val="34"/>
    <w:qFormat/>
    <w:rsid w:val="00C63DA3"/>
    <w:pPr>
      <w:ind w:left="720"/>
      <w:contextualSpacing/>
    </w:pPr>
  </w:style>
  <w:style w:type="character" w:styleId="IntenseEmphasis">
    <w:name w:val="Intense Emphasis"/>
    <w:basedOn w:val="DefaultParagraphFont"/>
    <w:uiPriority w:val="21"/>
    <w:qFormat/>
    <w:rsid w:val="00C63DA3"/>
    <w:rPr>
      <w:i/>
      <w:iCs/>
      <w:color w:val="2F5496" w:themeColor="accent1" w:themeShade="BF"/>
    </w:rPr>
  </w:style>
  <w:style w:type="paragraph" w:styleId="IntenseQuote">
    <w:name w:val="Intense Quote"/>
    <w:basedOn w:val="Normal"/>
    <w:next w:val="Normal"/>
    <w:link w:val="IntenseQuoteChar"/>
    <w:uiPriority w:val="30"/>
    <w:qFormat/>
    <w:rsid w:val="00C63D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3DA3"/>
    <w:rPr>
      <w:i/>
      <w:iCs/>
      <w:color w:val="2F5496" w:themeColor="accent1" w:themeShade="BF"/>
    </w:rPr>
  </w:style>
  <w:style w:type="character" w:styleId="IntenseReference">
    <w:name w:val="Intense Reference"/>
    <w:basedOn w:val="DefaultParagraphFont"/>
    <w:uiPriority w:val="32"/>
    <w:qFormat/>
    <w:rsid w:val="00C63DA3"/>
    <w:rPr>
      <w:b/>
      <w:bCs/>
      <w:smallCaps/>
      <w:color w:val="2F5496" w:themeColor="accent1" w:themeShade="BF"/>
      <w:spacing w:val="5"/>
    </w:rPr>
  </w:style>
  <w:style w:type="paragraph" w:customStyle="1" w:styleId="isselectedend">
    <w:name w:val="isselectedend"/>
    <w:basedOn w:val="Normal"/>
    <w:rsid w:val="002E45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E45F2"/>
    <w:rPr>
      <w:b/>
      <w:bCs/>
    </w:rPr>
  </w:style>
  <w:style w:type="paragraph" w:styleId="NormalWeb">
    <w:name w:val="Normal (Web)"/>
    <w:basedOn w:val="Normal"/>
    <w:uiPriority w:val="99"/>
    <w:semiHidden/>
    <w:unhideWhenUsed/>
    <w:rsid w:val="002E45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44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B0A"/>
  </w:style>
  <w:style w:type="paragraph" w:styleId="Footer">
    <w:name w:val="footer"/>
    <w:basedOn w:val="Normal"/>
    <w:link w:val="FooterChar"/>
    <w:uiPriority w:val="99"/>
    <w:unhideWhenUsed/>
    <w:rsid w:val="00344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B0A"/>
  </w:style>
  <w:style w:type="paragraph" w:styleId="TOCHeading">
    <w:name w:val="TOC Heading"/>
    <w:basedOn w:val="Heading1"/>
    <w:next w:val="Normal"/>
    <w:uiPriority w:val="39"/>
    <w:unhideWhenUsed/>
    <w:qFormat/>
    <w:rsid w:val="00E1339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512A6"/>
    <w:pPr>
      <w:tabs>
        <w:tab w:val="right" w:leader="dot" w:pos="9016"/>
      </w:tabs>
      <w:spacing w:after="100"/>
    </w:pPr>
    <w:rPr>
      <w:rFonts w:ascii="Arial" w:eastAsia="Times New Roman" w:hAnsi="Arial" w:cs="Arial"/>
      <w:noProof/>
      <w:kern w:val="36"/>
      <w:lang w:eastAsia="en-GB"/>
    </w:rPr>
  </w:style>
  <w:style w:type="paragraph" w:styleId="TOC2">
    <w:name w:val="toc 2"/>
    <w:basedOn w:val="Normal"/>
    <w:next w:val="Normal"/>
    <w:autoRedefine/>
    <w:uiPriority w:val="39"/>
    <w:unhideWhenUsed/>
    <w:rsid w:val="00E1339A"/>
    <w:pPr>
      <w:spacing w:after="100"/>
      <w:ind w:left="220"/>
    </w:pPr>
  </w:style>
  <w:style w:type="character" w:styleId="Hyperlink">
    <w:name w:val="Hyperlink"/>
    <w:basedOn w:val="DefaultParagraphFont"/>
    <w:uiPriority w:val="99"/>
    <w:unhideWhenUsed/>
    <w:rsid w:val="00E133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D3E607-288D-4BAA-A951-2DDA87B29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9</Pages>
  <Words>2900</Words>
  <Characters>16534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Jurje</dc:creator>
  <cp:keywords/>
  <dc:description/>
  <cp:lastModifiedBy>Laura Jurje</cp:lastModifiedBy>
  <cp:revision>155</cp:revision>
  <dcterms:created xsi:type="dcterms:W3CDTF">2026-06-07T23:21:00Z</dcterms:created>
  <dcterms:modified xsi:type="dcterms:W3CDTF">2026-07-08T22:41:00Z</dcterms:modified>
</cp:coreProperties>
</file>