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6D0929" w14:textId="404488EE" w:rsidR="00CE45F2" w:rsidRDefault="00D37A01">
      <w:pPr>
        <w:rPr>
          <w:rFonts w:cstheme="minorHAnsi"/>
          <w:color w:val="222222"/>
          <w:sz w:val="24"/>
          <w:szCs w:val="24"/>
          <w:u w:val="single"/>
          <w:shd w:val="clear" w:color="auto" w:fill="FFFFFF"/>
        </w:rPr>
      </w:pPr>
      <w:r w:rsidRPr="00FF2F80">
        <w:rPr>
          <w:rFonts w:cstheme="minorHAnsi"/>
          <w:color w:val="222222"/>
          <w:sz w:val="24"/>
          <w:szCs w:val="24"/>
          <w:u w:val="single"/>
          <w:shd w:val="clear" w:color="auto" w:fill="FFFFFF"/>
        </w:rPr>
        <w:t> Quantification of bone assemblages</w:t>
      </w:r>
    </w:p>
    <w:p w14:paraId="2045E256" w14:textId="1D6F4E2F" w:rsidR="00FF2F80" w:rsidRPr="00FF2F80" w:rsidRDefault="00FF2F80">
      <w:pPr>
        <w:rPr>
          <w:rFonts w:cstheme="minorHAnsi"/>
          <w:color w:val="222222"/>
          <w:u w:val="single"/>
          <w:shd w:val="clear" w:color="auto" w:fill="FFFFFF"/>
        </w:rPr>
      </w:pPr>
      <w:r w:rsidRPr="00FF2F80">
        <w:rPr>
          <w:rFonts w:cstheme="minorHAnsi"/>
          <w:color w:val="222222"/>
          <w:u w:val="single"/>
          <w:shd w:val="clear" w:color="auto" w:fill="FFFFFF"/>
        </w:rPr>
        <w:t>Emily Hughes</w:t>
      </w:r>
    </w:p>
    <w:p w14:paraId="22AE7748" w14:textId="40EC8633" w:rsidR="00F63A5B" w:rsidRDefault="00F63A5B">
      <w:pPr>
        <w:rPr>
          <w:rFonts w:cstheme="minorHAnsi"/>
          <w:color w:val="222222"/>
          <w:shd w:val="clear" w:color="auto" w:fill="FFFFFF"/>
        </w:rPr>
      </w:pPr>
    </w:p>
    <w:p w14:paraId="4CE52ACB" w14:textId="3CB9D59C" w:rsidR="00B63E21" w:rsidRPr="00B63E21" w:rsidRDefault="00B63E21" w:rsidP="008B61C4">
      <w:pPr>
        <w:ind w:firstLine="720"/>
        <w:rPr>
          <w:rFonts w:cstheme="minorHAnsi"/>
          <w:color w:val="222222"/>
          <w:shd w:val="clear" w:color="auto" w:fill="FFFFFF"/>
        </w:rPr>
      </w:pPr>
      <w:r w:rsidRPr="00B63E21">
        <w:rPr>
          <w:rFonts w:cstheme="minorHAnsi"/>
          <w:color w:val="222222"/>
          <w:shd w:val="clear" w:color="auto" w:fill="FFFFFF"/>
        </w:rPr>
        <w:t xml:space="preserve">We count bones in archaeology as it helps us to understand the population makeup and how physical characteristics can change and develop from these past populations. </w:t>
      </w:r>
      <w:r>
        <w:rPr>
          <w:rFonts w:cstheme="minorHAnsi"/>
          <w:color w:val="222222"/>
          <w:shd w:val="clear" w:color="auto" w:fill="FFFFFF"/>
        </w:rPr>
        <w:t xml:space="preserve">Helps us to understand how within society what animals’ people would be slaughtering for food as bones can have butchery marks which meant that the animal died to be eaten. Furthermore, if it was human remains found this means lots of information can be found from this one body. It can tell you about diet and population movement. </w:t>
      </w:r>
      <w:r w:rsidR="00FF2F80">
        <w:rPr>
          <w:rFonts w:cstheme="minorHAnsi"/>
          <w:color w:val="222222"/>
          <w:shd w:val="clear" w:color="auto" w:fill="FFFFFF"/>
        </w:rPr>
        <w:t xml:space="preserve">Being able to count bones also helps us understand what an area could have been known for. If an area has masses of sheep, it could be suggested that their trade could have been wool, if they have cows’ farmers would be getting milk and leather, and paper from cows. This helps us understand why they would have a lot of one animal. </w:t>
      </w:r>
    </w:p>
    <w:p w14:paraId="18422422" w14:textId="52171560" w:rsidR="00BF6EA0" w:rsidRPr="00B63E21" w:rsidRDefault="00F63A5B" w:rsidP="00FF2F80">
      <w:pPr>
        <w:ind w:firstLine="720"/>
        <w:rPr>
          <w:rFonts w:cstheme="minorHAnsi"/>
        </w:rPr>
      </w:pPr>
      <w:r w:rsidRPr="00B63E21">
        <w:rPr>
          <w:rFonts w:cstheme="minorHAnsi"/>
        </w:rPr>
        <w:t xml:space="preserve">Counting bones can be done in </w:t>
      </w:r>
      <w:r w:rsidR="00BF6EA0" w:rsidRPr="00B63E21">
        <w:rPr>
          <w:rFonts w:cstheme="minorHAnsi"/>
        </w:rPr>
        <w:t>many ways</w:t>
      </w:r>
      <w:r w:rsidRPr="00B63E21">
        <w:rPr>
          <w:rFonts w:cstheme="minorHAnsi"/>
        </w:rPr>
        <w:t xml:space="preserve">, one of the ways that is used to count bones </w:t>
      </w:r>
      <w:r w:rsidR="00CD727A" w:rsidRPr="00B63E21">
        <w:rPr>
          <w:rFonts w:cstheme="minorHAnsi"/>
        </w:rPr>
        <w:t>is by using NISP</w:t>
      </w:r>
      <w:r w:rsidR="00BF6EA0" w:rsidRPr="00B63E21">
        <w:rPr>
          <w:rFonts w:cstheme="minorHAnsi"/>
        </w:rPr>
        <w:t xml:space="preserve">. NISP stands for </w:t>
      </w:r>
      <w:r w:rsidR="00CD727A" w:rsidRPr="00B63E21">
        <w:rPr>
          <w:rFonts w:cstheme="minorHAnsi"/>
        </w:rPr>
        <w:t>the number of identified specimens</w:t>
      </w:r>
      <w:r w:rsidR="001733F3">
        <w:rPr>
          <w:rFonts w:cstheme="minorHAnsi"/>
        </w:rPr>
        <w:t xml:space="preserve">. Specimens includes </w:t>
      </w:r>
      <w:r w:rsidR="00CD727A" w:rsidRPr="00B63E21">
        <w:rPr>
          <w:rFonts w:cstheme="minorHAnsi"/>
        </w:rPr>
        <w:t>every bone</w:t>
      </w:r>
      <w:r w:rsidR="001733F3">
        <w:rPr>
          <w:rFonts w:cstheme="minorHAnsi"/>
        </w:rPr>
        <w:t xml:space="preserve"> that’s fully intact and can identify</w:t>
      </w:r>
      <w:r w:rsidR="00CD727A" w:rsidRPr="00B63E21">
        <w:rPr>
          <w:rFonts w:cstheme="minorHAnsi"/>
        </w:rPr>
        <w:t xml:space="preserve"> </w:t>
      </w:r>
      <w:r w:rsidR="001733F3" w:rsidRPr="00B63E21">
        <w:rPr>
          <w:rFonts w:cstheme="minorHAnsi"/>
        </w:rPr>
        <w:t>and</w:t>
      </w:r>
      <w:r w:rsidR="001733F3">
        <w:rPr>
          <w:rFonts w:cstheme="minorHAnsi"/>
        </w:rPr>
        <w:t xml:space="preserve"> </w:t>
      </w:r>
      <w:r w:rsidR="00CD727A" w:rsidRPr="00B63E21">
        <w:rPr>
          <w:rFonts w:cstheme="minorHAnsi"/>
        </w:rPr>
        <w:t>bone fragments</w:t>
      </w:r>
      <w:r w:rsidR="001733F3">
        <w:rPr>
          <w:rFonts w:cstheme="minorHAnsi"/>
        </w:rPr>
        <w:t xml:space="preserve"> that is able to be identified to a species </w:t>
      </w:r>
      <w:r w:rsidR="00CD727A" w:rsidRPr="00B63E21">
        <w:rPr>
          <w:rFonts w:cstheme="minorHAnsi"/>
        </w:rPr>
        <w:t xml:space="preserve">that you have will </w:t>
      </w:r>
      <w:r w:rsidR="001733F3">
        <w:rPr>
          <w:rFonts w:cstheme="minorHAnsi"/>
        </w:rPr>
        <w:t>have to</w:t>
      </w:r>
      <w:r w:rsidR="00CD727A" w:rsidRPr="00B63E21">
        <w:rPr>
          <w:rFonts w:cstheme="minorHAnsi"/>
        </w:rPr>
        <w:t xml:space="preserve"> counted. If you have a </w:t>
      </w:r>
      <w:r w:rsidR="00BF6EA0" w:rsidRPr="00B63E21">
        <w:rPr>
          <w:rFonts w:cstheme="minorHAnsi"/>
        </w:rPr>
        <w:t xml:space="preserve">Ovis </w:t>
      </w:r>
      <w:r w:rsidR="00CD727A" w:rsidRPr="00B63E21">
        <w:rPr>
          <w:rFonts w:cstheme="minorHAnsi"/>
        </w:rPr>
        <w:t xml:space="preserve">tibia and a bone fragment that is identified </w:t>
      </w:r>
      <w:r w:rsidR="00BF6EA0" w:rsidRPr="00B63E21">
        <w:rPr>
          <w:rFonts w:cstheme="minorHAnsi"/>
        </w:rPr>
        <w:t>also as an Ovis</w:t>
      </w:r>
      <w:r w:rsidR="00CD727A" w:rsidRPr="00B63E21">
        <w:rPr>
          <w:rFonts w:cstheme="minorHAnsi"/>
        </w:rPr>
        <w:t xml:space="preserve"> tibia you have 2 </w:t>
      </w:r>
      <w:r w:rsidR="00BF6EA0" w:rsidRPr="00B63E21">
        <w:rPr>
          <w:rFonts w:cstheme="minorHAnsi"/>
        </w:rPr>
        <w:t xml:space="preserve">Ovis </w:t>
      </w:r>
      <w:r w:rsidR="00CD727A" w:rsidRPr="00B63E21">
        <w:rPr>
          <w:rFonts w:cstheme="minorHAnsi"/>
        </w:rPr>
        <w:t xml:space="preserve">bones, which means NISP is 2. </w:t>
      </w:r>
      <w:r w:rsidR="001733F3">
        <w:rPr>
          <w:rFonts w:cstheme="minorHAnsi"/>
        </w:rPr>
        <w:t>O’Connor in the “Archaeology of Animal Bones” talk about how NISP methods and how this way of counting are “valid” if they are describing the sample on the bench, “NISP methods are only valid if they are limited to describing the sample on the bench, rather than the death assemblage from which it was derived, or the original living community”. This argument about NISP method is very fair as you are only looking at what is in front you and you can make assumptions when th</w:t>
      </w:r>
      <w:r w:rsidR="00EA1C2B">
        <w:rPr>
          <w:rFonts w:cstheme="minorHAnsi"/>
        </w:rPr>
        <w:t xml:space="preserve">ey could be from two animals of the same species. </w:t>
      </w:r>
    </w:p>
    <w:p w14:paraId="40F531D1" w14:textId="1EEDE3DC" w:rsidR="00F63A5B" w:rsidRPr="00B63E21" w:rsidRDefault="00CD727A" w:rsidP="008B61C4">
      <w:pPr>
        <w:ind w:firstLine="720"/>
        <w:rPr>
          <w:rFonts w:cstheme="minorHAnsi"/>
        </w:rPr>
      </w:pPr>
      <w:r w:rsidRPr="00B63E21">
        <w:rPr>
          <w:rFonts w:cstheme="minorHAnsi"/>
        </w:rPr>
        <w:t xml:space="preserve">MNI is then used to count the minimum number of individuals, because we have 2 </w:t>
      </w:r>
      <w:r w:rsidR="00BF6EA0" w:rsidRPr="00B63E21">
        <w:rPr>
          <w:rFonts w:cstheme="minorHAnsi"/>
        </w:rPr>
        <w:t xml:space="preserve">Ovis </w:t>
      </w:r>
      <w:r w:rsidRPr="00B63E21">
        <w:rPr>
          <w:rFonts w:cstheme="minorHAnsi"/>
        </w:rPr>
        <w:t xml:space="preserve">tibia bones this means the minimum number of animals, we have is 1, unless it is obvious such as two left </w:t>
      </w:r>
      <w:r w:rsidR="00BF6EA0" w:rsidRPr="00B63E21">
        <w:rPr>
          <w:rFonts w:cstheme="minorHAnsi"/>
        </w:rPr>
        <w:t xml:space="preserve">Ovis </w:t>
      </w:r>
      <w:r w:rsidRPr="00B63E21">
        <w:rPr>
          <w:rFonts w:cstheme="minorHAnsi"/>
        </w:rPr>
        <w:t>tibias or</w:t>
      </w:r>
      <w:r w:rsidR="00BF6EA0" w:rsidRPr="00B63E21">
        <w:rPr>
          <w:rFonts w:cstheme="minorHAnsi"/>
        </w:rPr>
        <w:t xml:space="preserve"> we have an Ovis </w:t>
      </w:r>
      <w:r w:rsidR="00B63E21" w:rsidRPr="00B63E21">
        <w:rPr>
          <w:rFonts w:cstheme="minorHAnsi"/>
        </w:rPr>
        <w:t>tibia,</w:t>
      </w:r>
      <w:r w:rsidR="00BF6EA0" w:rsidRPr="00B63E21">
        <w:rPr>
          <w:rFonts w:cstheme="minorHAnsi"/>
        </w:rPr>
        <w:t xml:space="preserve"> and a Sus tibia would then mean the MNI is 2 because we have two separate animals. Furthermore, if </w:t>
      </w:r>
      <w:r w:rsidRPr="00B63E21">
        <w:rPr>
          <w:rFonts w:cstheme="minorHAnsi"/>
        </w:rPr>
        <w:t xml:space="preserve">one </w:t>
      </w:r>
      <w:r w:rsidR="00BF6EA0" w:rsidRPr="00B63E21">
        <w:rPr>
          <w:rFonts w:cstheme="minorHAnsi"/>
        </w:rPr>
        <w:t xml:space="preserve">bone is then </w:t>
      </w:r>
      <w:r w:rsidRPr="00B63E21">
        <w:rPr>
          <w:rFonts w:cstheme="minorHAnsi"/>
        </w:rPr>
        <w:t>identified as juvenile</w:t>
      </w:r>
      <w:r w:rsidR="00BF6EA0" w:rsidRPr="00B63E21">
        <w:rPr>
          <w:rFonts w:cstheme="minorHAnsi"/>
        </w:rPr>
        <w:t xml:space="preserve">, which can be told from </w:t>
      </w:r>
      <w:r w:rsidR="00EA1C2B">
        <w:rPr>
          <w:rFonts w:cstheme="minorHAnsi"/>
        </w:rPr>
        <w:t xml:space="preserve">the </w:t>
      </w:r>
      <w:r w:rsidR="00BF6EA0" w:rsidRPr="00B63E21">
        <w:rPr>
          <w:rFonts w:cstheme="minorHAnsi"/>
        </w:rPr>
        <w:t xml:space="preserve">bones </w:t>
      </w:r>
      <w:r w:rsidR="00EA1C2B">
        <w:rPr>
          <w:rFonts w:cstheme="minorHAnsi"/>
        </w:rPr>
        <w:t xml:space="preserve">themselves </w:t>
      </w:r>
      <w:r w:rsidR="00BF6EA0" w:rsidRPr="00B63E21">
        <w:rPr>
          <w:rFonts w:cstheme="minorHAnsi"/>
        </w:rPr>
        <w:t>because we see bones that have not fused yet which means they are younger, this then also means</w:t>
      </w:r>
      <w:r w:rsidRPr="00B63E21">
        <w:rPr>
          <w:rFonts w:cstheme="minorHAnsi"/>
        </w:rPr>
        <w:t xml:space="preserve"> t</w:t>
      </w:r>
      <w:r w:rsidR="00BF6EA0" w:rsidRPr="00B63E21">
        <w:rPr>
          <w:rFonts w:cstheme="minorHAnsi"/>
        </w:rPr>
        <w:t>hat the</w:t>
      </w:r>
      <w:r w:rsidRPr="00B63E21">
        <w:rPr>
          <w:rFonts w:cstheme="minorHAnsi"/>
        </w:rPr>
        <w:t xml:space="preserve"> MNI is 2. If the bones are found in the same </w:t>
      </w:r>
      <w:r w:rsidR="00BF6EA0" w:rsidRPr="00B63E21">
        <w:rPr>
          <w:rFonts w:cstheme="minorHAnsi"/>
        </w:rPr>
        <w:t>context,</w:t>
      </w:r>
      <w:r w:rsidRPr="00B63E21">
        <w:rPr>
          <w:rFonts w:cstheme="minorHAnsi"/>
        </w:rPr>
        <w:t xml:space="preserve"> we assume they belong to the same animals unless it is </w:t>
      </w:r>
      <w:r w:rsidR="00B63E21" w:rsidRPr="00B63E21">
        <w:rPr>
          <w:rFonts w:cstheme="minorHAnsi"/>
        </w:rPr>
        <w:t>obvious,</w:t>
      </w:r>
      <w:r w:rsidRPr="00B63E21">
        <w:rPr>
          <w:rFonts w:cstheme="minorHAnsi"/>
        </w:rPr>
        <w:t xml:space="preserve"> they are different. </w:t>
      </w:r>
      <w:r w:rsidR="008B61C4">
        <w:rPr>
          <w:rFonts w:cstheme="minorHAnsi"/>
        </w:rPr>
        <w:t>This means this can help us know that there’s animal bones that either have not been found or been moved from its original position, which can tell us about hunter gatherer societies</w:t>
      </w:r>
      <w:r w:rsidR="001733F3">
        <w:rPr>
          <w:rFonts w:cstheme="minorHAnsi"/>
        </w:rPr>
        <w:t xml:space="preserve">. </w:t>
      </w:r>
    </w:p>
    <w:p w14:paraId="27DACA07" w14:textId="0D05258A" w:rsidR="002D071A" w:rsidRDefault="002D071A">
      <w:pPr>
        <w:rPr>
          <w:rFonts w:cstheme="minorHAnsi"/>
          <w:sz w:val="24"/>
          <w:szCs w:val="24"/>
        </w:rPr>
      </w:pPr>
    </w:p>
    <w:p w14:paraId="197DD263" w14:textId="5B2EB5E0" w:rsidR="001733F3" w:rsidRPr="00FF2F80" w:rsidRDefault="001733F3">
      <w:pPr>
        <w:rPr>
          <w:rFonts w:cstheme="minorHAnsi"/>
          <w:u w:val="single"/>
        </w:rPr>
      </w:pPr>
      <w:r w:rsidRPr="00FF2F80">
        <w:rPr>
          <w:rFonts w:cstheme="minorHAnsi"/>
          <w:u w:val="single"/>
        </w:rPr>
        <w:t>Reference</w:t>
      </w:r>
    </w:p>
    <w:p w14:paraId="2A0443D1" w14:textId="0725E5BF" w:rsidR="001733F3" w:rsidRPr="00FF2F80" w:rsidRDefault="001733F3">
      <w:pPr>
        <w:rPr>
          <w:rFonts w:cstheme="minorHAnsi"/>
          <w:color w:val="222222"/>
          <w:shd w:val="clear" w:color="auto" w:fill="FFFFFF"/>
        </w:rPr>
      </w:pPr>
      <w:r w:rsidRPr="00FF2F80">
        <w:rPr>
          <w:rFonts w:cstheme="minorHAnsi"/>
          <w:color w:val="222222"/>
          <w:shd w:val="clear" w:color="auto" w:fill="FFFFFF"/>
        </w:rPr>
        <w:t xml:space="preserve"> O'Connor </w:t>
      </w:r>
      <w:r w:rsidRPr="00FF2F80">
        <w:rPr>
          <w:rFonts w:cstheme="minorHAnsi"/>
          <w:color w:val="222222"/>
          <w:shd w:val="clear" w:color="auto" w:fill="FFFFFF"/>
        </w:rPr>
        <w:t>T, “</w:t>
      </w:r>
      <w:r w:rsidRPr="00FF2F80">
        <w:rPr>
          <w:rFonts w:cstheme="minorHAnsi"/>
          <w:color w:val="222222"/>
          <w:shd w:val="clear" w:color="auto" w:fill="FFFFFF"/>
        </w:rPr>
        <w:t>The Archaeology of Animal Bones</w:t>
      </w:r>
      <w:r w:rsidRPr="00FF2F80">
        <w:rPr>
          <w:rFonts w:cstheme="minorHAnsi"/>
          <w:color w:val="222222"/>
          <w:shd w:val="clear" w:color="auto" w:fill="FFFFFF"/>
        </w:rPr>
        <w:t xml:space="preserve">”, </w:t>
      </w:r>
      <w:proofErr w:type="gramStart"/>
      <w:r w:rsidRPr="00FF2F80">
        <w:rPr>
          <w:rFonts w:cstheme="minorHAnsi"/>
          <w:color w:val="222222"/>
          <w:shd w:val="clear" w:color="auto" w:fill="FFFFFF"/>
        </w:rPr>
        <w:t>2000 ,</w:t>
      </w:r>
      <w:proofErr w:type="gramEnd"/>
      <w:r w:rsidRPr="00FF2F80">
        <w:rPr>
          <w:rFonts w:cstheme="minorHAnsi"/>
          <w:color w:val="222222"/>
          <w:shd w:val="clear" w:color="auto" w:fill="FFFFFF"/>
        </w:rPr>
        <w:t xml:space="preserve"> Sutton Publisher</w:t>
      </w:r>
    </w:p>
    <w:p w14:paraId="27595561" w14:textId="536BBD75" w:rsidR="00FF2F80" w:rsidRPr="00FF2F80" w:rsidRDefault="00FF2F80">
      <w:pPr>
        <w:rPr>
          <w:rFonts w:cstheme="minorHAnsi"/>
        </w:rPr>
      </w:pPr>
      <w:r w:rsidRPr="00FF2F80">
        <w:rPr>
          <w:rFonts w:cstheme="minorHAnsi"/>
          <w:color w:val="222222"/>
          <w:shd w:val="clear" w:color="auto" w:fill="FFFFFF"/>
        </w:rPr>
        <w:t>Lyman </w:t>
      </w:r>
      <w:r w:rsidRPr="00FF2F80">
        <w:rPr>
          <w:rFonts w:cstheme="minorHAnsi"/>
          <w:color w:val="222222"/>
          <w:shd w:val="clear" w:color="auto" w:fill="FFFFFF"/>
        </w:rPr>
        <w:t>R. Lee, “</w:t>
      </w:r>
      <w:r w:rsidRPr="00FF2F80">
        <w:rPr>
          <w:rFonts w:cstheme="minorHAnsi"/>
          <w:color w:val="222222"/>
          <w:shd w:val="clear" w:color="auto" w:fill="FFFFFF"/>
        </w:rPr>
        <w:t>Vertebrate Taphonomy</w:t>
      </w:r>
      <w:r w:rsidRPr="00FF2F80">
        <w:rPr>
          <w:rFonts w:cstheme="minorHAnsi"/>
          <w:color w:val="222222"/>
          <w:shd w:val="clear" w:color="auto" w:fill="FFFFFF"/>
        </w:rPr>
        <w:t>”, 1994, Cambridge University Press</w:t>
      </w:r>
    </w:p>
    <w:sectPr w:rsidR="00FF2F80" w:rsidRPr="00FF2F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A01"/>
    <w:rsid w:val="001733F3"/>
    <w:rsid w:val="002D071A"/>
    <w:rsid w:val="00476F28"/>
    <w:rsid w:val="005F1085"/>
    <w:rsid w:val="006B1A9D"/>
    <w:rsid w:val="007C5C23"/>
    <w:rsid w:val="007D7FDB"/>
    <w:rsid w:val="00882EDD"/>
    <w:rsid w:val="008B61C4"/>
    <w:rsid w:val="00B63E21"/>
    <w:rsid w:val="00BA599D"/>
    <w:rsid w:val="00BF6EA0"/>
    <w:rsid w:val="00C3688F"/>
    <w:rsid w:val="00CD727A"/>
    <w:rsid w:val="00CE45F2"/>
    <w:rsid w:val="00D37A01"/>
    <w:rsid w:val="00EA1C2B"/>
    <w:rsid w:val="00EC734B"/>
    <w:rsid w:val="00F067DB"/>
    <w:rsid w:val="00F63A5B"/>
    <w:rsid w:val="00FF2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BBFC2"/>
  <w15:chartTrackingRefBased/>
  <w15:docId w15:val="{3D167B78-7015-4E32-83D4-898AC698D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4276</TotalTime>
  <Pages>1</Pages>
  <Words>425</Words>
  <Characters>2429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dc:creator>
  <cp:keywords/>
  <dc:description/>
  <cp:lastModifiedBy>Emily</cp:lastModifiedBy>
  <cp:revision>4</cp:revision>
  <dcterms:created xsi:type="dcterms:W3CDTF">2023-02-19T14:47:00Z</dcterms:created>
  <dcterms:modified xsi:type="dcterms:W3CDTF">2023-02-23T16:11:00Z</dcterms:modified>
</cp:coreProperties>
</file>