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698D66F">
      <w:r>
        <w:pict>
          <v:shape id="_x0000_s1029" o:spid="_x0000_s1029" o:spt="202" type="#_x0000_t202" style="position:absolute;left:0pt;margin-left:61.85pt;margin-top:194.35pt;height:72pt;width:279pt;z-index:251660288;mso-width-relative:page;mso-height-relative:page;" fillcolor="#FFFFFF" filled="f" stroked="f" coordsize="21600,21600">
            <v:path/>
            <v:fill on="f" color2="#FFFFFF" o:opacity2="65536f" focussize="0,0"/>
            <v:stroke on="f"/>
            <v:imagedata o:title=""/>
            <o:lock v:ext="edit" grouping="f" rotation="f" text="f" aspectratio="f"/>
            <v:textbox>
              <w:txbxContent>
                <w:p w14:paraId="468723B0">
                  <w:pPr>
                    <w:ind w:left="0" w:leftChars="0" w:right="0" w:rightChars="0" w:firstLine="0" w:firstLineChars="0"/>
                    <w:jc w:val="center"/>
                    <w:rPr>
                      <w:rFonts w:hint="eastAsia" w:ascii="黑体" w:hAnsi="黑体" w:eastAsia="黑体"/>
                      <w:sz w:val="52"/>
                      <w:lang w:val="en-US" w:eastAsia="zh-CN"/>
                    </w:rPr>
                  </w:pPr>
                </w:p>
              </w:txbxContent>
            </v:textbox>
          </v:shape>
        </w:pict>
      </w:r>
      <w:r>
        <w:pict>
          <v:shape id="_x0000_s1030" o:spid="_x0000_s1030" o:spt="202" type="#_x0000_t202" style="position:absolute;left:0pt;margin-left:24.7pt;margin-top:97.6pt;height:72pt;width:353.25pt;z-index:251659264;mso-width-relative:page;mso-height-relative:page;" fillcolor="#FFFFFF" filled="f" stroked="f" coordsize="21600,21600">
            <v:path/>
            <v:fill on="f" color2="#FFFFFF" o:opacity2="65536f" focussize="0,0"/>
            <v:stroke on="f"/>
            <v:imagedata o:title=""/>
            <o:lock v:ext="edit" grouping="f" rotation="f" text="f" aspectratio="f"/>
            <v:textbox>
              <w:txbxContent>
                <w:p w14:paraId="716A8699">
                  <w:pPr>
                    <w:ind w:left="0" w:leftChars="0" w:right="0" w:rightChars="0" w:firstLine="0" w:firstLineChars="0"/>
                    <w:jc w:val="center"/>
                    <w:rPr>
                      <w:rFonts w:hint="default"/>
                      <w:lang w:val="en-US"/>
                    </w:rPr>
                  </w:pPr>
                  <w:r>
                    <w:rPr>
                      <w:rFonts w:hint="default" w:eastAsia="黑体"/>
                      <w:b/>
                      <w:sz w:val="44"/>
                      <w:lang w:val="en-US" w:eastAsia="zh-CN"/>
                    </w:rPr>
                    <w:t>M</w:t>
                  </w:r>
                  <w:r>
                    <w:rPr>
                      <w:rFonts w:hint="eastAsia" w:eastAsia="黑体"/>
                      <w:b/>
                      <w:sz w:val="44"/>
                      <w:lang w:val="en-US" w:eastAsia="zh-CN"/>
                    </w:rPr>
                    <w:t>c</w:t>
                  </w:r>
                  <w:r>
                    <w:rPr>
                      <w:rFonts w:hint="default" w:eastAsia="黑体"/>
                      <w:b/>
                      <w:sz w:val="44"/>
                      <w:lang w:val="en-US" w:eastAsia="zh-CN"/>
                    </w:rPr>
                    <w:t>Donald’s UK strategic marketing plan</w:t>
                  </w:r>
                </w:p>
              </w:txbxContent>
            </v:textbox>
          </v:shape>
        </w:pict>
      </w:r>
    </w:p>
    <w:p w14:paraId="6009B0DD">
      <w:pPr>
        <w:keepNext/>
        <w:keepLines/>
        <w:spacing w:before="200" w:after="100" w:line="276" w:lineRule="auto"/>
        <w:outlineLvl w:val="9"/>
        <w:rPr>
          <w:rFonts w:asciiTheme="majorHAnsi" w:hAnsiTheme="majorHAnsi" w:eastAsiaTheme="majorEastAsia" w:cstheme="majorBidi"/>
          <w:b/>
          <w:bCs/>
          <w:color w:val="1F4E79"/>
          <w:sz w:val="32"/>
          <w:szCs w:val="28"/>
          <w:lang w:val="en-US" w:eastAsia="en-US" w:bidi="ar-SA"/>
        </w:rPr>
        <w:sectPr>
          <w:footerReference r:id="rId5" w:type="default"/>
          <w:pgSz w:w="11906" w:h="16838"/>
          <w:pgMar w:top="1440" w:right="1800" w:bottom="1440" w:left="1800" w:header="851" w:footer="992" w:gutter="0"/>
          <w:cols w:space="425" w:num="1"/>
          <w:docGrid w:type="lines" w:linePitch="312" w:charSpace="0"/>
        </w:sectPr>
      </w:pPr>
      <w:r>
        <w:pict>
          <v:shape id="_x0000_s1031" o:spid="_x0000_s1031" o:spt="202" type="#_x0000_t202" style="position:absolute;left:0pt;margin-left:72.45pt;margin-top:308.15pt;height:271.3pt;width:321.7pt;z-index:251661312;mso-width-relative:page;mso-height-relative:page;" fillcolor="#FFFFFF" filled="f" stroked="f" coordsize="21600,21600">
            <v:path/>
            <v:fill on="f" color2="#FFFFFF" o:opacity2="65536f" focussize="0,0"/>
            <v:stroke on="f"/>
            <v:imagedata o:title=""/>
            <o:lock v:ext="edit" grouping="f" rotation="f" text="f" aspectratio="f"/>
            <v:textbox>
              <w:txbxContent>
                <w:p w14:paraId="4B3C5E61">
                  <w:pPr>
                    <w:keepNext w:val="0"/>
                    <w:keepLines w:val="0"/>
                    <w:widowControl/>
                    <w:suppressLineNumbers w:val="0"/>
                    <w:jc w:val="both"/>
                    <w:rPr>
                      <w:rFonts w:hint="default" w:ascii="Times New Roman Regular" w:hAnsi="Times New Roman Regular" w:cs="Times New Roman Regular"/>
                      <w:sz w:val="28"/>
                      <w:szCs w:val="28"/>
                      <w:u w:val="single" w:color="auto"/>
                    </w:rPr>
                  </w:pPr>
                  <w:r>
                    <w:rPr>
                      <w:rFonts w:hint="default" w:ascii="Times New Roman Regular" w:hAnsi="Times New Roman Regular" w:cs="Times New Roman Regular"/>
                      <w:sz w:val="28"/>
                      <w:szCs w:val="28"/>
                      <w:lang w:val="en-US"/>
                    </w:rPr>
                    <w:t>teacher</w:t>
                  </w:r>
                  <w:r>
                    <w:rPr>
                      <w:rFonts w:hint="default" w:ascii="Times New Roman Regular" w:hAnsi="Times New Roman Regular" w:cs="Times New Roman Regular"/>
                      <w:sz w:val="28"/>
                      <w:szCs w:val="28"/>
                    </w:rPr>
                    <w:t>：</w:t>
                  </w:r>
                  <w:bookmarkStart w:id="11" w:name="_Major#2997466427"/>
                  <w:r>
                    <w:rPr>
                      <w:rFonts w:hint="default" w:ascii="Times New Roman Regular" w:hAnsi="Times New Roman Regular" w:cs="Times New Roman Regular"/>
                      <w:sz w:val="28"/>
                      <w:szCs w:val="28"/>
                      <w:u w:val="single" w:color="auto"/>
                      <w:lang w:val="en-US" w:eastAsia="zh-CN"/>
                    </w:rPr>
                    <w:t>[</w:t>
                  </w:r>
                  <w:r>
                    <w:rPr>
                      <w:rFonts w:hint="default" w:ascii="Times New Roman Regular" w:hAnsi="Times New Roman Regular" w:eastAsia="Helvetica Neue" w:cs="Times New Roman Regular"/>
                      <w:i w:val="0"/>
                      <w:iCs w:val="0"/>
                      <w:caps w:val="0"/>
                      <w:color w:val="1D2125"/>
                      <w:spacing w:val="0"/>
                      <w:kern w:val="0"/>
                      <w:sz w:val="28"/>
                      <w:szCs w:val="28"/>
                      <w:u w:val="none"/>
                      <w:shd w:val="clear" w:fill="FFFFFF"/>
                      <w:lang w:val="en-US" w:eastAsia="zh-CN" w:bidi="ar"/>
                    </w:rPr>
                    <w:t>Gwyneth Jones</w:t>
                  </w:r>
                  <w:r>
                    <w:rPr>
                      <w:rFonts w:hint="default" w:ascii="Times New Roman Regular" w:hAnsi="Times New Roman Regular" w:cs="Times New Roman Regular"/>
                      <w:sz w:val="28"/>
                      <w:szCs w:val="28"/>
                      <w:u w:val="single" w:color="auto"/>
                      <w:lang w:val="en-US" w:eastAsia="zh-CN"/>
                    </w:rPr>
                    <w:t>]</w:t>
                  </w:r>
                  <w:bookmarkEnd w:id="11"/>
                </w:p>
                <w:p w14:paraId="5EE041CA">
                  <w:pPr>
                    <w:spacing w:line="1000" w:lineRule="exact"/>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lang w:val="en-US"/>
                    </w:rPr>
                    <w:t xml:space="preserve">student </w:t>
                  </w:r>
                  <w:r>
                    <w:rPr>
                      <w:rFonts w:hint="default" w:ascii="Times New Roman Regular" w:hAnsi="Times New Roman Regular" w:cs="Times New Roman Regular"/>
                      <w:sz w:val="28"/>
                      <w:szCs w:val="28"/>
                    </w:rPr>
                    <w:t>：</w:t>
                  </w:r>
                  <w:bookmarkStart w:id="12" w:name="_Author#2378636391"/>
                  <w:r>
                    <w:rPr>
                      <w:rFonts w:hint="default" w:ascii="Times New Roman Regular" w:hAnsi="Times New Roman Regular" w:cs="Times New Roman Regular"/>
                      <w:sz w:val="28"/>
                      <w:szCs w:val="28"/>
                      <w:u w:val="single" w:color="auto"/>
                      <w:lang w:val="en-US" w:eastAsia="zh-CN"/>
                    </w:rPr>
                    <w:t>[Haokun Tian]</w:t>
                  </w:r>
                  <w:bookmarkEnd w:id="12"/>
                </w:p>
                <w:p w14:paraId="5957A5E9">
                  <w:pPr>
                    <w:spacing w:line="1000" w:lineRule="exact"/>
                    <w:jc w:val="both"/>
                    <w:rPr>
                      <w:rFonts w:hint="default" w:ascii="Times New Roman Regular" w:hAnsi="Times New Roman Regular" w:cs="Times New Roman Regular"/>
                      <w:sz w:val="28"/>
                      <w:szCs w:val="28"/>
                      <w:u w:val="single"/>
                    </w:rPr>
                  </w:pPr>
                  <w:r>
                    <w:rPr>
                      <w:rFonts w:hint="default" w:ascii="Times New Roman Regular" w:hAnsi="Times New Roman Regular" w:cs="Times New Roman Regular"/>
                      <w:sz w:val="28"/>
                      <w:szCs w:val="28"/>
                      <w:lang w:val="en-US"/>
                    </w:rPr>
                    <w:t>student number</w:t>
                  </w:r>
                  <w:r>
                    <w:rPr>
                      <w:rFonts w:hint="default" w:ascii="Times New Roman Regular" w:hAnsi="Times New Roman Regular" w:cs="Times New Roman Regular"/>
                      <w:sz w:val="28"/>
                      <w:szCs w:val="28"/>
                    </w:rPr>
                    <w:t>：</w:t>
                  </w:r>
                  <w:bookmarkStart w:id="13" w:name="_Teacher#273944725"/>
                  <w:r>
                    <w:rPr>
                      <w:rFonts w:hint="default" w:ascii="Times New Roman Regular" w:hAnsi="Times New Roman Regular" w:cs="Times New Roman Regular"/>
                      <w:sz w:val="28"/>
                      <w:szCs w:val="28"/>
                      <w:u w:val="single" w:color="auto"/>
                      <w:lang w:val="en-US" w:eastAsia="zh-CN"/>
                    </w:rPr>
                    <w:t>[2522030]</w:t>
                  </w:r>
                  <w:bookmarkEnd w:id="13"/>
                </w:p>
                <w:p w14:paraId="5B6D37DA">
                  <w:pPr>
                    <w:spacing w:line="1000" w:lineRule="exact"/>
                    <w:jc w:val="both"/>
                    <w:rPr>
                      <w:rFonts w:hint="default" w:ascii="Times New Roman Regular" w:hAnsi="Times New Roman Regular" w:cs="Times New Roman Regular"/>
                      <w:sz w:val="28"/>
                      <w:szCs w:val="28"/>
                      <w:u w:val="single" w:color="auto"/>
                      <w:lang w:val="en-US"/>
                    </w:rPr>
                  </w:pPr>
                  <w:r>
                    <w:rPr>
                      <w:rFonts w:hint="default" w:ascii="Times New Roman Regular" w:hAnsi="Times New Roman Regular" w:cs="Times New Roman Regular"/>
                      <w:sz w:val="28"/>
                      <w:szCs w:val="28"/>
                      <w:lang w:val="en-US"/>
                    </w:rPr>
                    <w:t>date</w:t>
                  </w:r>
                  <w:r>
                    <w:rPr>
                      <w:rFonts w:hint="default" w:ascii="Times New Roman Regular" w:hAnsi="Times New Roman Regular" w:cs="Times New Roman Regular"/>
                      <w:sz w:val="28"/>
                      <w:szCs w:val="28"/>
                    </w:rPr>
                    <w:t>：</w:t>
                  </w:r>
                  <w:r>
                    <w:rPr>
                      <w:rFonts w:hint="default" w:ascii="Times New Roman Regular" w:hAnsi="Times New Roman Regular" w:cs="Times New Roman Regular"/>
                      <w:sz w:val="28"/>
                      <w:szCs w:val="28"/>
                      <w:lang w:val="en-US"/>
                    </w:rPr>
                    <w:t>[</w:t>
                  </w:r>
                  <w:r>
                    <w:rPr>
                      <w:rFonts w:hint="default" w:ascii="Times New Roman Regular" w:hAnsi="Times New Roman Regular" w:cs="Times New Roman Regular"/>
                      <w:sz w:val="28"/>
                      <w:szCs w:val="28"/>
                      <w:u w:val="single"/>
                      <w:lang w:val="en-US"/>
                    </w:rPr>
                    <w:t>11/05/2026]</w:t>
                  </w:r>
                </w:p>
              </w:txbxContent>
            </v:textbox>
          </v:shape>
        </w:pict>
      </w:r>
    </w:p>
    <w:sdt>
      <w:sdtPr>
        <w:rPr>
          <w:rFonts w:ascii="宋体" w:hAnsi="宋体" w:eastAsia="宋体" w:cstheme="minorBidi"/>
          <w:sz w:val="21"/>
          <w:szCs w:val="22"/>
          <w:lang w:val="en-US" w:eastAsia="en-US" w:bidi="ar-SA"/>
        </w:rPr>
        <w:id w:val="887812974"/>
        <w15:color w:val="DBDBDB"/>
        <w:docPartObj>
          <w:docPartGallery w:val="Table of Contents"/>
          <w:docPartUnique/>
        </w:docPartObj>
      </w:sdtPr>
      <w:sdtEndPr>
        <w:rPr>
          <w:rFonts w:asciiTheme="majorHAnsi" w:hAnsiTheme="majorHAnsi" w:eastAsiaTheme="majorEastAsia" w:cstheme="majorBidi"/>
          <w:bCs/>
          <w:color w:val="1F4E79"/>
          <w:sz w:val="23"/>
          <w:szCs w:val="28"/>
          <w:lang w:val="en-US" w:eastAsia="en-US" w:bidi="ar-SA"/>
        </w:rPr>
      </w:sdtEndPr>
      <w:sdtContent>
        <w:p w14:paraId="7498D07D">
          <w:pPr>
            <w:spacing w:before="0" w:beforeLines="0" w:after="0" w:afterLines="0" w:line="240" w:lineRule="auto"/>
            <w:ind w:left="0" w:leftChars="0" w:right="0" w:rightChars="0" w:firstLine="0" w:firstLineChars="0"/>
            <w:jc w:val="center"/>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lang w:val="en-US" w:eastAsia="zh-CN" w:bidi="ar-SA"/>
            </w:rPr>
            <w:t>context</w:t>
          </w:r>
        </w:p>
        <w:p w14:paraId="381A5CAE">
          <w:pPr>
            <w:pStyle w:val="6"/>
            <w:tabs>
              <w:tab w:val="right" w:leader="dot" w:pos="8306"/>
            </w:tabs>
          </w:pPr>
          <w:r>
            <w:rPr>
              <w:rFonts w:asciiTheme="majorHAnsi" w:hAnsiTheme="majorHAnsi" w:eastAsiaTheme="majorEastAsia" w:cstheme="majorBidi"/>
              <w:b/>
              <w:bCs/>
              <w:color w:val="1F4E79"/>
              <w:sz w:val="32"/>
              <w:szCs w:val="28"/>
              <w:lang w:val="en-US" w:eastAsia="en-US" w:bidi="ar-SA"/>
            </w:rPr>
            <w:fldChar w:fldCharType="begin"/>
          </w:r>
          <w:r>
            <w:rPr>
              <w:rFonts w:asciiTheme="majorHAnsi" w:hAnsiTheme="majorHAnsi" w:eastAsiaTheme="majorEastAsia" w:cstheme="majorBidi"/>
              <w:b/>
              <w:bCs/>
              <w:color w:val="1F4E79"/>
              <w:sz w:val="32"/>
              <w:szCs w:val="28"/>
              <w:lang w:val="en-US" w:eastAsia="en-US" w:bidi="ar-SA"/>
            </w:rPr>
            <w:instrText xml:space="preserve">TOC \o "1-1" \h \u </w:instrText>
          </w:r>
          <w:r>
            <w:rPr>
              <w:rFonts w:asciiTheme="majorHAnsi" w:hAnsiTheme="majorHAnsi" w:eastAsiaTheme="majorEastAsia" w:cstheme="majorBidi"/>
              <w:b/>
              <w:bCs/>
              <w:color w:val="1F4E79"/>
              <w:sz w:val="32"/>
              <w:szCs w:val="28"/>
              <w:lang w:val="en-US" w:eastAsia="en-US" w:bidi="ar-SA"/>
            </w:rPr>
            <w:fldChar w:fldCharType="separate"/>
          </w:r>
          <w:r>
            <w:rPr>
              <w:rFonts w:asciiTheme="majorHAnsi" w:hAnsiTheme="majorHAnsi" w:eastAsiaTheme="majorEastAsia" w:cstheme="majorBidi"/>
              <w:bCs/>
              <w:color w:val="1F4E79"/>
              <w:szCs w:val="28"/>
              <w:lang w:val="en-US" w:eastAsia="en-US" w:bidi="ar-SA"/>
            </w:rPr>
            <w:fldChar w:fldCharType="begin"/>
          </w:r>
          <w:r>
            <w:rPr>
              <w:rFonts w:asciiTheme="majorHAnsi" w:hAnsiTheme="majorHAnsi" w:eastAsiaTheme="majorEastAsia" w:cstheme="majorBidi"/>
              <w:bCs/>
              <w:szCs w:val="28"/>
              <w:lang w:val="en-US" w:eastAsia="en-US" w:bidi="ar-SA"/>
            </w:rPr>
            <w:instrText xml:space="preserve"> HYPERLINK \l _Toc141346683 </w:instrText>
          </w:r>
          <w:r>
            <w:rPr>
              <w:rFonts w:asciiTheme="majorHAnsi" w:hAnsiTheme="majorHAnsi" w:eastAsiaTheme="majorEastAsia" w:cstheme="majorBidi"/>
              <w:bCs/>
              <w:szCs w:val="28"/>
              <w:lang w:val="en-US" w:eastAsia="en-US" w:bidi="ar-SA"/>
            </w:rPr>
            <w:fldChar w:fldCharType="separate"/>
          </w:r>
          <w:r>
            <w:rPr>
              <w:rFonts w:hint="default" w:ascii="Times New Roman Regular" w:hAnsi="Times New Roman Regular" w:cs="Times New Roman Regular"/>
              <w:szCs w:val="28"/>
            </w:rPr>
            <w:t>Executive Summary</w:t>
          </w:r>
          <w:r>
            <w:tab/>
          </w:r>
          <w:r>
            <w:fldChar w:fldCharType="begin"/>
          </w:r>
          <w:r>
            <w:instrText xml:space="preserve"> PAGEREF _Toc141346683 \h </w:instrText>
          </w:r>
          <w:r>
            <w:fldChar w:fldCharType="separate"/>
          </w:r>
          <w:r>
            <w:t>3</w:t>
          </w:r>
          <w:r>
            <w:fldChar w:fldCharType="end"/>
          </w:r>
          <w:r>
            <w:rPr>
              <w:rFonts w:asciiTheme="majorHAnsi" w:hAnsiTheme="majorHAnsi" w:eastAsiaTheme="majorEastAsia" w:cstheme="majorBidi"/>
              <w:bCs/>
              <w:color w:val="1F4E79"/>
              <w:szCs w:val="28"/>
              <w:lang w:val="en-US" w:eastAsia="en-US" w:bidi="ar-SA"/>
            </w:rPr>
            <w:fldChar w:fldCharType="end"/>
          </w:r>
        </w:p>
        <w:p w14:paraId="1EA4CCFF">
          <w:pPr>
            <w:pStyle w:val="6"/>
            <w:tabs>
              <w:tab w:val="right" w:leader="dot" w:pos="8306"/>
            </w:tabs>
          </w:pPr>
          <w:r>
            <w:rPr>
              <w:rFonts w:asciiTheme="majorHAnsi" w:hAnsiTheme="majorHAnsi" w:eastAsiaTheme="majorEastAsia" w:cstheme="majorBidi"/>
              <w:bCs/>
              <w:color w:val="1F4E79"/>
              <w:szCs w:val="28"/>
              <w:lang w:val="en-US" w:eastAsia="en-US" w:bidi="ar-SA"/>
            </w:rPr>
            <w:fldChar w:fldCharType="begin"/>
          </w:r>
          <w:r>
            <w:rPr>
              <w:rFonts w:asciiTheme="majorHAnsi" w:hAnsiTheme="majorHAnsi" w:eastAsiaTheme="majorEastAsia" w:cstheme="majorBidi"/>
              <w:bCs/>
              <w:szCs w:val="28"/>
              <w:lang w:val="en-US" w:eastAsia="en-US" w:bidi="ar-SA"/>
            </w:rPr>
            <w:instrText xml:space="preserve"> HYPERLINK \l _Toc496787599 </w:instrText>
          </w:r>
          <w:r>
            <w:rPr>
              <w:rFonts w:asciiTheme="majorHAnsi" w:hAnsiTheme="majorHAnsi" w:eastAsiaTheme="majorEastAsia" w:cstheme="majorBidi"/>
              <w:bCs/>
              <w:szCs w:val="28"/>
              <w:lang w:val="en-US" w:eastAsia="en-US" w:bidi="ar-SA"/>
            </w:rPr>
            <w:fldChar w:fldCharType="separate"/>
          </w:r>
          <w:r>
            <w:rPr>
              <w:rFonts w:hint="default" w:ascii="Times New Roman Regular" w:hAnsi="Times New Roman Regular" w:cs="Times New Roman Regular"/>
              <w:szCs w:val="28"/>
            </w:rPr>
            <w:t>Introduction</w:t>
          </w:r>
          <w:r>
            <w:tab/>
          </w:r>
          <w:r>
            <w:fldChar w:fldCharType="begin"/>
          </w:r>
          <w:r>
            <w:instrText xml:space="preserve"> PAGEREF _Toc496787599 \h </w:instrText>
          </w:r>
          <w:r>
            <w:fldChar w:fldCharType="separate"/>
          </w:r>
          <w:r>
            <w:t>4</w:t>
          </w:r>
          <w:r>
            <w:fldChar w:fldCharType="end"/>
          </w:r>
          <w:r>
            <w:rPr>
              <w:rFonts w:asciiTheme="majorHAnsi" w:hAnsiTheme="majorHAnsi" w:eastAsiaTheme="majorEastAsia" w:cstheme="majorBidi"/>
              <w:bCs/>
              <w:color w:val="1F4E79"/>
              <w:szCs w:val="28"/>
              <w:lang w:val="en-US" w:eastAsia="en-US" w:bidi="ar-SA"/>
            </w:rPr>
            <w:fldChar w:fldCharType="end"/>
          </w:r>
        </w:p>
        <w:p w14:paraId="6E63FF22">
          <w:pPr>
            <w:pStyle w:val="6"/>
            <w:tabs>
              <w:tab w:val="right" w:leader="dot" w:pos="8306"/>
            </w:tabs>
          </w:pPr>
          <w:r>
            <w:rPr>
              <w:rFonts w:asciiTheme="majorHAnsi" w:hAnsiTheme="majorHAnsi" w:eastAsiaTheme="majorEastAsia" w:cstheme="majorBidi"/>
              <w:bCs/>
              <w:color w:val="1F4E79"/>
              <w:szCs w:val="28"/>
              <w:lang w:val="en-US" w:eastAsia="en-US" w:bidi="ar-SA"/>
            </w:rPr>
            <w:fldChar w:fldCharType="begin"/>
          </w:r>
          <w:r>
            <w:rPr>
              <w:rFonts w:asciiTheme="majorHAnsi" w:hAnsiTheme="majorHAnsi" w:eastAsiaTheme="majorEastAsia" w:cstheme="majorBidi"/>
              <w:bCs/>
              <w:szCs w:val="28"/>
              <w:lang w:val="en-US" w:eastAsia="en-US" w:bidi="ar-SA"/>
            </w:rPr>
            <w:instrText xml:space="preserve"> HYPERLINK \l _Toc92756857 </w:instrText>
          </w:r>
          <w:r>
            <w:rPr>
              <w:rFonts w:asciiTheme="majorHAnsi" w:hAnsiTheme="majorHAnsi" w:eastAsiaTheme="majorEastAsia" w:cstheme="majorBidi"/>
              <w:bCs/>
              <w:szCs w:val="28"/>
              <w:lang w:val="en-US" w:eastAsia="en-US" w:bidi="ar-SA"/>
            </w:rPr>
            <w:fldChar w:fldCharType="separate"/>
          </w:r>
          <w:r>
            <w:rPr>
              <w:rFonts w:hint="default" w:ascii="Times New Roman Regular" w:hAnsi="Times New Roman Regular" w:cs="Times New Roman Regular"/>
              <w:szCs w:val="28"/>
              <w:lang w:val="en-US" w:eastAsia="zh-CN"/>
            </w:rPr>
            <w:t>1</w:t>
          </w:r>
          <w:r>
            <w:rPr>
              <w:rFonts w:hint="default" w:ascii="Times New Roman Regular" w:hAnsi="Times New Roman Regular" w:cs="Times New Roman Regular"/>
              <w:szCs w:val="28"/>
            </w:rPr>
            <w:t>. Situation Analysis</w:t>
          </w:r>
          <w:r>
            <w:tab/>
          </w:r>
          <w:r>
            <w:fldChar w:fldCharType="begin"/>
          </w:r>
          <w:r>
            <w:instrText xml:space="preserve"> PAGEREF _Toc92756857 \h </w:instrText>
          </w:r>
          <w:r>
            <w:fldChar w:fldCharType="separate"/>
          </w:r>
          <w:r>
            <w:t>5</w:t>
          </w:r>
          <w:r>
            <w:fldChar w:fldCharType="end"/>
          </w:r>
          <w:r>
            <w:rPr>
              <w:rFonts w:asciiTheme="majorHAnsi" w:hAnsiTheme="majorHAnsi" w:eastAsiaTheme="majorEastAsia" w:cstheme="majorBidi"/>
              <w:bCs/>
              <w:color w:val="1F4E79"/>
              <w:szCs w:val="28"/>
              <w:lang w:val="en-US" w:eastAsia="en-US" w:bidi="ar-SA"/>
            </w:rPr>
            <w:fldChar w:fldCharType="end"/>
          </w:r>
        </w:p>
        <w:p w14:paraId="00FB0F0D">
          <w:pPr>
            <w:pStyle w:val="6"/>
            <w:tabs>
              <w:tab w:val="right" w:leader="dot" w:pos="8306"/>
            </w:tabs>
          </w:pPr>
          <w:r>
            <w:rPr>
              <w:rFonts w:asciiTheme="majorHAnsi" w:hAnsiTheme="majorHAnsi" w:eastAsiaTheme="majorEastAsia" w:cstheme="majorBidi"/>
              <w:bCs/>
              <w:color w:val="1F4E79"/>
              <w:szCs w:val="28"/>
              <w:lang w:val="en-US" w:eastAsia="en-US" w:bidi="ar-SA"/>
            </w:rPr>
            <w:fldChar w:fldCharType="begin"/>
          </w:r>
          <w:r>
            <w:rPr>
              <w:rFonts w:asciiTheme="majorHAnsi" w:hAnsiTheme="majorHAnsi" w:eastAsiaTheme="majorEastAsia" w:cstheme="majorBidi"/>
              <w:bCs/>
              <w:szCs w:val="28"/>
              <w:lang w:val="en-US" w:eastAsia="en-US" w:bidi="ar-SA"/>
            </w:rPr>
            <w:instrText xml:space="preserve"> HYPERLINK \l _Toc2038851524 </w:instrText>
          </w:r>
          <w:r>
            <w:rPr>
              <w:rFonts w:asciiTheme="majorHAnsi" w:hAnsiTheme="majorHAnsi" w:eastAsiaTheme="majorEastAsia" w:cstheme="majorBidi"/>
              <w:bCs/>
              <w:szCs w:val="28"/>
              <w:lang w:val="en-US" w:eastAsia="en-US" w:bidi="ar-SA"/>
            </w:rPr>
            <w:fldChar w:fldCharType="separate"/>
          </w:r>
          <w:r>
            <w:rPr>
              <w:rFonts w:hint="default" w:ascii="Times New Roman Regular" w:hAnsi="Times New Roman Regular" w:cs="Times New Roman Regular"/>
              <w:szCs w:val="28"/>
              <w:lang w:val="en-US" w:eastAsia="zh-CN"/>
            </w:rPr>
            <w:t>2</w:t>
          </w:r>
          <w:r>
            <w:rPr>
              <w:rFonts w:hint="default" w:ascii="Times New Roman Regular" w:hAnsi="Times New Roman Regular" w:cs="Times New Roman Regular"/>
              <w:szCs w:val="28"/>
            </w:rPr>
            <w:t>. Objectives</w:t>
          </w:r>
          <w:r>
            <w:tab/>
          </w:r>
          <w:r>
            <w:fldChar w:fldCharType="begin"/>
          </w:r>
          <w:r>
            <w:instrText xml:space="preserve"> PAGEREF _Toc2038851524 \h </w:instrText>
          </w:r>
          <w:r>
            <w:fldChar w:fldCharType="separate"/>
          </w:r>
          <w:r>
            <w:t>7</w:t>
          </w:r>
          <w:r>
            <w:fldChar w:fldCharType="end"/>
          </w:r>
          <w:r>
            <w:rPr>
              <w:rFonts w:asciiTheme="majorHAnsi" w:hAnsiTheme="majorHAnsi" w:eastAsiaTheme="majorEastAsia" w:cstheme="majorBidi"/>
              <w:bCs/>
              <w:color w:val="1F4E79"/>
              <w:szCs w:val="28"/>
              <w:lang w:val="en-US" w:eastAsia="en-US" w:bidi="ar-SA"/>
            </w:rPr>
            <w:fldChar w:fldCharType="end"/>
          </w:r>
        </w:p>
        <w:p w14:paraId="56E4404E">
          <w:pPr>
            <w:pStyle w:val="6"/>
            <w:tabs>
              <w:tab w:val="right" w:leader="dot" w:pos="8306"/>
            </w:tabs>
          </w:pPr>
          <w:r>
            <w:rPr>
              <w:rFonts w:asciiTheme="majorHAnsi" w:hAnsiTheme="majorHAnsi" w:eastAsiaTheme="majorEastAsia" w:cstheme="majorBidi"/>
              <w:bCs/>
              <w:color w:val="1F4E79"/>
              <w:szCs w:val="28"/>
              <w:lang w:val="en-US" w:eastAsia="en-US" w:bidi="ar-SA"/>
            </w:rPr>
            <w:fldChar w:fldCharType="begin"/>
          </w:r>
          <w:r>
            <w:rPr>
              <w:rFonts w:asciiTheme="majorHAnsi" w:hAnsiTheme="majorHAnsi" w:eastAsiaTheme="majorEastAsia" w:cstheme="majorBidi"/>
              <w:bCs/>
              <w:szCs w:val="28"/>
              <w:lang w:val="en-US" w:eastAsia="en-US" w:bidi="ar-SA"/>
            </w:rPr>
            <w:instrText xml:space="preserve"> HYPERLINK \l _Toc1728492336 </w:instrText>
          </w:r>
          <w:r>
            <w:rPr>
              <w:rFonts w:asciiTheme="majorHAnsi" w:hAnsiTheme="majorHAnsi" w:eastAsiaTheme="majorEastAsia" w:cstheme="majorBidi"/>
              <w:bCs/>
              <w:szCs w:val="28"/>
              <w:lang w:val="en-US" w:eastAsia="en-US" w:bidi="ar-SA"/>
            </w:rPr>
            <w:fldChar w:fldCharType="separate"/>
          </w:r>
          <w:r>
            <w:rPr>
              <w:rFonts w:hint="default" w:ascii="Times New Roman Regular" w:hAnsi="Times New Roman Regular" w:cs="Times New Roman Regular"/>
              <w:szCs w:val="28"/>
              <w:lang w:val="en-US" w:eastAsia="zh-CN"/>
            </w:rPr>
            <w:t>3</w:t>
          </w:r>
          <w:r>
            <w:rPr>
              <w:rFonts w:hint="default" w:ascii="Times New Roman Regular" w:hAnsi="Times New Roman Regular" w:cs="Times New Roman Regular"/>
              <w:szCs w:val="28"/>
            </w:rPr>
            <w:t>. Strategy</w:t>
          </w:r>
          <w:r>
            <w:tab/>
          </w:r>
          <w:r>
            <w:fldChar w:fldCharType="begin"/>
          </w:r>
          <w:r>
            <w:instrText xml:space="preserve"> PAGEREF _Toc1728492336 \h </w:instrText>
          </w:r>
          <w:r>
            <w:fldChar w:fldCharType="separate"/>
          </w:r>
          <w:r>
            <w:t>9</w:t>
          </w:r>
          <w:r>
            <w:fldChar w:fldCharType="end"/>
          </w:r>
          <w:r>
            <w:rPr>
              <w:rFonts w:asciiTheme="majorHAnsi" w:hAnsiTheme="majorHAnsi" w:eastAsiaTheme="majorEastAsia" w:cstheme="majorBidi"/>
              <w:bCs/>
              <w:color w:val="1F4E79"/>
              <w:szCs w:val="28"/>
              <w:lang w:val="en-US" w:eastAsia="en-US" w:bidi="ar-SA"/>
            </w:rPr>
            <w:fldChar w:fldCharType="end"/>
          </w:r>
        </w:p>
        <w:p w14:paraId="02909FA5">
          <w:pPr>
            <w:pStyle w:val="6"/>
            <w:tabs>
              <w:tab w:val="right" w:leader="dot" w:pos="8306"/>
            </w:tabs>
          </w:pPr>
          <w:r>
            <w:rPr>
              <w:rFonts w:asciiTheme="majorHAnsi" w:hAnsiTheme="majorHAnsi" w:eastAsiaTheme="majorEastAsia" w:cstheme="majorBidi"/>
              <w:bCs/>
              <w:color w:val="1F4E79"/>
              <w:szCs w:val="28"/>
              <w:lang w:val="en-US" w:eastAsia="en-US" w:bidi="ar-SA"/>
            </w:rPr>
            <w:fldChar w:fldCharType="begin"/>
          </w:r>
          <w:r>
            <w:rPr>
              <w:rFonts w:asciiTheme="majorHAnsi" w:hAnsiTheme="majorHAnsi" w:eastAsiaTheme="majorEastAsia" w:cstheme="majorBidi"/>
              <w:bCs/>
              <w:szCs w:val="28"/>
              <w:lang w:val="en-US" w:eastAsia="en-US" w:bidi="ar-SA"/>
            </w:rPr>
            <w:instrText xml:space="preserve"> HYPERLINK \l _Toc1759398183 </w:instrText>
          </w:r>
          <w:r>
            <w:rPr>
              <w:rFonts w:asciiTheme="majorHAnsi" w:hAnsiTheme="majorHAnsi" w:eastAsiaTheme="majorEastAsia" w:cstheme="majorBidi"/>
              <w:bCs/>
              <w:szCs w:val="28"/>
              <w:lang w:val="en-US" w:eastAsia="en-US" w:bidi="ar-SA"/>
            </w:rPr>
            <w:fldChar w:fldCharType="separate"/>
          </w:r>
          <w:r>
            <w:rPr>
              <w:rFonts w:hint="default" w:ascii="Times New Roman Regular" w:hAnsi="Times New Roman Regular" w:cs="Times New Roman Regular"/>
              <w:szCs w:val="28"/>
              <w:lang w:val="en-US" w:eastAsia="zh-CN"/>
            </w:rPr>
            <w:t>4</w:t>
          </w:r>
          <w:r>
            <w:rPr>
              <w:rFonts w:hint="default" w:ascii="Times New Roman Regular" w:hAnsi="Times New Roman Regular" w:cs="Times New Roman Regular"/>
              <w:szCs w:val="28"/>
            </w:rPr>
            <w:t>. Tactics: 7P Marketing Mix</w:t>
          </w:r>
          <w:r>
            <w:tab/>
          </w:r>
          <w:r>
            <w:fldChar w:fldCharType="begin"/>
          </w:r>
          <w:r>
            <w:instrText xml:space="preserve"> PAGEREF _Toc1759398183 \h </w:instrText>
          </w:r>
          <w:r>
            <w:fldChar w:fldCharType="separate"/>
          </w:r>
          <w:r>
            <w:t>11</w:t>
          </w:r>
          <w:r>
            <w:fldChar w:fldCharType="end"/>
          </w:r>
          <w:r>
            <w:rPr>
              <w:rFonts w:asciiTheme="majorHAnsi" w:hAnsiTheme="majorHAnsi" w:eastAsiaTheme="majorEastAsia" w:cstheme="majorBidi"/>
              <w:bCs/>
              <w:color w:val="1F4E79"/>
              <w:szCs w:val="28"/>
              <w:lang w:val="en-US" w:eastAsia="en-US" w:bidi="ar-SA"/>
            </w:rPr>
            <w:fldChar w:fldCharType="end"/>
          </w:r>
        </w:p>
        <w:p w14:paraId="0C58578F">
          <w:pPr>
            <w:pStyle w:val="6"/>
            <w:tabs>
              <w:tab w:val="right" w:leader="dot" w:pos="8306"/>
            </w:tabs>
          </w:pPr>
          <w:r>
            <w:rPr>
              <w:rFonts w:asciiTheme="majorHAnsi" w:hAnsiTheme="majorHAnsi" w:eastAsiaTheme="majorEastAsia" w:cstheme="majorBidi"/>
              <w:bCs/>
              <w:color w:val="1F4E79"/>
              <w:szCs w:val="28"/>
              <w:lang w:val="en-US" w:eastAsia="en-US" w:bidi="ar-SA"/>
            </w:rPr>
            <w:fldChar w:fldCharType="begin"/>
          </w:r>
          <w:r>
            <w:rPr>
              <w:rFonts w:asciiTheme="majorHAnsi" w:hAnsiTheme="majorHAnsi" w:eastAsiaTheme="majorEastAsia" w:cstheme="majorBidi"/>
              <w:bCs/>
              <w:szCs w:val="28"/>
              <w:lang w:val="en-US" w:eastAsia="en-US" w:bidi="ar-SA"/>
            </w:rPr>
            <w:instrText xml:space="preserve"> HYPERLINK \l _Toc1502926138 </w:instrText>
          </w:r>
          <w:r>
            <w:rPr>
              <w:rFonts w:asciiTheme="majorHAnsi" w:hAnsiTheme="majorHAnsi" w:eastAsiaTheme="majorEastAsia" w:cstheme="majorBidi"/>
              <w:bCs/>
              <w:szCs w:val="28"/>
              <w:lang w:val="en-US" w:eastAsia="en-US" w:bidi="ar-SA"/>
            </w:rPr>
            <w:fldChar w:fldCharType="separate"/>
          </w:r>
          <w:r>
            <w:rPr>
              <w:rFonts w:hint="default" w:ascii="Times New Roman Regular" w:hAnsi="Times New Roman Regular" w:cs="Times New Roman Regular"/>
              <w:szCs w:val="28"/>
              <w:lang w:val="en-US" w:eastAsia="zh-CN"/>
            </w:rPr>
            <w:t>5</w:t>
          </w:r>
          <w:r>
            <w:rPr>
              <w:rFonts w:hint="default" w:ascii="Times New Roman Regular" w:hAnsi="Times New Roman Regular" w:cs="Times New Roman Regular"/>
              <w:szCs w:val="28"/>
            </w:rPr>
            <w:t>. Action Plan</w:t>
          </w:r>
          <w:r>
            <w:tab/>
          </w:r>
          <w:r>
            <w:fldChar w:fldCharType="begin"/>
          </w:r>
          <w:r>
            <w:instrText xml:space="preserve"> PAGEREF _Toc1502926138 \h </w:instrText>
          </w:r>
          <w:r>
            <w:fldChar w:fldCharType="separate"/>
          </w:r>
          <w:r>
            <w:t>14</w:t>
          </w:r>
          <w:r>
            <w:fldChar w:fldCharType="end"/>
          </w:r>
          <w:r>
            <w:rPr>
              <w:rFonts w:asciiTheme="majorHAnsi" w:hAnsiTheme="majorHAnsi" w:eastAsiaTheme="majorEastAsia" w:cstheme="majorBidi"/>
              <w:bCs/>
              <w:color w:val="1F4E79"/>
              <w:szCs w:val="28"/>
              <w:lang w:val="en-US" w:eastAsia="en-US" w:bidi="ar-SA"/>
            </w:rPr>
            <w:fldChar w:fldCharType="end"/>
          </w:r>
        </w:p>
        <w:p w14:paraId="7036B486">
          <w:pPr>
            <w:pStyle w:val="6"/>
            <w:tabs>
              <w:tab w:val="right" w:leader="dot" w:pos="8306"/>
            </w:tabs>
          </w:pPr>
          <w:r>
            <w:rPr>
              <w:rFonts w:asciiTheme="majorHAnsi" w:hAnsiTheme="majorHAnsi" w:eastAsiaTheme="majorEastAsia" w:cstheme="majorBidi"/>
              <w:bCs/>
              <w:color w:val="1F4E79"/>
              <w:szCs w:val="28"/>
              <w:lang w:val="en-US" w:eastAsia="en-US" w:bidi="ar-SA"/>
            </w:rPr>
            <w:fldChar w:fldCharType="begin"/>
          </w:r>
          <w:r>
            <w:rPr>
              <w:rFonts w:asciiTheme="majorHAnsi" w:hAnsiTheme="majorHAnsi" w:eastAsiaTheme="majorEastAsia" w:cstheme="majorBidi"/>
              <w:bCs/>
              <w:szCs w:val="28"/>
              <w:lang w:val="en-US" w:eastAsia="en-US" w:bidi="ar-SA"/>
            </w:rPr>
            <w:instrText xml:space="preserve"> HYPERLINK \l _Toc976945352 </w:instrText>
          </w:r>
          <w:r>
            <w:rPr>
              <w:rFonts w:asciiTheme="majorHAnsi" w:hAnsiTheme="majorHAnsi" w:eastAsiaTheme="majorEastAsia" w:cstheme="majorBidi"/>
              <w:bCs/>
              <w:szCs w:val="28"/>
              <w:lang w:val="en-US" w:eastAsia="en-US" w:bidi="ar-SA"/>
            </w:rPr>
            <w:fldChar w:fldCharType="separate"/>
          </w:r>
          <w:r>
            <w:rPr>
              <w:rFonts w:hint="default" w:ascii="Times New Roman Regular" w:hAnsi="Times New Roman Regular" w:cs="Times New Roman Regular"/>
              <w:szCs w:val="28"/>
              <w:lang w:val="en-US" w:eastAsia="zh-CN"/>
            </w:rPr>
            <w:t>6</w:t>
          </w:r>
          <w:r>
            <w:rPr>
              <w:rFonts w:hint="default" w:ascii="Times New Roman Regular" w:hAnsi="Times New Roman Regular" w:cs="Times New Roman Regular"/>
              <w:szCs w:val="28"/>
            </w:rPr>
            <w:t>. Control</w:t>
          </w:r>
          <w:r>
            <w:tab/>
          </w:r>
          <w:r>
            <w:fldChar w:fldCharType="begin"/>
          </w:r>
          <w:r>
            <w:instrText xml:space="preserve"> PAGEREF _Toc976945352 \h </w:instrText>
          </w:r>
          <w:r>
            <w:fldChar w:fldCharType="separate"/>
          </w:r>
          <w:r>
            <w:t>16</w:t>
          </w:r>
          <w:r>
            <w:fldChar w:fldCharType="end"/>
          </w:r>
          <w:r>
            <w:rPr>
              <w:rFonts w:asciiTheme="majorHAnsi" w:hAnsiTheme="majorHAnsi" w:eastAsiaTheme="majorEastAsia" w:cstheme="majorBidi"/>
              <w:bCs/>
              <w:color w:val="1F4E79"/>
              <w:szCs w:val="28"/>
              <w:lang w:val="en-US" w:eastAsia="en-US" w:bidi="ar-SA"/>
            </w:rPr>
            <w:fldChar w:fldCharType="end"/>
          </w:r>
        </w:p>
        <w:p w14:paraId="3C5970A7">
          <w:pPr>
            <w:pStyle w:val="6"/>
            <w:tabs>
              <w:tab w:val="right" w:leader="dot" w:pos="8306"/>
            </w:tabs>
          </w:pPr>
          <w:r>
            <w:rPr>
              <w:rFonts w:asciiTheme="majorHAnsi" w:hAnsiTheme="majorHAnsi" w:eastAsiaTheme="majorEastAsia" w:cstheme="majorBidi"/>
              <w:bCs/>
              <w:color w:val="1F4E79"/>
              <w:szCs w:val="28"/>
              <w:lang w:val="en-US" w:eastAsia="en-US" w:bidi="ar-SA"/>
            </w:rPr>
            <w:fldChar w:fldCharType="begin"/>
          </w:r>
          <w:r>
            <w:rPr>
              <w:rFonts w:asciiTheme="majorHAnsi" w:hAnsiTheme="majorHAnsi" w:eastAsiaTheme="majorEastAsia" w:cstheme="majorBidi"/>
              <w:bCs/>
              <w:szCs w:val="28"/>
              <w:lang w:val="en-US" w:eastAsia="en-US" w:bidi="ar-SA"/>
            </w:rPr>
            <w:instrText xml:space="preserve"> HYPERLINK \l _Toc2008049749 </w:instrText>
          </w:r>
          <w:r>
            <w:rPr>
              <w:rFonts w:asciiTheme="majorHAnsi" w:hAnsiTheme="majorHAnsi" w:eastAsiaTheme="majorEastAsia" w:cstheme="majorBidi"/>
              <w:bCs/>
              <w:szCs w:val="28"/>
              <w:lang w:val="en-US" w:eastAsia="en-US" w:bidi="ar-SA"/>
            </w:rPr>
            <w:fldChar w:fldCharType="separate"/>
          </w:r>
          <w:r>
            <w:rPr>
              <w:rFonts w:hint="default" w:ascii="Times New Roman Regular" w:hAnsi="Times New Roman Regular" w:cs="Times New Roman Regular"/>
              <w:szCs w:val="28"/>
            </w:rPr>
            <w:t>8. Continuous Improvement</w:t>
          </w:r>
          <w:r>
            <w:tab/>
          </w:r>
          <w:r>
            <w:fldChar w:fldCharType="begin"/>
          </w:r>
          <w:r>
            <w:instrText xml:space="preserve"> PAGEREF _Toc2008049749 \h </w:instrText>
          </w:r>
          <w:r>
            <w:fldChar w:fldCharType="separate"/>
          </w:r>
          <w:r>
            <w:t>18</w:t>
          </w:r>
          <w:r>
            <w:fldChar w:fldCharType="end"/>
          </w:r>
          <w:r>
            <w:rPr>
              <w:rFonts w:asciiTheme="majorHAnsi" w:hAnsiTheme="majorHAnsi" w:eastAsiaTheme="majorEastAsia" w:cstheme="majorBidi"/>
              <w:bCs/>
              <w:color w:val="1F4E79"/>
              <w:szCs w:val="28"/>
              <w:lang w:val="en-US" w:eastAsia="en-US" w:bidi="ar-SA"/>
            </w:rPr>
            <w:fldChar w:fldCharType="end"/>
          </w:r>
        </w:p>
        <w:p w14:paraId="695452DF">
          <w:pPr>
            <w:pStyle w:val="6"/>
            <w:tabs>
              <w:tab w:val="right" w:leader="dot" w:pos="8306"/>
            </w:tabs>
          </w:pPr>
          <w:r>
            <w:rPr>
              <w:rFonts w:asciiTheme="majorHAnsi" w:hAnsiTheme="majorHAnsi" w:eastAsiaTheme="majorEastAsia" w:cstheme="majorBidi"/>
              <w:bCs/>
              <w:color w:val="1F4E79"/>
              <w:szCs w:val="28"/>
              <w:lang w:val="en-US" w:eastAsia="en-US" w:bidi="ar-SA"/>
            </w:rPr>
            <w:fldChar w:fldCharType="begin"/>
          </w:r>
          <w:r>
            <w:rPr>
              <w:rFonts w:asciiTheme="majorHAnsi" w:hAnsiTheme="majorHAnsi" w:eastAsiaTheme="majorEastAsia" w:cstheme="majorBidi"/>
              <w:bCs/>
              <w:szCs w:val="28"/>
              <w:lang w:val="en-US" w:eastAsia="en-US" w:bidi="ar-SA"/>
            </w:rPr>
            <w:instrText xml:space="preserve"> HYPERLINK \l _Toc1586618838 </w:instrText>
          </w:r>
          <w:r>
            <w:rPr>
              <w:rFonts w:asciiTheme="majorHAnsi" w:hAnsiTheme="majorHAnsi" w:eastAsiaTheme="majorEastAsia" w:cstheme="majorBidi"/>
              <w:bCs/>
              <w:szCs w:val="28"/>
              <w:lang w:val="en-US" w:eastAsia="en-US" w:bidi="ar-SA"/>
            </w:rPr>
            <w:fldChar w:fldCharType="separate"/>
          </w:r>
          <w:r>
            <w:rPr>
              <w:rFonts w:hint="default" w:ascii="Times New Roman Regular" w:hAnsi="Times New Roman Regular" w:cs="Times New Roman Regular"/>
              <w:szCs w:val="28"/>
            </w:rPr>
            <w:t>9. Conclusion</w:t>
          </w:r>
          <w:r>
            <w:tab/>
          </w:r>
          <w:r>
            <w:fldChar w:fldCharType="begin"/>
          </w:r>
          <w:r>
            <w:instrText xml:space="preserve"> PAGEREF _Toc1586618838 \h </w:instrText>
          </w:r>
          <w:r>
            <w:fldChar w:fldCharType="separate"/>
          </w:r>
          <w:r>
            <w:t>19</w:t>
          </w:r>
          <w:r>
            <w:fldChar w:fldCharType="end"/>
          </w:r>
          <w:r>
            <w:rPr>
              <w:rFonts w:asciiTheme="majorHAnsi" w:hAnsiTheme="majorHAnsi" w:eastAsiaTheme="majorEastAsia" w:cstheme="majorBidi"/>
              <w:bCs/>
              <w:color w:val="1F4E79"/>
              <w:szCs w:val="28"/>
              <w:lang w:val="en-US" w:eastAsia="en-US" w:bidi="ar-SA"/>
            </w:rPr>
            <w:fldChar w:fldCharType="end"/>
          </w:r>
        </w:p>
        <w:p w14:paraId="163CC849">
          <w:pPr>
            <w:pStyle w:val="6"/>
            <w:tabs>
              <w:tab w:val="right" w:leader="dot" w:pos="8306"/>
            </w:tabs>
          </w:pPr>
          <w:r>
            <w:rPr>
              <w:rFonts w:asciiTheme="majorHAnsi" w:hAnsiTheme="majorHAnsi" w:eastAsiaTheme="majorEastAsia" w:cstheme="majorBidi"/>
              <w:bCs/>
              <w:color w:val="1F4E79"/>
              <w:szCs w:val="28"/>
              <w:lang w:val="en-US" w:eastAsia="en-US" w:bidi="ar-SA"/>
            </w:rPr>
            <w:fldChar w:fldCharType="begin"/>
          </w:r>
          <w:r>
            <w:rPr>
              <w:rFonts w:asciiTheme="majorHAnsi" w:hAnsiTheme="majorHAnsi" w:eastAsiaTheme="majorEastAsia" w:cstheme="majorBidi"/>
              <w:bCs/>
              <w:szCs w:val="28"/>
              <w:lang w:val="en-US" w:eastAsia="en-US" w:bidi="ar-SA"/>
            </w:rPr>
            <w:instrText xml:space="preserve"> HYPERLINK \l _Toc998365467 </w:instrText>
          </w:r>
          <w:r>
            <w:rPr>
              <w:rFonts w:asciiTheme="majorHAnsi" w:hAnsiTheme="majorHAnsi" w:eastAsiaTheme="majorEastAsia" w:cstheme="majorBidi"/>
              <w:bCs/>
              <w:szCs w:val="28"/>
              <w:lang w:val="en-US" w:eastAsia="en-US" w:bidi="ar-SA"/>
            </w:rPr>
            <w:fldChar w:fldCharType="separate"/>
          </w:r>
          <w:r>
            <w:rPr>
              <w:rFonts w:hint="default" w:ascii="Times New Roman Regular" w:hAnsi="Times New Roman Regular" w:cs="Times New Roman Regular"/>
              <w:szCs w:val="28"/>
            </w:rPr>
            <w:t>References</w:t>
          </w:r>
          <w:r>
            <w:tab/>
          </w:r>
          <w:r>
            <w:fldChar w:fldCharType="begin"/>
          </w:r>
          <w:r>
            <w:instrText xml:space="preserve"> PAGEREF _Toc998365467 \h </w:instrText>
          </w:r>
          <w:r>
            <w:fldChar w:fldCharType="separate"/>
          </w:r>
          <w:r>
            <w:t>21</w:t>
          </w:r>
          <w:r>
            <w:fldChar w:fldCharType="end"/>
          </w:r>
          <w:r>
            <w:rPr>
              <w:rFonts w:asciiTheme="majorHAnsi" w:hAnsiTheme="majorHAnsi" w:eastAsiaTheme="majorEastAsia" w:cstheme="majorBidi"/>
              <w:bCs/>
              <w:color w:val="1F4E79"/>
              <w:szCs w:val="28"/>
              <w:lang w:val="en-US" w:eastAsia="en-US" w:bidi="ar-SA"/>
            </w:rPr>
            <w:fldChar w:fldCharType="end"/>
          </w:r>
        </w:p>
        <w:p w14:paraId="62DF0B88">
          <w:pPr>
            <w:keepNext/>
            <w:keepLines/>
            <w:spacing w:before="200" w:after="100" w:line="276" w:lineRule="auto"/>
            <w:outlineLvl w:val="9"/>
            <w:rPr>
              <w:rFonts w:asciiTheme="majorHAnsi" w:hAnsiTheme="majorHAnsi" w:eastAsiaTheme="majorEastAsia" w:cstheme="majorBidi"/>
              <w:bCs/>
              <w:color w:val="1F4E79"/>
              <w:sz w:val="23"/>
              <w:szCs w:val="28"/>
              <w:lang w:val="en-US" w:eastAsia="en-US" w:bidi="ar-SA"/>
            </w:rPr>
          </w:pPr>
          <w:r>
            <w:rPr>
              <w:rFonts w:asciiTheme="majorHAnsi" w:hAnsiTheme="majorHAnsi" w:eastAsiaTheme="majorEastAsia" w:cstheme="majorBidi"/>
              <w:bCs/>
              <w:color w:val="1F4E79"/>
              <w:szCs w:val="28"/>
              <w:lang w:val="en-US" w:eastAsia="en-US" w:bidi="ar-SA"/>
            </w:rPr>
            <w:fldChar w:fldCharType="end"/>
          </w:r>
        </w:p>
      </w:sdtContent>
    </w:sdt>
    <w:p w14:paraId="511DFFB1">
      <w:pPr>
        <w:keepNext/>
        <w:keepLines/>
        <w:spacing w:before="200" w:after="100" w:line="276" w:lineRule="auto"/>
        <w:outlineLvl w:val="9"/>
        <w:rPr>
          <w:rFonts w:asciiTheme="majorHAnsi" w:hAnsiTheme="majorHAnsi" w:eastAsiaTheme="majorEastAsia" w:cstheme="majorBidi"/>
          <w:bCs/>
          <w:color w:val="1F4E79"/>
          <w:sz w:val="23"/>
          <w:szCs w:val="28"/>
          <w:lang w:val="en-US" w:eastAsia="en-US" w:bidi="ar-SA"/>
        </w:rPr>
        <w:sectPr>
          <w:pgSz w:w="11906" w:h="16838"/>
          <w:pgMar w:top="1440" w:right="1800" w:bottom="1440" w:left="1800" w:header="851" w:footer="992" w:gutter="0"/>
          <w:cols w:space="425" w:num="1"/>
          <w:docGrid w:type="lines" w:linePitch="312" w:charSpace="0"/>
        </w:sectPr>
      </w:pPr>
    </w:p>
    <w:p w14:paraId="010BD083">
      <w:pPr>
        <w:pStyle w:val="2"/>
        <w:rPr>
          <w:rFonts w:hint="default" w:ascii="Times New Roman Regular" w:hAnsi="Times New Roman Regular" w:cs="Times New Roman Regular"/>
          <w:sz w:val="28"/>
          <w:szCs w:val="28"/>
        </w:rPr>
      </w:pPr>
      <w:bookmarkStart w:id="0" w:name="_Toc141346683"/>
      <w:r>
        <w:rPr>
          <w:rFonts w:hint="default" w:ascii="Times New Roman Regular" w:hAnsi="Times New Roman Regular" w:cs="Times New Roman Regular"/>
          <w:sz w:val="28"/>
          <w:szCs w:val="28"/>
        </w:rPr>
        <w:t>Executive Summary</w:t>
      </w:r>
      <w:bookmarkEnd w:id="0"/>
    </w:p>
    <w:p w14:paraId="6673CEE8">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This report has developed a strategic marketing plan for McDonald's UK. According to the audit, McDonald's UK remains a strong market leader thanks to its brand recognition, restaurant network layout, franchise model, operational consistency, and digital ecosystem. However, it also identified several pressures, including rising operating costs, stronger public-health regulation, intense rivalry, high buyer power and the risk that app ordering and loyalty systems are becoming normal features of the fast-food market rather than sustainable sources of advantage. The audit also concluded that McDonald’s digital app, loyalty and delivery capabilities are valuable, but only partly rare, meaning they must be renewed continuously to support competitive advantage.</w:t>
      </w:r>
    </w:p>
    <w:p w14:paraId="7280BCDC">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proposed strategic marketing plan is My</w:t>
      </w:r>
      <w:r>
        <w:rPr>
          <w:rFonts w:hint="default" w:ascii="Times New Roman Regular" w:hAnsi="Times New Roman Regular" w:cs="Times New Roman Regular"/>
          <w:sz w:val="28"/>
          <w:szCs w:val="28"/>
          <w:lang w:val="en-US"/>
        </w:rPr>
        <w:t xml:space="preserve"> </w:t>
      </w:r>
      <w:r>
        <w:rPr>
          <w:rFonts w:hint="default" w:ascii="Times New Roman Regular" w:hAnsi="Times New Roman Regular" w:cs="Times New Roman Regular"/>
          <w:sz w:val="28"/>
          <w:szCs w:val="28"/>
        </w:rPr>
        <w:t>McDonald’s Plus, an upgraded tiered membership programme built on the existing My</w:t>
      </w:r>
      <w:r>
        <w:rPr>
          <w:rFonts w:hint="default" w:ascii="Times New Roman Regular" w:hAnsi="Times New Roman Regular" w:cs="Times New Roman Regular"/>
          <w:sz w:val="28"/>
          <w:szCs w:val="28"/>
          <w:lang w:val="en-US"/>
        </w:rPr>
        <w:t xml:space="preserve"> </w:t>
      </w:r>
      <w:r>
        <w:rPr>
          <w:rFonts w:hint="default" w:ascii="Times New Roman Regular" w:hAnsi="Times New Roman Regular" w:cs="Times New Roman Regular"/>
          <w:sz w:val="28"/>
          <w:szCs w:val="28"/>
        </w:rPr>
        <w:t>McDonald’s Rewards system. The plan introduces four membership levels: Classic, Silver, Gold and Black Card. It also adds a favourite/like function, allowing customers to save preferred meals, drinks, sauces, rewards and regular orders. The purpose is not simply to increase short-term sales, but to strengthen customer retention, app engagement, first-party data quality, customer lifetime value, perceived value and brand loyalty.</w:t>
      </w:r>
    </w:p>
    <w:p w14:paraId="2DFE0C9B">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plan is structured through the SOSTAC framework, covering Situation Analysis, Objectives, Strategy, Tactics, Action and Control. It also applies SMART objectives, STP, Ansoff’s growth logic, Porter’s generic strategy, the 7P marketing mix and KPI-based control. The proposal is relevant because McDonald’s UK already operates a digital loyalty system, and its official rewards page states that customers earn points through the app, kiosks, drive-thru, front counter and in-app McDelivery, with one point earned for every penny spent (McDonald’s UK, 2026). Globally, McDonald’s reported nearly 210 million 90-day active loyalty users across 70 markets by the end of 2025, showing that loyalty is already central to the company’s growth strategy (McDonald’s Corporation, 2026).</w:t>
      </w:r>
    </w:p>
    <w:p w14:paraId="7C39B7EE">
      <w:pPr>
        <w:pStyle w:val="2"/>
        <w:rPr>
          <w:rFonts w:hint="default" w:ascii="Times New Roman Regular" w:hAnsi="Times New Roman Regular" w:cs="Times New Roman Regular"/>
          <w:sz w:val="28"/>
          <w:szCs w:val="28"/>
        </w:rPr>
      </w:pPr>
      <w:bookmarkStart w:id="1" w:name="_Toc496787599"/>
      <w:r>
        <w:rPr>
          <w:rFonts w:hint="default" w:ascii="Times New Roman Regular" w:hAnsi="Times New Roman Regular" w:cs="Times New Roman Regular"/>
          <w:sz w:val="28"/>
          <w:szCs w:val="28"/>
        </w:rPr>
        <w:t>Introduction</w:t>
      </w:r>
      <w:bookmarkEnd w:id="1"/>
    </w:p>
    <w:p w14:paraId="1B2E1730">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This report uses SOSTAC because it provides a logical structure for moving from analysis to implementation and evaluation. Chaffey and Smith (2022) present SOSTAC as a practical planning framework for digital marketing, making it appropriate for a loyalty and app-based strategy.</w:t>
      </w:r>
    </w:p>
    <w:p w14:paraId="44583823">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selected strategic issue is the need to strengthen McDonald’s UK’s digital loyalty capability. Many competitors now offer mobile ordering, rewards, delivery integration and discount codes. Therefore, having an app is no longer enough. McDonald’s UK needs to make its loyalty system more personalised, more engaging and more difficult to imitate. The audit pointed out that although McDonald's digital capabilities have certain practical value, they cannot be regarded as its scarce or unique advantages.The proposed solution is My</w:t>
      </w:r>
      <w:r>
        <w:rPr>
          <w:rFonts w:hint="default" w:ascii="Times New Roman Regular" w:hAnsi="Times New Roman Regular" w:cs="Times New Roman Regular"/>
          <w:sz w:val="28"/>
          <w:szCs w:val="28"/>
          <w:lang w:val="en-US"/>
        </w:rPr>
        <w:t xml:space="preserve"> </w:t>
      </w:r>
      <w:r>
        <w:rPr>
          <w:rFonts w:hint="default" w:ascii="Times New Roman Regular" w:hAnsi="Times New Roman Regular" w:cs="Times New Roman Regular"/>
          <w:sz w:val="28"/>
          <w:szCs w:val="28"/>
        </w:rPr>
        <w:t>McDonald’s Plus, a tiered digital membership programme. The new programme would use member levels, saved favourites, personalised rewards and progress-based benefits to increase repeat visits and emotional attachment. This reflects the wider shift in marketing from basic promotion towards relationship marketing, customer experience management and data-driven personalisation (Rust, 2020; Dwivedi et al., 2021; Verhoef et al., 2021).</w:t>
      </w:r>
    </w:p>
    <w:p w14:paraId="58544D7E">
      <w:pPr>
        <w:pStyle w:val="2"/>
        <w:rPr>
          <w:rFonts w:hint="default" w:ascii="Times New Roman Regular" w:hAnsi="Times New Roman Regular" w:cs="Times New Roman Regular"/>
          <w:sz w:val="28"/>
          <w:szCs w:val="28"/>
        </w:rPr>
      </w:pPr>
      <w:bookmarkStart w:id="2" w:name="_Toc92756857"/>
      <w:r>
        <w:rPr>
          <w:rFonts w:hint="default" w:ascii="Times New Roman Regular" w:hAnsi="Times New Roman Regular" w:cs="Times New Roman Regular"/>
          <w:sz w:val="28"/>
          <w:szCs w:val="28"/>
          <w:lang w:val="en-US" w:eastAsia="zh-CN"/>
        </w:rPr>
        <w:t>1</w:t>
      </w:r>
      <w:r>
        <w:rPr>
          <w:rFonts w:hint="default" w:ascii="Times New Roman Regular" w:hAnsi="Times New Roman Regular" w:cs="Times New Roman Regular"/>
          <w:sz w:val="28"/>
          <w:szCs w:val="28"/>
        </w:rPr>
        <w:t>. Situation Analysis</w:t>
      </w:r>
      <w:bookmarkEnd w:id="2"/>
    </w:p>
    <w:p w14:paraId="3CE7489B">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UK fast-food market is highly competitive. Customers can easily switch between McDonald’s, KFC, Burger King, Domino’s, Greggs, supermarket meal deals, coffee chains and independent takeaway businesses. The previous audit concluded that buyer power, substitute pressure and rivalry are high, meaning McDonald’s advantage comes less from operating in an attractive market and more from executing better than competitors through scale, service consistency, digital convenience and brand trust.</w:t>
      </w:r>
    </w:p>
    <w:p w14:paraId="5DFFF296">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Economic pressure also supports the need for a more intelligent loyalty strategy. The UK National Living Wage increased to £12.71 per hour from 1 April 2026, raising labour-cost pressure for labour-intensive food-service operators (Low Pay Commission, 2026). This makes permanent discounting risky because it can damage margins. A tiered loyalty system is more suitable because it rewards regular customers selectively rather than giving the same discount to every customer.</w:t>
      </w:r>
    </w:p>
    <w:p w14:paraId="19B6E6A2">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legal and public-health environment is also important. UK restrictions on less healthy food and drink advertising include a 9pm TV watershed and restrictions on paid-for online advertising of identifiable less healthy products, coming into force across the UK on 5 January 2026 (Department of Health and Social Care and Department for Culture, Media and Sport, 2026). This makes product-led mass advertising more limited for fast-food brands. A membership-based strategy is therefore more appropriate because it focuses on brand-level value, app engagement, convenience and personal relevance.</w:t>
      </w:r>
    </w:p>
    <w:p w14:paraId="5C24750C">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Internally, McDonald’s has strong resources. Its brand, physical network, franchise system, supply-chain coordination and operational routines are difficult for smaller competitors to copy at scale. However, app ordering and basic rewards are becoming common across the sector. The strategic opportunity is therefore to transform the loyalty system from a simple points mechanism into a richer customer relationship platform.</w:t>
      </w:r>
    </w:p>
    <w:p w14:paraId="7E1553AA">
      <w:pPr>
        <w:pStyle w:val="2"/>
        <w:rPr>
          <w:rFonts w:hint="default" w:ascii="Times New Roman Regular" w:hAnsi="Times New Roman Regular" w:cs="Times New Roman Regular"/>
          <w:sz w:val="28"/>
          <w:szCs w:val="28"/>
        </w:rPr>
      </w:pPr>
      <w:bookmarkStart w:id="3" w:name="_Toc2038851524"/>
      <w:r>
        <w:rPr>
          <w:rFonts w:hint="default" w:ascii="Times New Roman Regular" w:hAnsi="Times New Roman Regular" w:cs="Times New Roman Regular"/>
          <w:sz w:val="28"/>
          <w:szCs w:val="28"/>
          <w:lang w:val="en-US" w:eastAsia="zh-CN"/>
        </w:rPr>
        <w:t>2</w:t>
      </w:r>
      <w:r>
        <w:rPr>
          <w:rFonts w:hint="default" w:ascii="Times New Roman Regular" w:hAnsi="Times New Roman Regular" w:cs="Times New Roman Regular"/>
          <w:sz w:val="28"/>
          <w:szCs w:val="28"/>
        </w:rPr>
        <w:t>. Objectives</w:t>
      </w:r>
      <w:bookmarkEnd w:id="3"/>
    </w:p>
    <w:p w14:paraId="720EB807">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overall marketing objective is to strengthen McDonald’s UK’s competitive advantage by upgrading My</w:t>
      </w:r>
      <w:r>
        <w:rPr>
          <w:rFonts w:hint="default" w:ascii="Times New Roman Regular" w:hAnsi="Times New Roman Regular" w:cs="Times New Roman Regular"/>
          <w:sz w:val="28"/>
          <w:szCs w:val="28"/>
          <w:lang w:val="en-US"/>
        </w:rPr>
        <w:t xml:space="preserve"> </w:t>
      </w:r>
      <w:r>
        <w:rPr>
          <w:rFonts w:hint="default" w:ascii="Times New Roman Regular" w:hAnsi="Times New Roman Regular" w:cs="Times New Roman Regular"/>
          <w:sz w:val="28"/>
          <w:szCs w:val="28"/>
        </w:rPr>
        <w:t>McDonald’s Rewards into a personalised, tiered and emotionally engaging membership system. The objectives follow the SMART principle: specific, measurable, achievable, relevant and time-bound. Recent marketing management literature argues that objectives should connect marketing activity with measurable customer and business outcomes, not only short-term revenue (Kotler, Keller and Chernev, 2022; Jobber and Ellis-Chadwick, 2023).</w:t>
      </w:r>
    </w:p>
    <w:tbl>
      <w:tblPr>
        <w:tblStyle w:val="8"/>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910"/>
        <w:gridCol w:w="2867"/>
        <w:gridCol w:w="2745"/>
      </w:tblGrid>
      <w:tr w14:paraId="0465FBB8">
        <w:trPr>
          <w:tblHeader/>
          <w:jc w:val="center"/>
        </w:trPr>
        <w:tc>
          <w:tcPr>
            <w:tcW w:w="3264" w:type="dxa"/>
            <w:shd w:val="clear" w:color="auto" w:fill="1F4E79"/>
            <w:vAlign w:val="center"/>
          </w:tcPr>
          <w:p w14:paraId="1D31A27C">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color w:val="FFFFFF"/>
                <w:sz w:val="28"/>
                <w:szCs w:val="28"/>
              </w:rPr>
              <w:t>SMART Objective</w:t>
            </w:r>
          </w:p>
        </w:tc>
        <w:tc>
          <w:tcPr>
            <w:tcW w:w="3264" w:type="dxa"/>
            <w:shd w:val="clear" w:color="auto" w:fill="1F4E79"/>
            <w:vAlign w:val="center"/>
          </w:tcPr>
          <w:p w14:paraId="1AEBC76E">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color w:val="FFFFFF"/>
                <w:sz w:val="28"/>
                <w:szCs w:val="28"/>
              </w:rPr>
              <w:t>KPI</w:t>
            </w:r>
          </w:p>
        </w:tc>
        <w:tc>
          <w:tcPr>
            <w:tcW w:w="3264" w:type="dxa"/>
            <w:shd w:val="clear" w:color="auto" w:fill="1F4E79"/>
            <w:vAlign w:val="center"/>
          </w:tcPr>
          <w:p w14:paraId="6E5AB935">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color w:val="FFFFFF"/>
                <w:sz w:val="28"/>
                <w:szCs w:val="28"/>
              </w:rPr>
              <w:t>Timeframe</w:t>
            </w:r>
          </w:p>
        </w:tc>
      </w:tr>
      <w:tr w14:paraId="2A779ED8">
        <w:trPr>
          <w:jc w:val="center"/>
        </w:trPr>
        <w:tc>
          <w:tcPr>
            <w:tcW w:w="3264" w:type="dxa"/>
            <w:vAlign w:val="center"/>
          </w:tcPr>
          <w:p w14:paraId="5EA2C5EF">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Increase monthly active My</w:t>
            </w:r>
            <w:r>
              <w:rPr>
                <w:rFonts w:hint="default" w:ascii="Times New Roman Regular" w:hAnsi="Times New Roman Regular" w:cs="Times New Roman Regular"/>
                <w:b w:val="0"/>
                <w:sz w:val="28"/>
                <w:szCs w:val="28"/>
                <w:lang w:val="en-US"/>
              </w:rPr>
              <w:t xml:space="preserve"> </w:t>
            </w:r>
            <w:r>
              <w:rPr>
                <w:rFonts w:hint="default" w:ascii="Times New Roman Regular" w:hAnsi="Times New Roman Regular" w:eastAsia="Times New Roman" w:cs="Times New Roman Regular"/>
                <w:b w:val="0"/>
                <w:sz w:val="28"/>
                <w:szCs w:val="28"/>
              </w:rPr>
              <w:t>McDonald’s app users by 12%.</w:t>
            </w:r>
          </w:p>
        </w:tc>
        <w:tc>
          <w:tcPr>
            <w:tcW w:w="3264" w:type="dxa"/>
            <w:vAlign w:val="center"/>
          </w:tcPr>
          <w:p w14:paraId="0551DE5B">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Monthly active app users</w:t>
            </w:r>
          </w:p>
        </w:tc>
        <w:tc>
          <w:tcPr>
            <w:tcW w:w="3264" w:type="dxa"/>
            <w:vAlign w:val="center"/>
          </w:tcPr>
          <w:p w14:paraId="0EC8029A">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12 months</w:t>
            </w:r>
          </w:p>
        </w:tc>
      </w:tr>
      <w:tr w14:paraId="0F62E537">
        <w:trPr>
          <w:jc w:val="center"/>
        </w:trPr>
        <w:tc>
          <w:tcPr>
            <w:tcW w:w="3264" w:type="dxa"/>
            <w:vAlign w:val="center"/>
          </w:tcPr>
          <w:p w14:paraId="53C09D0C">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Increase loyalty-member purchase frequency by 8%.</w:t>
            </w:r>
          </w:p>
        </w:tc>
        <w:tc>
          <w:tcPr>
            <w:tcW w:w="3264" w:type="dxa"/>
            <w:vAlign w:val="center"/>
          </w:tcPr>
          <w:p w14:paraId="2AD45A16">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Average visits per member per month</w:t>
            </w:r>
          </w:p>
        </w:tc>
        <w:tc>
          <w:tcPr>
            <w:tcW w:w="3264" w:type="dxa"/>
            <w:vAlign w:val="center"/>
          </w:tcPr>
          <w:p w14:paraId="181CDDBC">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12 months</w:t>
            </w:r>
          </w:p>
        </w:tc>
      </w:tr>
      <w:tr w14:paraId="59DE8DB0">
        <w:trPr>
          <w:jc w:val="center"/>
        </w:trPr>
        <w:tc>
          <w:tcPr>
            <w:tcW w:w="3264" w:type="dxa"/>
            <w:vAlign w:val="center"/>
          </w:tcPr>
          <w:p w14:paraId="11A4E787">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Achieve 25% adoption of the favourite/like function among active app users.</w:t>
            </w:r>
          </w:p>
        </w:tc>
        <w:tc>
          <w:tcPr>
            <w:tcW w:w="3264" w:type="dxa"/>
            <w:vAlign w:val="center"/>
          </w:tcPr>
          <w:p w14:paraId="5C50EC60">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Users saving at least one item</w:t>
            </w:r>
          </w:p>
        </w:tc>
        <w:tc>
          <w:tcPr>
            <w:tcW w:w="3264" w:type="dxa"/>
            <w:vAlign w:val="center"/>
          </w:tcPr>
          <w:p w14:paraId="32D8FC17">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9 months</w:t>
            </w:r>
          </w:p>
        </w:tc>
      </w:tr>
      <w:tr w14:paraId="7E35898F">
        <w:trPr>
          <w:jc w:val="center"/>
        </w:trPr>
        <w:tc>
          <w:tcPr>
            <w:tcW w:w="3264" w:type="dxa"/>
            <w:vAlign w:val="center"/>
          </w:tcPr>
          <w:p w14:paraId="1BE4012E">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Increase Silver, Gold and Black Card member orders to 35% of total app orders.</w:t>
            </w:r>
          </w:p>
        </w:tc>
        <w:tc>
          <w:tcPr>
            <w:tcW w:w="3264" w:type="dxa"/>
            <w:vAlign w:val="center"/>
          </w:tcPr>
          <w:p w14:paraId="307556AD">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Tiered-member order share</w:t>
            </w:r>
          </w:p>
        </w:tc>
        <w:tc>
          <w:tcPr>
            <w:tcW w:w="3264" w:type="dxa"/>
            <w:vAlign w:val="center"/>
          </w:tcPr>
          <w:p w14:paraId="62E0F198">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12 months</w:t>
            </w:r>
          </w:p>
        </w:tc>
      </w:tr>
      <w:tr w14:paraId="7F5CC8A8">
        <w:trPr>
          <w:jc w:val="center"/>
        </w:trPr>
        <w:tc>
          <w:tcPr>
            <w:tcW w:w="3264" w:type="dxa"/>
            <w:vAlign w:val="center"/>
          </w:tcPr>
          <w:p w14:paraId="2C3C4177">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Improve customer value-for-money perception by 5 percentage points.</w:t>
            </w:r>
          </w:p>
        </w:tc>
        <w:tc>
          <w:tcPr>
            <w:tcW w:w="3264" w:type="dxa"/>
            <w:vAlign w:val="center"/>
          </w:tcPr>
          <w:p w14:paraId="7DBFE425">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Customer survey score</w:t>
            </w:r>
          </w:p>
        </w:tc>
        <w:tc>
          <w:tcPr>
            <w:tcW w:w="3264" w:type="dxa"/>
            <w:vAlign w:val="center"/>
          </w:tcPr>
          <w:p w14:paraId="4B9ED45F">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12 months</w:t>
            </w:r>
          </w:p>
        </w:tc>
      </w:tr>
      <w:tr w14:paraId="61139EF3">
        <w:trPr>
          <w:jc w:val="center"/>
        </w:trPr>
        <w:tc>
          <w:tcPr>
            <w:tcW w:w="3264" w:type="dxa"/>
            <w:vAlign w:val="center"/>
          </w:tcPr>
          <w:p w14:paraId="7F5E0E85">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Reduce app order abandonment by 10%.</w:t>
            </w:r>
          </w:p>
        </w:tc>
        <w:tc>
          <w:tcPr>
            <w:tcW w:w="3264" w:type="dxa"/>
            <w:vAlign w:val="center"/>
          </w:tcPr>
          <w:p w14:paraId="1BA5A490">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Checkout abandonment rate</w:t>
            </w:r>
          </w:p>
        </w:tc>
        <w:tc>
          <w:tcPr>
            <w:tcW w:w="3264" w:type="dxa"/>
            <w:vAlign w:val="center"/>
          </w:tcPr>
          <w:p w14:paraId="064B3598">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9 months</w:t>
            </w:r>
          </w:p>
        </w:tc>
      </w:tr>
      <w:tr w14:paraId="3B10FDF4">
        <w:trPr>
          <w:jc w:val="center"/>
        </w:trPr>
        <w:tc>
          <w:tcPr>
            <w:tcW w:w="3264" w:type="dxa"/>
            <w:vAlign w:val="center"/>
          </w:tcPr>
          <w:p w14:paraId="6D726DA8">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Increase customer lifetime value among loyalty members by 7%.</w:t>
            </w:r>
          </w:p>
        </w:tc>
        <w:tc>
          <w:tcPr>
            <w:tcW w:w="3264" w:type="dxa"/>
            <w:vAlign w:val="center"/>
          </w:tcPr>
          <w:p w14:paraId="7B75A18A">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CLV estimate</w:t>
            </w:r>
          </w:p>
        </w:tc>
        <w:tc>
          <w:tcPr>
            <w:tcW w:w="3264" w:type="dxa"/>
            <w:vAlign w:val="center"/>
          </w:tcPr>
          <w:p w14:paraId="1FD364DE">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12 months</w:t>
            </w:r>
          </w:p>
        </w:tc>
      </w:tr>
    </w:tbl>
    <w:p w14:paraId="49063EDE">
      <w:pPr>
        <w:pStyle w:val="10"/>
        <w:jc w:val="center"/>
        <w:rPr>
          <w:rFonts w:hint="default" w:ascii="Times New Roman Regular" w:hAnsi="Times New Roman Regular" w:cs="Times New Roman Regular"/>
          <w:sz w:val="28"/>
          <w:szCs w:val="28"/>
        </w:rPr>
      </w:pPr>
      <w:r>
        <w:rPr>
          <w:rFonts w:hint="default" w:ascii="Times New Roman Regular" w:hAnsi="Times New Roman Regular" w:cs="Times New Roman Regular"/>
          <w:i/>
          <w:sz w:val="28"/>
          <w:szCs w:val="28"/>
        </w:rPr>
        <w:t>Table 1. SMART objectives for My</w:t>
      </w:r>
      <w:r>
        <w:rPr>
          <w:rFonts w:hint="default" w:ascii="Times New Roman Regular" w:hAnsi="Times New Roman Regular" w:cs="Times New Roman Regular"/>
          <w:i/>
          <w:sz w:val="28"/>
          <w:szCs w:val="28"/>
          <w:lang w:val="en-US"/>
        </w:rPr>
        <w:t xml:space="preserve"> </w:t>
      </w:r>
      <w:r>
        <w:rPr>
          <w:rFonts w:hint="default" w:ascii="Times New Roman Regular" w:hAnsi="Times New Roman Regular" w:cs="Times New Roman Regular"/>
          <w:i/>
          <w:sz w:val="28"/>
          <w:szCs w:val="28"/>
        </w:rPr>
        <w:t>McDonald’s Plus</w:t>
      </w:r>
    </w:p>
    <w:p w14:paraId="10D48CDD">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 xml:space="preserve">These objectives support business performance in several ways. First, higher app usage improves first-party data ownership. Second, higher purchase frequency improves customer lifetime value. Third, tier progression gives customers a reason to return. Fourth, the favourite/like function improves personalisation because McDonald’s can understand </w:t>
      </w:r>
      <w:bookmarkStart w:id="14" w:name="_GoBack"/>
      <w:bookmarkEnd w:id="14"/>
      <w:r>
        <w:rPr>
          <w:rFonts w:hint="default" w:ascii="Times New Roman Regular" w:hAnsi="Times New Roman Regular" w:cs="Times New Roman Regular"/>
          <w:sz w:val="28"/>
          <w:szCs w:val="28"/>
        </w:rPr>
        <w:t>what customers actively prefer, rather than relying only on broad sales data.</w:t>
      </w:r>
    </w:p>
    <w:p w14:paraId="6417204F">
      <w:pPr>
        <w:pStyle w:val="2"/>
        <w:rPr>
          <w:rFonts w:hint="default" w:ascii="Times New Roman Regular" w:hAnsi="Times New Roman Regular" w:cs="Times New Roman Regular"/>
          <w:sz w:val="28"/>
          <w:szCs w:val="28"/>
        </w:rPr>
      </w:pPr>
      <w:bookmarkStart w:id="4" w:name="_Toc1728492336"/>
      <w:r>
        <w:rPr>
          <w:rFonts w:hint="default" w:ascii="Times New Roman Regular" w:hAnsi="Times New Roman Regular" w:cs="Times New Roman Regular"/>
          <w:sz w:val="28"/>
          <w:szCs w:val="28"/>
          <w:lang w:val="en-US" w:eastAsia="zh-CN"/>
        </w:rPr>
        <w:t>3</w:t>
      </w:r>
      <w:r>
        <w:rPr>
          <w:rFonts w:hint="default" w:ascii="Times New Roman Regular" w:hAnsi="Times New Roman Regular" w:cs="Times New Roman Regular"/>
          <w:sz w:val="28"/>
          <w:szCs w:val="28"/>
        </w:rPr>
        <w:t>. Strategy</w:t>
      </w:r>
      <w:bookmarkEnd w:id="4"/>
    </w:p>
    <w:p w14:paraId="6E2D8715">
      <w:pPr>
        <w:pStyle w:val="3"/>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lang w:val="en-US" w:eastAsia="zh-CN"/>
        </w:rPr>
        <w:t>3</w:t>
      </w:r>
      <w:r>
        <w:rPr>
          <w:rFonts w:hint="default" w:ascii="Times New Roman Regular" w:hAnsi="Times New Roman Regular" w:cs="Times New Roman Regular"/>
          <w:sz w:val="28"/>
          <w:szCs w:val="28"/>
        </w:rPr>
        <w:t>.1 Strategic Direction</w:t>
      </w:r>
    </w:p>
    <w:p w14:paraId="53678C1F">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lang w:val="en-US"/>
        </w:rPr>
        <w:t>According to Ansoff’s theory</w:t>
      </w:r>
      <w:r>
        <w:rPr>
          <w:rFonts w:hint="default" w:ascii="Times New Roman Regular" w:hAnsi="Times New Roman Regular" w:cs="Times New Roman Regular"/>
          <w:sz w:val="28"/>
          <w:szCs w:val="28"/>
        </w:rPr>
        <w:t>, the plan combines market penetration and product development (Kotler, Keller and Chernev, 2022; Jobber and Ellis-Chadwick, 2023). It is market penetration because McDonald’s UK will encourage existing customers to use the app more frequently and visit more often. It is product development because the company will add new digital features, membership levels and reward mechanics around existing food and service offerings.</w:t>
      </w:r>
    </w:p>
    <w:p w14:paraId="50DB7A88">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lang w:val="en-US"/>
        </w:rPr>
        <w:t>According to Porter’s generic strategies</w:t>
      </w:r>
      <w:r>
        <w:rPr>
          <w:rFonts w:hint="default" w:ascii="Times New Roman Regular" w:hAnsi="Times New Roman Regular" w:cs="Times New Roman Regular"/>
          <w:sz w:val="28"/>
          <w:szCs w:val="28"/>
        </w:rPr>
        <w:t>, the recommended direction is broad differentiation through personalised value and digital convenience. McDonald’s should not rely only on cost leadership because rising labour and input costs make continuous discounting difficult. The brand must remain affordable, but long-term differentiation should come from a stronger membership experience, saved favourites, personalised recommendations and tier-based recognition.</w:t>
      </w:r>
    </w:p>
    <w:p w14:paraId="25E42889">
      <w:pPr>
        <w:pStyle w:val="3"/>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lang w:val="en-US" w:eastAsia="zh-CN"/>
        </w:rPr>
        <w:t>3</w:t>
      </w:r>
      <w:r>
        <w:rPr>
          <w:rFonts w:hint="default" w:ascii="Times New Roman Regular" w:hAnsi="Times New Roman Regular" w:cs="Times New Roman Regular"/>
          <w:sz w:val="28"/>
          <w:szCs w:val="28"/>
        </w:rPr>
        <w:t>.2 STP Strategy</w:t>
      </w:r>
    </w:p>
    <w:p w14:paraId="42BF292F">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market can be segmented into four main groups. The first is value-seeking regular customers, including students, young workers and families. The second is digitally active convenience customers, who prefer app ordering, drive-thru or delivery. The third is deal-sensitive switchers, who move between fast-food brands depending on offers. The fourth is brand-engaged fans, who respond to limited editions, menu launches and exclusive rewards.</w:t>
      </w:r>
    </w:p>
    <w:p w14:paraId="1298DD5F">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primary target segment should be value-seeking and digitally active customers aged approximately 16-35. This group is attractive because it is more likely to use mobile technology, respond to rewards and engage with gamified membership levels. A secondary segment should be families who value speed, convenience, predictable rewards and saved regular orders.</w:t>
      </w:r>
    </w:p>
    <w:p w14:paraId="34E77412">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Positioning statement: For UK customers who want convenient, affordable and personally relevant fast food, My</w:t>
      </w:r>
      <w:r>
        <w:rPr>
          <w:rFonts w:hint="default" w:ascii="Times New Roman Regular" w:hAnsi="Times New Roman Regular" w:cs="Times New Roman Regular"/>
          <w:sz w:val="28"/>
          <w:szCs w:val="28"/>
          <w:lang w:val="en-US"/>
        </w:rPr>
        <w:t xml:space="preserve"> </w:t>
      </w:r>
      <w:r>
        <w:rPr>
          <w:rFonts w:hint="default" w:ascii="Times New Roman Regular" w:hAnsi="Times New Roman Regular" w:cs="Times New Roman Regular"/>
          <w:sz w:val="28"/>
          <w:szCs w:val="28"/>
        </w:rPr>
        <w:t>McDonald’s Plus offers a tiered loyalty membership experience with saved favourites, personalised rewards and exclusive member benefits, supported by McDonald’s national scale, operational reliability and digital ecosystem.</w:t>
      </w:r>
    </w:p>
    <w:p w14:paraId="6111E18D">
      <w:pPr>
        <w:pStyle w:val="2"/>
        <w:rPr>
          <w:rFonts w:hint="default" w:ascii="Times New Roman Regular" w:hAnsi="Times New Roman Regular" w:cs="Times New Roman Regular"/>
          <w:sz w:val="28"/>
          <w:szCs w:val="28"/>
        </w:rPr>
      </w:pPr>
      <w:bookmarkStart w:id="5" w:name="_Toc1759398183"/>
      <w:r>
        <w:rPr>
          <w:rFonts w:hint="default" w:ascii="Times New Roman Regular" w:hAnsi="Times New Roman Regular" w:cs="Times New Roman Regular"/>
          <w:sz w:val="28"/>
          <w:szCs w:val="28"/>
          <w:lang w:val="en-US" w:eastAsia="zh-CN"/>
        </w:rPr>
        <w:t>4</w:t>
      </w:r>
      <w:r>
        <w:rPr>
          <w:rFonts w:hint="default" w:ascii="Times New Roman Regular" w:hAnsi="Times New Roman Regular" w:cs="Times New Roman Regular"/>
          <w:sz w:val="28"/>
          <w:szCs w:val="28"/>
        </w:rPr>
        <w:t>. Tactics: 7P Marketing Mix</w:t>
      </w:r>
      <w:bookmarkEnd w:id="5"/>
    </w:p>
    <w:p w14:paraId="6E74B89A">
      <w:pPr>
        <w:pStyle w:val="3"/>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lang w:val="en-US" w:eastAsia="zh-CN"/>
        </w:rPr>
        <w:t>4.</w:t>
      </w:r>
      <w:r>
        <w:rPr>
          <w:rFonts w:hint="default" w:ascii="Times New Roman Regular" w:hAnsi="Times New Roman Regular" w:cs="Times New Roman Regular"/>
          <w:sz w:val="28"/>
          <w:szCs w:val="28"/>
        </w:rPr>
        <w:t>1 Product</w:t>
      </w:r>
    </w:p>
    <w:p w14:paraId="56452B02">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core product is My</w:t>
      </w:r>
      <w:r>
        <w:rPr>
          <w:rFonts w:hint="default" w:ascii="Times New Roman Regular" w:hAnsi="Times New Roman Regular" w:cs="Times New Roman Regular"/>
          <w:sz w:val="28"/>
          <w:szCs w:val="28"/>
          <w:lang w:val="en-US"/>
        </w:rPr>
        <w:t xml:space="preserve"> </w:t>
      </w:r>
      <w:r>
        <w:rPr>
          <w:rFonts w:hint="default" w:ascii="Times New Roman Regular" w:hAnsi="Times New Roman Regular" w:cs="Times New Roman Regular"/>
          <w:sz w:val="28"/>
          <w:szCs w:val="28"/>
        </w:rPr>
        <w:t>McDonald’s Plus, an upgraded loyalty membership system rather than a single menu item. The programme includes four membership levels: Classic, Silver, Gold and Black Card. This structure creates a sense of progression and recognition. Research on gamified loyalty programmes suggests that levels, progress indicators and rewards can increase customer engagement when they are designed clearly and meaningfully (Hollebeek, Das and Shukla, 2021).</w:t>
      </w:r>
    </w:p>
    <w:tbl>
      <w:tblPr>
        <w:tblStyle w:val="8"/>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731"/>
        <w:gridCol w:w="2912"/>
        <w:gridCol w:w="2879"/>
      </w:tblGrid>
      <w:tr w14:paraId="2886FE50">
        <w:trPr>
          <w:tblHeader/>
          <w:jc w:val="center"/>
        </w:trPr>
        <w:tc>
          <w:tcPr>
            <w:tcW w:w="3264" w:type="dxa"/>
            <w:shd w:val="clear" w:color="auto" w:fill="1F4E79"/>
            <w:vAlign w:val="center"/>
          </w:tcPr>
          <w:p w14:paraId="52B6A6B6">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color w:val="FFFFFF"/>
                <w:sz w:val="28"/>
                <w:szCs w:val="28"/>
              </w:rPr>
              <w:t>Tier</w:t>
            </w:r>
          </w:p>
        </w:tc>
        <w:tc>
          <w:tcPr>
            <w:tcW w:w="3264" w:type="dxa"/>
            <w:shd w:val="clear" w:color="auto" w:fill="1F4E79"/>
            <w:vAlign w:val="center"/>
          </w:tcPr>
          <w:p w14:paraId="27DCC654">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color w:val="FFFFFF"/>
                <w:sz w:val="28"/>
                <w:szCs w:val="28"/>
              </w:rPr>
              <w:t>Entry Rule</w:t>
            </w:r>
          </w:p>
        </w:tc>
        <w:tc>
          <w:tcPr>
            <w:tcW w:w="3264" w:type="dxa"/>
            <w:shd w:val="clear" w:color="auto" w:fill="1F4E79"/>
            <w:vAlign w:val="center"/>
          </w:tcPr>
          <w:p w14:paraId="21EDEE8E">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color w:val="FFFFFF"/>
                <w:sz w:val="28"/>
                <w:szCs w:val="28"/>
              </w:rPr>
              <w:t>Main Benefits</w:t>
            </w:r>
          </w:p>
        </w:tc>
      </w:tr>
      <w:tr w14:paraId="2C63265A">
        <w:trPr>
          <w:jc w:val="center"/>
        </w:trPr>
        <w:tc>
          <w:tcPr>
            <w:tcW w:w="3264" w:type="dxa"/>
            <w:vAlign w:val="center"/>
          </w:tcPr>
          <w:p w14:paraId="74788B0B">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Classic</w:t>
            </w:r>
          </w:p>
        </w:tc>
        <w:tc>
          <w:tcPr>
            <w:tcW w:w="3264" w:type="dxa"/>
            <w:vAlign w:val="center"/>
          </w:tcPr>
          <w:p w14:paraId="1C565C17">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App registration</w:t>
            </w:r>
          </w:p>
        </w:tc>
        <w:tc>
          <w:tcPr>
            <w:tcW w:w="3264" w:type="dxa"/>
            <w:vAlign w:val="center"/>
          </w:tcPr>
          <w:p w14:paraId="6C67A007">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Basic points, birthday reward, saved favourites</w:t>
            </w:r>
          </w:p>
        </w:tc>
      </w:tr>
      <w:tr w14:paraId="4E0517CF">
        <w:trPr>
          <w:jc w:val="center"/>
        </w:trPr>
        <w:tc>
          <w:tcPr>
            <w:tcW w:w="3264" w:type="dxa"/>
            <w:vAlign w:val="center"/>
          </w:tcPr>
          <w:p w14:paraId="130DCDFD">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Silver</w:t>
            </w:r>
          </w:p>
        </w:tc>
        <w:tc>
          <w:tcPr>
            <w:tcW w:w="3264" w:type="dxa"/>
            <w:vAlign w:val="center"/>
          </w:tcPr>
          <w:p w14:paraId="7E7174EA">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Moderate points or visit frequency</w:t>
            </w:r>
          </w:p>
        </w:tc>
        <w:tc>
          <w:tcPr>
            <w:tcW w:w="3264" w:type="dxa"/>
            <w:vAlign w:val="center"/>
          </w:tcPr>
          <w:p w14:paraId="3F6B494D">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Personalised bundles, selected double-point days</w:t>
            </w:r>
          </w:p>
        </w:tc>
      </w:tr>
      <w:tr w14:paraId="7BE8AA97">
        <w:trPr>
          <w:jc w:val="center"/>
        </w:trPr>
        <w:tc>
          <w:tcPr>
            <w:tcW w:w="3264" w:type="dxa"/>
            <w:vAlign w:val="center"/>
          </w:tcPr>
          <w:p w14:paraId="739E7136">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Gold</w:t>
            </w:r>
          </w:p>
        </w:tc>
        <w:tc>
          <w:tcPr>
            <w:tcW w:w="3264" w:type="dxa"/>
            <w:vAlign w:val="center"/>
          </w:tcPr>
          <w:p w14:paraId="03863ED1">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Higher points or regular monthly visits</w:t>
            </w:r>
          </w:p>
        </w:tc>
        <w:tc>
          <w:tcPr>
            <w:tcW w:w="3264" w:type="dxa"/>
            <w:vAlign w:val="center"/>
          </w:tcPr>
          <w:p w14:paraId="571FB687">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Early menu access, priority rewards</w:t>
            </w:r>
          </w:p>
        </w:tc>
      </w:tr>
      <w:tr w14:paraId="580652B0">
        <w:trPr>
          <w:jc w:val="center"/>
        </w:trPr>
        <w:tc>
          <w:tcPr>
            <w:tcW w:w="3264" w:type="dxa"/>
            <w:vAlign w:val="center"/>
          </w:tcPr>
          <w:p w14:paraId="30C8EC88">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Black Card</w:t>
            </w:r>
          </w:p>
        </w:tc>
        <w:tc>
          <w:tcPr>
            <w:tcW w:w="3264" w:type="dxa"/>
            <w:vAlign w:val="center"/>
          </w:tcPr>
          <w:p w14:paraId="721B8702">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Highest-value or most frequent members</w:t>
            </w:r>
          </w:p>
        </w:tc>
        <w:tc>
          <w:tcPr>
            <w:tcW w:w="3264" w:type="dxa"/>
            <w:vAlign w:val="center"/>
          </w:tcPr>
          <w:p w14:paraId="727387B6">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Exclusive rewards, surprise upgrades, limited offers</w:t>
            </w:r>
          </w:p>
        </w:tc>
      </w:tr>
    </w:tbl>
    <w:p w14:paraId="350BBA95">
      <w:pPr>
        <w:pStyle w:val="10"/>
        <w:jc w:val="center"/>
        <w:rPr>
          <w:rFonts w:hint="default" w:ascii="Times New Roman Regular" w:hAnsi="Times New Roman Regular" w:cs="Times New Roman Regular"/>
          <w:sz w:val="28"/>
          <w:szCs w:val="28"/>
        </w:rPr>
      </w:pPr>
      <w:r>
        <w:rPr>
          <w:rFonts w:hint="default" w:ascii="Times New Roman Regular" w:hAnsi="Times New Roman Regular" w:cs="Times New Roman Regular"/>
          <w:i/>
          <w:sz w:val="28"/>
          <w:szCs w:val="28"/>
        </w:rPr>
        <w:t>Table 2. Proposed My</w:t>
      </w:r>
      <w:r>
        <w:rPr>
          <w:rFonts w:hint="default" w:ascii="Times New Roman Regular" w:hAnsi="Times New Roman Regular" w:cs="Times New Roman Regular"/>
          <w:i/>
          <w:sz w:val="28"/>
          <w:szCs w:val="28"/>
          <w:lang w:val="en-US"/>
        </w:rPr>
        <w:t xml:space="preserve"> </w:t>
      </w:r>
      <w:r>
        <w:rPr>
          <w:rFonts w:hint="default" w:ascii="Times New Roman Regular" w:hAnsi="Times New Roman Regular" w:cs="Times New Roman Regular"/>
          <w:i/>
          <w:sz w:val="28"/>
          <w:szCs w:val="28"/>
        </w:rPr>
        <w:t>McDonald’s Plus membership tiers</w:t>
      </w:r>
    </w:p>
    <w:p w14:paraId="23E6EC56">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favourite/like function is the main innovation. Customers can save meals, drinks, sauces, rewards and regular orders. This reduces ordering friction and gives McDonald’s better first-party preference data. It also supports personalised recommendations because the app can suggest rewards based on what customers actively like.</w:t>
      </w:r>
    </w:p>
    <w:p w14:paraId="0CFF0AF9">
      <w:pPr>
        <w:pStyle w:val="3"/>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lang w:val="en-US" w:eastAsia="zh-CN"/>
        </w:rPr>
        <w:t>4</w:t>
      </w:r>
      <w:r>
        <w:rPr>
          <w:rFonts w:hint="default" w:ascii="Times New Roman Regular" w:hAnsi="Times New Roman Regular" w:cs="Times New Roman Regular"/>
          <w:sz w:val="28"/>
          <w:szCs w:val="28"/>
        </w:rPr>
        <w:t>.2 Price</w:t>
      </w:r>
    </w:p>
    <w:p w14:paraId="38917E4D">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pricing strategy should avoid excessive discounting. Instead, McDonald’s should use tier-based value. Classic members receive basic points, Silver members receive occasional double-point events, Gold members receive priority rewards and early access, while Black Card members receive exclusive non-price benefits. This protects margins while improving perceived value. Customer value research suggests that value is not only financial but also functional, emotional and experiential (Zeithaml et al., 2020; Becker and Jaakkola, 2020).</w:t>
      </w:r>
    </w:p>
    <w:p w14:paraId="2130B6ED">
      <w:pPr>
        <w:pStyle w:val="3"/>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lang w:val="en-US" w:eastAsia="zh-CN"/>
        </w:rPr>
        <w:t>4</w:t>
      </w:r>
      <w:r>
        <w:rPr>
          <w:rFonts w:hint="default" w:ascii="Times New Roman Regular" w:hAnsi="Times New Roman Regular" w:cs="Times New Roman Regular"/>
          <w:sz w:val="28"/>
          <w:szCs w:val="28"/>
        </w:rPr>
        <w:t>.3 Place</w:t>
      </w:r>
    </w:p>
    <w:p w14:paraId="3E007378">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plan should be delivered through the My</w:t>
      </w:r>
      <w:r>
        <w:rPr>
          <w:rFonts w:hint="default" w:ascii="Times New Roman Regular" w:hAnsi="Times New Roman Regular" w:cs="Times New Roman Regular"/>
          <w:sz w:val="28"/>
          <w:szCs w:val="28"/>
          <w:lang w:val="en-US"/>
        </w:rPr>
        <w:t xml:space="preserve"> </w:t>
      </w:r>
      <w:r>
        <w:rPr>
          <w:rFonts w:hint="default" w:ascii="Times New Roman Regular" w:hAnsi="Times New Roman Regular" w:cs="Times New Roman Regular"/>
          <w:sz w:val="28"/>
          <w:szCs w:val="28"/>
        </w:rPr>
        <w:t>McDonald’s app, self-order kiosks, drive-thru, front counter and McDelivery where possible. The app should remain the central platform, but the membership experience must also be visible in restaurants. Online food-ordering research shows that mobile app service quality can influence satisfaction and repurchase intention (Lin, Au and Baum, 2024). Therefore, the digital and physical journeys must work together.</w:t>
      </w:r>
    </w:p>
    <w:p w14:paraId="6C4E2005">
      <w:pPr>
        <w:pStyle w:val="3"/>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lang w:val="en-US" w:eastAsia="zh-CN"/>
        </w:rPr>
        <w:t>4</w:t>
      </w:r>
      <w:r>
        <w:rPr>
          <w:rFonts w:hint="default" w:ascii="Times New Roman Regular" w:hAnsi="Times New Roman Regular" w:cs="Times New Roman Regular"/>
          <w:sz w:val="28"/>
          <w:szCs w:val="28"/>
        </w:rPr>
        <w:t>.4 Promotion</w:t>
      </w:r>
    </w:p>
    <w:p w14:paraId="73D199B8">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Promotion should focus on the membership experience rather than only individual food products. Suggested campaign messages include: 'Your McDonald’s, made more personal', 'Like it. Save it. Earn more', and 'Move up the tiers with every visit'. Promotion should use app banners, push notifications, email, in-restaurant posters, QR codes and social media. Communication frequency must be controlled because excessive push notifications can reduce trust. Digital marketing research stresses that personalisation must be relevant, transparent and permission-based (Dwivedi et al., 2021; Rust, 2020).</w:t>
      </w:r>
    </w:p>
    <w:p w14:paraId="552AE161">
      <w:pPr>
        <w:pStyle w:val="3"/>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lang w:val="en-US" w:eastAsia="zh-CN"/>
        </w:rPr>
        <w:t>4</w:t>
      </w:r>
      <w:r>
        <w:rPr>
          <w:rFonts w:hint="default" w:ascii="Times New Roman Regular" w:hAnsi="Times New Roman Regular" w:cs="Times New Roman Regular"/>
          <w:sz w:val="28"/>
          <w:szCs w:val="28"/>
        </w:rPr>
        <w:t>.5 People</w:t>
      </w:r>
    </w:p>
    <w:p w14:paraId="35F85E8A">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Employees are essential to implementation. Crew members must understand how tiers, points, favourites and rewards work. Training should be short, practical and integrated into existing routines. Franchisees should also be involved because they can provide feedback on queue times, customer questions and local operational pressure. Quick-service restaurant research shows that customer satisfaction is shaped not only by food quality but also by service reliability and the service encounter (Mendocilla, Miravitlles Matamoros and Matute, 2021).</w:t>
      </w:r>
    </w:p>
    <w:p w14:paraId="742768C9">
      <w:pPr>
        <w:pStyle w:val="3"/>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lang w:val="en-US" w:eastAsia="zh-CN"/>
        </w:rPr>
        <w:t>4.</w:t>
      </w:r>
      <w:r>
        <w:rPr>
          <w:rFonts w:hint="default" w:ascii="Times New Roman Regular" w:hAnsi="Times New Roman Regular" w:cs="Times New Roman Regular"/>
          <w:sz w:val="28"/>
          <w:szCs w:val="28"/>
        </w:rPr>
        <w:t>6 Process</w:t>
      </w:r>
    </w:p>
    <w:p w14:paraId="3026AC92">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customer process should be simple. Customers open the app, join My</w:t>
      </w:r>
      <w:r>
        <w:rPr>
          <w:rFonts w:hint="default" w:ascii="Times New Roman Regular" w:hAnsi="Times New Roman Regular" w:cs="Times New Roman Regular"/>
          <w:sz w:val="28"/>
          <w:szCs w:val="28"/>
          <w:lang w:val="en-US"/>
        </w:rPr>
        <w:t xml:space="preserve"> </w:t>
      </w:r>
      <w:r>
        <w:rPr>
          <w:rFonts w:hint="default" w:ascii="Times New Roman Regular" w:hAnsi="Times New Roman Regular" w:cs="Times New Roman Regular"/>
          <w:sz w:val="28"/>
          <w:szCs w:val="28"/>
        </w:rPr>
        <w:t>McDonald’s Plus, like or save favourite items, order through the app or scan a code in store, earn points and progress through membership tiers. The app should show a clear progress bar, such as 'two visits away from Silver' or '£8 away from Gold'. Research on food delivery apps suggests that convenience, perceived usefulness and task-technology fit influence continuance intention (Foroughi et al., 2024).</w:t>
      </w:r>
    </w:p>
    <w:p w14:paraId="41B3C6ED">
      <w:pPr>
        <w:pStyle w:val="3"/>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lang w:val="en-US" w:eastAsia="zh-CN"/>
        </w:rPr>
        <w:t>4</w:t>
      </w:r>
      <w:r>
        <w:rPr>
          <w:rFonts w:hint="default" w:ascii="Times New Roman Regular" w:hAnsi="Times New Roman Regular" w:cs="Times New Roman Regular"/>
          <w:sz w:val="28"/>
          <w:szCs w:val="28"/>
        </w:rPr>
        <w:t>.7 Physical Evidence</w:t>
      </w:r>
    </w:p>
    <w:p w14:paraId="560B0E43">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Physical evidence should make the membership system visible and credible. The app should show tier badges, saved-favourite icons, reward progress and personalised recommendations. Restaurants should display QR codes explaining how to join. Receipts and order screens should show points earned after each purchase. This makes the digital programme feel real within the physical restaurant environment.</w:t>
      </w:r>
    </w:p>
    <w:p w14:paraId="72F1D4A8">
      <w:pPr>
        <w:pStyle w:val="2"/>
        <w:rPr>
          <w:rFonts w:hint="default" w:ascii="Times New Roman Regular" w:hAnsi="Times New Roman Regular" w:cs="Times New Roman Regular"/>
          <w:sz w:val="28"/>
          <w:szCs w:val="28"/>
          <w:lang w:val="en-US" w:eastAsia="zh-CN"/>
        </w:rPr>
      </w:pPr>
      <w:bookmarkStart w:id="6" w:name="_Toc1502926138"/>
    </w:p>
    <w:p w14:paraId="7F8342BD">
      <w:pPr>
        <w:pStyle w:val="2"/>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lang w:val="en-US" w:eastAsia="zh-CN"/>
        </w:rPr>
        <w:t>5</w:t>
      </w:r>
      <w:r>
        <w:rPr>
          <w:rFonts w:hint="default" w:ascii="Times New Roman Regular" w:hAnsi="Times New Roman Regular" w:cs="Times New Roman Regular"/>
          <w:sz w:val="28"/>
          <w:szCs w:val="28"/>
        </w:rPr>
        <w:t>. Action Plan</w:t>
      </w:r>
      <w:bookmarkEnd w:id="6"/>
    </w:p>
    <w:tbl>
      <w:tblPr>
        <w:tblStyle w:val="8"/>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85"/>
        <w:gridCol w:w="1982"/>
        <w:gridCol w:w="2171"/>
        <w:gridCol w:w="2184"/>
      </w:tblGrid>
      <w:tr w14:paraId="48BC9AA9">
        <w:trPr>
          <w:tblHeader/>
          <w:jc w:val="center"/>
        </w:trPr>
        <w:tc>
          <w:tcPr>
            <w:tcW w:w="2448" w:type="dxa"/>
            <w:shd w:val="clear" w:color="auto" w:fill="1F4E79"/>
            <w:vAlign w:val="center"/>
          </w:tcPr>
          <w:p w14:paraId="54B6EF5C">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color w:val="FFFFFF"/>
                <w:sz w:val="28"/>
                <w:szCs w:val="28"/>
              </w:rPr>
              <w:t>Phase</w:t>
            </w:r>
          </w:p>
        </w:tc>
        <w:tc>
          <w:tcPr>
            <w:tcW w:w="2448" w:type="dxa"/>
            <w:shd w:val="clear" w:color="auto" w:fill="1F4E79"/>
            <w:vAlign w:val="center"/>
          </w:tcPr>
          <w:p w14:paraId="5ED32F4F">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color w:val="FFFFFF"/>
                <w:sz w:val="28"/>
                <w:szCs w:val="28"/>
              </w:rPr>
              <w:t>Timing</w:t>
            </w:r>
          </w:p>
        </w:tc>
        <w:tc>
          <w:tcPr>
            <w:tcW w:w="2448" w:type="dxa"/>
            <w:shd w:val="clear" w:color="auto" w:fill="1F4E79"/>
            <w:vAlign w:val="center"/>
          </w:tcPr>
          <w:p w14:paraId="789BDADE">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color w:val="FFFFFF"/>
                <w:sz w:val="28"/>
                <w:szCs w:val="28"/>
              </w:rPr>
              <w:t>Key Activities</w:t>
            </w:r>
          </w:p>
        </w:tc>
        <w:tc>
          <w:tcPr>
            <w:tcW w:w="2448" w:type="dxa"/>
            <w:shd w:val="clear" w:color="auto" w:fill="1F4E79"/>
            <w:vAlign w:val="center"/>
          </w:tcPr>
          <w:p w14:paraId="14623CF8">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color w:val="FFFFFF"/>
                <w:sz w:val="28"/>
                <w:szCs w:val="28"/>
              </w:rPr>
              <w:t>Responsible Teams</w:t>
            </w:r>
          </w:p>
        </w:tc>
      </w:tr>
      <w:tr w14:paraId="45DFB860">
        <w:trPr>
          <w:jc w:val="center"/>
        </w:trPr>
        <w:tc>
          <w:tcPr>
            <w:tcW w:w="2448" w:type="dxa"/>
            <w:vAlign w:val="center"/>
          </w:tcPr>
          <w:p w14:paraId="4AD0F7F5">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Phase 1: Design</w:t>
            </w:r>
          </w:p>
        </w:tc>
        <w:tc>
          <w:tcPr>
            <w:tcW w:w="2448" w:type="dxa"/>
            <w:vAlign w:val="center"/>
          </w:tcPr>
          <w:p w14:paraId="7B57591A">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Months 1-2</w:t>
            </w:r>
          </w:p>
        </w:tc>
        <w:tc>
          <w:tcPr>
            <w:tcW w:w="2448" w:type="dxa"/>
            <w:vAlign w:val="center"/>
          </w:tcPr>
          <w:p w14:paraId="2169EE2F">
            <w:pPr>
              <w:spacing w:after="0"/>
              <w:rPr>
                <w:rFonts w:hint="default" w:ascii="Times New Roman Regular" w:hAnsi="Times New Roman Regular" w:eastAsia="宋体" w:cs="Times New Roman Regular"/>
                <w:sz w:val="28"/>
                <w:szCs w:val="28"/>
                <w:lang w:val="en-US" w:eastAsia="zh-CN"/>
              </w:rPr>
            </w:pPr>
            <w:r>
              <w:rPr>
                <w:rFonts w:hint="default" w:ascii="Times New Roman Regular" w:hAnsi="Times New Roman Regular" w:cs="Times New Roman Regular"/>
                <w:b w:val="0"/>
                <w:sz w:val="28"/>
                <w:szCs w:val="28"/>
                <w:lang w:val="en-US"/>
              </w:rPr>
              <w:t>S</w:t>
            </w:r>
            <w:r>
              <w:rPr>
                <w:rFonts w:hint="default" w:ascii="Times New Roman Regular" w:hAnsi="Times New Roman Regular" w:eastAsia="宋体" w:cs="Times New Roman Regular"/>
                <w:b w:val="0"/>
                <w:sz w:val="28"/>
                <w:szCs w:val="28"/>
                <w:lang w:val="en-US" w:eastAsia="zh-CN"/>
              </w:rPr>
              <w:t>et up activities or update the application</w:t>
            </w:r>
          </w:p>
        </w:tc>
        <w:tc>
          <w:tcPr>
            <w:tcW w:w="2448" w:type="dxa"/>
            <w:vAlign w:val="center"/>
          </w:tcPr>
          <w:p w14:paraId="2A36FDA7">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Marketing, Digital, Legal, Finance</w:t>
            </w:r>
          </w:p>
        </w:tc>
      </w:tr>
      <w:tr w14:paraId="6CF34436">
        <w:trPr>
          <w:jc w:val="center"/>
        </w:trPr>
        <w:tc>
          <w:tcPr>
            <w:tcW w:w="2448" w:type="dxa"/>
            <w:vAlign w:val="center"/>
          </w:tcPr>
          <w:p w14:paraId="65C65A80">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Phase 2: Pilot</w:t>
            </w:r>
          </w:p>
        </w:tc>
        <w:tc>
          <w:tcPr>
            <w:tcW w:w="2448" w:type="dxa"/>
            <w:vAlign w:val="center"/>
          </w:tcPr>
          <w:p w14:paraId="3391C3DA">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Months 3-5</w:t>
            </w:r>
          </w:p>
        </w:tc>
        <w:tc>
          <w:tcPr>
            <w:tcW w:w="2448" w:type="dxa"/>
            <w:vAlign w:val="center"/>
          </w:tcPr>
          <w:p w14:paraId="71E2D447">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Test in selected UK regions and measure app engagement, service speed, customer response and reward cost.</w:t>
            </w:r>
          </w:p>
        </w:tc>
        <w:tc>
          <w:tcPr>
            <w:tcW w:w="2448" w:type="dxa"/>
            <w:vAlign w:val="center"/>
          </w:tcPr>
          <w:p w14:paraId="2B13C166">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Operations, Franchisees, Analytics</w:t>
            </w:r>
          </w:p>
        </w:tc>
      </w:tr>
      <w:tr w14:paraId="0EA3C326">
        <w:trPr>
          <w:jc w:val="center"/>
        </w:trPr>
        <w:tc>
          <w:tcPr>
            <w:tcW w:w="2448" w:type="dxa"/>
            <w:vAlign w:val="center"/>
          </w:tcPr>
          <w:p w14:paraId="11B2FB4E">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Phase 3: Optimisation</w:t>
            </w:r>
          </w:p>
        </w:tc>
        <w:tc>
          <w:tcPr>
            <w:tcW w:w="2448" w:type="dxa"/>
            <w:vAlign w:val="center"/>
          </w:tcPr>
          <w:p w14:paraId="3EC0E342">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Months 6-7</w:t>
            </w:r>
          </w:p>
        </w:tc>
        <w:tc>
          <w:tcPr>
            <w:tcW w:w="2448" w:type="dxa"/>
            <w:vAlign w:val="center"/>
          </w:tcPr>
          <w:p w14:paraId="05EF8D0F">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Adjust thresholds, reward generosity, app design and staff training based on pilot evidence.</w:t>
            </w:r>
          </w:p>
        </w:tc>
        <w:tc>
          <w:tcPr>
            <w:tcW w:w="2448" w:type="dxa"/>
            <w:vAlign w:val="center"/>
          </w:tcPr>
          <w:p w14:paraId="3E319B01">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Digital, Marketing, Finance</w:t>
            </w:r>
          </w:p>
        </w:tc>
      </w:tr>
      <w:tr w14:paraId="1CEC6211">
        <w:trPr>
          <w:jc w:val="center"/>
        </w:trPr>
        <w:tc>
          <w:tcPr>
            <w:tcW w:w="2448" w:type="dxa"/>
            <w:vAlign w:val="center"/>
          </w:tcPr>
          <w:p w14:paraId="765AA7F8">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Phase 4: National Rollout</w:t>
            </w:r>
          </w:p>
        </w:tc>
        <w:tc>
          <w:tcPr>
            <w:tcW w:w="2448" w:type="dxa"/>
            <w:vAlign w:val="center"/>
          </w:tcPr>
          <w:p w14:paraId="7829FDEC">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Months 8-12</w:t>
            </w:r>
          </w:p>
        </w:tc>
        <w:tc>
          <w:tcPr>
            <w:tcW w:w="2448" w:type="dxa"/>
            <w:vAlign w:val="center"/>
          </w:tcPr>
          <w:p w14:paraId="292F4780">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Launch across UK restaurants with CRM, app campaign, QR codes and staff support.</w:t>
            </w:r>
          </w:p>
        </w:tc>
        <w:tc>
          <w:tcPr>
            <w:tcW w:w="2448" w:type="dxa"/>
            <w:vAlign w:val="center"/>
          </w:tcPr>
          <w:p w14:paraId="4D0FF5F3">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UK Marketing, Operations</w:t>
            </w:r>
          </w:p>
        </w:tc>
      </w:tr>
      <w:tr w14:paraId="4DF1A01A">
        <w:trPr>
          <w:jc w:val="center"/>
        </w:trPr>
        <w:tc>
          <w:tcPr>
            <w:tcW w:w="2448" w:type="dxa"/>
            <w:vAlign w:val="center"/>
          </w:tcPr>
          <w:p w14:paraId="4532C1CB">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Phase 5: Review</w:t>
            </w:r>
          </w:p>
        </w:tc>
        <w:tc>
          <w:tcPr>
            <w:tcW w:w="2448" w:type="dxa"/>
            <w:vAlign w:val="center"/>
          </w:tcPr>
          <w:p w14:paraId="2D468275">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End of Month 12</w:t>
            </w:r>
          </w:p>
        </w:tc>
        <w:tc>
          <w:tcPr>
            <w:tcW w:w="2448" w:type="dxa"/>
            <w:vAlign w:val="center"/>
          </w:tcPr>
          <w:p w14:paraId="520888F8">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Evaluate KPIs and decide whether to expand, simplify or redesign elements.</w:t>
            </w:r>
          </w:p>
        </w:tc>
        <w:tc>
          <w:tcPr>
            <w:tcW w:w="2448" w:type="dxa"/>
            <w:vAlign w:val="center"/>
          </w:tcPr>
          <w:p w14:paraId="0530FE04">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Senior Management</w:t>
            </w:r>
          </w:p>
        </w:tc>
      </w:tr>
    </w:tbl>
    <w:p w14:paraId="47BF1558">
      <w:pPr>
        <w:pStyle w:val="10"/>
        <w:jc w:val="center"/>
        <w:rPr>
          <w:rFonts w:hint="default" w:ascii="Times New Roman Regular" w:hAnsi="Times New Roman Regular" w:cs="Times New Roman Regular"/>
          <w:sz w:val="28"/>
          <w:szCs w:val="28"/>
        </w:rPr>
      </w:pPr>
      <w:r>
        <w:rPr>
          <w:rFonts w:hint="default" w:ascii="Times New Roman Regular" w:hAnsi="Times New Roman Regular" w:cs="Times New Roman Regular"/>
          <w:i/>
          <w:sz w:val="28"/>
          <w:szCs w:val="28"/>
        </w:rPr>
        <w:t>Table 3. Implementation action plan</w:t>
      </w:r>
    </w:p>
    <w:p w14:paraId="6323EB5C">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main risks are reward-cost inflation, customer confusion, operational complexity and data-privacy concerns. These can be managed through pilot testing, simple app design, controlled reward budgets and transparent personalisation settings. Customers should be able to control preferences and opt out of personalised offers.</w:t>
      </w:r>
    </w:p>
    <w:p w14:paraId="2CD06537">
      <w:pPr>
        <w:pStyle w:val="2"/>
        <w:rPr>
          <w:rFonts w:hint="default" w:ascii="Times New Roman Regular" w:hAnsi="Times New Roman Regular" w:cs="Times New Roman Regular"/>
          <w:sz w:val="28"/>
          <w:szCs w:val="28"/>
        </w:rPr>
      </w:pPr>
      <w:bookmarkStart w:id="7" w:name="_Toc976945352"/>
      <w:r>
        <w:rPr>
          <w:rFonts w:hint="default" w:ascii="Times New Roman Regular" w:hAnsi="Times New Roman Regular" w:cs="Times New Roman Regular"/>
          <w:sz w:val="28"/>
          <w:szCs w:val="28"/>
          <w:lang w:val="en-US" w:eastAsia="zh-CN"/>
        </w:rPr>
        <w:t>6</w:t>
      </w:r>
      <w:r>
        <w:rPr>
          <w:rFonts w:hint="default" w:ascii="Times New Roman Regular" w:hAnsi="Times New Roman Regular" w:cs="Times New Roman Regular"/>
          <w:sz w:val="28"/>
          <w:szCs w:val="28"/>
        </w:rPr>
        <w:t>. Control</w:t>
      </w:r>
      <w:bookmarkEnd w:id="7"/>
      <w:r>
        <w:rPr>
          <w:rFonts w:hint="default" w:ascii="Times New Roman Regular" w:hAnsi="Times New Roman Regular" w:cs="Times New Roman Regular"/>
          <w:sz w:val="28"/>
          <w:szCs w:val="28"/>
        </w:rPr>
        <w:t xml:space="preserve"> </w:t>
      </w:r>
    </w:p>
    <w:p w14:paraId="15D29F3C">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Control should be built into the plan from the beginning. The programme should not be evaluated only by sales. It should also be measured through engagement, retention, profitability, customer experience and brand perception. Marketing metrics are useful when they connect marketing activity with customer behaviour and business outcomes (Kotler, Keller and Chernev, 2022).</w:t>
      </w:r>
    </w:p>
    <w:tbl>
      <w:tblPr>
        <w:tblStyle w:val="8"/>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10"/>
        <w:gridCol w:w="2957"/>
        <w:gridCol w:w="2755"/>
      </w:tblGrid>
      <w:tr w14:paraId="04E5CF0B">
        <w:trPr>
          <w:tblHeader/>
          <w:jc w:val="center"/>
        </w:trPr>
        <w:tc>
          <w:tcPr>
            <w:tcW w:w="3264" w:type="dxa"/>
            <w:shd w:val="clear" w:color="auto" w:fill="1F4E79"/>
            <w:vAlign w:val="center"/>
          </w:tcPr>
          <w:p w14:paraId="7FDE9486">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color w:val="FFFFFF"/>
                <w:sz w:val="28"/>
                <w:szCs w:val="28"/>
              </w:rPr>
              <w:t>Control Area</w:t>
            </w:r>
          </w:p>
        </w:tc>
        <w:tc>
          <w:tcPr>
            <w:tcW w:w="3264" w:type="dxa"/>
            <w:shd w:val="clear" w:color="auto" w:fill="1F4E79"/>
            <w:vAlign w:val="center"/>
          </w:tcPr>
          <w:p w14:paraId="7AE9D3DD">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color w:val="FFFFFF"/>
                <w:sz w:val="28"/>
                <w:szCs w:val="28"/>
              </w:rPr>
              <w:t>KPI</w:t>
            </w:r>
          </w:p>
        </w:tc>
        <w:tc>
          <w:tcPr>
            <w:tcW w:w="3264" w:type="dxa"/>
            <w:shd w:val="clear" w:color="auto" w:fill="1F4E79"/>
            <w:vAlign w:val="center"/>
          </w:tcPr>
          <w:p w14:paraId="4448D2FF">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color w:val="FFFFFF"/>
                <w:sz w:val="28"/>
                <w:szCs w:val="28"/>
              </w:rPr>
              <w:t>Target</w:t>
            </w:r>
          </w:p>
        </w:tc>
      </w:tr>
      <w:tr w14:paraId="46AC078B">
        <w:trPr>
          <w:jc w:val="center"/>
        </w:trPr>
        <w:tc>
          <w:tcPr>
            <w:tcW w:w="3264" w:type="dxa"/>
            <w:vAlign w:val="center"/>
          </w:tcPr>
          <w:p w14:paraId="60C299F4">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Digital engagement</w:t>
            </w:r>
          </w:p>
        </w:tc>
        <w:tc>
          <w:tcPr>
            <w:tcW w:w="3264" w:type="dxa"/>
            <w:vAlign w:val="center"/>
          </w:tcPr>
          <w:p w14:paraId="66B59B5B">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Monthly active app users</w:t>
            </w:r>
          </w:p>
        </w:tc>
        <w:tc>
          <w:tcPr>
            <w:tcW w:w="3264" w:type="dxa"/>
            <w:vAlign w:val="center"/>
          </w:tcPr>
          <w:p w14:paraId="30C5F1D2">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+12%</w:t>
            </w:r>
          </w:p>
        </w:tc>
      </w:tr>
      <w:tr w14:paraId="6C70638A">
        <w:trPr>
          <w:jc w:val="center"/>
        </w:trPr>
        <w:tc>
          <w:tcPr>
            <w:tcW w:w="3264" w:type="dxa"/>
            <w:vAlign w:val="center"/>
          </w:tcPr>
          <w:p w14:paraId="6C40593F">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Loyalty adoption</w:t>
            </w:r>
          </w:p>
        </w:tc>
        <w:tc>
          <w:tcPr>
            <w:tcW w:w="3264" w:type="dxa"/>
            <w:vAlign w:val="center"/>
          </w:tcPr>
          <w:p w14:paraId="0DF798BC">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Users enrolled in My</w:t>
            </w:r>
            <w:r>
              <w:rPr>
                <w:rFonts w:hint="default" w:ascii="Times New Roman Regular" w:hAnsi="Times New Roman Regular" w:cs="Times New Roman Regular"/>
                <w:b w:val="0"/>
                <w:sz w:val="28"/>
                <w:szCs w:val="28"/>
                <w:lang w:val="en-US"/>
              </w:rPr>
              <w:t xml:space="preserve"> </w:t>
            </w:r>
            <w:r>
              <w:rPr>
                <w:rFonts w:hint="default" w:ascii="Times New Roman Regular" w:hAnsi="Times New Roman Regular" w:eastAsia="Times New Roman" w:cs="Times New Roman Regular"/>
                <w:b w:val="0"/>
                <w:sz w:val="28"/>
                <w:szCs w:val="28"/>
              </w:rPr>
              <w:t>McDonald’s Plus</w:t>
            </w:r>
          </w:p>
        </w:tc>
        <w:tc>
          <w:tcPr>
            <w:tcW w:w="3264" w:type="dxa"/>
            <w:vAlign w:val="center"/>
          </w:tcPr>
          <w:p w14:paraId="0E891235">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+15%</w:t>
            </w:r>
          </w:p>
        </w:tc>
      </w:tr>
      <w:tr w14:paraId="1D09CF85">
        <w:trPr>
          <w:jc w:val="center"/>
        </w:trPr>
        <w:tc>
          <w:tcPr>
            <w:tcW w:w="3264" w:type="dxa"/>
            <w:vAlign w:val="center"/>
          </w:tcPr>
          <w:p w14:paraId="76F8DC3D">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Favourite function</w:t>
            </w:r>
          </w:p>
        </w:tc>
        <w:tc>
          <w:tcPr>
            <w:tcW w:w="3264" w:type="dxa"/>
            <w:vAlign w:val="center"/>
          </w:tcPr>
          <w:p w14:paraId="49D99599">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Active users saving at least one item</w:t>
            </w:r>
          </w:p>
        </w:tc>
        <w:tc>
          <w:tcPr>
            <w:tcW w:w="3264" w:type="dxa"/>
            <w:vAlign w:val="center"/>
          </w:tcPr>
          <w:p w14:paraId="20134867">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25% adoption</w:t>
            </w:r>
          </w:p>
        </w:tc>
      </w:tr>
      <w:tr w14:paraId="779FE2C6">
        <w:trPr>
          <w:jc w:val="center"/>
        </w:trPr>
        <w:tc>
          <w:tcPr>
            <w:tcW w:w="3264" w:type="dxa"/>
            <w:vAlign w:val="center"/>
          </w:tcPr>
          <w:p w14:paraId="7F38AA96">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Retention</w:t>
            </w:r>
          </w:p>
        </w:tc>
        <w:tc>
          <w:tcPr>
            <w:tcW w:w="3264" w:type="dxa"/>
            <w:vAlign w:val="center"/>
          </w:tcPr>
          <w:p w14:paraId="08929DDC">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Loyalty-member repeat purchase rate</w:t>
            </w:r>
          </w:p>
        </w:tc>
        <w:tc>
          <w:tcPr>
            <w:tcW w:w="3264" w:type="dxa"/>
            <w:vAlign w:val="center"/>
          </w:tcPr>
          <w:p w14:paraId="31AC4F34">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+8%</w:t>
            </w:r>
          </w:p>
        </w:tc>
      </w:tr>
      <w:tr w14:paraId="44104960">
        <w:trPr>
          <w:jc w:val="center"/>
        </w:trPr>
        <w:tc>
          <w:tcPr>
            <w:tcW w:w="3264" w:type="dxa"/>
            <w:vAlign w:val="center"/>
          </w:tcPr>
          <w:p w14:paraId="193DC1FF">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Tier migration</w:t>
            </w:r>
          </w:p>
        </w:tc>
        <w:tc>
          <w:tcPr>
            <w:tcW w:w="3264" w:type="dxa"/>
            <w:vAlign w:val="center"/>
          </w:tcPr>
          <w:p w14:paraId="6635E502">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Classic members moving to Silver or above</w:t>
            </w:r>
          </w:p>
        </w:tc>
        <w:tc>
          <w:tcPr>
            <w:tcW w:w="3264" w:type="dxa"/>
            <w:vAlign w:val="center"/>
          </w:tcPr>
          <w:p w14:paraId="562BBDC8">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20%</w:t>
            </w:r>
          </w:p>
        </w:tc>
      </w:tr>
      <w:tr w14:paraId="09B54552">
        <w:trPr>
          <w:jc w:val="center"/>
        </w:trPr>
        <w:tc>
          <w:tcPr>
            <w:tcW w:w="3264" w:type="dxa"/>
            <w:vAlign w:val="center"/>
          </w:tcPr>
          <w:p w14:paraId="69ED85DD">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Commercial performance</w:t>
            </w:r>
          </w:p>
        </w:tc>
        <w:tc>
          <w:tcPr>
            <w:tcW w:w="3264" w:type="dxa"/>
            <w:vAlign w:val="center"/>
          </w:tcPr>
          <w:p w14:paraId="6DC5EA7D">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Average order value among members</w:t>
            </w:r>
          </w:p>
        </w:tc>
        <w:tc>
          <w:tcPr>
            <w:tcW w:w="3264" w:type="dxa"/>
            <w:vAlign w:val="center"/>
          </w:tcPr>
          <w:p w14:paraId="50DF8B13">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+5%</w:t>
            </w:r>
          </w:p>
        </w:tc>
      </w:tr>
      <w:tr w14:paraId="34AE83A0">
        <w:trPr>
          <w:jc w:val="center"/>
        </w:trPr>
        <w:tc>
          <w:tcPr>
            <w:tcW w:w="3264" w:type="dxa"/>
            <w:vAlign w:val="center"/>
          </w:tcPr>
          <w:p w14:paraId="538D864A">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Profitability</w:t>
            </w:r>
          </w:p>
        </w:tc>
        <w:tc>
          <w:tcPr>
            <w:tcW w:w="3264" w:type="dxa"/>
            <w:vAlign w:val="center"/>
          </w:tcPr>
          <w:p w14:paraId="13387AA0">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Reward cost as percentage of incremental revenue</w:t>
            </w:r>
          </w:p>
        </w:tc>
        <w:tc>
          <w:tcPr>
            <w:tcW w:w="3264" w:type="dxa"/>
            <w:vAlign w:val="center"/>
          </w:tcPr>
          <w:p w14:paraId="159AD7CD">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Within agreed limit</w:t>
            </w:r>
          </w:p>
        </w:tc>
      </w:tr>
      <w:tr w14:paraId="16C99F95">
        <w:trPr>
          <w:jc w:val="center"/>
        </w:trPr>
        <w:tc>
          <w:tcPr>
            <w:tcW w:w="3264" w:type="dxa"/>
            <w:vAlign w:val="center"/>
          </w:tcPr>
          <w:p w14:paraId="1FF60110">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Experience</w:t>
            </w:r>
          </w:p>
        </w:tc>
        <w:tc>
          <w:tcPr>
            <w:tcW w:w="3264" w:type="dxa"/>
            <w:vAlign w:val="center"/>
          </w:tcPr>
          <w:p w14:paraId="790A7300">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App checkout abandonment rate</w:t>
            </w:r>
          </w:p>
        </w:tc>
        <w:tc>
          <w:tcPr>
            <w:tcW w:w="3264" w:type="dxa"/>
            <w:vAlign w:val="center"/>
          </w:tcPr>
          <w:p w14:paraId="0CE05564">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-10%</w:t>
            </w:r>
          </w:p>
        </w:tc>
      </w:tr>
      <w:tr w14:paraId="42383503">
        <w:trPr>
          <w:jc w:val="center"/>
        </w:trPr>
        <w:tc>
          <w:tcPr>
            <w:tcW w:w="3264" w:type="dxa"/>
            <w:vAlign w:val="center"/>
          </w:tcPr>
          <w:p w14:paraId="0A8674B8">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Service reliability</w:t>
            </w:r>
          </w:p>
        </w:tc>
        <w:tc>
          <w:tcPr>
            <w:tcW w:w="3264" w:type="dxa"/>
            <w:vAlign w:val="center"/>
          </w:tcPr>
          <w:p w14:paraId="3868DDDD">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Complaints about points or rewards</w:t>
            </w:r>
          </w:p>
        </w:tc>
        <w:tc>
          <w:tcPr>
            <w:tcW w:w="3264" w:type="dxa"/>
            <w:vAlign w:val="center"/>
          </w:tcPr>
          <w:p w14:paraId="502107C1">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Below monthly threshold</w:t>
            </w:r>
          </w:p>
        </w:tc>
      </w:tr>
      <w:tr w14:paraId="676AF264">
        <w:trPr>
          <w:jc w:val="center"/>
        </w:trPr>
        <w:tc>
          <w:tcPr>
            <w:tcW w:w="3264" w:type="dxa"/>
            <w:vAlign w:val="center"/>
          </w:tcPr>
          <w:p w14:paraId="4A461A09">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Brand perception</w:t>
            </w:r>
          </w:p>
        </w:tc>
        <w:tc>
          <w:tcPr>
            <w:tcW w:w="3264" w:type="dxa"/>
            <w:vAlign w:val="center"/>
          </w:tcPr>
          <w:p w14:paraId="1BAAA70F">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Value-for-money score</w:t>
            </w:r>
          </w:p>
        </w:tc>
        <w:tc>
          <w:tcPr>
            <w:tcW w:w="3264" w:type="dxa"/>
            <w:vAlign w:val="center"/>
          </w:tcPr>
          <w:p w14:paraId="703CBB88">
            <w:pPr>
              <w:spacing w:after="0"/>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val="0"/>
                <w:sz w:val="28"/>
                <w:szCs w:val="28"/>
              </w:rPr>
              <w:t>+5 percentage points</w:t>
            </w:r>
          </w:p>
        </w:tc>
      </w:tr>
    </w:tbl>
    <w:p w14:paraId="1CA6BA76">
      <w:pPr>
        <w:pStyle w:val="10"/>
        <w:jc w:val="center"/>
        <w:rPr>
          <w:rFonts w:hint="default" w:ascii="Times New Roman Regular" w:hAnsi="Times New Roman Regular" w:cs="Times New Roman Regular"/>
          <w:sz w:val="28"/>
          <w:szCs w:val="28"/>
        </w:rPr>
      </w:pPr>
      <w:r>
        <w:rPr>
          <w:rFonts w:hint="default" w:ascii="Times New Roman Regular" w:hAnsi="Times New Roman Regular" w:cs="Times New Roman Regular"/>
          <w:i/>
          <w:sz w:val="28"/>
          <w:szCs w:val="28"/>
        </w:rPr>
        <w:t>Table 4. Control dashboard and KPIs</w:t>
      </w:r>
    </w:p>
    <w:p w14:paraId="0F3CF0A8">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key control principle is balance. If the programme increases visits but reduces profitability, reward generosity should be adjusted. If customers like rewards but do not use the favourite function, the app design should be simplified. If Gold and Black Card tiers are too difficult to reach, thresholds should be reviewed. If staff report customer confusion, training and in-store communication should be improved.</w:t>
      </w:r>
    </w:p>
    <w:p w14:paraId="3D33B161">
      <w:pPr>
        <w:pStyle w:val="2"/>
        <w:rPr>
          <w:rFonts w:hint="default" w:ascii="Times New Roman Regular" w:hAnsi="Times New Roman Regular" w:cs="Times New Roman Regular"/>
          <w:sz w:val="28"/>
          <w:szCs w:val="28"/>
        </w:rPr>
      </w:pPr>
      <w:bookmarkStart w:id="8" w:name="_Toc2008049749"/>
      <w:r>
        <w:rPr>
          <w:rFonts w:hint="default" w:ascii="Times New Roman Regular" w:hAnsi="Times New Roman Regular" w:cs="Times New Roman Regular"/>
          <w:sz w:val="28"/>
          <w:szCs w:val="28"/>
        </w:rPr>
        <w:t>8. Continuous Improvement</w:t>
      </w:r>
      <w:bookmarkEnd w:id="8"/>
    </w:p>
    <w:p w14:paraId="159B4F2E">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plan should follow a test-and-learn approach. Each month, McDonald’s UK should analyse which rewards are most used, which tiers have the highest retention, which favourite items are most saved and which customer groups respond best to personalised offers. A/B testing should compare app messages, progress-bar designs, reward thresholds and push-notification frequency.</w:t>
      </w:r>
    </w:p>
    <w:p w14:paraId="12C6B921">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Continuous improvement should be guided by four questions: what is working, what is not working, why is it happening, and what should change next? For example, if Silver members show strong repeat purchase but Gold conversion is weak, McDonald’s may need to create a mid-tier challenge. If customers save favourites but do not reorder them, saved meals should be made more visible at checkout. If personalised offers create complaints, the company should make personalisation rules clearer and easier to control.</w:t>
      </w:r>
    </w:p>
    <w:p w14:paraId="34F54166">
      <w:pPr>
        <w:pStyle w:val="2"/>
        <w:rPr>
          <w:rFonts w:hint="default" w:ascii="Times New Roman Regular" w:hAnsi="Times New Roman Regular" w:cs="Times New Roman Regular"/>
          <w:sz w:val="28"/>
          <w:szCs w:val="28"/>
        </w:rPr>
      </w:pPr>
      <w:bookmarkStart w:id="9" w:name="_Toc1586618838"/>
      <w:r>
        <w:rPr>
          <w:rFonts w:hint="default" w:ascii="Times New Roman Regular" w:hAnsi="Times New Roman Regular" w:cs="Times New Roman Regular"/>
          <w:sz w:val="28"/>
          <w:szCs w:val="28"/>
        </w:rPr>
        <w:t>9. Conclusion</w:t>
      </w:r>
      <w:bookmarkEnd w:id="9"/>
    </w:p>
    <w:p w14:paraId="528062EF">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McDonald’s UK remains a strong fast-food market leader, but its future advantage cannot be assumed. The company faces intense rivalry, high buyer power, substitutes, public-health regulation and rising costs. It also showed that McDonald’s has valuable resources, including its brand, restaurant network, franchise system, operational consistency and digital ecosystem. However, digital loyalty is becoming easier to imitate, so the company must renew its loyalty system before it becomes only a competitive parity tool.</w:t>
      </w:r>
    </w:p>
    <w:p w14:paraId="09F6FB01">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 proposed My</w:t>
      </w:r>
      <w:r>
        <w:rPr>
          <w:rFonts w:hint="default" w:ascii="Times New Roman Regular" w:hAnsi="Times New Roman Regular" w:cs="Times New Roman Regular"/>
          <w:sz w:val="28"/>
          <w:szCs w:val="28"/>
          <w:lang w:val="en-US"/>
        </w:rPr>
        <w:t xml:space="preserve"> </w:t>
      </w:r>
      <w:r>
        <w:rPr>
          <w:rFonts w:hint="default" w:ascii="Times New Roman Regular" w:hAnsi="Times New Roman Regular" w:cs="Times New Roman Regular"/>
          <w:sz w:val="28"/>
          <w:szCs w:val="28"/>
        </w:rPr>
        <w:t>McDonald’s Plus strategy directly addresses this issue. By upgrading the existing loyalty system into a tiered membership programme with a favourite/like function and personalised member benefits, McDonald’s UK can make its app more useful, more distinctive and more emotionally engaging. The plan supports performance by increasing app engagement, purchase frequency, customer lifetime value, first-party data quality and perceived value. Overall, the plan is strategically justified because it uses McDonald’s existing strengths while responding to current market pressures.</w:t>
      </w:r>
    </w:p>
    <w:p w14:paraId="68894EDE">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br w:type="page"/>
      </w:r>
    </w:p>
    <w:p w14:paraId="2717AFAE">
      <w:pPr>
        <w:pStyle w:val="2"/>
        <w:rPr>
          <w:rFonts w:hint="default" w:ascii="Times New Roman Regular" w:hAnsi="Times New Roman Regular" w:cs="Times New Roman Regular"/>
          <w:sz w:val="28"/>
          <w:szCs w:val="28"/>
        </w:rPr>
      </w:pPr>
      <w:bookmarkStart w:id="10" w:name="_Toc998365467"/>
      <w:r>
        <w:rPr>
          <w:rFonts w:hint="default" w:ascii="Times New Roman Regular" w:hAnsi="Times New Roman Regular" w:cs="Times New Roman Regular"/>
          <w:sz w:val="28"/>
          <w:szCs w:val="28"/>
        </w:rPr>
        <w:t>References</w:t>
      </w:r>
      <w:bookmarkEnd w:id="10"/>
    </w:p>
    <w:p w14:paraId="0789460E">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Becker, L. and Jaakkola, E. (2020) 'Customer experience: fundamental premises and implications for research', Journal of the Academy of Marketing Science, 48(4), pp. 630-648. doi: 10.1007/s11747-019-00718-x.</w:t>
      </w:r>
    </w:p>
    <w:p w14:paraId="20EA226C">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Bonfanti, A., Rossato, C., Vigolo, V. and Vargas-Sánchez, A. (2023) 'Improving online food ordering and delivery service quality by managing customer expectations: evidence from Italy', British Food Journal, 125(13), pp. 164-182. doi: 10.1108/BFJ-08-2022-0694.</w:t>
      </w:r>
    </w:p>
    <w:p w14:paraId="3C7D783E">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Chaffey, D. and Ellis-Chadwick, F. (2022) Digital Marketing: Strategy, Implementation and Practice. 8th edn. Harlow: Pearson.</w:t>
      </w:r>
    </w:p>
    <w:p w14:paraId="79039C31">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Chaffey, D. and Smith, P.R. (2022) Digital Marketing Excellence: Planning, Optimising and Integrating Online Marketing. 6th edn. London: Routledge.</w:t>
      </w:r>
    </w:p>
    <w:p w14:paraId="3E8AB419">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Dwivedi, Y.K., Ismagilova, E., Hughes, D.L., Carlson, J., Filieri, R., Jacobson, J. et al. (2021) 'Setting the future of digital and social media marketing research: perspectives and research propositions', International Journal of Information Management, 59, 102168. doi: 10.1016/j.ijinfomgt.2020.102168.</w:t>
      </w:r>
    </w:p>
    <w:p w14:paraId="0CB2F12A">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Foroughi, B., Yadegaridehkordi, E., Iranmanesh, M., Sukcharoen, T., Ghobakhloo, M. and Nilashi, M. (2024) 'Determinants of continuance intention to use food delivery apps: findings from PLS and fsQCA', International Journal of Contemporary Hospitality Management, 36(4), pp. 1235-1261. doi: 10.1108/IJCHM-10-2022-1209.</w:t>
      </w:r>
    </w:p>
    <w:p w14:paraId="1532F978">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García Bulle Bueno, B., Horn, A.L., Bell, B.M. et al. (2024) 'Effect of mobile food environments on fast food visits', Nature Communications, 15, 2291. doi: 10.1038/s41467-024-46425-2.</w:t>
      </w:r>
    </w:p>
    <w:p w14:paraId="6DBE9589">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Hollebeek, L.D., Das, K. and Shukla, Y. (2021) 'Game on! How gamified loyalty programs boost customer engagement value', International Journal of Information Management, 61, 102308. doi: 10.1016/j.ijinfomgt.2021.102308.</w:t>
      </w:r>
    </w:p>
    <w:p w14:paraId="7FC55B34">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Jobber, D. and Ellis-Chadwick, F. (2023) Principles and Practice of Marketing. 10th edn. London: McGraw-Hill Education.</w:t>
      </w:r>
    </w:p>
    <w:p w14:paraId="41B26C66">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Johnstone, A.M., Lonnie, M. and FIO Food Project Team (2024) 'Tackling diet inequalities in the UK food system: is food insecurity driving the obesity epidemic?', Proceedings of the Nutrition Society, 83(3), pp. 133-141. doi: 10.1017/S0029665123004871.</w:t>
      </w:r>
    </w:p>
    <w:p w14:paraId="0F79FC6A">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Kotler, P., Keller, K.L. and Chernev, A. (2022) Marketing Management. 16th edn. Harlow: Pearson.</w:t>
      </w:r>
    </w:p>
    <w:p w14:paraId="08558135">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Lin, P.M.C., Au, W.C.W. and Baum, T. (2024) 'Service quality of online food delivery mobile application: an examination of the spillover effects of mobile app satisfaction', International Journal of Contemporary Hospitality Management, 36(3), pp. 906-926. doi: 10.1108/IJCHM-09-2022-1103.</w:t>
      </w:r>
    </w:p>
    <w:p w14:paraId="2ECB6396">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Mendocilla, M., Miravitlles Matamoros, P. and Matute, J. (2021) 'QUICKSERV: a service quality assessment tool for the quick-service restaurant industry', British Food Journal, 123(13), pp. 241-259. doi: 10.1108/BFJ-12-2020-1108.</w:t>
      </w:r>
    </w:p>
    <w:p w14:paraId="5193328A">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Pineda, E., Stockton, J., Scholes, S., Lassale, C. and Mindell, J.S. (2024) 'Food environment and obesity: a systematic review and meta-analysis', BMJ Nutrition, Prevention &amp; Health, 7(1), pp. 204-211. doi: 10.1136/bmjnph-2023-000663.</w:t>
      </w:r>
    </w:p>
    <w:p w14:paraId="7467F2DF">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Rust, R.T. (2020) 'The future of marketing', International Journal of Research in Marketing, 37(1), pp. 15-26. doi: 10.1016/j.ijresmar.2019.08.002.</w:t>
      </w:r>
    </w:p>
    <w:p w14:paraId="79369F10">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Sheth, J. (2021) 'New areas of research in marketing strategy, consumer behaviour, and marketing analytics: the future is bright', Journal of Marketing Theory and Practice, 29(1), pp. 3-12. doi: 10.1080/10696679.2020.1860679.</w:t>
      </w:r>
    </w:p>
    <w:p w14:paraId="6D8E524E">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Veas-González, I., Carrión-Bósquez, N.G., Serrano-Malebran, J., Veneros-Alquinta, D., García-Umaña, A. and Campusano-Campusano, M. (2024) 'Exploring the moderating effect of brand image on the relationship between customer satisfaction and repurchase intentions in the fast-food industry', British Food Journal, 126(7), pp. 2714-2731. doi: 10.1108/BFJ-01-2024-0077.</w:t>
      </w:r>
    </w:p>
    <w:p w14:paraId="0ADB5C8C">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Verhoef, P.C., Broekhuizen, T., Bart, Y., Bhattacharya, A., Dong, J.Q., Fabian, N. and Haenlein, M. (2021) 'Digital transformation: a multidisciplinary reflection and research agenda', Journal of Business Research, 122, pp. 889-901. doi: 10.1016/j.jbusres.2019.09.022.</w:t>
      </w:r>
    </w:p>
    <w:p w14:paraId="3AC22B7D">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Wirtz, J. and Lovelock, C. (2021) Services Marketing: People, Technology, Strategy. 9th edn. Singapore: World Scientific.</w:t>
      </w:r>
    </w:p>
    <w:p w14:paraId="64E7D66D">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Zeithaml, V.A., Verleye, K., Hatak, I., Koller, M. and Zauner, A. (2020) 'Three decades of customer value research: paradigmatic roots and future research avenues', Journal of Service Research, 23(4), pp. 409-432. doi: 10.1177/1094670520948134.</w:t>
      </w:r>
    </w:p>
    <w:p w14:paraId="242E5F42">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Department of Health and Social Care and Department for Culture, Media and Sport (2026) Less healthy food or drink: advertising and promotions restrictions. London: GOV.UK. Available at: https://www.gov.uk/government/collections/less-healthy-food-or-drink-advertising-and-promotions-restrictions (Accessed: 12 May 2026).</w:t>
      </w:r>
    </w:p>
    <w:p w14:paraId="1E45DC7C">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Low Pay Commission (2026) National Living Wage increases to £12.71 per hour. London: GOV.UK. Available at: https://www.gov.uk/government/news/national-living-wage-increases-to-1271-per-hour (Accessed: 12 May 2026).</w:t>
      </w:r>
    </w:p>
    <w:p w14:paraId="16B606E4">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McDonald’s Corporation (2026) McDonald’s reports fourth quarter and full year 2025 results. Chicago: McDonald’s Corporation. Available at: https://corporate.mcdonalds.com/content/mcdonalds/corpmcd/our-stories/article/Q4-full-year-2025-results.html (Accessed: 12 May 2026).</w:t>
      </w:r>
    </w:p>
    <w:p w14:paraId="28093033">
      <w:pPr>
        <w:pStyle w:val="10"/>
        <w:ind w:left="360" w:hanging="36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McDonald’s UK (2026) MyMcDonald’s Rewards. London: McDonald’s UK. Available at: https://www.mcdonalds.com/gb/en-gb/good-to-know/in-our-restaurants/my-mcdonalds-app/rewards.html (Accessed: 12 May 2026).</w:t>
      </w:r>
    </w:p>
    <w:p w14:paraId="06DA64E3">
      <w:p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McDonald’s UK (2026) How do I earn MyMcDonald’s Rewards points? London: McDonald’s Customer Services. Available at: https://customerservices.mcdonalds.co.uk/hc/en-gb/articles/4416080251409-How-do-I-earn-MyMcDonald-s-Reward-points (Accessed: 12 May 2026).</w:t>
      </w: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Calibri Light">
    <w:altName w:val="Helvetica Neue"/>
    <w:panose1 w:val="00000000000000000000"/>
    <w:charset w:val="00"/>
    <w:family w:val="auto"/>
    <w:pitch w:val="default"/>
    <w:sig w:usb0="00000000" w:usb1="00000000" w:usb2="00000000" w:usb3="00000000" w:csb0="00000000"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宋体-简">
    <w:panose1 w:val="02010800040101010101"/>
    <w:charset w:val="86"/>
    <w:family w:val="auto"/>
    <w:pitch w:val="default"/>
    <w:sig w:usb0="00000001" w:usb1="080F0000" w:usb2="00000000" w:usb3="00000000" w:csb0="00040000" w:csb1="00000000"/>
  </w:font>
  <w:font w:name="黑体">
    <w:altName w:val="汉仪中黑KW"/>
    <w:panose1 w:val="02010609060101010101"/>
    <w:charset w:val="00"/>
    <w:family w:val="auto"/>
    <w:pitch w:val="default"/>
    <w:sig w:usb0="800002BF" w:usb1="38CF7CFA" w:usb2="00000016" w:usb3="00000000" w:csb0="00040001" w:csb1="00000000"/>
  </w:font>
  <w:font w:name="Times New Roman Regular">
    <w:panose1 w:val="02020503050405090304"/>
    <w:charset w:val="00"/>
    <w:family w:val="auto"/>
    <w:pitch w:val="default"/>
    <w:sig w:usb0="E0000AFF" w:usb1="00007843" w:usb2="00000001" w:usb3="00000000" w:csb0="400001BF" w:csb1="DFF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FED883">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53957C9D">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lef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14:paraId="53957C9D">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attachedTemplate r:id="rId1"/>
  <w:documentProtection w:edit="readOnly"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4BFFCA14"/>
    <w:rsid w:val="6EFF6F90"/>
    <w:rsid w:val="8DFBA425"/>
    <w:rsid w:val="AC7BCC4C"/>
    <w:rsid w:val="B1D4CE47"/>
    <w:rsid w:val="FEFF5B28"/>
    <w:rsid w:val="FFF5B7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f" stroke="f">
      <v:fill on="f" focussize="0,0"/>
      <v:stroke on="f"/>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5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276" w:lineRule="auto"/>
    </w:pPr>
    <w:rPr>
      <w:rFonts w:ascii="Times New Roman" w:hAnsi="Times New Roman" w:eastAsia="Times New Roman" w:cstheme="minorBidi"/>
      <w:sz w:val="23"/>
      <w:szCs w:val="22"/>
      <w:lang w:val="en-US" w:eastAsia="en-US" w:bidi="ar-SA"/>
    </w:rPr>
  </w:style>
  <w:style w:type="paragraph" w:styleId="2">
    <w:name w:val="heading 1"/>
    <w:basedOn w:val="1"/>
    <w:next w:val="1"/>
    <w:qFormat/>
    <w:uiPriority w:val="9"/>
    <w:pPr>
      <w:keepNext/>
      <w:keepLines/>
      <w:spacing w:before="200" w:after="100"/>
      <w:outlineLvl w:val="0"/>
    </w:pPr>
    <w:rPr>
      <w:rFonts w:asciiTheme="majorHAnsi" w:hAnsiTheme="majorHAnsi" w:eastAsiaTheme="majorEastAsia" w:cstheme="majorBidi"/>
      <w:b/>
      <w:bCs/>
      <w:color w:val="1F4E79"/>
      <w:sz w:val="32"/>
      <w:szCs w:val="28"/>
    </w:rPr>
  </w:style>
  <w:style w:type="paragraph" w:styleId="3">
    <w:name w:val="heading 2"/>
    <w:basedOn w:val="1"/>
    <w:next w:val="1"/>
    <w:unhideWhenUsed/>
    <w:qFormat/>
    <w:uiPriority w:val="9"/>
    <w:pPr>
      <w:keepNext/>
      <w:keepLines/>
      <w:spacing w:before="200" w:after="100"/>
      <w:outlineLvl w:val="1"/>
    </w:pPr>
    <w:rPr>
      <w:rFonts w:asciiTheme="majorHAnsi" w:hAnsiTheme="majorHAnsi" w:eastAsiaTheme="majorEastAsia" w:cstheme="majorBidi"/>
      <w:b/>
      <w:bCs/>
      <w:color w:val="2F5597"/>
      <w:sz w:val="27"/>
      <w:szCs w:val="26"/>
    </w:rPr>
  </w:style>
  <w:style w:type="character" w:default="1" w:styleId="9">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4">
    <w:name w:val="footer"/>
    <w:basedOn w:val="1"/>
    <w:uiPriority w:val="0"/>
    <w:pPr>
      <w:widowControl w:val="0"/>
      <w:tabs>
        <w:tab w:val="center" w:pos="4153"/>
        <w:tab w:val="right" w:pos="8306"/>
      </w:tabs>
      <w:snapToGrid w:val="0"/>
      <w:spacing w:after="0" w:line="240" w:lineRule="auto"/>
      <w:jc w:val="left"/>
    </w:pPr>
    <w:rPr>
      <w:rFonts w:eastAsia="宋体" w:cstheme="minorBidi"/>
      <w:kern w:val="2"/>
      <w:sz w:val="18"/>
      <w:szCs w:val="20"/>
      <w:lang w:eastAsia="zh-CN"/>
    </w:rPr>
  </w:style>
  <w:style w:type="paragraph" w:styleId="5">
    <w:name w:val="header"/>
    <w:basedOn w:val="1"/>
    <w:uiPriority w:val="0"/>
    <w:pPr>
      <w:widowControl w:val="0"/>
      <w:pBdr>
        <w:top w:val="none" w:color="auto" w:sz="0" w:space="1"/>
        <w:left w:val="none" w:color="auto" w:sz="0" w:space="4"/>
        <w:bottom w:val="none" w:color="auto" w:sz="0" w:space="1"/>
        <w:right w:val="none" w:color="auto" w:sz="0" w:space="4"/>
      </w:pBdr>
      <w:tabs>
        <w:tab w:val="center" w:pos="4153"/>
        <w:tab w:val="right" w:pos="8306"/>
      </w:tabs>
      <w:snapToGrid w:val="0"/>
      <w:spacing w:after="0" w:line="240" w:lineRule="auto"/>
      <w:jc w:val="both"/>
      <w:outlineLvl w:val="9"/>
    </w:pPr>
    <w:rPr>
      <w:rFonts w:ascii="Times New Roman" w:hAnsi="Times New Roman" w:eastAsia="宋体" w:cstheme="minorBidi"/>
      <w:kern w:val="2"/>
      <w:sz w:val="18"/>
      <w:szCs w:val="20"/>
      <w:lang w:eastAsia="zh-CN"/>
    </w:rPr>
  </w:style>
  <w:style w:type="paragraph" w:styleId="6">
    <w:name w:val="toc 1"/>
    <w:basedOn w:val="1"/>
    <w:next w:val="1"/>
    <w:uiPriority w:val="0"/>
  </w:style>
  <w:style w:type="table" w:styleId="8">
    <w:name w:val="Table Grid"/>
    <w:basedOn w:val="7"/>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customStyle="1" w:styleId="10">
    <w:name w:val="Report Small"/>
    <w:uiPriority w:val="0"/>
    <w:pPr>
      <w:spacing w:after="60" w:line="252" w:lineRule="auto"/>
    </w:pPr>
    <w:rPr>
      <w:rFonts w:ascii="Times New Roman" w:hAnsi="Times New Roman" w:eastAsia="Times New Roman" w:cstheme="minorBidi"/>
      <w:sz w:val="19"/>
      <w:szCs w:val="22"/>
      <w:lang w:val="en-US" w:eastAsia="en-US"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Users/augenstren/Library/Containers/com.kingsoft.wpsoffice.mac/Data/Normal.wpt" TargetMode="Externa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简约型"/>
      <sectRole val="1"/>
    </customSectPr>
    <customSectPr/>
  </customSectProps>
  <customShpExts>
    <customShpInfo spid="_x0000_s1026" textRotate="1"/>
    <customShpInfo spid="_x0000_s1029"/>
    <customShpInfo spid="_x0000_s1030"/>
    <customShpInfo spid="_x0000_s103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24</Pages>
  <Words>0</Words>
  <Characters>0</Characters>
  <Lines>0</Lines>
  <Paragraphs>0</Paragraphs>
  <TotalTime>13</TotalTime>
  <ScaleCrop>false</ScaleCrop>
  <LinksUpToDate>false</LinksUpToDate>
  <CharactersWithSpaces>0</CharactersWithSpaces>
  <Application>WPS Office_12.1.25205.25205_F1E327BC-269C-435d-A152-05C5408002CA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2026-05-12T21:21:00Z</dcterms:created>
  <dc:creator>恰似少年时</dc:creator>
  <cp:lastModifiedBy>恰似少年时</cp:lastModifiedBy>
  <dcterms:modified xsi:type="dcterms:W3CDTF">2026-05-12T22:33:14Z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2052-12.1.25205.25205</vt:lpwstr>
  </property>
  <property fmtid="{D5CDD505-2E9C-101B-9397-08002B2CF9AE}" pid="3" name="ICV">
    <vt:lpwstr>219EEA947E22B9E99A9C036A13B06C66_43</vt:lpwstr>
  </property>
</Properties>
</file>