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B607EEF"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 xml:space="preserve">Student </w:t>
      </w:r>
      <w:r w:rsidR="0035384F" w:rsidRPr="00C83A82">
        <w:rPr>
          <w:rFonts w:ascii="Arial" w:hAnsi="Arial" w:cs="Arial"/>
          <w:b/>
          <w:bCs/>
          <w:sz w:val="28"/>
          <w:szCs w:val="28"/>
        </w:rPr>
        <w:t>name</w:t>
      </w:r>
      <w:r w:rsidR="005860DD">
        <w:rPr>
          <w:rFonts w:ascii="Arial" w:hAnsi="Arial" w:cs="Arial"/>
          <w:sz w:val="28"/>
          <w:szCs w:val="28"/>
        </w:rPr>
        <w:t xml:space="preserve">: </w:t>
      </w:r>
      <w:r w:rsidR="0035384F">
        <w:rPr>
          <w:rFonts w:ascii="Arial" w:hAnsi="Arial" w:cs="Arial"/>
          <w:sz w:val="28"/>
          <w:szCs w:val="28"/>
        </w:rPr>
        <w:t>Cristian Andrey Castillo Hurtado</w:t>
      </w:r>
    </w:p>
    <w:p w14:paraId="476C763A" w14:textId="24C1F13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005860DD">
        <w:rPr>
          <w:rFonts w:ascii="Arial" w:hAnsi="Arial" w:cs="Arial"/>
          <w:sz w:val="28"/>
          <w:szCs w:val="28"/>
          <w:lang w:val="nl-NL"/>
        </w:rPr>
        <w:t xml:space="preserve">: </w:t>
      </w:r>
      <w:r w:rsidR="0035384F">
        <w:rPr>
          <w:rFonts w:ascii="Arial" w:hAnsi="Arial" w:cs="Arial"/>
          <w:sz w:val="28"/>
          <w:szCs w:val="28"/>
          <w:lang w:val="nl-NL"/>
        </w:rPr>
        <w:t>25174151</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128BFE7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005860DD">
        <w:rPr>
          <w:rFonts w:ascii="Arial" w:hAnsi="Arial" w:cs="Arial"/>
          <w:b/>
          <w:bCs/>
          <w:sz w:val="28"/>
          <w:szCs w:val="28"/>
          <w:lang w:val="nl-NL"/>
        </w:rPr>
        <w:t xml:space="preserve">: </w:t>
      </w:r>
      <w:r w:rsidR="007A3329">
        <w:rPr>
          <w:rFonts w:ascii="Arial" w:hAnsi="Arial" w:cs="Arial"/>
          <w:b/>
          <w:bCs/>
          <w:sz w:val="28"/>
          <w:szCs w:val="28"/>
          <w:lang w:val="nl-NL"/>
        </w:rPr>
        <w:t>INTRODUCTION TO HEALTH AND SOCIAL CARE</w:t>
      </w:r>
    </w:p>
    <w:p w14:paraId="0009AFB0" w14:textId="0E5C75E2"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0035384F">
        <w:rPr>
          <w:rFonts w:ascii="Arial" w:hAnsi="Arial" w:cs="Arial"/>
          <w:b/>
          <w:bCs/>
          <w:sz w:val="28"/>
          <w:szCs w:val="28"/>
        </w:rPr>
        <w:t xml:space="preserve">: </w:t>
      </w:r>
      <w:r w:rsidR="0035384F">
        <w:rPr>
          <w:rFonts w:ascii="Arial" w:hAnsi="Arial" w:cs="Arial"/>
          <w:sz w:val="28"/>
          <w:szCs w:val="28"/>
          <w:lang w:val="nl-NL"/>
        </w:rPr>
        <w:t>LCHS003</w:t>
      </w:r>
    </w:p>
    <w:p w14:paraId="410C101D" w14:textId="6358721E" w:rsidR="00925D5E" w:rsidRDefault="00833470">
      <w:pPr>
        <w:sectPr w:rsidR="00925D5E">
          <w:headerReference w:type="default" r:id="rId9"/>
          <w:footerReference w:type="default" r:id="rId10"/>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bookmarkEnd w:id="0"/>
      <w:r w:rsidR="005860DD" w:rsidRPr="0020413D">
        <w:rPr>
          <w:rFonts w:ascii="Arial" w:hAnsi="Arial" w:cs="Arial"/>
          <w:b/>
          <w:bCs/>
          <w:sz w:val="28"/>
          <w:szCs w:val="28"/>
        </w:rPr>
        <w:t>name</w:t>
      </w:r>
      <w:r w:rsidR="005860DD" w:rsidRPr="0020413D">
        <w:t>:</w:t>
      </w:r>
      <w:r w:rsidR="005860DD">
        <w:t xml:space="preserve"> </w:t>
      </w:r>
      <w:r w:rsidR="0035384F">
        <w:t xml:space="preserve">SAM PARKER </w:t>
      </w:r>
    </w:p>
    <w:p w14:paraId="5AFFC33B" w14:textId="61BEDEC5" w:rsidR="003A000F" w:rsidRDefault="00731A7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5B880B62">
                <wp:simplePos x="0" y="0"/>
                <wp:positionH relativeFrom="page">
                  <wp:posOffset>3898900</wp:posOffset>
                </wp:positionH>
                <wp:positionV relativeFrom="paragraph">
                  <wp:posOffset>3784600</wp:posOffset>
                </wp:positionV>
                <wp:extent cx="3289300" cy="1908810"/>
                <wp:effectExtent l="19050" t="19050" r="4445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89300" cy="1908810"/>
                        </a:xfrm>
                        <a:prstGeom prst="rect">
                          <a:avLst/>
                        </a:prstGeom>
                        <a:solidFill>
                          <a:srgbClr val="FFFFFF"/>
                        </a:solidFill>
                        <a:ln w="47625">
                          <a:solidFill>
                            <a:srgbClr val="000000"/>
                          </a:solidFill>
                          <a:miter lim="800000"/>
                          <a:headEnd/>
                          <a:tailEnd/>
                        </a:ln>
                        <a:effectLst>
                          <a:softEdge rad="25400"/>
                        </a:effectLst>
                      </wps:spPr>
                      <wps:txbx>
                        <w:txbxContent>
                          <w:p w14:paraId="2390BEA4" w14:textId="5A525DFB" w:rsidR="00BE6BE0" w:rsidRPr="00731A75" w:rsidRDefault="00731A75" w:rsidP="00BE6BE0">
                            <w:pPr>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Current Functioning</w:t>
                            </w:r>
                          </w:p>
                          <w:p w14:paraId="509CCEFE" w14:textId="2BA1CC34" w:rsidR="00BE6BE0" w:rsidRPr="00731A75" w:rsidRDefault="00731A75" w:rsidP="00731A75">
                            <w:pPr>
                              <w:spacing w:after="0"/>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Pharmacy is practised at community pharmacies, hospitals and general practice (GP) surgeries, care facilities, and online services and offers convenient medical care to individuals of all ages. Community pharmacies are the first line that patients visit to ask questions on minor ailments, how to take their medication and preventive health care without necessarily making an appointment (</w:t>
                            </w:r>
                            <w:proofErr w:type="spellStart"/>
                            <w:r w:rsidRPr="00731A75">
                              <w:rPr>
                                <w:rFonts w:ascii="Times New Roman" w:hAnsi="Times New Roman" w:cs="Times New Roman"/>
                                <w:sz w:val="12"/>
                                <w:szCs w:val="12"/>
                                <w:lang w:val="en-IN"/>
                              </w:rPr>
                              <w:t>Charnaux</w:t>
                            </w:r>
                            <w:proofErr w:type="spellEnd"/>
                            <w:r w:rsidRPr="00731A75">
                              <w:rPr>
                                <w:rFonts w:ascii="Times New Roman" w:hAnsi="Times New Roman" w:cs="Times New Roman"/>
                                <w:sz w:val="12"/>
                                <w:szCs w:val="12"/>
                                <w:lang w:val="en-IN"/>
                              </w:rPr>
                              <w:t xml:space="preserve"> et al. 2025). Pharmacists give out the prescription medicine, offer over-the-counter treatment, and ensure drugs are safely and effectively handled by reviewing their potential interactions and providing counselling. They also provide other clinical services such as vaccination, blood pressure check, smoking assessment, weight control counselling and medication counselling to long-term patients. Pharmacists have a synergistic role with nurses, physicians and other health care providers in a bid to optimise treatment regimens and improve patient outcomes (Sahr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xml:space="preserve"> 2022). Digital technologies have increased efficacy in pharmacy and made it safer through electronic prescriptions and shared patient records, which aid in reducing medication errors and improving communication. Pharmacy may play a vital role in the improvement of primary healthcare and reduction of unnecessary hospitalisation due to the health promotion, illness prevention and customised assistance of the patient.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307pt;margin-top:298pt;width:259pt;height:150.3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" strokeweight="3.75pt">
                <v:textbox>
                  <w:txbxContent>
                    <w:p w14:paraId="2390BEA4" w14:textId="5A525DFB" w:rsidR="00BE6BE0" w:rsidRPr="00731A75" w:rsidRDefault="00731A75" w:rsidP="00BE6BE0">
                      <w:pPr>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Current Functioning</w:t>
                      </w:r>
                    </w:p>
                    <w:p w14:paraId="509CCEFE" w14:textId="2BA1CC34" w:rsidR="00BE6BE0" w:rsidRPr="00731A75" w:rsidRDefault="00731A75" w:rsidP="00731A75">
                      <w:pPr>
                        <w:spacing w:after="0"/>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Pharmacy is practised at community pharmacies, hospitals and general practice (GP) surgeries, care facilities, and online services and offers convenient medical care to individuals of all ages. Community pharmacies are the first line that patients visit to ask questions on minor ailments, how to take their medication and preventive health care without necessarily making an appointment (</w:t>
                      </w:r>
                      <w:proofErr w:type="spellStart"/>
                      <w:r w:rsidRPr="00731A75">
                        <w:rPr>
                          <w:rFonts w:ascii="Times New Roman" w:hAnsi="Times New Roman" w:cs="Times New Roman"/>
                          <w:sz w:val="12"/>
                          <w:szCs w:val="12"/>
                          <w:lang w:val="en-IN"/>
                        </w:rPr>
                        <w:t>Charnaux</w:t>
                      </w:r>
                      <w:proofErr w:type="spellEnd"/>
                      <w:r w:rsidRPr="00731A75">
                        <w:rPr>
                          <w:rFonts w:ascii="Times New Roman" w:hAnsi="Times New Roman" w:cs="Times New Roman"/>
                          <w:sz w:val="12"/>
                          <w:szCs w:val="12"/>
                          <w:lang w:val="en-IN"/>
                        </w:rPr>
                        <w:t xml:space="preserve"> et al. 2025). Pharmacists give out the prescription medicine, offer over-the-counter treatment, and ensure drugs are safely and effectively handled by reviewing their potential interactions and providing counselling. They also provide other clinical services such as vaccination, blood pressure check, smoking assessment, weight control counselling and medication counselling to long-term patients. Pharmacists have a synergistic role with nurses, physicians and other health care providers in a bid to optimise treatment regimens and improve patient outcomes (Sahr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xml:space="preserve"> 2022). Digital technologies have increased efficacy in pharmacy and made it safer through electronic prescriptions and shared patient records, which aid in reducing medication errors and improving communication. Pharmacy may play a vital role in the improvement of primary healthcare and reduction of unnecessary hospitalisation due to the health promotion, illness prevention and customised assistance of the patient.</w:t>
                      </w:r>
                    </w:p>
                  </w:txbxContent>
                </v:textbox>
                <w10:wrap type="square" anchorx="page"/>
              </v:shape>
            </w:pict>
          </mc:Fallback>
        </mc:AlternateContent>
      </w:r>
      <w:r>
        <w:rPr>
          <w:noProof/>
        </w:rPr>
        <mc:AlternateContent>
          <mc:Choice Requires="wps">
            <w:drawing>
              <wp:anchor distT="45720" distB="45720" distL="114300" distR="114300" simplePos="0" relativeHeight="251667456" behindDoc="0" locked="0" layoutInCell="1" allowOverlap="1" wp14:anchorId="2F5030E1" wp14:editId="49128939">
                <wp:simplePos x="0" y="0"/>
                <wp:positionH relativeFrom="margin">
                  <wp:posOffset>6394450</wp:posOffset>
                </wp:positionH>
                <wp:positionV relativeFrom="paragraph">
                  <wp:posOffset>3810000</wp:posOffset>
                </wp:positionV>
                <wp:extent cx="3110230" cy="1892300"/>
                <wp:effectExtent l="19050" t="19050" r="13970" b="1270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0230" cy="1892300"/>
                        </a:xfrm>
                        <a:prstGeom prst="rect">
                          <a:avLst/>
                        </a:prstGeom>
                        <a:solidFill>
                          <a:srgbClr val="FFFFFF"/>
                        </a:solidFill>
                        <a:ln w="44450">
                          <a:solidFill>
                            <a:srgbClr val="000000"/>
                          </a:solidFill>
                          <a:miter lim="800000"/>
                          <a:headEnd/>
                          <a:tailEnd/>
                        </a:ln>
                        <a:effectLst>
                          <a:softEdge rad="25400"/>
                        </a:effectLst>
                      </wps:spPr>
                      <wps:txbx>
                        <w:txbxContent>
                          <w:p w14:paraId="2C703FA3" w14:textId="0C0B191B" w:rsidR="00BE6BE0" w:rsidRDefault="00731A75" w:rsidP="00731A75">
                            <w:pPr>
                              <w:spacing w:after="0"/>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Two current challenges</w:t>
                            </w:r>
                          </w:p>
                          <w:p w14:paraId="50329405" w14:textId="77777777" w:rsidR="00731A75" w:rsidRPr="00731A75" w:rsidRDefault="00731A75" w:rsidP="00731A75">
                            <w:pPr>
                              <w:spacing w:after="0"/>
                              <w:rPr>
                                <w:rFonts w:ascii="Times New Roman" w:hAnsi="Times New Roman" w:cs="Times New Roman"/>
                                <w:b/>
                                <w:bCs/>
                                <w:color w:val="385623" w:themeColor="accent6" w:themeShade="80"/>
                                <w:sz w:val="20"/>
                                <w:szCs w:val="20"/>
                              </w:rPr>
                            </w:pPr>
                          </w:p>
                          <w:p w14:paraId="4E08FCAC" w14:textId="77777777" w:rsidR="00731A75" w:rsidRPr="00731A75" w:rsidRDefault="00731A75"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 xml:space="preserve">Pharmacy services are now facing significant issues that affect their willingness to meet the growing healthcare demands. The main challenges are a shortage of pharmacists and pharmacy support personnel, and increasing workloads as a result of an ageing population, an increase in patients with chronic conditions and increasing clinical responsibilities (Burnand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xml:space="preserve"> 2025). The issue of labour shortages will possibly lead to the extension of the waiting lists, excessive workload of the staff, reduced frequency of patient counselling and the absence of quality assurance of the services. </w:t>
                            </w:r>
                          </w:p>
                          <w:p w14:paraId="69461F56" w14:textId="0A2C2EF8" w:rsidR="00BE6BE0" w:rsidRPr="00731A75" w:rsidRDefault="00731A75"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A second threat is that the world is experiencing an escalating supply shortage of medicine due to the worldwide disruption of production, issues in supply chains and the necessity of medicines needed. Such shortages can lead to delays in treatment, the need to have pharmacists find appropriate alternative drugs, and generally create confusion among those patients used to regular prescriptions (</w:t>
                            </w:r>
                            <w:proofErr w:type="spellStart"/>
                            <w:r w:rsidRPr="00731A75">
                              <w:rPr>
                                <w:rFonts w:ascii="Times New Roman" w:hAnsi="Times New Roman" w:cs="Times New Roman"/>
                                <w:sz w:val="12"/>
                                <w:szCs w:val="12"/>
                                <w:lang w:val="en-IN"/>
                              </w:rPr>
                              <w:t>Bachoolall</w:t>
                            </w:r>
                            <w:proofErr w:type="spellEnd"/>
                            <w:r w:rsidRPr="00731A75">
                              <w:rPr>
                                <w:rFonts w:ascii="Times New Roman" w:hAnsi="Times New Roman" w:cs="Times New Roman"/>
                                <w:sz w:val="12"/>
                                <w:szCs w:val="12"/>
                                <w:lang w:val="en-IN"/>
                              </w:rPr>
                              <w:t xml:space="preserve"> and Suleman, 2025). More investment in the recruitment and retention of the workforce, improved medicine supply, and more collaboration between healthcare providers, manufacturers, and policymakers should address these concerns. Through strengthening these components, pharmacy services will be left to deliver safe, effective and patient-centred care and aid in achieving long-term sustainability of the healthcare 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503.5pt;margin-top:300pt;width:244.9pt;height:149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" strokeweight="3.5pt">
                <v:textbox>
                  <w:txbxContent>
                    <w:p w14:paraId="2C703FA3" w14:textId="0C0B191B" w:rsidR="00BE6BE0" w:rsidRDefault="00731A75" w:rsidP="00731A75">
                      <w:pPr>
                        <w:spacing w:after="0"/>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Two current challenges</w:t>
                      </w:r>
                    </w:p>
                    <w:p w14:paraId="50329405" w14:textId="77777777" w:rsidR="00731A75" w:rsidRPr="00731A75" w:rsidRDefault="00731A75" w:rsidP="00731A75">
                      <w:pPr>
                        <w:spacing w:after="0"/>
                        <w:rPr>
                          <w:rFonts w:ascii="Times New Roman" w:hAnsi="Times New Roman" w:cs="Times New Roman"/>
                          <w:b/>
                          <w:bCs/>
                          <w:color w:val="385623" w:themeColor="accent6" w:themeShade="80"/>
                          <w:sz w:val="20"/>
                          <w:szCs w:val="20"/>
                        </w:rPr>
                      </w:pPr>
                    </w:p>
                    <w:p w14:paraId="4E08FCAC" w14:textId="77777777" w:rsidR="00731A75" w:rsidRPr="00731A75" w:rsidRDefault="00731A75"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 xml:space="preserve">Pharmacy services are now facing significant issues that affect their willingness to meet the growing healthcare demands. The main challenges are a shortage of pharmacists and pharmacy support personnel, and increasing workloads as a result of an ageing population, an increase in patients with chronic conditions and increasing clinical responsibilities (Burnand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xml:space="preserve"> 2025). The issue of labour shortages will possibly lead to the extension of the waiting lists, excessive workload of the staff, reduced frequency of patient counselling and the absence of quality assurance of the services. </w:t>
                      </w:r>
                    </w:p>
                    <w:p w14:paraId="69461F56" w14:textId="0A2C2EF8" w:rsidR="00BE6BE0" w:rsidRPr="00731A75" w:rsidRDefault="00731A75"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A second threat is that the world is experiencing an escalating supply shortage of medicine due to the worldwide disruption of production, issues in supply chains and the necessity of medicines needed. Such shortages can lead to delays in treatment, the need to have pharmacists find appropriate alternative drugs, and generally create confusion among those patients used to regular prescriptions (</w:t>
                      </w:r>
                      <w:proofErr w:type="spellStart"/>
                      <w:r w:rsidRPr="00731A75">
                        <w:rPr>
                          <w:rFonts w:ascii="Times New Roman" w:hAnsi="Times New Roman" w:cs="Times New Roman"/>
                          <w:sz w:val="12"/>
                          <w:szCs w:val="12"/>
                          <w:lang w:val="en-IN"/>
                        </w:rPr>
                        <w:t>Bachoolall</w:t>
                      </w:r>
                      <w:proofErr w:type="spellEnd"/>
                      <w:r w:rsidRPr="00731A75">
                        <w:rPr>
                          <w:rFonts w:ascii="Times New Roman" w:hAnsi="Times New Roman" w:cs="Times New Roman"/>
                          <w:sz w:val="12"/>
                          <w:szCs w:val="12"/>
                          <w:lang w:val="en-IN"/>
                        </w:rPr>
                        <w:t xml:space="preserve"> and Suleman, 2025). More investment in the recruitment and retention of the workforce, improved medicine supply, and more collaboration between healthcare providers, manufacturers, and policymakers should address these concerns. Through strengthening these components, pharmacy services will be left to deliver safe, effective and patient-centred care and aid in achieving long-term sustainability of the healthcare system.</w:t>
                      </w:r>
                    </w:p>
                  </w:txbxContent>
                </v:textbox>
                <w10:wrap type="square" anchorx="margin"/>
              </v:shape>
            </w:pict>
          </mc:Fallback>
        </mc:AlternateContent>
      </w:r>
      <w:r>
        <w:rPr>
          <w:noProof/>
        </w:rPr>
        <mc:AlternateContent>
          <mc:Choice Requires="wps">
            <w:drawing>
              <wp:anchor distT="45720" distB="45720" distL="114300" distR="114300" simplePos="0" relativeHeight="251665408" behindDoc="0" locked="0" layoutInCell="1" allowOverlap="1" wp14:anchorId="21A64788" wp14:editId="0B7F8F15">
                <wp:simplePos x="0" y="0"/>
                <wp:positionH relativeFrom="margin">
                  <wp:align>center</wp:align>
                </wp:positionH>
                <wp:positionV relativeFrom="paragraph">
                  <wp:posOffset>1308100</wp:posOffset>
                </wp:positionV>
                <wp:extent cx="2698750" cy="2394585"/>
                <wp:effectExtent l="19050" t="19050" r="25400" b="2476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98750" cy="2394585"/>
                        </a:xfrm>
                        <a:prstGeom prst="rect">
                          <a:avLst/>
                        </a:prstGeom>
                        <a:solidFill>
                          <a:srgbClr val="FFFFFF"/>
                        </a:solidFill>
                        <a:ln w="44450">
                          <a:solidFill>
                            <a:srgbClr val="000000"/>
                          </a:solidFill>
                          <a:miter lim="800000"/>
                          <a:headEnd/>
                          <a:tailEnd/>
                        </a:ln>
                        <a:effectLst>
                          <a:softEdge rad="25400"/>
                        </a:effectLst>
                      </wps:spPr>
                      <wps:txbx>
                        <w:txbxContent>
                          <w:p w14:paraId="50EAAB8E" w14:textId="6FA252FE" w:rsidR="007D04CB" w:rsidRDefault="007D04CB" w:rsidP="00731A75">
                            <w:pPr>
                              <w:spacing w:after="0"/>
                              <w:jc w:val="both"/>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Explanation of pharmacy services (cont.)</w:t>
                            </w:r>
                          </w:p>
                          <w:p w14:paraId="192813F0" w14:textId="77777777" w:rsidR="00731A75" w:rsidRPr="00731A75" w:rsidRDefault="00731A75" w:rsidP="00731A75">
                            <w:pPr>
                              <w:spacing w:after="0"/>
                              <w:jc w:val="both"/>
                              <w:rPr>
                                <w:rFonts w:ascii="Times New Roman" w:hAnsi="Times New Roman" w:cs="Times New Roman"/>
                                <w:b/>
                                <w:bCs/>
                                <w:color w:val="385623" w:themeColor="accent6" w:themeShade="80"/>
                                <w:sz w:val="20"/>
                                <w:szCs w:val="20"/>
                              </w:rPr>
                            </w:pPr>
                          </w:p>
                          <w:p w14:paraId="1895709D" w14:textId="76BBA4B1"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noProof/>
                                <w:sz w:val="12"/>
                                <w:szCs w:val="12"/>
                                <w:lang w:val="en-IN"/>
                              </w:rPr>
                              <w:drawing>
                                <wp:inline distT="0" distB="0" distL="0" distR="0" wp14:anchorId="34B82CA4" wp14:editId="15DF9C36">
                                  <wp:extent cx="2139950" cy="755650"/>
                                  <wp:effectExtent l="0" t="0" r="0" b="6350"/>
                                  <wp:docPr id="9744954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9950" cy="755650"/>
                                          </a:xfrm>
                                          <a:prstGeom prst="rect">
                                            <a:avLst/>
                                          </a:prstGeom>
                                          <a:noFill/>
                                          <a:ln>
                                            <a:noFill/>
                                          </a:ln>
                                        </pic:spPr>
                                      </pic:pic>
                                    </a:graphicData>
                                  </a:graphic>
                                </wp:inline>
                              </w:drawing>
                            </w:r>
                          </w:p>
                          <w:p w14:paraId="380DF321" w14:textId="77777777"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b/>
                                <w:bCs/>
                                <w:sz w:val="12"/>
                                <w:szCs w:val="12"/>
                                <w:lang w:val="en-IN"/>
                              </w:rPr>
                              <w:t>Figure 2: Annual number of pharmacists in the United Kingdom (UK) from 2010 to 2025</w:t>
                            </w:r>
                          </w:p>
                          <w:p w14:paraId="0A350665" w14:textId="77777777"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sz w:val="12"/>
                                <w:szCs w:val="12"/>
                                <w:lang w:val="en-IN"/>
                              </w:rPr>
                              <w:t>(Source: Minhas, 2026)</w:t>
                            </w:r>
                          </w:p>
                          <w:p w14:paraId="2A6CE679" w14:textId="5AED888A" w:rsidR="00BE6BE0" w:rsidRPr="00731A75" w:rsidRDefault="007D04CB" w:rsidP="00731A75">
                            <w:pPr>
                              <w:spacing w:after="0"/>
                              <w:jc w:val="both"/>
                              <w:rPr>
                                <w:rFonts w:ascii="Times New Roman" w:hAnsi="Times New Roman" w:cs="Times New Roman"/>
                                <w:sz w:val="12"/>
                                <w:szCs w:val="12"/>
                              </w:rPr>
                            </w:pPr>
                            <w:r w:rsidRPr="00731A75">
                              <w:rPr>
                                <w:rFonts w:ascii="Times New Roman" w:hAnsi="Times New Roman" w:cs="Times New Roman"/>
                                <w:sz w:val="12"/>
                                <w:szCs w:val="12"/>
                              </w:rPr>
                              <w:t>Over 65,000 pharmacists in the United Kingdom (UK) worked and were self-employed in the financial year 2025. Overall, the number of pharmacists in the UK who worked has been fluctuating, but by the end of the specified period has risen by a net of more than 30 thousand since the year 2010. Community pharmacies in England have been on the rise since 2006, with a total of approximately 12,000 community pharmacies in 2017/18. Since the figure has declined gradually yet consistently to around 11,400 in 2022/ 2023. Nevertheless, by 2023/2024, this figure is once more rising, being over 12,000 (Minhas,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0;margin-top:103pt;width:212.5pt;height:188.5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" strokeweight="3.5pt">
                <v:textbox>
                  <w:txbxContent>
                    <w:p w14:paraId="50EAAB8E" w14:textId="6FA252FE" w:rsidR="007D04CB" w:rsidRDefault="007D04CB" w:rsidP="00731A75">
                      <w:pPr>
                        <w:spacing w:after="0"/>
                        <w:jc w:val="both"/>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Explanation of pharmacy services (cont.)</w:t>
                      </w:r>
                    </w:p>
                    <w:p w14:paraId="192813F0" w14:textId="77777777" w:rsidR="00731A75" w:rsidRPr="00731A75" w:rsidRDefault="00731A75" w:rsidP="00731A75">
                      <w:pPr>
                        <w:spacing w:after="0"/>
                        <w:jc w:val="both"/>
                        <w:rPr>
                          <w:rFonts w:ascii="Times New Roman" w:hAnsi="Times New Roman" w:cs="Times New Roman"/>
                          <w:b/>
                          <w:bCs/>
                          <w:color w:val="385623" w:themeColor="accent6" w:themeShade="80"/>
                          <w:sz w:val="20"/>
                          <w:szCs w:val="20"/>
                        </w:rPr>
                      </w:pPr>
                    </w:p>
                    <w:p w14:paraId="1895709D" w14:textId="76BBA4B1"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noProof/>
                          <w:sz w:val="12"/>
                          <w:szCs w:val="12"/>
                          <w:lang w:val="en-IN"/>
                        </w:rPr>
                        <w:drawing>
                          <wp:inline distT="0" distB="0" distL="0" distR="0" wp14:anchorId="34B82CA4" wp14:editId="15DF9C36">
                            <wp:extent cx="2139950" cy="755650"/>
                            <wp:effectExtent l="0" t="0" r="0" b="6350"/>
                            <wp:docPr id="97449543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39950" cy="755650"/>
                                    </a:xfrm>
                                    <a:prstGeom prst="rect">
                                      <a:avLst/>
                                    </a:prstGeom>
                                    <a:noFill/>
                                    <a:ln>
                                      <a:noFill/>
                                    </a:ln>
                                  </pic:spPr>
                                </pic:pic>
                              </a:graphicData>
                            </a:graphic>
                          </wp:inline>
                        </w:drawing>
                      </w:r>
                    </w:p>
                    <w:p w14:paraId="380DF321" w14:textId="77777777"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b/>
                          <w:bCs/>
                          <w:sz w:val="12"/>
                          <w:szCs w:val="12"/>
                          <w:lang w:val="en-IN"/>
                        </w:rPr>
                        <w:t>Figure 2: Annual number of pharmacists in the United Kingdom (UK) from 2010 to 2025</w:t>
                      </w:r>
                    </w:p>
                    <w:p w14:paraId="0A350665" w14:textId="77777777" w:rsidR="007D04CB" w:rsidRPr="00731A75" w:rsidRDefault="007D04CB" w:rsidP="007D04CB">
                      <w:pPr>
                        <w:spacing w:after="0"/>
                        <w:jc w:val="center"/>
                        <w:rPr>
                          <w:rFonts w:ascii="Times New Roman" w:hAnsi="Times New Roman" w:cs="Times New Roman"/>
                          <w:sz w:val="12"/>
                          <w:szCs w:val="12"/>
                          <w:lang w:val="en-IN"/>
                        </w:rPr>
                      </w:pPr>
                      <w:r w:rsidRPr="00731A75">
                        <w:rPr>
                          <w:rFonts w:ascii="Times New Roman" w:hAnsi="Times New Roman" w:cs="Times New Roman"/>
                          <w:sz w:val="12"/>
                          <w:szCs w:val="12"/>
                          <w:lang w:val="en-IN"/>
                        </w:rPr>
                        <w:t>(Source: Minhas, 2026)</w:t>
                      </w:r>
                    </w:p>
                    <w:p w14:paraId="2A6CE679" w14:textId="5AED888A" w:rsidR="00BE6BE0" w:rsidRPr="00731A75" w:rsidRDefault="007D04CB" w:rsidP="00731A75">
                      <w:pPr>
                        <w:spacing w:after="0"/>
                        <w:jc w:val="both"/>
                        <w:rPr>
                          <w:rFonts w:ascii="Times New Roman" w:hAnsi="Times New Roman" w:cs="Times New Roman"/>
                          <w:sz w:val="12"/>
                          <w:szCs w:val="12"/>
                        </w:rPr>
                      </w:pPr>
                      <w:r w:rsidRPr="00731A75">
                        <w:rPr>
                          <w:rFonts w:ascii="Times New Roman" w:hAnsi="Times New Roman" w:cs="Times New Roman"/>
                          <w:sz w:val="12"/>
                          <w:szCs w:val="12"/>
                        </w:rPr>
                        <w:t>Over 65,000 pharmacists in the United Kingdom (UK) worked and were self-employed in the financial year 2025. Overall, the number of pharmacists in the UK who worked has been fluctuating, but by the end of the specified period has risen by a net of more than 30 thousand since the year 2010. Community pharmacies in England have been on the rise since 2006, with a total of approximately 12,000 community pharmacies in 2017/18. Since the figure has declined gradually yet consistently to around 11,400 in 2022/ 2023. Nevertheless, by 2023/2024, this figure is once more rising, being over 12,000 (Minhas, 2026).</w:t>
                      </w:r>
                    </w:p>
                  </w:txbxContent>
                </v:textbox>
                <w10:wrap type="square" anchorx="margin"/>
              </v:shape>
            </w:pict>
          </mc:Fallback>
        </mc:AlternateContent>
      </w:r>
      <w:r w:rsidR="00F64FBC">
        <w:rPr>
          <w:noProof/>
        </w:rPr>
        <mc:AlternateContent>
          <mc:Choice Requires="wps">
            <w:drawing>
              <wp:anchor distT="45720" distB="45720" distL="114300" distR="114300" simplePos="0" relativeHeight="251663360" behindDoc="0" locked="0" layoutInCell="1" allowOverlap="1" wp14:anchorId="04CAE92E" wp14:editId="03250189">
                <wp:simplePos x="0" y="0"/>
                <wp:positionH relativeFrom="page">
                  <wp:posOffset>958850</wp:posOffset>
                </wp:positionH>
                <wp:positionV relativeFrom="paragraph">
                  <wp:posOffset>1263650</wp:posOffset>
                </wp:positionV>
                <wp:extent cx="2367280" cy="2470150"/>
                <wp:effectExtent l="19050" t="19050" r="33020" b="4445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470150"/>
                        </a:xfrm>
                        <a:prstGeom prst="rect">
                          <a:avLst/>
                        </a:prstGeom>
                        <a:solidFill>
                          <a:srgbClr val="FFFFFF"/>
                        </a:solidFill>
                        <a:ln w="47625">
                          <a:solidFill>
                            <a:schemeClr val="accent2"/>
                          </a:solidFill>
                          <a:miter lim="800000"/>
                          <a:headEnd/>
                          <a:tailEnd/>
                        </a:ln>
                        <a:effectLst>
                          <a:softEdge rad="25400"/>
                        </a:effectLst>
                      </wps:spPr>
                      <wps:txbx>
                        <w:txbxContent>
                          <w:p w14:paraId="35096631" w14:textId="6F0B390F" w:rsidR="00BE6BE0" w:rsidRDefault="007D04CB" w:rsidP="00731A75">
                            <w:pPr>
                              <w:spacing w:after="0"/>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Explanation of pharmacy services</w:t>
                            </w:r>
                          </w:p>
                          <w:p w14:paraId="13B64DB9" w14:textId="77777777" w:rsidR="00731A75" w:rsidRPr="00731A75" w:rsidRDefault="00731A75" w:rsidP="00731A75">
                            <w:pPr>
                              <w:spacing w:after="0"/>
                              <w:rPr>
                                <w:rFonts w:ascii="Times New Roman" w:hAnsi="Times New Roman" w:cs="Times New Roman"/>
                                <w:b/>
                                <w:bCs/>
                                <w:color w:val="385623" w:themeColor="accent6" w:themeShade="80"/>
                                <w:sz w:val="20"/>
                                <w:szCs w:val="20"/>
                              </w:rPr>
                            </w:pPr>
                          </w:p>
                          <w:p w14:paraId="44A2397F" w14:textId="5D469CDE" w:rsidR="00BE6BE0" w:rsidRPr="00731A75" w:rsidRDefault="007D04CB" w:rsidP="00731A75">
                            <w:pPr>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Pharmacy services are an essential healthcare part that ensures patients receive safe, effective, and the right medicines and improves wellbeing and health. Pharmacists are health workers who are trained to dispense prescription medicine, provide advice regarding over-the-counter medicine and facilitate the management of long-term conditions, such as diabetes, asthma, and high blood pressure (Ahmed and Tamim, 2025). Healthcare is presented to the people through pharmacy services, which entail the dispensing processes in the community pharmacy, hospitals, GP practices, care homes and online healthcare. Besides the drugs, the pharmacists offer vaccinations, health assessments, smoking help, reviews on the drugs, and healthy living tips. In collaboration with doctors, nurses and other health care providers, they assist in streamlining the treatment plans, eradicating errors in medications and improving patient outcomes (Desai, 2024). The combined expertise of both clinical practice and patient education and preventative care, pharmacy services will significantly help decrease hospitalisations, enhance patient health conditions and make the healthcare system sustainable.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9" type="#_x0000_t202" style="position:absolute;margin-left:75.5pt;margin-top:99.5pt;width:186.4pt;height:194.5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" strokecolor="#ed7d31 [3205]" strokeweight="3.75pt">
                <v:textbox>
                  <w:txbxContent>
                    <w:p w14:paraId="35096631" w14:textId="6F0B390F" w:rsidR="00BE6BE0" w:rsidRDefault="007D04CB" w:rsidP="00731A75">
                      <w:pPr>
                        <w:spacing w:after="0"/>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Explanation of pharmacy services</w:t>
                      </w:r>
                    </w:p>
                    <w:p w14:paraId="13B64DB9" w14:textId="77777777" w:rsidR="00731A75" w:rsidRPr="00731A75" w:rsidRDefault="00731A75" w:rsidP="00731A75">
                      <w:pPr>
                        <w:spacing w:after="0"/>
                        <w:rPr>
                          <w:rFonts w:ascii="Times New Roman" w:hAnsi="Times New Roman" w:cs="Times New Roman"/>
                          <w:b/>
                          <w:bCs/>
                          <w:color w:val="385623" w:themeColor="accent6" w:themeShade="80"/>
                          <w:sz w:val="20"/>
                          <w:szCs w:val="20"/>
                        </w:rPr>
                      </w:pPr>
                    </w:p>
                    <w:p w14:paraId="44A2397F" w14:textId="5D469CDE" w:rsidR="00BE6BE0" w:rsidRPr="00731A75" w:rsidRDefault="007D04CB" w:rsidP="00731A75">
                      <w:pPr>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Pharmacy services are an essential healthcare part that ensures patients receive safe, effective, and the right medicines and improves wellbeing and health. Pharmacists are health workers who are trained to dispense prescription medicine, provide advice regarding over-the-counter medicine and facilitate the management of long-term conditions, such as diabetes, asthma, and high blood pressure (Ahmed and Tamim, 2025). Healthcare is presented to the people through pharmacy services, which entail the dispensing processes in the community pharmacy, hospitals, GP practices, care homes and online healthcare. Besides the drugs, the pharmacists offer vaccinations, health assessments, smoking help, reviews on the drugs, and healthy living tips. In collaboration with doctors, nurses and other health care providers, they assist in streamlining the treatment plans, eradicating errors in medications and improving patient outcomes (Desai, 2024). The combined expertise of both clinical practice and patient education and preventative care, pharmacy services will significantly help decrease hospitalisations, enhance patient health conditions and make the healthcare system sustainable.</w:t>
                      </w:r>
                    </w:p>
                  </w:txbxContent>
                </v:textbox>
                <w10:wrap type="square" anchorx="page"/>
              </v:shape>
            </w:pict>
          </mc:Fallback>
        </mc:AlternateContent>
      </w:r>
      <w:r w:rsidR="00F64FBC">
        <w:rPr>
          <w:noProof/>
        </w:rPr>
        <mc:AlternateContent>
          <mc:Choice Requires="wps">
            <w:drawing>
              <wp:anchor distT="45720" distB="45720" distL="114300" distR="114300" simplePos="0" relativeHeight="251669504" behindDoc="0" locked="0" layoutInCell="1" allowOverlap="1" wp14:anchorId="298766ED" wp14:editId="53507B76">
                <wp:simplePos x="0" y="0"/>
                <wp:positionH relativeFrom="column">
                  <wp:posOffset>6267450</wp:posOffset>
                </wp:positionH>
                <wp:positionV relativeFrom="paragraph">
                  <wp:posOffset>1326515</wp:posOffset>
                </wp:positionV>
                <wp:extent cx="2367280" cy="2394585"/>
                <wp:effectExtent l="19050" t="19050" r="13970" b="247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7280" cy="2394585"/>
                        </a:xfrm>
                        <a:prstGeom prst="rect">
                          <a:avLst/>
                        </a:prstGeom>
                        <a:solidFill>
                          <a:srgbClr val="FFFFFF"/>
                        </a:solidFill>
                        <a:ln w="44450">
                          <a:solidFill>
                            <a:srgbClr val="000000"/>
                          </a:solidFill>
                          <a:miter lim="800000"/>
                          <a:headEnd/>
                          <a:tailEnd/>
                        </a:ln>
                        <a:effectLst>
                          <a:softEdge rad="25400"/>
                        </a:effectLst>
                      </wps:spPr>
                      <wps:txbx>
                        <w:txbxContent>
                          <w:p w14:paraId="203660AF" w14:textId="77777777" w:rsidR="007D04CB" w:rsidRDefault="007D04CB" w:rsidP="00731A75">
                            <w:pPr>
                              <w:spacing w:after="0" w:line="240" w:lineRule="auto"/>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Brief history of pharmacy services</w:t>
                            </w:r>
                          </w:p>
                          <w:p w14:paraId="7511AA99" w14:textId="77777777" w:rsidR="00731A75" w:rsidRPr="00731A75" w:rsidRDefault="00731A75" w:rsidP="00731A75">
                            <w:pPr>
                              <w:spacing w:after="0" w:line="240" w:lineRule="auto"/>
                              <w:rPr>
                                <w:rFonts w:ascii="Times New Roman" w:hAnsi="Times New Roman" w:cs="Times New Roman"/>
                                <w:b/>
                                <w:bCs/>
                                <w:color w:val="385623" w:themeColor="accent6" w:themeShade="80"/>
                                <w:sz w:val="20"/>
                                <w:szCs w:val="20"/>
                              </w:rPr>
                            </w:pPr>
                          </w:p>
                          <w:p w14:paraId="2F2C6041" w14:textId="5AD5FEBF" w:rsidR="00BE6BE0" w:rsidRPr="00731A75" w:rsidRDefault="007D04CB"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 xml:space="preserve">Pharmacy services can be traced back to ancient civilisation, when healers in Egypt, Greece, China and India would make herbal treatments and natural medicines (Masic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2022). The apothecaries in the Middle Ages were also recognised as professional administrators and dispensers of the medicines prescribed by the physicians. Through the formation of the Pharmaceutical Society of Great Britain in 1841, pharmacy was able to enhance the education of pharmacists, standards and regulation. One of the biggest achievements was in 1948 when the National Health Service (NHS) was founded, which resulted in increased availability of prescription medicines based on publicly financed healthcare (</w:t>
                            </w:r>
                            <w:proofErr w:type="spellStart"/>
                            <w:r w:rsidRPr="00731A75">
                              <w:rPr>
                                <w:rFonts w:ascii="Times New Roman" w:hAnsi="Times New Roman" w:cs="Times New Roman"/>
                                <w:sz w:val="12"/>
                                <w:szCs w:val="12"/>
                                <w:lang w:val="en-IN"/>
                              </w:rPr>
                              <w:t>Nhs</w:t>
                            </w:r>
                            <w:proofErr w:type="spellEnd"/>
                            <w:r w:rsidRPr="00731A75">
                              <w:rPr>
                                <w:rFonts w:ascii="Times New Roman" w:hAnsi="Times New Roman" w:cs="Times New Roman"/>
                                <w:sz w:val="12"/>
                                <w:szCs w:val="12"/>
                                <w:lang w:val="en-IN"/>
                              </w:rPr>
                              <w:t>, 2026). The position of pharmacists would expand the scope of dispensing drugs to involve counselling patients, reviewing their drugs, and preventing and promoting health in later decades. The role of the pharmacy has been changing in the provision of safe, patient-centred care, with vaccination, health screening, independent prescribing offered in some locations, and digital healthcare services all being aspects of the increased integration of pharmacy services into primary healthcare.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493.5pt;margin-top:104.45pt;width:186.4pt;height:188.5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" strokeweight="3.5pt">
                <v:textbox>
                  <w:txbxContent>
                    <w:p w14:paraId="203660AF" w14:textId="77777777" w:rsidR="007D04CB" w:rsidRDefault="007D04CB" w:rsidP="00731A75">
                      <w:pPr>
                        <w:spacing w:after="0" w:line="240" w:lineRule="auto"/>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Brief history of pharmacy services</w:t>
                      </w:r>
                    </w:p>
                    <w:p w14:paraId="7511AA99" w14:textId="77777777" w:rsidR="00731A75" w:rsidRPr="00731A75" w:rsidRDefault="00731A75" w:rsidP="00731A75">
                      <w:pPr>
                        <w:spacing w:after="0" w:line="240" w:lineRule="auto"/>
                        <w:rPr>
                          <w:rFonts w:ascii="Times New Roman" w:hAnsi="Times New Roman" w:cs="Times New Roman"/>
                          <w:b/>
                          <w:bCs/>
                          <w:color w:val="385623" w:themeColor="accent6" w:themeShade="80"/>
                          <w:sz w:val="20"/>
                          <w:szCs w:val="20"/>
                        </w:rPr>
                      </w:pPr>
                    </w:p>
                    <w:p w14:paraId="2F2C6041" w14:textId="5AD5FEBF" w:rsidR="00BE6BE0" w:rsidRPr="00731A75" w:rsidRDefault="007D04CB"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 xml:space="preserve">Pharmacy services can be traced back to ancient civilisation, when healers in Egypt, Greece, China and India would make herbal treatments and natural medicines (Masic </w:t>
                      </w:r>
                      <w:r w:rsidRPr="00731A75">
                        <w:rPr>
                          <w:rFonts w:ascii="Times New Roman" w:hAnsi="Times New Roman" w:cs="Times New Roman"/>
                          <w:i/>
                          <w:iCs/>
                          <w:sz w:val="12"/>
                          <w:szCs w:val="12"/>
                          <w:lang w:val="en-IN"/>
                        </w:rPr>
                        <w:t>et al</w:t>
                      </w:r>
                      <w:r w:rsidRPr="00731A75">
                        <w:rPr>
                          <w:rFonts w:ascii="Times New Roman" w:hAnsi="Times New Roman" w:cs="Times New Roman"/>
                          <w:sz w:val="12"/>
                          <w:szCs w:val="12"/>
                          <w:lang w:val="en-IN"/>
                        </w:rPr>
                        <w:t>. 2022). The apothecaries in the Middle Ages were also recognised as professional administrators and dispensers of the medicines prescribed by the physicians. Through the formation of the Pharmaceutical Society of Great Britain in 1841, pharmacy was able to enhance the education of pharmacists, standards and regulation. One of the biggest achievements was in 1948 when the National Health Service (NHS) was founded, which resulted in increased availability of prescription medicines based on publicly financed healthcare (</w:t>
                      </w:r>
                      <w:proofErr w:type="spellStart"/>
                      <w:r w:rsidRPr="00731A75">
                        <w:rPr>
                          <w:rFonts w:ascii="Times New Roman" w:hAnsi="Times New Roman" w:cs="Times New Roman"/>
                          <w:sz w:val="12"/>
                          <w:szCs w:val="12"/>
                          <w:lang w:val="en-IN"/>
                        </w:rPr>
                        <w:t>Nhs</w:t>
                      </w:r>
                      <w:proofErr w:type="spellEnd"/>
                      <w:r w:rsidRPr="00731A75">
                        <w:rPr>
                          <w:rFonts w:ascii="Times New Roman" w:hAnsi="Times New Roman" w:cs="Times New Roman"/>
                          <w:sz w:val="12"/>
                          <w:szCs w:val="12"/>
                          <w:lang w:val="en-IN"/>
                        </w:rPr>
                        <w:t>, 2026). The position of pharmacists would expand the scope of dispensing drugs to involve counselling patients, reviewing their drugs, and preventing and promoting health in later decades. The role of the pharmacy has been changing in the provision of safe, patient-centred care, with vaccination, health screening, independent prescribing offered in some locations, and digital healthcare services all being aspects of the increased integration of pharmacy services into primary healthcare.</w:t>
                      </w:r>
                    </w:p>
                  </w:txbxContent>
                </v:textbox>
                <w10:wrap type="squar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096D2AB4">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0FB0A"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71552" behindDoc="0" locked="0" layoutInCell="1" allowOverlap="1" wp14:anchorId="5D749413" wp14:editId="1D9D0CA6">
                <wp:simplePos x="0" y="0"/>
                <wp:positionH relativeFrom="page">
                  <wp:posOffset>215900</wp:posOffset>
                </wp:positionH>
                <wp:positionV relativeFrom="paragraph">
                  <wp:posOffset>3784600</wp:posOffset>
                </wp:positionV>
                <wp:extent cx="3581400" cy="1908810"/>
                <wp:effectExtent l="19050" t="19050" r="38100"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81400" cy="1908810"/>
                        </a:xfrm>
                        <a:prstGeom prst="rect">
                          <a:avLst/>
                        </a:prstGeom>
                        <a:solidFill>
                          <a:srgbClr val="FFFFFF"/>
                        </a:solidFill>
                        <a:ln w="47625">
                          <a:solidFill>
                            <a:srgbClr val="000000"/>
                          </a:solidFill>
                          <a:miter lim="800000"/>
                          <a:headEnd/>
                          <a:tailEnd/>
                        </a:ln>
                        <a:effectLst>
                          <a:softEdge rad="25400"/>
                        </a:effectLst>
                      </wps:spPr>
                      <wps:txbx>
                        <w:txbxContent>
                          <w:p w14:paraId="6E07F680" w14:textId="12AD63FC" w:rsidR="00BE6BE0" w:rsidRPr="00731A75" w:rsidRDefault="007D04CB" w:rsidP="007D04CB">
                            <w:pPr>
                              <w:spacing w:after="0" w:line="240" w:lineRule="auto"/>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Brief history of pharmacy services (Cont.)</w:t>
                            </w:r>
                          </w:p>
                          <w:p w14:paraId="7D011B97" w14:textId="0A3839C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noProof/>
                                <w:sz w:val="12"/>
                                <w:szCs w:val="12"/>
                                <w:lang w:val="en-IN"/>
                              </w:rPr>
                              <w:drawing>
                                <wp:inline distT="0" distB="0" distL="0" distR="0" wp14:anchorId="5FA94D23" wp14:editId="7F1398B3">
                                  <wp:extent cx="2734310" cy="1155700"/>
                                  <wp:effectExtent l="0" t="0" r="8890" b="6350"/>
                                  <wp:docPr id="12870597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4310" cy="1155700"/>
                                          </a:xfrm>
                                          <a:prstGeom prst="rect">
                                            <a:avLst/>
                                          </a:prstGeom>
                                          <a:noFill/>
                                          <a:ln>
                                            <a:noFill/>
                                          </a:ln>
                                        </pic:spPr>
                                      </pic:pic>
                                    </a:graphicData>
                                  </a:graphic>
                                </wp:inline>
                              </w:drawing>
                            </w:r>
                          </w:p>
                          <w:p w14:paraId="2E8C74EE" w14:textId="7777777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b/>
                                <w:bCs/>
                                <w:sz w:val="12"/>
                                <w:szCs w:val="12"/>
                                <w:lang w:val="en-IN"/>
                              </w:rPr>
                              <w:t>Figure 1: Total healthcare expenditure as a share of GDP in the United Kingdom from 1980 to 2024</w:t>
                            </w:r>
                          </w:p>
                          <w:p w14:paraId="5D6E98B7" w14:textId="7777777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sz w:val="12"/>
                                <w:szCs w:val="12"/>
                                <w:lang w:val="en-IN"/>
                              </w:rPr>
                              <w:t>(Source: Minhas, 2026)</w:t>
                            </w:r>
                          </w:p>
                          <w:p w14:paraId="76E57E8B" w14:textId="77777777" w:rsidR="007D04CB" w:rsidRPr="00731A75" w:rsidRDefault="007D04CB"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Since 1990, when it stood at 5.1 per cent, the expenditure on healthcare in the United Kingdom (UK) as a percentage of GDP has been on the rise. By 2024, the UK healthcare spending was 11.1 per cent of the GDP (Minhas, 2026).</w:t>
                            </w:r>
                          </w:p>
                          <w:p w14:paraId="0809CF7E" w14:textId="5B15A86F" w:rsidR="00BE6BE0" w:rsidRPr="00731A75" w:rsidRDefault="00BE6BE0" w:rsidP="007D04CB">
                            <w:pPr>
                              <w:spacing w:after="0" w:line="240" w:lineRule="auto"/>
                              <w:rPr>
                                <w:rFonts w:ascii="Times New Roman" w:hAnsi="Times New Roman" w:cs="Times New Roman"/>
                                <w:sz w:val="12"/>
                                <w:szCs w:val="12"/>
                              </w:rPr>
                            </w:pPr>
                          </w:p>
                          <w:p w14:paraId="7B69BC2F" w14:textId="77777777" w:rsidR="00BE6BE0" w:rsidRPr="00731A75" w:rsidRDefault="00BE6BE0" w:rsidP="007D04CB">
                            <w:pPr>
                              <w:spacing w:after="0" w:line="240" w:lineRule="auto"/>
                              <w:rPr>
                                <w:rFonts w:ascii="Times New Roman" w:hAnsi="Times New Roman" w:cs="Times New Roman"/>
                                <w:sz w:val="12"/>
                                <w:szCs w:val="1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1" type="#_x0000_t202" style="position:absolute;margin-left:17pt;margin-top:298pt;width:282pt;height:150.3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" strokeweight="3.75pt">
                <v:textbox>
                  <w:txbxContent>
                    <w:p w14:paraId="6E07F680" w14:textId="12AD63FC" w:rsidR="00BE6BE0" w:rsidRPr="00731A75" w:rsidRDefault="007D04CB" w:rsidP="007D04CB">
                      <w:pPr>
                        <w:spacing w:after="0" w:line="240" w:lineRule="auto"/>
                        <w:rPr>
                          <w:rFonts w:ascii="Times New Roman" w:hAnsi="Times New Roman" w:cs="Times New Roman"/>
                          <w:b/>
                          <w:bCs/>
                          <w:color w:val="385623" w:themeColor="accent6" w:themeShade="80"/>
                          <w:sz w:val="20"/>
                          <w:szCs w:val="20"/>
                        </w:rPr>
                      </w:pPr>
                      <w:r w:rsidRPr="00731A75">
                        <w:rPr>
                          <w:rFonts w:ascii="Times New Roman" w:hAnsi="Times New Roman" w:cs="Times New Roman"/>
                          <w:b/>
                          <w:bCs/>
                          <w:color w:val="385623" w:themeColor="accent6" w:themeShade="80"/>
                          <w:sz w:val="20"/>
                          <w:szCs w:val="20"/>
                        </w:rPr>
                        <w:t>Brief history of pharmacy services (Cont.)</w:t>
                      </w:r>
                    </w:p>
                    <w:p w14:paraId="7D011B97" w14:textId="0A3839C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noProof/>
                          <w:sz w:val="12"/>
                          <w:szCs w:val="12"/>
                          <w:lang w:val="en-IN"/>
                        </w:rPr>
                        <w:drawing>
                          <wp:inline distT="0" distB="0" distL="0" distR="0" wp14:anchorId="5FA94D23" wp14:editId="7F1398B3">
                            <wp:extent cx="2734310" cy="1155700"/>
                            <wp:effectExtent l="0" t="0" r="8890" b="6350"/>
                            <wp:docPr id="128705972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34310" cy="1155700"/>
                                    </a:xfrm>
                                    <a:prstGeom prst="rect">
                                      <a:avLst/>
                                    </a:prstGeom>
                                    <a:noFill/>
                                    <a:ln>
                                      <a:noFill/>
                                    </a:ln>
                                  </pic:spPr>
                                </pic:pic>
                              </a:graphicData>
                            </a:graphic>
                          </wp:inline>
                        </w:drawing>
                      </w:r>
                    </w:p>
                    <w:p w14:paraId="2E8C74EE" w14:textId="7777777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b/>
                          <w:bCs/>
                          <w:sz w:val="12"/>
                          <w:szCs w:val="12"/>
                          <w:lang w:val="en-IN"/>
                        </w:rPr>
                        <w:t>Figure 1: Total healthcare expenditure as a share of GDP in the United Kingdom from 1980 to 2024</w:t>
                      </w:r>
                    </w:p>
                    <w:p w14:paraId="5D6E98B7" w14:textId="77777777" w:rsidR="007D04CB" w:rsidRPr="00731A75" w:rsidRDefault="007D04CB" w:rsidP="007D04CB">
                      <w:pPr>
                        <w:spacing w:after="0" w:line="240" w:lineRule="auto"/>
                        <w:jc w:val="center"/>
                        <w:rPr>
                          <w:rFonts w:ascii="Times New Roman" w:hAnsi="Times New Roman" w:cs="Times New Roman"/>
                          <w:sz w:val="12"/>
                          <w:szCs w:val="12"/>
                          <w:lang w:val="en-IN"/>
                        </w:rPr>
                      </w:pPr>
                      <w:r w:rsidRPr="00731A75">
                        <w:rPr>
                          <w:rFonts w:ascii="Times New Roman" w:hAnsi="Times New Roman" w:cs="Times New Roman"/>
                          <w:sz w:val="12"/>
                          <w:szCs w:val="12"/>
                          <w:lang w:val="en-IN"/>
                        </w:rPr>
                        <w:t>(Source: Minhas, 2026)</w:t>
                      </w:r>
                    </w:p>
                    <w:p w14:paraId="76E57E8B" w14:textId="77777777" w:rsidR="007D04CB" w:rsidRPr="00731A75" w:rsidRDefault="007D04CB" w:rsidP="00731A75">
                      <w:pPr>
                        <w:spacing w:after="0" w:line="240" w:lineRule="auto"/>
                        <w:jc w:val="both"/>
                        <w:rPr>
                          <w:rFonts w:ascii="Times New Roman" w:hAnsi="Times New Roman" w:cs="Times New Roman"/>
                          <w:sz w:val="12"/>
                          <w:szCs w:val="12"/>
                          <w:lang w:val="en-IN"/>
                        </w:rPr>
                      </w:pPr>
                      <w:r w:rsidRPr="00731A75">
                        <w:rPr>
                          <w:rFonts w:ascii="Times New Roman" w:hAnsi="Times New Roman" w:cs="Times New Roman"/>
                          <w:sz w:val="12"/>
                          <w:szCs w:val="12"/>
                          <w:lang w:val="en-IN"/>
                        </w:rPr>
                        <w:t>Since 1990, when it stood at 5.1 per cent, the expenditure on healthcare in the United Kingdom (UK) as a percentage of GDP has been on the rise. By 2024, the UK healthcare spending was 11.1 per cent of the GDP (Minhas, 2026).</w:t>
                      </w:r>
                    </w:p>
                    <w:p w14:paraId="0809CF7E" w14:textId="5B15A86F" w:rsidR="00BE6BE0" w:rsidRPr="00731A75" w:rsidRDefault="00BE6BE0" w:rsidP="007D04CB">
                      <w:pPr>
                        <w:spacing w:after="0" w:line="240" w:lineRule="auto"/>
                        <w:rPr>
                          <w:rFonts w:ascii="Times New Roman" w:hAnsi="Times New Roman" w:cs="Times New Roman"/>
                          <w:sz w:val="12"/>
                          <w:szCs w:val="12"/>
                        </w:rPr>
                      </w:pPr>
                    </w:p>
                    <w:p w14:paraId="7B69BC2F" w14:textId="77777777" w:rsidR="00BE6BE0" w:rsidRPr="00731A75" w:rsidRDefault="00BE6BE0" w:rsidP="007D04CB">
                      <w:pPr>
                        <w:spacing w:after="0" w:line="240" w:lineRule="auto"/>
                        <w:rPr>
                          <w:rFonts w:ascii="Times New Roman" w:hAnsi="Times New Roman" w:cs="Times New Roman"/>
                          <w:sz w:val="12"/>
                          <w:szCs w:val="12"/>
                        </w:rPr>
                      </w:pPr>
                    </w:p>
                  </w:txbxContent>
                </v:textbox>
                <w10:wrap type="square" anchorx="page"/>
              </v:shape>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10AB7556" w14:textId="77777777" w:rsidR="007D04CB" w:rsidRPr="00D43599" w:rsidRDefault="007D04CB" w:rsidP="00BE6BE0">
                            <w:pPr>
                              <w:shd w:val="clear" w:color="auto" w:fill="F4B083" w:themeFill="accent2" w:themeFillTint="99"/>
                              <w:jc w:val="center"/>
                              <w:rPr>
                                <w:rFonts w:ascii="Times New Roman" w:hAnsi="Times New Roman" w:cs="Times New Roman"/>
                                <w:b/>
                                <w:bCs/>
                                <w:i/>
                                <w:iCs/>
                                <w:color w:val="00B0F0"/>
                                <w:sz w:val="48"/>
                                <w:szCs w:val="48"/>
                              </w:rPr>
                            </w:pPr>
                            <w:r w:rsidRPr="00D43599">
                              <w:rPr>
                                <w:rFonts w:ascii="Times New Roman" w:hAnsi="Times New Roman" w:cs="Times New Roman"/>
                                <w:b/>
                                <w:bCs/>
                                <w:i/>
                                <w:iCs/>
                                <w:color w:val="00B0F0"/>
                                <w:sz w:val="48"/>
                                <w:szCs w:val="48"/>
                              </w:rPr>
                              <w:t>Pharmacy Services: Improving Health Through Safe and Accessible Medicines</w:t>
                            </w:r>
                          </w:p>
                          <w:p w14:paraId="4B29F551" w14:textId="27B97432" w:rsidR="00BE6BE0" w:rsidRPr="00D43599" w:rsidRDefault="00BE6BE0" w:rsidP="00BE6BE0">
                            <w:pPr>
                              <w:shd w:val="clear" w:color="auto" w:fill="F4B083" w:themeFill="accent2" w:themeFillTint="99"/>
                              <w:jc w:val="center"/>
                              <w:rPr>
                                <w:rFonts w:ascii="Times New Roman" w:hAnsi="Times New Roman" w:cs="Times New Roman"/>
                                <w:sz w:val="20"/>
                                <w:szCs w:val="20"/>
                              </w:rPr>
                            </w:pPr>
                            <w:r w:rsidRPr="00D43599">
                              <w:rPr>
                                <w:rFonts w:ascii="Times New Roman" w:hAnsi="Times New Roman" w:cs="Times New Roman"/>
                                <w:sz w:val="20"/>
                                <w:szCs w:val="20"/>
                              </w:rPr>
                              <w:t>Student Name, Course Name, Email Details Go Here</w:t>
                            </w:r>
                          </w:p>
                          <w:p w14:paraId="23B500BD" w14:textId="77777777" w:rsidR="00BE6BE0" w:rsidRPr="00D43599" w:rsidRDefault="00BE6BE0" w:rsidP="00BE6BE0">
                            <w:pPr>
                              <w:shd w:val="clear" w:color="auto" w:fill="F4B083" w:themeFill="accent2" w:themeFillTint="99"/>
                              <w:rPr>
                                <w:rFonts w:ascii="Times New Roman" w:hAnsi="Times New Roman" w:cs="Times New Roman"/>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10AB7556" w14:textId="77777777" w:rsidR="007D04CB" w:rsidRPr="00D43599" w:rsidRDefault="007D04CB" w:rsidP="00BE6BE0">
                      <w:pPr>
                        <w:shd w:val="clear" w:color="auto" w:fill="F4B083" w:themeFill="accent2" w:themeFillTint="99"/>
                        <w:jc w:val="center"/>
                        <w:rPr>
                          <w:rFonts w:ascii="Times New Roman" w:hAnsi="Times New Roman" w:cs="Times New Roman"/>
                          <w:b/>
                          <w:bCs/>
                          <w:i/>
                          <w:iCs/>
                          <w:color w:val="00B0F0"/>
                          <w:sz w:val="48"/>
                          <w:szCs w:val="48"/>
                        </w:rPr>
                      </w:pPr>
                      <w:r w:rsidRPr="00D43599">
                        <w:rPr>
                          <w:rFonts w:ascii="Times New Roman" w:hAnsi="Times New Roman" w:cs="Times New Roman"/>
                          <w:b/>
                          <w:bCs/>
                          <w:i/>
                          <w:iCs/>
                          <w:color w:val="00B0F0"/>
                          <w:sz w:val="48"/>
                          <w:szCs w:val="48"/>
                        </w:rPr>
                        <w:t>Pharmacy Services: Improving Health Through Safe and Accessible Medicines</w:t>
                      </w:r>
                    </w:p>
                    <w:p w14:paraId="4B29F551" w14:textId="27B97432" w:rsidR="00BE6BE0" w:rsidRPr="00D43599" w:rsidRDefault="00BE6BE0" w:rsidP="00BE6BE0">
                      <w:pPr>
                        <w:shd w:val="clear" w:color="auto" w:fill="F4B083" w:themeFill="accent2" w:themeFillTint="99"/>
                        <w:jc w:val="center"/>
                        <w:rPr>
                          <w:rFonts w:ascii="Times New Roman" w:hAnsi="Times New Roman" w:cs="Times New Roman"/>
                          <w:sz w:val="20"/>
                          <w:szCs w:val="20"/>
                        </w:rPr>
                      </w:pPr>
                      <w:r w:rsidRPr="00D43599">
                        <w:rPr>
                          <w:rFonts w:ascii="Times New Roman" w:hAnsi="Times New Roman" w:cs="Times New Roman"/>
                          <w:sz w:val="20"/>
                          <w:szCs w:val="20"/>
                        </w:rPr>
                        <w:t>Student Name, Course Name, Email Details Go Here</w:t>
                      </w:r>
                    </w:p>
                    <w:p w14:paraId="23B500BD" w14:textId="77777777" w:rsidR="00BE6BE0" w:rsidRPr="00D43599" w:rsidRDefault="00BE6BE0" w:rsidP="00BE6BE0">
                      <w:pPr>
                        <w:shd w:val="clear" w:color="auto" w:fill="F4B083" w:themeFill="accent2" w:themeFillTint="99"/>
                        <w:rPr>
                          <w:rFonts w:ascii="Times New Roman" w:hAnsi="Times New Roman" w:cs="Times New Roman"/>
                          <w:color w:val="00B0F0"/>
                          <w:sz w:val="70"/>
                          <w:szCs w:val="70"/>
                        </w:rPr>
                      </w:pPr>
                    </w:p>
                  </w:txbxContent>
                </v:textbox>
                <w10:wrap type="square" anchorx="margin"/>
              </v:shape>
            </w:pict>
          </mc:Fallback>
        </mc:AlternateContent>
      </w:r>
    </w:p>
    <w:p w14:paraId="0DC29F33" w14:textId="7FB7A46B" w:rsidR="00D876B2" w:rsidRPr="00D876B2" w:rsidRDefault="00833470" w:rsidP="00D876B2">
      <w:pPr>
        <w:pStyle w:val="Heading1"/>
        <w:rPr>
          <w:b/>
          <w:bCs/>
        </w:rPr>
      </w:pPr>
      <w:r w:rsidRPr="00D876B2">
        <w:rPr>
          <w:b/>
          <w:bCs/>
        </w:rPr>
        <w:lastRenderedPageBreak/>
        <w:t>Element 2</w:t>
      </w:r>
    </w:p>
    <w:p w14:paraId="7E6225F0" w14:textId="77777777" w:rsidR="00D876B2" w:rsidRDefault="00D876B2" w:rsidP="00D876B2">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Topic: Residential Care Home</w:t>
      </w:r>
    </w:p>
    <w:p w14:paraId="16567428" w14:textId="77777777" w:rsidR="00D876B2" w:rsidRDefault="00D876B2" w:rsidP="00D876B2">
      <w:pPr>
        <w:pStyle w:val="Heading2"/>
      </w:pPr>
      <w:bookmarkStart w:id="1" w:name="_6vka17jpfxce" w:colFirst="0" w:colLast="0"/>
      <w:bookmarkEnd w:id="1"/>
      <w:r>
        <w:t>Introduction</w:t>
      </w:r>
    </w:p>
    <w:p w14:paraId="0DB2E1B3" w14:textId="77777777" w:rsidR="00D876B2" w:rsidRDefault="00D876B2" w:rsidP="00D876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Residential care homes form a significant part of the social care system, which accommodates and gives personal care and emotional support to persons who cannot live independently due to old age, disability, illness or frailty (</w:t>
      </w:r>
      <w:r>
        <w:rPr>
          <w:rFonts w:ascii="Times New Roman" w:eastAsia="Times New Roman" w:hAnsi="Times New Roman" w:cs="Times New Roman"/>
          <w:color w:val="222222"/>
          <w:sz w:val="24"/>
          <w:szCs w:val="24"/>
          <w:highlight w:val="white"/>
        </w:rPr>
        <w:t>Lewis, 2022</w:t>
      </w:r>
      <w:r>
        <w:rPr>
          <w:rFonts w:ascii="Times New Roman" w:eastAsia="Times New Roman" w:hAnsi="Times New Roman" w:cs="Times New Roman"/>
          <w:sz w:val="24"/>
          <w:szCs w:val="24"/>
        </w:rPr>
        <w:t>). In comparison to the nursing homes, residential care homes are given the responsibility of helping their residents in the daily living activities which include personal hygiene, dressing, eating and becoming sociable, as opposed to attentively giving medical care. The service will contribute to nurturing dignity, autonomy and wellbeing and will offer a safe and enabling environment (</w:t>
      </w:r>
      <w:r>
        <w:rPr>
          <w:rFonts w:ascii="Times New Roman" w:eastAsia="Times New Roman" w:hAnsi="Times New Roman" w:cs="Times New Roman"/>
          <w:color w:val="222222"/>
          <w:sz w:val="24"/>
          <w:szCs w:val="24"/>
          <w:highlight w:val="white"/>
        </w:rPr>
        <w:t xml:space="preserve">Bao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2022</w:t>
      </w:r>
      <w:r>
        <w:rPr>
          <w:rFonts w:ascii="Times New Roman" w:eastAsia="Times New Roman" w:hAnsi="Times New Roman" w:cs="Times New Roman"/>
          <w:sz w:val="24"/>
          <w:szCs w:val="24"/>
        </w:rPr>
        <w:t>). This essay shall present the genesis and the historical development of residential care homes, the critical evaluation of how they operate in this modern era, and their relevance in improving the lives of the service users.</w:t>
      </w:r>
    </w:p>
    <w:p w14:paraId="2289483A" w14:textId="77777777" w:rsidR="00D876B2" w:rsidRDefault="00D876B2" w:rsidP="00D876B2">
      <w:pPr>
        <w:pStyle w:val="Heading2"/>
      </w:pPr>
      <w:bookmarkStart w:id="2" w:name="_k5bq02mvy08l" w:colFirst="0" w:colLast="0"/>
      <w:bookmarkEnd w:id="2"/>
      <w:r>
        <w:t>Origins and Historical Development</w:t>
      </w:r>
    </w:p>
    <w:p w14:paraId="07A49564" w14:textId="3516319E" w:rsidR="00D876B2" w:rsidRDefault="00D876B2" w:rsidP="00D876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Residential care homes can be linked to charitable homes, religious organisations and poor houses that began being set up in the eighteenth and nineteenth centuries and began </w:t>
      </w:r>
      <w:r w:rsidR="005860DD">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support the elderly, those with disabilities and those without a family (Kelly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These institutions usually offered minimum housing and were criticised to be </w:t>
      </w:r>
      <w:r w:rsidR="005860DD">
        <w:rPr>
          <w:rFonts w:ascii="Times New Roman" w:eastAsia="Times New Roman" w:hAnsi="Times New Roman" w:cs="Times New Roman"/>
          <w:sz w:val="24"/>
          <w:szCs w:val="24"/>
        </w:rPr>
        <w:t>overcrowded</w:t>
      </w:r>
      <w:r>
        <w:rPr>
          <w:rFonts w:ascii="Times New Roman" w:eastAsia="Times New Roman" w:hAnsi="Times New Roman" w:cs="Times New Roman"/>
          <w:sz w:val="24"/>
          <w:szCs w:val="24"/>
        </w:rPr>
        <w:t xml:space="preserve"> and lacking good living conditions. The increasing need for long-term care services was coupled with the social welfare reforms and extended life expectancy in the twentieth century. The emergence of welfare systems encouraged governments to improve the quality of care and provide more protection to vulnerable people (</w:t>
      </w:r>
      <w:r w:rsidR="005860DD">
        <w:rPr>
          <w:rFonts w:ascii="Times New Roman" w:eastAsia="Times New Roman" w:hAnsi="Times New Roman" w:cs="Times New Roman"/>
          <w:color w:val="222222"/>
          <w:sz w:val="24"/>
          <w:szCs w:val="24"/>
          <w:highlight w:val="white"/>
        </w:rPr>
        <w:t>Netas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et al.</w:t>
      </w:r>
      <w:r>
        <w:rPr>
          <w:rFonts w:ascii="Times New Roman" w:eastAsia="Times New Roman" w:hAnsi="Times New Roman" w:cs="Times New Roman"/>
          <w:color w:val="222222"/>
          <w:sz w:val="24"/>
          <w:szCs w:val="24"/>
          <w:highlight w:val="white"/>
        </w:rPr>
        <w:t xml:space="preserve"> 2025</w:t>
      </w:r>
      <w:r>
        <w:rPr>
          <w:rFonts w:ascii="Times New Roman" w:eastAsia="Times New Roman" w:hAnsi="Times New Roman" w:cs="Times New Roman"/>
          <w:sz w:val="24"/>
          <w:szCs w:val="24"/>
        </w:rPr>
        <w:t xml:space="preserve">). The United Kingdom has professionalised its residential care homes by promoting staff training, rules and quality standards. The current legislation and rules have led to greater accountability and person-centred care, safeguarding and respect for the rights of the residents. </w:t>
      </w:r>
    </w:p>
    <w:p w14:paraId="5003D945" w14:textId="77777777" w:rsidR="00D876B2" w:rsidRDefault="00D876B2" w:rsidP="00D876B2">
      <w:pPr>
        <w:pStyle w:val="Heading2"/>
      </w:pPr>
      <w:bookmarkStart w:id="3" w:name="_nl6xiwj8319d" w:colFirst="0" w:colLast="0"/>
      <w:bookmarkEnd w:id="3"/>
      <w:r>
        <w:t>Critical Evaluation of Current Functioning</w:t>
      </w:r>
    </w:p>
    <w:p w14:paraId="3EB311E5" w14:textId="77777777" w:rsidR="00D876B2" w:rsidRDefault="00D876B2" w:rsidP="00D876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residential care homes have also started to provide 24-hour accommodation, personal care, nutritional support, recreational, and emotional well-being services to individuals requiring assistance in their daily lives (Verderber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The care is given on individualised care plans, whose basis is on the preferences and health conditions of participants, cultural backgrounds and personal objectives. The staff work together with the doctors, nurses, pharmacists, therapists and social workers to offer holistic care. Even though person-centred </w:t>
      </w:r>
      <w:r>
        <w:rPr>
          <w:rFonts w:ascii="Times New Roman" w:eastAsia="Times New Roman" w:hAnsi="Times New Roman" w:cs="Times New Roman"/>
          <w:sz w:val="24"/>
          <w:szCs w:val="24"/>
        </w:rPr>
        <w:lastRenderedPageBreak/>
        <w:t xml:space="preserve">approaches have enhanced the experience and safety of residents, the sector has major issues. Workforce shortages, labour turnover, financial constraints, and an increase in the number of complex physical and mental health needs place a great burden on service providers (Hallett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2024). Continuity of care and staff availability may be influenced by these pressures in some settings. The checks of regulations, security, continuous training of employees and quality improvement activities have, however, contributed to the quality improvement of care as well as the safer and more humane care provided by residential care in the whole industry.</w:t>
      </w:r>
    </w:p>
    <w:p w14:paraId="76C25242" w14:textId="77777777" w:rsidR="00D876B2" w:rsidRDefault="00D876B2" w:rsidP="00D876B2">
      <w:pPr>
        <w:pStyle w:val="Heading2"/>
      </w:pPr>
      <w:bookmarkStart w:id="4" w:name="_prgrd1f5upow" w:colFirst="0" w:colLast="0"/>
      <w:bookmarkEnd w:id="4"/>
      <w:r>
        <w:t>Importance for Quality of Life</w:t>
      </w:r>
    </w:p>
    <w:p w14:paraId="17DAA68A" w14:textId="2A8F1DE0" w:rsidR="00D876B2" w:rsidRDefault="00D876B2" w:rsidP="00D876B2">
      <w:pPr>
        <w:spacing w:line="360" w:lineRule="auto"/>
        <w:jc w:val="both"/>
        <w:rPr>
          <w:rFonts w:ascii="Times New Roman" w:eastAsia="Times New Roman" w:hAnsi="Times New Roman" w:cs="Times New Roman"/>
          <w:b/>
          <w:bCs/>
          <w:sz w:val="26"/>
          <w:szCs w:val="26"/>
        </w:rPr>
      </w:pPr>
      <w:r>
        <w:rPr>
          <w:rFonts w:ascii="Times New Roman" w:eastAsia="Times New Roman" w:hAnsi="Times New Roman" w:cs="Times New Roman"/>
          <w:sz w:val="24"/>
          <w:szCs w:val="24"/>
        </w:rPr>
        <w:t>Residential care homes play a major role in enhancing the quality of living of service users as they offer a secure, supportive and socially interactive environment (</w:t>
      </w:r>
      <w:r w:rsidR="005860DD">
        <w:rPr>
          <w:rFonts w:ascii="Times New Roman" w:eastAsia="Times New Roman" w:hAnsi="Times New Roman" w:cs="Times New Roman"/>
          <w:sz w:val="24"/>
          <w:szCs w:val="24"/>
        </w:rPr>
        <w:t>Barabash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The residents are given assistance in their daily living and as much autonomy and choice as they can have. Engaging in social solutions and other hobbies, exercise programs, and community-based activities helps reduce loneliness and social loneliness to ensure a better psychological state and emotional wellbeing. The physical health, nutrition, medication, and personal care are also checked by professional </w:t>
      </w:r>
      <w:r w:rsidR="005860DD">
        <w:rPr>
          <w:rFonts w:ascii="Times New Roman" w:eastAsia="Times New Roman" w:hAnsi="Times New Roman" w:cs="Times New Roman"/>
          <w:sz w:val="24"/>
          <w:szCs w:val="24"/>
        </w:rPr>
        <w:t>careers</w:t>
      </w:r>
      <w:r>
        <w:rPr>
          <w:rFonts w:ascii="Times New Roman" w:eastAsia="Times New Roman" w:hAnsi="Times New Roman" w:cs="Times New Roman"/>
          <w:sz w:val="24"/>
          <w:szCs w:val="24"/>
        </w:rPr>
        <w:t>, which minimises the possibility of accidents and health complications (Omolara and Ochieng, 2024). The relatives are assisted in feeling that their relatives are in good hands with the trained specialists.</w:t>
      </w:r>
    </w:p>
    <w:p w14:paraId="3A33B9A6" w14:textId="77777777" w:rsidR="00D876B2" w:rsidRDefault="00D876B2" w:rsidP="00D876B2">
      <w:pPr>
        <w:pStyle w:val="Heading2"/>
      </w:pPr>
      <w:bookmarkStart w:id="5" w:name="_nsyv8jno4f2l" w:colFirst="0" w:colLast="0"/>
      <w:bookmarkEnd w:id="5"/>
      <w:r>
        <w:t>Conclusion</w:t>
      </w:r>
    </w:p>
    <w:p w14:paraId="6D65F403" w14:textId="77777777" w:rsidR="00D876B2" w:rsidRDefault="00D876B2" w:rsidP="00D876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Residential care homes emerged as professional services from primitive forms of charitable institutions and now constitute a significant component of the social care systems of the modern world. These changes in their development are the signs of the change in the social attitudes, the improvement of the welfare policy and more awareness of the rights and needs of older people and vulnerable individuals. Though faced with the most recent challenges, such as a shortage of labour, financial burden and increasing complexity in delivering care, residential care homes still provide secure housing, person-centred care, and opportunities to participate in social activities.</w:t>
      </w:r>
      <w:r>
        <w:br w:type="page"/>
      </w:r>
    </w:p>
    <w:p w14:paraId="20F1A3B3" w14:textId="0DD89634" w:rsidR="00D876B2" w:rsidRPr="00A6165E" w:rsidRDefault="00D876B2">
      <w:pPr>
        <w:rPr>
          <w:rFonts w:ascii="Arial" w:hAnsi="Arial" w:cs="Arial"/>
          <w:b/>
          <w:bCs/>
          <w:sz w:val="28"/>
          <w:szCs w:val="28"/>
        </w:rPr>
        <w:sectPr w:rsidR="00D876B2" w:rsidRPr="00A6165E" w:rsidSect="003A000F">
          <w:pgSz w:w="11906" w:h="16838"/>
          <w:pgMar w:top="1440" w:right="1440" w:bottom="1440" w:left="1440" w:header="708" w:footer="708" w:gutter="0"/>
          <w:cols w:space="708"/>
          <w:docGrid w:linePitch="360"/>
        </w:sectPr>
      </w:pPr>
    </w:p>
    <w:p w14:paraId="23578436" w14:textId="77777777"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p>
    <w:p w14:paraId="2EE2F9EE" w14:textId="77777777" w:rsidR="00D876B2" w:rsidRDefault="00D876B2" w:rsidP="00D876B2">
      <w:pPr>
        <w:pStyle w:val="Heading2"/>
      </w:pPr>
      <w:r>
        <w:rPr>
          <w:rFonts w:ascii="Arial" w:hAnsi="Arial" w:cs="Arial"/>
          <w:b w:val="0"/>
          <w:bCs w:val="0"/>
          <w:sz w:val="28"/>
          <w:szCs w:val="28"/>
        </w:rPr>
        <w:t xml:space="preserve"> </w:t>
      </w:r>
      <w:r>
        <w:t>Task 1</w:t>
      </w:r>
    </w:p>
    <w:p w14:paraId="549AD8B5"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Ahmed, R. and Tamim, T.R., (2025). Enhancing medication safety: the role of community and hospital pharmacists in modern healthcare systems. </w:t>
      </w:r>
      <w:r>
        <w:rPr>
          <w:rFonts w:ascii="Times New Roman" w:eastAsia="Times New Roman" w:hAnsi="Times New Roman" w:cs="Times New Roman"/>
          <w:i/>
          <w:iCs/>
          <w:color w:val="222222"/>
          <w:sz w:val="24"/>
          <w:szCs w:val="24"/>
          <w:highlight w:val="white"/>
        </w:rPr>
        <w:t>Radinka Journal of Health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w:t>
      </w:r>
      <w:r>
        <w:rPr>
          <w:rFonts w:ascii="Times New Roman" w:eastAsia="Times New Roman" w:hAnsi="Times New Roman" w:cs="Times New Roman"/>
          <w:color w:val="222222"/>
          <w:sz w:val="24"/>
          <w:szCs w:val="24"/>
          <w:highlight w:val="white"/>
        </w:rPr>
        <w:t xml:space="preserve">(3), pp.328-355. </w:t>
      </w:r>
    </w:p>
    <w:p w14:paraId="537868E6"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Desai, R., (2024). Optimizing pharmacy operations: Strategies for efficiency and quality care. </w:t>
      </w:r>
      <w:r>
        <w:rPr>
          <w:rFonts w:ascii="Times New Roman" w:eastAsia="Times New Roman" w:hAnsi="Times New Roman" w:cs="Times New Roman"/>
          <w:i/>
          <w:iCs/>
          <w:color w:val="222222"/>
          <w:sz w:val="24"/>
          <w:szCs w:val="24"/>
          <w:highlight w:val="white"/>
        </w:rPr>
        <w:t>International Journal of Research and Innovations in Pharmacy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w:t>
      </w:r>
      <w:r>
        <w:rPr>
          <w:rFonts w:ascii="Times New Roman" w:eastAsia="Times New Roman" w:hAnsi="Times New Roman" w:cs="Times New Roman"/>
          <w:color w:val="222222"/>
          <w:sz w:val="24"/>
          <w:szCs w:val="24"/>
          <w:highlight w:val="white"/>
        </w:rPr>
        <w:t xml:space="preserve">(1). </w:t>
      </w:r>
    </w:p>
    <w:p w14:paraId="4D5D34E4" w14:textId="1358C224"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Masic, I., </w:t>
      </w:r>
      <w:r w:rsidR="005860DD">
        <w:rPr>
          <w:rFonts w:ascii="Times New Roman" w:eastAsia="Times New Roman" w:hAnsi="Times New Roman" w:cs="Times New Roman"/>
          <w:color w:val="222222"/>
          <w:sz w:val="24"/>
          <w:szCs w:val="24"/>
          <w:highlight w:val="white"/>
        </w:rPr>
        <w:t>Skibo</w:t>
      </w:r>
      <w:r>
        <w:rPr>
          <w:rFonts w:ascii="Times New Roman" w:eastAsia="Times New Roman" w:hAnsi="Times New Roman" w:cs="Times New Roman"/>
          <w:color w:val="222222"/>
          <w:sz w:val="24"/>
          <w:szCs w:val="24"/>
          <w:highlight w:val="white"/>
        </w:rPr>
        <w:t xml:space="preserve">, A., Catic, T. and </w:t>
      </w:r>
      <w:proofErr w:type="spellStart"/>
      <w:r>
        <w:rPr>
          <w:rFonts w:ascii="Times New Roman" w:eastAsia="Times New Roman" w:hAnsi="Times New Roman" w:cs="Times New Roman"/>
          <w:color w:val="222222"/>
          <w:sz w:val="24"/>
          <w:szCs w:val="24"/>
          <w:highlight w:val="white"/>
        </w:rPr>
        <w:t>Sukalo</w:t>
      </w:r>
      <w:proofErr w:type="spellEnd"/>
      <w:r>
        <w:rPr>
          <w:rFonts w:ascii="Times New Roman" w:eastAsia="Times New Roman" w:hAnsi="Times New Roman" w:cs="Times New Roman"/>
          <w:color w:val="222222"/>
          <w:sz w:val="24"/>
          <w:szCs w:val="24"/>
          <w:highlight w:val="white"/>
        </w:rPr>
        <w:t xml:space="preserve">, A., (2022). History of pharmacy described in the books and articles stored in libraries, museums and scientific databases. </w:t>
      </w:r>
      <w:r>
        <w:rPr>
          <w:rFonts w:ascii="Times New Roman" w:eastAsia="Times New Roman" w:hAnsi="Times New Roman" w:cs="Times New Roman"/>
          <w:i/>
          <w:iCs/>
          <w:color w:val="222222"/>
          <w:sz w:val="24"/>
          <w:szCs w:val="24"/>
          <w:highlight w:val="white"/>
        </w:rPr>
        <w:t>Int J Biomed Healthc</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10</w:t>
      </w:r>
      <w:r>
        <w:rPr>
          <w:rFonts w:ascii="Times New Roman" w:eastAsia="Times New Roman" w:hAnsi="Times New Roman" w:cs="Times New Roman"/>
          <w:color w:val="222222"/>
          <w:sz w:val="24"/>
          <w:szCs w:val="24"/>
          <w:highlight w:val="white"/>
        </w:rPr>
        <w:t xml:space="preserve">(3), pp.101-120. </w:t>
      </w:r>
    </w:p>
    <w:p w14:paraId="0BC2F9E7"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Nhs</w:t>
      </w:r>
      <w:proofErr w:type="spellEnd"/>
      <w:r>
        <w:rPr>
          <w:rFonts w:ascii="Times New Roman" w:eastAsia="Times New Roman" w:hAnsi="Times New Roman" w:cs="Times New Roman"/>
          <w:color w:val="222222"/>
          <w:sz w:val="24"/>
          <w:szCs w:val="24"/>
          <w:highlight w:val="white"/>
        </w:rPr>
        <w:t xml:space="preserve">, (2026), </w:t>
      </w:r>
      <w:r>
        <w:rPr>
          <w:rFonts w:ascii="Times New Roman" w:eastAsia="Times New Roman" w:hAnsi="Times New Roman" w:cs="Times New Roman"/>
          <w:i/>
          <w:iCs/>
          <w:color w:val="222222"/>
          <w:sz w:val="24"/>
          <w:szCs w:val="24"/>
          <w:highlight w:val="white"/>
        </w:rPr>
        <w:t xml:space="preserve">About </w:t>
      </w:r>
      <w:proofErr w:type="spellStart"/>
      <w:r>
        <w:rPr>
          <w:rFonts w:ascii="Times New Roman" w:eastAsia="Times New Roman" w:hAnsi="Times New Roman" w:cs="Times New Roman"/>
          <w:i/>
          <w:iCs/>
          <w:color w:val="222222"/>
          <w:sz w:val="24"/>
          <w:szCs w:val="24"/>
          <w:highlight w:val="white"/>
        </w:rPr>
        <w:t>Nhs</w:t>
      </w:r>
      <w:proofErr w:type="spellEnd"/>
      <w:r>
        <w:rPr>
          <w:rFonts w:ascii="Times New Roman" w:eastAsia="Times New Roman" w:hAnsi="Times New Roman" w:cs="Times New Roman"/>
          <w:i/>
          <w:iCs/>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Available at: </w:t>
      </w:r>
      <w:hyperlink r:id="rId15">
        <w:r>
          <w:rPr>
            <w:rFonts w:ascii="Times New Roman" w:eastAsia="Times New Roman" w:hAnsi="Times New Roman" w:cs="Times New Roman"/>
            <w:color w:val="1155CC"/>
            <w:sz w:val="24"/>
            <w:szCs w:val="24"/>
            <w:highlight w:val="white"/>
            <w:u w:val="single"/>
          </w:rPr>
          <w:t>https://www.nhs.uk/</w:t>
        </w:r>
      </w:hyperlink>
      <w:r>
        <w:rPr>
          <w:rFonts w:ascii="Times New Roman" w:eastAsia="Times New Roman" w:hAnsi="Times New Roman" w:cs="Times New Roman"/>
          <w:color w:val="222222"/>
          <w:sz w:val="24"/>
          <w:szCs w:val="24"/>
          <w:highlight w:val="white"/>
        </w:rPr>
        <w:t xml:space="preserve"> [Accessed on: 6th </w:t>
      </w:r>
      <w:proofErr w:type="gramStart"/>
      <w:r>
        <w:rPr>
          <w:rFonts w:ascii="Times New Roman" w:eastAsia="Times New Roman" w:hAnsi="Times New Roman" w:cs="Times New Roman"/>
          <w:color w:val="222222"/>
          <w:sz w:val="24"/>
          <w:szCs w:val="24"/>
          <w:highlight w:val="white"/>
        </w:rPr>
        <w:t>July,</w:t>
      </w:r>
      <w:proofErr w:type="gramEnd"/>
      <w:r>
        <w:rPr>
          <w:rFonts w:ascii="Times New Roman" w:eastAsia="Times New Roman" w:hAnsi="Times New Roman" w:cs="Times New Roman"/>
          <w:color w:val="222222"/>
          <w:sz w:val="24"/>
          <w:szCs w:val="24"/>
          <w:highlight w:val="white"/>
        </w:rPr>
        <w:t xml:space="preserve"> 2026]</w:t>
      </w:r>
    </w:p>
    <w:p w14:paraId="51F9DC0C"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Charnaux</w:t>
      </w:r>
      <w:proofErr w:type="spellEnd"/>
      <w:r>
        <w:rPr>
          <w:rFonts w:ascii="Times New Roman" w:eastAsia="Times New Roman" w:hAnsi="Times New Roman" w:cs="Times New Roman"/>
          <w:color w:val="222222"/>
          <w:sz w:val="24"/>
          <w:szCs w:val="24"/>
          <w:highlight w:val="white"/>
        </w:rPr>
        <w:t xml:space="preserve">, L., Berger, J. and </w:t>
      </w:r>
      <w:proofErr w:type="spellStart"/>
      <w:r>
        <w:rPr>
          <w:rFonts w:ascii="Times New Roman" w:eastAsia="Times New Roman" w:hAnsi="Times New Roman" w:cs="Times New Roman"/>
          <w:color w:val="222222"/>
          <w:sz w:val="24"/>
          <w:szCs w:val="24"/>
          <w:highlight w:val="white"/>
        </w:rPr>
        <w:t>Perraudin</w:t>
      </w:r>
      <w:proofErr w:type="spellEnd"/>
      <w:r>
        <w:rPr>
          <w:rFonts w:ascii="Times New Roman" w:eastAsia="Times New Roman" w:hAnsi="Times New Roman" w:cs="Times New Roman"/>
          <w:color w:val="222222"/>
          <w:sz w:val="24"/>
          <w:szCs w:val="24"/>
          <w:highlight w:val="white"/>
        </w:rPr>
        <w:t xml:space="preserve">, C., (2025). Managing minor ailments and pharmacy services: How do people make their </w:t>
      </w:r>
      <w:proofErr w:type="gramStart"/>
      <w:r>
        <w:rPr>
          <w:rFonts w:ascii="Times New Roman" w:eastAsia="Times New Roman" w:hAnsi="Times New Roman" w:cs="Times New Roman"/>
          <w:color w:val="222222"/>
          <w:sz w:val="24"/>
          <w:szCs w:val="24"/>
          <w:highlight w:val="white"/>
        </w:rPr>
        <w:t>decisions?.</w:t>
      </w:r>
      <w:proofErr w:type="gram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PLoS</w:t>
      </w:r>
      <w:proofErr w:type="spellEnd"/>
      <w:r>
        <w:rPr>
          <w:rFonts w:ascii="Times New Roman" w:eastAsia="Times New Roman" w:hAnsi="Times New Roman" w:cs="Times New Roman"/>
          <w:i/>
          <w:iCs/>
          <w:color w:val="222222"/>
          <w:sz w:val="24"/>
          <w:szCs w:val="24"/>
          <w:highlight w:val="white"/>
        </w:rPr>
        <w:t xml:space="preserve"> One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20</w:t>
      </w:r>
      <w:r>
        <w:rPr>
          <w:rFonts w:ascii="Times New Roman" w:eastAsia="Times New Roman" w:hAnsi="Times New Roman" w:cs="Times New Roman"/>
          <w:color w:val="222222"/>
          <w:sz w:val="24"/>
          <w:szCs w:val="24"/>
          <w:highlight w:val="white"/>
        </w:rPr>
        <w:t xml:space="preserve">(8), p.e0330706. </w:t>
      </w:r>
    </w:p>
    <w:p w14:paraId="797B9CFC"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Sahr, M., Blower, N. and Johnston, R., (2022). Patient perceptions of acute infectious disease point-of-care tests and treatment within community pharmacy settings. </w:t>
      </w:r>
      <w:r>
        <w:rPr>
          <w:rFonts w:ascii="Times New Roman" w:eastAsia="Times New Roman" w:hAnsi="Times New Roman" w:cs="Times New Roman"/>
          <w:i/>
          <w:iCs/>
          <w:color w:val="222222"/>
          <w:sz w:val="24"/>
          <w:szCs w:val="24"/>
          <w:highlight w:val="white"/>
        </w:rPr>
        <w:t>Journal of the American Pharmacists Association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62</w:t>
      </w:r>
      <w:r>
        <w:rPr>
          <w:rFonts w:ascii="Times New Roman" w:eastAsia="Times New Roman" w:hAnsi="Times New Roman" w:cs="Times New Roman"/>
          <w:color w:val="222222"/>
          <w:sz w:val="24"/>
          <w:szCs w:val="24"/>
          <w:highlight w:val="white"/>
        </w:rPr>
        <w:t xml:space="preserve">(6), pp.1786-1791. </w:t>
      </w:r>
    </w:p>
    <w:p w14:paraId="16426D94"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Burnand, A., Woodward, A., Kolodin, V., Manthorpe, J., Jani, Y., Orlu, M., Bhanu, C., Samsi, K., Vickerstaff, V., Wilcock, J. and Ward, J., (2025). Service delivery and the role of clinical pharmacists in UK primary care for older people, including people with dementia: a scoping review. </w:t>
      </w:r>
      <w:r>
        <w:rPr>
          <w:rFonts w:ascii="Times New Roman" w:eastAsia="Times New Roman" w:hAnsi="Times New Roman" w:cs="Times New Roman"/>
          <w:i/>
          <w:iCs/>
          <w:color w:val="222222"/>
          <w:sz w:val="24"/>
          <w:szCs w:val="24"/>
          <w:highlight w:val="white"/>
        </w:rPr>
        <w:t>BMC Primary Care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26</w:t>
      </w:r>
      <w:r>
        <w:rPr>
          <w:rFonts w:ascii="Times New Roman" w:eastAsia="Times New Roman" w:hAnsi="Times New Roman" w:cs="Times New Roman"/>
          <w:color w:val="222222"/>
          <w:sz w:val="24"/>
          <w:szCs w:val="24"/>
          <w:highlight w:val="white"/>
        </w:rPr>
        <w:t xml:space="preserve">(1), p.10. </w:t>
      </w:r>
    </w:p>
    <w:p w14:paraId="0D728E53"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Bachoolall</w:t>
      </w:r>
      <w:proofErr w:type="spellEnd"/>
      <w:r>
        <w:rPr>
          <w:rFonts w:ascii="Times New Roman" w:eastAsia="Times New Roman" w:hAnsi="Times New Roman" w:cs="Times New Roman"/>
          <w:color w:val="222222"/>
          <w:sz w:val="24"/>
          <w:szCs w:val="24"/>
          <w:highlight w:val="white"/>
        </w:rPr>
        <w:t xml:space="preserve">, R. and Suleman, F., (2025). Community pharmacists’ perceptions and experiences of medicine shortages in disruptive situations: a qualitative study. </w:t>
      </w:r>
      <w:r>
        <w:rPr>
          <w:rFonts w:ascii="Times New Roman" w:eastAsia="Times New Roman" w:hAnsi="Times New Roman" w:cs="Times New Roman"/>
          <w:i/>
          <w:iCs/>
          <w:color w:val="222222"/>
          <w:sz w:val="24"/>
          <w:szCs w:val="24"/>
          <w:highlight w:val="white"/>
        </w:rPr>
        <w:t>International Journal of Clinical Pharmacy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47</w:t>
      </w:r>
      <w:r>
        <w:rPr>
          <w:rFonts w:ascii="Times New Roman" w:eastAsia="Times New Roman" w:hAnsi="Times New Roman" w:cs="Times New Roman"/>
          <w:color w:val="222222"/>
          <w:sz w:val="24"/>
          <w:szCs w:val="24"/>
          <w:highlight w:val="white"/>
        </w:rPr>
        <w:t xml:space="preserve">(1), pp.210-217. </w:t>
      </w:r>
    </w:p>
    <w:p w14:paraId="7ECACB88"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Minhas, A., (2026</w:t>
      </w:r>
      <w:proofErr w:type="gramStart"/>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Healthcare</w:t>
      </w:r>
      <w:proofErr w:type="gramEnd"/>
      <w:r>
        <w:rPr>
          <w:rFonts w:ascii="Times New Roman" w:eastAsia="Times New Roman" w:hAnsi="Times New Roman" w:cs="Times New Roman"/>
          <w:i/>
          <w:iCs/>
          <w:color w:val="222222"/>
          <w:sz w:val="24"/>
          <w:szCs w:val="24"/>
          <w:highlight w:val="white"/>
        </w:rPr>
        <w:t xml:space="preserve"> Expenditure, </w:t>
      </w:r>
      <w:r>
        <w:rPr>
          <w:rFonts w:ascii="Times New Roman" w:eastAsia="Times New Roman" w:hAnsi="Times New Roman" w:cs="Times New Roman"/>
          <w:color w:val="222222"/>
          <w:sz w:val="24"/>
          <w:szCs w:val="24"/>
          <w:highlight w:val="white"/>
        </w:rPr>
        <w:t xml:space="preserve">Available at: </w:t>
      </w:r>
      <w:hyperlink r:id="rId16">
        <w:r>
          <w:rPr>
            <w:rFonts w:ascii="Times New Roman" w:eastAsia="Times New Roman" w:hAnsi="Times New Roman" w:cs="Times New Roman"/>
            <w:color w:val="1155CC"/>
            <w:sz w:val="24"/>
            <w:szCs w:val="24"/>
            <w:highlight w:val="white"/>
            <w:u w:val="single"/>
          </w:rPr>
          <w:t>https://www.statista.com/statistics/317708/healthcare-expenditure-as-a-share-of-gdp-in-the-united-kingdom/</w:t>
        </w:r>
      </w:hyperlink>
      <w:r>
        <w:rPr>
          <w:rFonts w:ascii="Times New Roman" w:eastAsia="Times New Roman" w:hAnsi="Times New Roman" w:cs="Times New Roman"/>
          <w:color w:val="222222"/>
          <w:sz w:val="24"/>
          <w:szCs w:val="24"/>
          <w:highlight w:val="white"/>
        </w:rPr>
        <w:t xml:space="preserve"> [Accessed on: 6th </w:t>
      </w:r>
      <w:proofErr w:type="gramStart"/>
      <w:r>
        <w:rPr>
          <w:rFonts w:ascii="Times New Roman" w:eastAsia="Times New Roman" w:hAnsi="Times New Roman" w:cs="Times New Roman"/>
          <w:color w:val="222222"/>
          <w:sz w:val="24"/>
          <w:szCs w:val="24"/>
          <w:highlight w:val="white"/>
        </w:rPr>
        <w:t>July,</w:t>
      </w:r>
      <w:proofErr w:type="gramEnd"/>
      <w:r>
        <w:rPr>
          <w:rFonts w:ascii="Times New Roman" w:eastAsia="Times New Roman" w:hAnsi="Times New Roman" w:cs="Times New Roman"/>
          <w:color w:val="222222"/>
          <w:sz w:val="24"/>
          <w:szCs w:val="24"/>
          <w:highlight w:val="white"/>
        </w:rPr>
        <w:t xml:space="preserve"> 2026]</w:t>
      </w:r>
    </w:p>
    <w:p w14:paraId="44EF2840"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Minhas, A., (2026), </w:t>
      </w:r>
      <w:r>
        <w:rPr>
          <w:rFonts w:ascii="Times New Roman" w:eastAsia="Times New Roman" w:hAnsi="Times New Roman" w:cs="Times New Roman"/>
          <w:i/>
          <w:iCs/>
          <w:color w:val="222222"/>
          <w:sz w:val="24"/>
          <w:szCs w:val="24"/>
          <w:highlight w:val="white"/>
        </w:rPr>
        <w:t>Number of pharmacists in the UK,</w:t>
      </w:r>
      <w:r>
        <w:rPr>
          <w:rFonts w:ascii="Times New Roman" w:eastAsia="Times New Roman" w:hAnsi="Times New Roman" w:cs="Times New Roman"/>
          <w:color w:val="222222"/>
          <w:sz w:val="24"/>
          <w:szCs w:val="24"/>
          <w:highlight w:val="white"/>
        </w:rPr>
        <w:t xml:space="preserve"> Available at: </w:t>
      </w:r>
      <w:hyperlink r:id="rId17">
        <w:r>
          <w:rPr>
            <w:rFonts w:ascii="Times New Roman" w:eastAsia="Times New Roman" w:hAnsi="Times New Roman" w:cs="Times New Roman"/>
            <w:color w:val="1155CC"/>
            <w:sz w:val="24"/>
            <w:szCs w:val="24"/>
            <w:highlight w:val="white"/>
            <w:u w:val="single"/>
          </w:rPr>
          <w:t>https://www.statista.com/statistics/318874/numbers-of-pharmacists-in-the-uk/?srsltid=AfmBOooSv64tMCyKagLTmGRjvANOmL9tUNQemAXBoWyY6dew5PJ4BoEw</w:t>
        </w:r>
      </w:hyperlink>
      <w:r>
        <w:rPr>
          <w:rFonts w:ascii="Times New Roman" w:eastAsia="Times New Roman" w:hAnsi="Times New Roman" w:cs="Times New Roman"/>
          <w:color w:val="222222"/>
          <w:sz w:val="24"/>
          <w:szCs w:val="24"/>
          <w:highlight w:val="white"/>
        </w:rPr>
        <w:t xml:space="preserve"> [Accessed on: 6th </w:t>
      </w:r>
      <w:proofErr w:type="gramStart"/>
      <w:r>
        <w:rPr>
          <w:rFonts w:ascii="Times New Roman" w:eastAsia="Times New Roman" w:hAnsi="Times New Roman" w:cs="Times New Roman"/>
          <w:color w:val="222222"/>
          <w:sz w:val="24"/>
          <w:szCs w:val="24"/>
          <w:highlight w:val="white"/>
        </w:rPr>
        <w:t>July,</w:t>
      </w:r>
      <w:proofErr w:type="gramEnd"/>
      <w:r>
        <w:rPr>
          <w:rFonts w:ascii="Times New Roman" w:eastAsia="Times New Roman" w:hAnsi="Times New Roman" w:cs="Times New Roman"/>
          <w:color w:val="222222"/>
          <w:sz w:val="24"/>
          <w:szCs w:val="24"/>
          <w:highlight w:val="white"/>
        </w:rPr>
        <w:t xml:space="preserve"> 2026]</w:t>
      </w:r>
    </w:p>
    <w:p w14:paraId="25E8053B" w14:textId="77777777" w:rsidR="00D876B2" w:rsidRDefault="00D876B2" w:rsidP="00D876B2">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color w:val="222222"/>
          <w:sz w:val="24"/>
          <w:szCs w:val="24"/>
          <w:highlight w:val="white"/>
        </w:rPr>
        <w:lastRenderedPageBreak/>
        <w:t xml:space="preserve">Sharma, L., Prakash, A. and Medhi, B., (2024). Ensuring medication and patient safety for better quality healthcare. </w:t>
      </w:r>
      <w:r>
        <w:rPr>
          <w:rFonts w:ascii="Times New Roman" w:eastAsia="Times New Roman" w:hAnsi="Times New Roman" w:cs="Times New Roman"/>
          <w:i/>
          <w:iCs/>
          <w:color w:val="222222"/>
          <w:sz w:val="24"/>
          <w:szCs w:val="24"/>
          <w:highlight w:val="white"/>
        </w:rPr>
        <w:t>Indian Journal of Pharmacology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56</w:t>
      </w:r>
      <w:r>
        <w:rPr>
          <w:rFonts w:ascii="Times New Roman" w:eastAsia="Times New Roman" w:hAnsi="Times New Roman" w:cs="Times New Roman"/>
          <w:color w:val="222222"/>
          <w:sz w:val="24"/>
          <w:szCs w:val="24"/>
          <w:highlight w:val="white"/>
        </w:rPr>
        <w:t xml:space="preserve">(6), pp.375-378. </w:t>
      </w:r>
    </w:p>
    <w:p w14:paraId="511D6413" w14:textId="77777777" w:rsidR="00D876B2" w:rsidRPr="00545EA6" w:rsidRDefault="00D876B2" w:rsidP="00D876B2">
      <w:pPr>
        <w:pStyle w:val="Heading2"/>
      </w:pPr>
      <w:bookmarkStart w:id="6" w:name="_jtwrzb7ni9st" w:colFirst="0" w:colLast="0"/>
      <w:bookmarkEnd w:id="6"/>
      <w:r>
        <w:t>Task 2</w:t>
      </w:r>
    </w:p>
    <w:p w14:paraId="6F951D38"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Bao, J., Zhou, L., Liu, G., Tang, J., Lu, X., Cheng, C., Jin, Y. and Bai, J., (2022). Current state of care for the elderly in China in the context of an aging population. </w:t>
      </w:r>
      <w:r>
        <w:rPr>
          <w:rFonts w:ascii="Times New Roman" w:eastAsia="Times New Roman" w:hAnsi="Times New Roman" w:cs="Times New Roman"/>
          <w:i/>
          <w:iCs/>
          <w:color w:val="222222"/>
          <w:sz w:val="24"/>
          <w:szCs w:val="24"/>
          <w:highlight w:val="white"/>
        </w:rPr>
        <w:t>Bioscience trends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 xml:space="preserve">(2), pp.107-118. </w:t>
      </w:r>
    </w:p>
    <w:p w14:paraId="468ED1E6"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Baragash</w:t>
      </w:r>
      <w:proofErr w:type="spellEnd"/>
      <w:r>
        <w:rPr>
          <w:rFonts w:ascii="Times New Roman" w:eastAsia="Times New Roman" w:hAnsi="Times New Roman" w:cs="Times New Roman"/>
          <w:color w:val="222222"/>
          <w:sz w:val="24"/>
          <w:szCs w:val="24"/>
          <w:highlight w:val="white"/>
        </w:rPr>
        <w:t xml:space="preserve">, R.S., </w:t>
      </w:r>
      <w:proofErr w:type="spellStart"/>
      <w:r>
        <w:rPr>
          <w:rFonts w:ascii="Times New Roman" w:eastAsia="Times New Roman" w:hAnsi="Times New Roman" w:cs="Times New Roman"/>
          <w:color w:val="222222"/>
          <w:sz w:val="24"/>
          <w:szCs w:val="24"/>
          <w:highlight w:val="white"/>
        </w:rPr>
        <w:t>Aldowah</w:t>
      </w:r>
      <w:proofErr w:type="spellEnd"/>
      <w:r>
        <w:rPr>
          <w:rFonts w:ascii="Times New Roman" w:eastAsia="Times New Roman" w:hAnsi="Times New Roman" w:cs="Times New Roman"/>
          <w:color w:val="222222"/>
          <w:sz w:val="24"/>
          <w:szCs w:val="24"/>
          <w:highlight w:val="white"/>
        </w:rPr>
        <w:t xml:space="preserve">, H. and Ghazal, S., (2022). Virtual and augmented reality applications to improve older adults’ quality of life: A systematic mapping review and future directions. </w:t>
      </w:r>
      <w:r>
        <w:rPr>
          <w:rFonts w:ascii="Times New Roman" w:eastAsia="Times New Roman" w:hAnsi="Times New Roman" w:cs="Times New Roman"/>
          <w:i/>
          <w:iCs/>
          <w:color w:val="222222"/>
          <w:sz w:val="24"/>
          <w:szCs w:val="24"/>
          <w:highlight w:val="white"/>
        </w:rPr>
        <w:t>Digital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 xml:space="preserve">, p.20552076221132099. </w:t>
      </w:r>
    </w:p>
    <w:p w14:paraId="70173566"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Hallett, E., Simeon, E., Amba, V., Howington, D., McConnell, K.J. and Zhu, J.M., (2024). Factors influencing turnover and attrition in the public </w:t>
      </w:r>
      <w:proofErr w:type="spellStart"/>
      <w:r>
        <w:rPr>
          <w:rFonts w:ascii="Times New Roman" w:eastAsia="Times New Roman" w:hAnsi="Times New Roman" w:cs="Times New Roman"/>
          <w:color w:val="222222"/>
          <w:sz w:val="24"/>
          <w:szCs w:val="24"/>
          <w:highlight w:val="white"/>
        </w:rPr>
        <w:t>behavioral</w:t>
      </w:r>
      <w:proofErr w:type="spellEnd"/>
      <w:r>
        <w:rPr>
          <w:rFonts w:ascii="Times New Roman" w:eastAsia="Times New Roman" w:hAnsi="Times New Roman" w:cs="Times New Roman"/>
          <w:color w:val="222222"/>
          <w:sz w:val="24"/>
          <w:szCs w:val="24"/>
          <w:highlight w:val="white"/>
        </w:rPr>
        <w:t xml:space="preserve"> health system workforce: qualitative study. </w:t>
      </w:r>
      <w:r>
        <w:rPr>
          <w:rFonts w:ascii="Times New Roman" w:eastAsia="Times New Roman" w:hAnsi="Times New Roman" w:cs="Times New Roman"/>
          <w:i/>
          <w:iCs/>
          <w:color w:val="222222"/>
          <w:sz w:val="24"/>
          <w:szCs w:val="24"/>
          <w:highlight w:val="white"/>
        </w:rPr>
        <w:t>Psychiatric Services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75</w:t>
      </w:r>
      <w:r>
        <w:rPr>
          <w:rFonts w:ascii="Times New Roman" w:eastAsia="Times New Roman" w:hAnsi="Times New Roman" w:cs="Times New Roman"/>
          <w:color w:val="222222"/>
          <w:sz w:val="24"/>
          <w:szCs w:val="24"/>
          <w:highlight w:val="white"/>
        </w:rPr>
        <w:t xml:space="preserve">(1), pp.55-63.  </w:t>
      </w:r>
    </w:p>
    <w:p w14:paraId="456889E2"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Kelly, S., Pryor, C., Stephens, M. and Heaslip, V., (2026). Exploring the presence and impact of advanced nursing roles in care homes and charitable organisations: An international systematic scoping review. </w:t>
      </w:r>
      <w:r>
        <w:rPr>
          <w:rFonts w:ascii="Times New Roman" w:eastAsia="Times New Roman" w:hAnsi="Times New Roman" w:cs="Times New Roman"/>
          <w:i/>
          <w:iCs/>
          <w:color w:val="222222"/>
          <w:sz w:val="24"/>
          <w:szCs w:val="24"/>
          <w:highlight w:val="white"/>
        </w:rPr>
        <w:t>Journal of Advanced Nursing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82</w:t>
      </w:r>
      <w:r>
        <w:rPr>
          <w:rFonts w:ascii="Times New Roman" w:eastAsia="Times New Roman" w:hAnsi="Times New Roman" w:cs="Times New Roman"/>
          <w:color w:val="222222"/>
          <w:sz w:val="24"/>
          <w:szCs w:val="24"/>
          <w:highlight w:val="white"/>
        </w:rPr>
        <w:t xml:space="preserve">(6), pp.5601-5614. </w:t>
      </w:r>
    </w:p>
    <w:p w14:paraId="567E7872"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Lewis, J., (2022). The problems of social care in English nursing and residential homes for older people and the role of state regulation. </w:t>
      </w:r>
      <w:r>
        <w:rPr>
          <w:rFonts w:ascii="Times New Roman" w:eastAsia="Times New Roman" w:hAnsi="Times New Roman" w:cs="Times New Roman"/>
          <w:i/>
          <w:iCs/>
          <w:color w:val="222222"/>
          <w:sz w:val="24"/>
          <w:szCs w:val="24"/>
          <w:highlight w:val="white"/>
        </w:rPr>
        <w:t>Journal of Social Welfare and Family Law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44</w:t>
      </w:r>
      <w:r>
        <w:rPr>
          <w:rFonts w:ascii="Times New Roman" w:eastAsia="Times New Roman" w:hAnsi="Times New Roman" w:cs="Times New Roman"/>
          <w:color w:val="222222"/>
          <w:sz w:val="24"/>
          <w:szCs w:val="24"/>
          <w:highlight w:val="white"/>
        </w:rPr>
        <w:t xml:space="preserve">(2), pp.185-204. </w:t>
      </w:r>
    </w:p>
    <w:p w14:paraId="4CDF82FB"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Nentas</w:t>
      </w:r>
      <w:proofErr w:type="spellEnd"/>
      <w:r>
        <w:rPr>
          <w:rFonts w:ascii="Times New Roman" w:eastAsia="Times New Roman" w:hAnsi="Times New Roman" w:cs="Times New Roman"/>
          <w:color w:val="222222"/>
          <w:sz w:val="24"/>
          <w:szCs w:val="24"/>
          <w:highlight w:val="white"/>
        </w:rPr>
        <w:t xml:space="preserve">, D., Petropoulos, S., </w:t>
      </w:r>
      <w:proofErr w:type="spellStart"/>
      <w:r>
        <w:rPr>
          <w:rFonts w:ascii="Times New Roman" w:eastAsia="Times New Roman" w:hAnsi="Times New Roman" w:cs="Times New Roman"/>
          <w:color w:val="222222"/>
          <w:sz w:val="24"/>
          <w:szCs w:val="24"/>
          <w:highlight w:val="white"/>
        </w:rPr>
        <w:t>Ntalianis</w:t>
      </w:r>
      <w:proofErr w:type="spellEnd"/>
      <w:r>
        <w:rPr>
          <w:rFonts w:ascii="Times New Roman" w:eastAsia="Times New Roman" w:hAnsi="Times New Roman" w:cs="Times New Roman"/>
          <w:color w:val="222222"/>
          <w:sz w:val="24"/>
          <w:szCs w:val="24"/>
          <w:highlight w:val="white"/>
        </w:rPr>
        <w:t xml:space="preserve">, K. and Mastorakis, N., (2025). The cost of providing meals in Greek non-profit organizations: Evidence from soup kitchens and residential care facilities. </w:t>
      </w:r>
      <w:r>
        <w:rPr>
          <w:rFonts w:ascii="Times New Roman" w:eastAsia="Times New Roman" w:hAnsi="Times New Roman" w:cs="Times New Roman"/>
          <w:i/>
          <w:iCs/>
          <w:color w:val="222222"/>
          <w:sz w:val="24"/>
          <w:szCs w:val="24"/>
          <w:highlight w:val="white"/>
        </w:rPr>
        <w:t>WSEAS Transactions on Business and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22</w:t>
      </w:r>
      <w:r>
        <w:rPr>
          <w:rFonts w:ascii="Times New Roman" w:eastAsia="Times New Roman" w:hAnsi="Times New Roman" w:cs="Times New Roman"/>
          <w:color w:val="222222"/>
          <w:sz w:val="24"/>
          <w:szCs w:val="24"/>
          <w:highlight w:val="white"/>
        </w:rPr>
        <w:t xml:space="preserve">, pp.2884-2892. </w:t>
      </w:r>
    </w:p>
    <w:p w14:paraId="35B0C1A8"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Omolara, J. and Ochieng, J., (2024). Occupational health and safety challenges faced by caregivers and the respective interventions to improve their wellbeing. </w:t>
      </w:r>
      <w:r>
        <w:rPr>
          <w:rFonts w:ascii="Times New Roman" w:eastAsia="Times New Roman" w:hAnsi="Times New Roman" w:cs="Times New Roman"/>
          <w:i/>
          <w:iCs/>
          <w:color w:val="222222"/>
          <w:sz w:val="24"/>
          <w:szCs w:val="24"/>
          <w:highlight w:val="white"/>
        </w:rPr>
        <w:t>International Journal of Innovative Science and Research Technology (IJISRT)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9</w:t>
      </w:r>
      <w:r>
        <w:rPr>
          <w:rFonts w:ascii="Times New Roman" w:eastAsia="Times New Roman" w:hAnsi="Times New Roman" w:cs="Times New Roman"/>
          <w:color w:val="222222"/>
          <w:sz w:val="24"/>
          <w:szCs w:val="24"/>
          <w:highlight w:val="white"/>
        </w:rPr>
        <w:t xml:space="preserve">(6), pp.3225-3251. </w:t>
      </w:r>
    </w:p>
    <w:p w14:paraId="59022824" w14:textId="77777777" w:rsidR="00D876B2" w:rsidRDefault="00D876B2" w:rsidP="00D876B2">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Verderber, S., </w:t>
      </w:r>
      <w:proofErr w:type="spellStart"/>
      <w:r>
        <w:rPr>
          <w:rFonts w:ascii="Times New Roman" w:eastAsia="Times New Roman" w:hAnsi="Times New Roman" w:cs="Times New Roman"/>
          <w:color w:val="222222"/>
          <w:sz w:val="24"/>
          <w:szCs w:val="24"/>
          <w:highlight w:val="white"/>
        </w:rPr>
        <w:t>Koyabashi</w:t>
      </w:r>
      <w:proofErr w:type="spellEnd"/>
      <w:r>
        <w:rPr>
          <w:rFonts w:ascii="Times New Roman" w:eastAsia="Times New Roman" w:hAnsi="Times New Roman" w:cs="Times New Roman"/>
          <w:color w:val="222222"/>
          <w:sz w:val="24"/>
          <w:szCs w:val="24"/>
          <w:highlight w:val="white"/>
        </w:rPr>
        <w:t xml:space="preserve">, U., Cruz, C.D., Sadat, A. and Anderson, D.C., (2023). Residential environments for older persons: a comprehensive literature review (2005–2022). </w:t>
      </w:r>
      <w:r>
        <w:rPr>
          <w:rFonts w:ascii="Times New Roman" w:eastAsia="Times New Roman" w:hAnsi="Times New Roman" w:cs="Times New Roman"/>
          <w:i/>
          <w:iCs/>
          <w:color w:val="222222"/>
          <w:sz w:val="24"/>
          <w:szCs w:val="24"/>
          <w:highlight w:val="white"/>
        </w:rPr>
        <w:t>HERD: Health Environments Research &amp; Design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16</w:t>
      </w:r>
      <w:r>
        <w:rPr>
          <w:rFonts w:ascii="Times New Roman" w:eastAsia="Times New Roman" w:hAnsi="Times New Roman" w:cs="Times New Roman"/>
          <w:color w:val="222222"/>
          <w:sz w:val="24"/>
          <w:szCs w:val="24"/>
          <w:highlight w:val="white"/>
        </w:rPr>
        <w:t>(3), pp.291-337.</w:t>
      </w:r>
    </w:p>
    <w:p w14:paraId="3999042A" w14:textId="42CACC50" w:rsidR="00731A75" w:rsidRPr="00731A75" w:rsidRDefault="00731A75" w:rsidP="00731A75">
      <w:pPr>
        <w:jc w:val="both"/>
        <w:rPr>
          <w:rFonts w:ascii="Times New Roman" w:hAnsi="Times New Roman" w:cs="Times New Roman"/>
          <w:sz w:val="24"/>
          <w:szCs w:val="24"/>
          <w:lang w:val="en-IN"/>
        </w:rPr>
      </w:pPr>
    </w:p>
    <w:p w14:paraId="27EBF8A3"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2CDFF2C" w14:textId="77777777" w:rsidR="00A80146" w:rsidRDefault="00A80146" w:rsidP="00BE6BE0">
      <w:pPr>
        <w:spacing w:after="0" w:line="240" w:lineRule="auto"/>
      </w:pPr>
      <w:r>
        <w:separator/>
      </w:r>
    </w:p>
  </w:endnote>
  <w:endnote w:type="continuationSeparator" w:id="0">
    <w:p w14:paraId="3E9B0D78" w14:textId="77777777" w:rsidR="00A80146" w:rsidRDefault="00A80146"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C9AB23" w14:textId="77777777" w:rsidR="00A80146" w:rsidRDefault="00A80146" w:rsidP="00BE6BE0">
      <w:pPr>
        <w:spacing w:after="0" w:line="240" w:lineRule="auto"/>
      </w:pPr>
      <w:r>
        <w:separator/>
      </w:r>
    </w:p>
  </w:footnote>
  <w:footnote w:type="continuationSeparator" w:id="0">
    <w:p w14:paraId="17E005FE" w14:textId="77777777" w:rsidR="00A80146" w:rsidRDefault="00A80146"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4785A"/>
    <w:rsid w:val="002767BF"/>
    <w:rsid w:val="0035384F"/>
    <w:rsid w:val="003A000F"/>
    <w:rsid w:val="004501B3"/>
    <w:rsid w:val="005860DD"/>
    <w:rsid w:val="00672496"/>
    <w:rsid w:val="006A6816"/>
    <w:rsid w:val="00731A75"/>
    <w:rsid w:val="007A3329"/>
    <w:rsid w:val="007D04CB"/>
    <w:rsid w:val="00804A7F"/>
    <w:rsid w:val="00806AD1"/>
    <w:rsid w:val="00833470"/>
    <w:rsid w:val="00925D5E"/>
    <w:rsid w:val="009E257B"/>
    <w:rsid w:val="00A6165E"/>
    <w:rsid w:val="00A64006"/>
    <w:rsid w:val="00A80146"/>
    <w:rsid w:val="00A82690"/>
    <w:rsid w:val="00B642EF"/>
    <w:rsid w:val="00BA496F"/>
    <w:rsid w:val="00BE6BE0"/>
    <w:rsid w:val="00C83A82"/>
    <w:rsid w:val="00D34146"/>
    <w:rsid w:val="00D43599"/>
    <w:rsid w:val="00D876B2"/>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6B2"/>
    <w:pPr>
      <w:keepNext/>
      <w:keepLines/>
      <w:spacing w:before="240" w:after="0"/>
      <w:outlineLvl w:val="0"/>
    </w:pPr>
    <w:rPr>
      <w:rFonts w:ascii="Times New Roman" w:eastAsiaTheme="majorEastAsia" w:hAnsi="Times New Roman" w:cstheme="majorBidi"/>
      <w:sz w:val="32"/>
      <w:szCs w:val="32"/>
    </w:rPr>
  </w:style>
  <w:style w:type="paragraph" w:styleId="Heading2">
    <w:name w:val="heading 2"/>
    <w:basedOn w:val="Normal"/>
    <w:next w:val="Normal"/>
    <w:link w:val="Heading2Char"/>
    <w:uiPriority w:val="9"/>
    <w:unhideWhenUsed/>
    <w:qFormat/>
    <w:rsid w:val="00D876B2"/>
    <w:pPr>
      <w:keepNext/>
      <w:keepLines/>
      <w:spacing w:after="0" w:line="360" w:lineRule="auto"/>
      <w:jc w:val="both"/>
      <w:outlineLvl w:val="1"/>
    </w:pPr>
    <w:rPr>
      <w:rFonts w:ascii="Times New Roman" w:eastAsia="Times New Roman" w:hAnsi="Times New Roman" w:cs="Times New Roman"/>
      <w:b/>
      <w:bCs/>
      <w:sz w:val="26"/>
      <w:szCs w:val="26"/>
      <w:lang w:val="e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731A75"/>
    <w:rPr>
      <w:color w:val="0563C1" w:themeColor="hyperlink"/>
      <w:u w:val="single"/>
    </w:rPr>
  </w:style>
  <w:style w:type="character" w:styleId="UnresolvedMention">
    <w:name w:val="Unresolved Mention"/>
    <w:basedOn w:val="DefaultParagraphFont"/>
    <w:uiPriority w:val="99"/>
    <w:semiHidden/>
    <w:unhideWhenUsed/>
    <w:rsid w:val="00731A75"/>
    <w:rPr>
      <w:color w:val="605E5C"/>
      <w:shd w:val="clear" w:color="auto" w:fill="E1DFDD"/>
    </w:rPr>
  </w:style>
  <w:style w:type="character" w:customStyle="1" w:styleId="Heading2Char">
    <w:name w:val="Heading 2 Char"/>
    <w:basedOn w:val="DefaultParagraphFont"/>
    <w:link w:val="Heading2"/>
    <w:uiPriority w:val="9"/>
    <w:rsid w:val="00D876B2"/>
    <w:rPr>
      <w:rFonts w:ascii="Times New Roman" w:eastAsia="Times New Roman" w:hAnsi="Times New Roman" w:cs="Times New Roman"/>
      <w:b/>
      <w:bCs/>
      <w:sz w:val="26"/>
      <w:szCs w:val="26"/>
      <w:lang w:val="en" w:eastAsia="en-IN"/>
    </w:rPr>
  </w:style>
  <w:style w:type="character" w:customStyle="1" w:styleId="Heading1Char">
    <w:name w:val="Heading 1 Char"/>
    <w:basedOn w:val="DefaultParagraphFont"/>
    <w:link w:val="Heading1"/>
    <w:uiPriority w:val="9"/>
    <w:rsid w:val="00D876B2"/>
    <w:rPr>
      <w:rFonts w:ascii="Times New Roman" w:eastAsiaTheme="majorEastAsia" w:hAnsi="Times New Roman" w:cstheme="majorBidi"/>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0.png"/><Relationship Id="rId17" Type="http://schemas.openxmlformats.org/officeDocument/2006/relationships/hyperlink" Target="https://www.statista.com/statistics/318874/numbers-of-pharmacists-in-the-uk/?srsltid=AfmBOooSv64tMCyKagLTmGRjvANOmL9tUNQemAXBoWyY6dew5PJ4BoEw" TargetMode="External"/><Relationship Id="rId2" Type="http://schemas.openxmlformats.org/officeDocument/2006/relationships/styles" Target="styles.xml"/><Relationship Id="rId16" Type="http://schemas.openxmlformats.org/officeDocument/2006/relationships/hyperlink" Target="https://www.statista.com/statistics/317708/healthcare-expenditure-as-a-share-of-gdp-in-the-united-kingdo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nhs.uk/" TargetMode="Externa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image" Target="media/image40.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6</Pages>
  <Words>1399</Words>
  <Characters>7978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Cristian Andrey Castillo Hurtado (2517415)</cp:lastModifiedBy>
  <cp:revision>4</cp:revision>
  <dcterms:created xsi:type="dcterms:W3CDTF">2026-07-06T20:17:00Z</dcterms:created>
  <dcterms:modified xsi:type="dcterms:W3CDTF">2026-07-07T08:52:00Z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afb54f42-2b22-445e-a01c-1a6019e6e60a</vt:lpwstr>
  </property>
</Properties>
</file>