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after="200" w:line="360" w:lineRule="auto"/>
        <w:jc w:val="right"/>
        <w:rPr>
          <w:rFonts w:ascii="Roboto" w:cs="Roboto" w:eastAsia="Roboto" w:hAnsi="Roboto"/>
          <w:b w:val="1"/>
          <w:sz w:val="28"/>
          <w:szCs w:val="28"/>
        </w:rPr>
      </w:pPr>
      <w:r w:rsidDel="00000000" w:rsidR="00000000" w:rsidRPr="00000000">
        <w:rPr>
          <w:rFonts w:ascii="Roboto" w:cs="Roboto" w:eastAsia="Roboto" w:hAnsi="Roboto"/>
          <w:b w:val="1"/>
          <w:sz w:val="28"/>
          <w:szCs w:val="28"/>
        </w:rPr>
        <w:drawing>
          <wp:inline distB="114300" distT="114300" distL="114300" distR="114300">
            <wp:extent cx="5731200" cy="25527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2552700"/>
                    </a:xfrm>
                    <a:prstGeom prst="rect"/>
                    <a:ln/>
                  </pic:spPr>
                </pic:pic>
              </a:graphicData>
            </a:graphic>
          </wp:inline>
        </w:drawing>
      </w:r>
      <w:r w:rsidDel="00000000" w:rsidR="00000000" w:rsidRPr="00000000">
        <w:rPr>
          <w:rFonts w:ascii="Roboto" w:cs="Roboto" w:eastAsia="Roboto" w:hAnsi="Roboto"/>
          <w:b w:val="1"/>
          <w:sz w:val="28"/>
          <w:szCs w:val="28"/>
          <w:rtl w:val="0"/>
        </w:rPr>
        <w:t xml:space="preserve">MBA DISSERTATION PROPOSAL (LCMB7035)</w:t>
      </w:r>
    </w:p>
    <w:p w:rsidR="00000000" w:rsidDel="00000000" w:rsidP="00000000" w:rsidRDefault="00000000" w:rsidRPr="00000000" w14:paraId="00000002">
      <w:pPr>
        <w:spacing w:after="200" w:line="360" w:lineRule="auto"/>
        <w:jc w:val="right"/>
        <w:rPr>
          <w:rFonts w:ascii="Roboto" w:cs="Roboto" w:eastAsia="Roboto" w:hAnsi="Roboto"/>
          <w:b w:val="1"/>
          <w:sz w:val="28"/>
          <w:szCs w:val="28"/>
        </w:rPr>
      </w:pPr>
      <w:r w:rsidDel="00000000" w:rsidR="00000000" w:rsidRPr="00000000">
        <w:pict>
          <v:rect style="width:0.0pt;height:1.5pt" o:hr="t" o:hrstd="t" o:hralign="center" fillcolor="#A0A0A0" stroked="f"/>
        </w:pic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3">
      <w:pPr>
        <w:spacing w:after="200" w:line="360" w:lineRule="auto"/>
        <w:rPr>
          <w:rFonts w:ascii="Roboto" w:cs="Roboto" w:eastAsia="Roboto" w:hAnsi="Roboto"/>
          <w:b w:val="1"/>
          <w:sz w:val="26"/>
          <w:szCs w:val="26"/>
        </w:rPr>
      </w:pPr>
      <w:r w:rsidDel="00000000" w:rsidR="00000000" w:rsidRPr="00000000">
        <w:rPr>
          <w:rFonts w:ascii="Roboto" w:cs="Roboto" w:eastAsia="Roboto" w:hAnsi="Roboto"/>
          <w:b w:val="1"/>
          <w:sz w:val="26"/>
          <w:szCs w:val="26"/>
          <w:rtl w:val="0"/>
        </w:rPr>
        <w:t xml:space="preserve">Submitted By:</w:t>
      </w:r>
    </w:p>
    <w:p w:rsidR="00000000" w:rsidDel="00000000" w:rsidP="00000000" w:rsidRDefault="00000000" w:rsidRPr="00000000" w14:paraId="00000004">
      <w:pPr>
        <w:spacing w:after="200" w:line="360" w:lineRule="auto"/>
        <w:rPr>
          <w:rFonts w:ascii="Roboto" w:cs="Roboto" w:eastAsia="Roboto" w:hAnsi="Roboto"/>
          <w:b w:val="1"/>
          <w:sz w:val="24"/>
          <w:szCs w:val="24"/>
        </w:rPr>
      </w:pPr>
      <w:r w:rsidDel="00000000" w:rsidR="00000000" w:rsidRPr="00000000">
        <w:rPr>
          <w:rFonts w:ascii="Roboto" w:cs="Roboto" w:eastAsia="Roboto" w:hAnsi="Roboto"/>
          <w:b w:val="1"/>
          <w:sz w:val="24"/>
          <w:szCs w:val="24"/>
          <w:rtl w:val="0"/>
        </w:rPr>
        <w:t xml:space="preserve">Mohammad Rashed Hossain</w:t>
      </w:r>
    </w:p>
    <w:p w:rsidR="00000000" w:rsidDel="00000000" w:rsidP="00000000" w:rsidRDefault="00000000" w:rsidRPr="00000000" w14:paraId="00000005">
      <w:pPr>
        <w:spacing w:after="200" w:line="360" w:lineRule="auto"/>
        <w:rPr>
          <w:rFonts w:ascii="Calibri" w:cs="Calibri" w:eastAsia="Calibri" w:hAnsi="Calibri"/>
        </w:rPr>
      </w:pPr>
      <w:r w:rsidDel="00000000" w:rsidR="00000000" w:rsidRPr="00000000">
        <w:rPr>
          <w:rFonts w:ascii="Roboto" w:cs="Roboto" w:eastAsia="Roboto" w:hAnsi="Roboto"/>
          <w:b w:val="1"/>
          <w:sz w:val="24"/>
          <w:szCs w:val="24"/>
          <w:rtl w:val="0"/>
        </w:rPr>
        <w:t xml:space="preserve">ID:</w:t>
      </w:r>
      <w:r w:rsidDel="00000000" w:rsidR="00000000" w:rsidRPr="00000000">
        <w:rPr>
          <w:rFonts w:ascii="Roboto" w:cs="Roboto" w:eastAsia="Roboto" w:hAnsi="Roboto"/>
          <w:sz w:val="24"/>
          <w:szCs w:val="24"/>
          <w:rtl w:val="0"/>
        </w:rPr>
        <w:t xml:space="preserve">2330895</w:t>
      </w:r>
      <w:r w:rsidDel="00000000" w:rsidR="00000000" w:rsidRPr="00000000">
        <w:rPr>
          <w:rtl w:val="0"/>
        </w:rPr>
      </w:r>
    </w:p>
    <w:p w:rsidR="00000000" w:rsidDel="00000000" w:rsidP="00000000" w:rsidRDefault="00000000" w:rsidRPr="00000000" w14:paraId="00000006">
      <w:pPr>
        <w:spacing w:after="200" w:line="360" w:lineRule="auto"/>
        <w:jc w:val="right"/>
        <w:rPr>
          <w:rFonts w:ascii="Roboto" w:cs="Roboto" w:eastAsia="Roboto" w:hAnsi="Roboto"/>
          <w:b w:val="1"/>
          <w:sz w:val="28"/>
          <w:szCs w:val="28"/>
        </w:rPr>
        <w:sectPr>
          <w:pgSz w:h="16838" w:w="11906"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7">
      <w:pPr>
        <w:keepNext w:val="0"/>
        <w:keepLines w:val="0"/>
        <w:spacing w:after="200" w:before="280" w:line="360" w:lineRule="auto"/>
        <w:jc w:val="cente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Research Proposal</w:t>
      </w:r>
    </w:p>
    <w:p w:rsidR="00000000" w:rsidDel="00000000" w:rsidP="00000000" w:rsidRDefault="00000000" w:rsidRPr="00000000" w14:paraId="00000008">
      <w:pPr>
        <w:keepNext w:val="0"/>
        <w:keepLines w:val="0"/>
        <w:spacing w:after="200" w:before="28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9">
      <w:pPr>
        <w:keepNext w:val="0"/>
        <w:keepLines w:val="0"/>
        <w:spacing w:after="200" w:before="28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A">
      <w:pPr>
        <w:keepNext w:val="0"/>
        <w:keepLines w:val="0"/>
        <w:spacing w:after="200" w:before="28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B">
      <w:pPr>
        <w:keepNext w:val="0"/>
        <w:keepLines w:val="0"/>
        <w:spacing w:after="200" w:before="280" w:line="360" w:lineRule="auto"/>
        <w:jc w:val="center"/>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0C">
      <w:pPr>
        <w:spacing w:after="200" w:before="240" w:line="360" w:lineRule="auto"/>
        <w:jc w:val="center"/>
        <w:rPr>
          <w:rFonts w:ascii="Times New Roman" w:cs="Times New Roman" w:eastAsia="Times New Roman" w:hAnsi="Times New Roman"/>
          <w:b w:val="1"/>
          <w:i w:val="1"/>
        </w:rPr>
      </w:pPr>
      <w:r w:rsidDel="00000000" w:rsidR="00000000" w:rsidRPr="00000000">
        <w:rPr>
          <w:rFonts w:ascii="Times New Roman" w:cs="Times New Roman" w:eastAsia="Times New Roman" w:hAnsi="Times New Roman"/>
          <w:b w:val="1"/>
          <w:i w:val="1"/>
          <w:rtl w:val="0"/>
        </w:rPr>
        <w:t xml:space="preserve">Impact of Digital Banking Features on Consumer Retention in Monzo Bank: Analyzing the Mediating Role of Customer Experience</w:t>
      </w:r>
    </w:p>
    <w:p w:rsidR="00000000" w:rsidDel="00000000" w:rsidP="00000000" w:rsidRDefault="00000000" w:rsidRPr="00000000" w14:paraId="0000000D">
      <w:pPr>
        <w:keepNext w:val="0"/>
        <w:keepLines w:val="0"/>
        <w:spacing w:after="200" w:before="240" w:line="360" w:lineRule="auto"/>
        <w:jc w:val="center"/>
        <w:rPr>
          <w:rFonts w:ascii="Times New Roman" w:cs="Times New Roman" w:eastAsia="Times New Roman" w:hAnsi="Times New Roman"/>
        </w:rPr>
        <w:sectPr>
          <w:type w:val="nextPage"/>
          <w:pgSz w:h="16838" w:w="11906"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0E">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Introduction</w:t>
      </w:r>
    </w:p>
    <w:p w:rsidR="00000000" w:rsidDel="00000000" w:rsidP="00000000" w:rsidRDefault="00000000" w:rsidRPr="00000000" w14:paraId="0000000F">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recent years, the banking industry has been increasingly disrupted by rapid technology innovation and the growth of digital-only financial services (Sharma, 2024). Monzo Bank Limited  is one such key player in this transformation that revolutionized banking by introducing a fully digital a mobile bank that has made its mark on the industry in 2015 by launching a fully digital bank in the UK providing easy, customer-friendly banking services to the modern consumer (Arun </w:t>
      </w:r>
      <w:r w:rsidDel="00000000" w:rsidR="00000000" w:rsidRPr="00000000">
        <w:rPr>
          <w:rFonts w:ascii="Times New Roman" w:cs="Times New Roman" w:eastAsia="Times New Roman" w:hAnsi="Times New Roman"/>
          <w:i w:val="1"/>
          <w:rtl w:val="0"/>
        </w:rPr>
        <w:t xml:space="preserve">et al.</w:t>
      </w:r>
      <w:r w:rsidDel="00000000" w:rsidR="00000000" w:rsidRPr="00000000">
        <w:rPr>
          <w:rFonts w:ascii="Times New Roman" w:cs="Times New Roman" w:eastAsia="Times New Roman" w:hAnsi="Times New Roman"/>
          <w:rtl w:val="0"/>
        </w:rPr>
        <w:t xml:space="preserve">, 2023; Monzo, 2025). This kind of banking activity provided exclusively via digital interface has been defined as Neo-banks which is mainly used as an umbrella term for such banking activity (Bhatnagr and Rajesh, 2023). Such banking has quickly gained popularity in recent years as stated by Stobdan and Kumar (2023), between 2018 and 2022 the transaction value of neo-banks surged from $0.45 trillion to $3.21 trillion, while the global user base expanded significantly from 32.61 million to 188.4 million during the same period.</w:t>
      </w:r>
    </w:p>
    <w:p w:rsidR="00000000" w:rsidDel="00000000" w:rsidP="00000000" w:rsidRDefault="00000000" w:rsidRPr="00000000" w14:paraId="00000010">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While regular banks already enjoy long relationships with their people, along with physical branches where they can meet their clients, neo-banks like Monzo have no choice but to build their entire business around technological innovation and the customer experience to stand out from the crowd and build consumer loyalty (Bhatnagr and Rajesh, 2023; Stobdan and Kumar, 2023). The ability of Monzo to sustain its customer base depends on the effectiveness of its banking features, which include mobile app functionality, accessibility of financial services, and quality of customer support, all of which contribute to shaping the overall customer experience. Given the competitiveness of the industry and the new challenges posed by digital banks which make customer retention a critical component for Monzo as the company’s mobile application is the main point of contact for its clients and not any physical location (Patov, 2024; Sultana and Faisal, 2025). Moreover, a</w:t>
      </w:r>
      <w:r w:rsidDel="00000000" w:rsidR="00000000" w:rsidRPr="00000000">
        <w:rPr>
          <w:rFonts w:ascii="Times New Roman" w:cs="Times New Roman" w:eastAsia="Times New Roman" w:hAnsi="Times New Roman"/>
          <w:rtl w:val="0"/>
        </w:rPr>
        <w:t xml:space="preserve">s competition intensifies within the financial technology (fintech) sector, customers have an increasing number of choices, making it imperative for digital banks to create compelling experiences that enhance satisfaction and long-term engagement.  </w:t>
      </w:r>
    </w:p>
    <w:p w:rsidR="00000000" w:rsidDel="00000000" w:rsidP="00000000" w:rsidRDefault="00000000" w:rsidRPr="00000000" w14:paraId="00000011">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study aims to explore how Monzo’s digital banking features influence customer retention while examining the mediating role of customer experience in this relationship. The exploration of these factors are relevant because of the style of consumer-engagement Neo-banks like Mozo have developed which is entirely dependent on digital interface and decentralized to a certain extent due to not having any physical location for consumers to receive services from. The findings of this research will provide valuable insights for both academia and industry professionals by offering a deeper understanding of how fintech firms can refine their service offerings to improve customer loyalty. In addition to that, this study is of personal interest to me as someone aiming to pursue a career in the ever evolving and dynamic world of fintech, wishing to work for companies like Monzo.  </w:t>
      </w:r>
    </w:p>
    <w:p w:rsidR="00000000" w:rsidDel="00000000" w:rsidP="00000000" w:rsidRDefault="00000000" w:rsidRPr="00000000" w14:paraId="00000012">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Aims</w:t>
      </w:r>
    </w:p>
    <w:p w:rsidR="00000000" w:rsidDel="00000000" w:rsidP="00000000" w:rsidRDefault="00000000" w:rsidRPr="00000000" w14:paraId="00000013">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primary aim of this research is to investigate the extent to which Monzo’s digital banking features contribute to consumer retention and whether customer experience mediates this relationship. Customer experience encompasses a wide range of factors which is based around the features provided by the mobile application which includes ease of use, personalization, security, and satisfaction with digital banking services (Pires </w:t>
      </w:r>
      <w:r w:rsidDel="00000000" w:rsidR="00000000" w:rsidRPr="00000000">
        <w:rPr>
          <w:rFonts w:ascii="Times New Roman" w:cs="Times New Roman" w:eastAsia="Times New Roman" w:hAnsi="Times New Roman"/>
          <w:i w:val="1"/>
          <w:rtl w:val="0"/>
        </w:rPr>
        <w:t xml:space="preserve">et al.</w:t>
      </w:r>
      <w:r w:rsidDel="00000000" w:rsidR="00000000" w:rsidRPr="00000000">
        <w:rPr>
          <w:rFonts w:ascii="Times New Roman" w:cs="Times New Roman" w:eastAsia="Times New Roman" w:hAnsi="Times New Roman"/>
          <w:rtl w:val="0"/>
        </w:rPr>
        <w:t xml:space="preserve">, 2024; Sultana and Faisal, 2025). Given the growing body of literature highlighting the role of customer experience in shaping consumer loyalty in various industries, this study specifically seeks to determine whether it acts as an intermediary factor between Monzo’s digital banking features and retention outcomes and its relevance in the financial technology industry. A comprehensive examination of these relationships is crucial not only from an academic perspective but also for practical implications in digital banking management. Moreover, the study will review existing literature on digital banking, customer experience, and retention theories to establish a theoretical framework that supports empirical analysis. The findings will be instrumental for Monzo and similar fintech firms in understanding factors that lead to consumer retention with only having digital platforms as touchpoints for its customer base.</w:t>
      </w:r>
    </w:p>
    <w:p w:rsidR="00000000" w:rsidDel="00000000" w:rsidP="00000000" w:rsidRDefault="00000000" w:rsidRPr="00000000" w14:paraId="00000014">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Objectives</w:t>
      </w:r>
    </w:p>
    <w:p w:rsidR="00000000" w:rsidDel="00000000" w:rsidP="00000000" w:rsidRDefault="00000000" w:rsidRPr="00000000" w14:paraId="00000015">
      <w:pPr>
        <w:numPr>
          <w:ilvl w:val="0"/>
          <w:numId w:val="1"/>
        </w:numPr>
        <w:spacing w:after="200" w:before="24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examine the impact of digital banking features on consumer retention in Monzo Bank.</w:t>
      </w:r>
    </w:p>
    <w:p w:rsidR="00000000" w:rsidDel="00000000" w:rsidP="00000000" w:rsidRDefault="00000000" w:rsidRPr="00000000" w14:paraId="00000016">
      <w:pPr>
        <w:numPr>
          <w:ilvl w:val="0"/>
          <w:numId w:val="1"/>
        </w:numPr>
        <w:spacing w:after="200" w:before="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analyze the mediating role of customer experience in the relationship between digital banking features and consumer retention.</w:t>
      </w:r>
    </w:p>
    <w:p w:rsidR="00000000" w:rsidDel="00000000" w:rsidP="00000000" w:rsidRDefault="00000000" w:rsidRPr="00000000" w14:paraId="00000017">
      <w:pPr>
        <w:numPr>
          <w:ilvl w:val="0"/>
          <w:numId w:val="1"/>
        </w:numPr>
        <w:spacing w:after="200" w:before="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assess the extent to which customer experience enhances or weakens the effect of digital banking features on consumer retention.</w:t>
      </w:r>
    </w:p>
    <w:p w:rsidR="00000000" w:rsidDel="00000000" w:rsidP="00000000" w:rsidRDefault="00000000" w:rsidRPr="00000000" w14:paraId="00000018">
      <w:pPr>
        <w:numPr>
          <w:ilvl w:val="0"/>
          <w:numId w:val="1"/>
        </w:numPr>
        <w:spacing w:after="200" w:before="24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provide recommendations for Monzo Bank on improving digital banking features to optimize customer experience and retention.</w:t>
      </w:r>
    </w:p>
    <w:p w:rsidR="00000000" w:rsidDel="00000000" w:rsidP="00000000" w:rsidRDefault="00000000" w:rsidRPr="00000000" w14:paraId="00000019">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Research Questions</w:t>
      </w:r>
    </w:p>
    <w:p w:rsidR="00000000" w:rsidDel="00000000" w:rsidP="00000000" w:rsidRDefault="00000000" w:rsidRPr="00000000" w14:paraId="0000001A">
      <w:pPr>
        <w:numPr>
          <w:ilvl w:val="0"/>
          <w:numId w:val="2"/>
        </w:numPr>
        <w:spacing w:after="200" w:before="24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do digital banking features influence consumer retention in Monzo Bank?</w:t>
      </w:r>
    </w:p>
    <w:p w:rsidR="00000000" w:rsidDel="00000000" w:rsidP="00000000" w:rsidRDefault="00000000" w:rsidRPr="00000000" w14:paraId="0000001B">
      <w:pPr>
        <w:numPr>
          <w:ilvl w:val="0"/>
          <w:numId w:val="2"/>
        </w:numPr>
        <w:spacing w:after="200" w:before="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What is the mediating role of customer experience in the relationship between digital banking features and consumer retention?</w:t>
      </w:r>
    </w:p>
    <w:p w:rsidR="00000000" w:rsidDel="00000000" w:rsidP="00000000" w:rsidRDefault="00000000" w:rsidRPr="00000000" w14:paraId="0000001C">
      <w:pPr>
        <w:numPr>
          <w:ilvl w:val="0"/>
          <w:numId w:val="2"/>
        </w:numPr>
        <w:spacing w:after="200" w:before="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what extent does customer experience enhance or diminish the effect of digital banking features on consumer retention?</w:t>
      </w:r>
    </w:p>
    <w:p w:rsidR="00000000" w:rsidDel="00000000" w:rsidP="00000000" w:rsidRDefault="00000000" w:rsidRPr="00000000" w14:paraId="0000001D">
      <w:pPr>
        <w:numPr>
          <w:ilvl w:val="0"/>
          <w:numId w:val="2"/>
        </w:numPr>
        <w:spacing w:after="200" w:before="0" w:line="36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can Monzo Bank improve its digital banking features to strengthen customer experience and retention?</w:t>
      </w:r>
    </w:p>
    <w:p w:rsidR="00000000" w:rsidDel="00000000" w:rsidP="00000000" w:rsidRDefault="00000000" w:rsidRPr="00000000" w14:paraId="0000001E">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Methodology</w:t>
      </w:r>
    </w:p>
    <w:p w:rsidR="00000000" w:rsidDel="00000000" w:rsidP="00000000" w:rsidRDefault="00000000" w:rsidRPr="00000000" w14:paraId="0000001F">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study will implement a quantitative survey-based approach using structured responses from questionnaires that facilitate objective analysis and generalizability to a broader population of Monzo’s customers.  </w:t>
      </w:r>
      <w:r w:rsidDel="00000000" w:rsidR="00000000" w:rsidRPr="00000000">
        <w:rPr>
          <w:rFonts w:ascii="Times New Roman" w:cs="Times New Roman" w:eastAsia="Times New Roman" w:hAnsi="Times New Roman"/>
          <w:rtl w:val="0"/>
        </w:rPr>
        <w:t xml:space="preserve">The  quantitative approach has been chosen for this study as it fits well with the research requirements while it also enables statistical analysis to identify relationships between the focal variables like digital banking features, customer experience, and customer retention (Lim, 2024). This methodology has been adopted by following similar previous studies on customer retention and digital banking which have successfully utilized quantitative methodologies to derive insights into user behavior and service satisfaction (Windasari </w:t>
      </w:r>
      <w:r w:rsidDel="00000000" w:rsidR="00000000" w:rsidRPr="00000000">
        <w:rPr>
          <w:rFonts w:ascii="Times New Roman" w:cs="Times New Roman" w:eastAsia="Times New Roman" w:hAnsi="Times New Roman"/>
          <w:i w:val="1"/>
          <w:rtl w:val="0"/>
        </w:rPr>
        <w:t xml:space="preserve">et al.</w:t>
      </w:r>
      <w:r w:rsidDel="00000000" w:rsidR="00000000" w:rsidRPr="00000000">
        <w:rPr>
          <w:rFonts w:ascii="Times New Roman" w:cs="Times New Roman" w:eastAsia="Times New Roman" w:hAnsi="Times New Roman"/>
          <w:rtl w:val="0"/>
        </w:rPr>
        <w:t xml:space="preserve">, 2022; Jahan and Shahria, 2021). </w:t>
      </w:r>
    </w:p>
    <w:p w:rsidR="00000000" w:rsidDel="00000000" w:rsidP="00000000" w:rsidRDefault="00000000" w:rsidRPr="00000000" w14:paraId="00000020">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survey will consist of Likert-scale questions to assess perceptions of Monzo’s banking features which include app usability, security, personalization, and customer support. Additionally, respondents will be asked to evaluate their overall customer experience and retention likelihood. The survey design will ensure that responses reflect a diverse range of demographics, capturing perspectives across different age groups, income levels, and professional backgrounds (Windasari </w:t>
      </w:r>
      <w:r w:rsidDel="00000000" w:rsidR="00000000" w:rsidRPr="00000000">
        <w:rPr>
          <w:rFonts w:ascii="Times New Roman" w:cs="Times New Roman" w:eastAsia="Times New Roman" w:hAnsi="Times New Roman"/>
          <w:i w:val="1"/>
          <w:rtl w:val="0"/>
        </w:rPr>
        <w:t xml:space="preserve">et al.</w:t>
      </w:r>
      <w:r w:rsidDel="00000000" w:rsidR="00000000" w:rsidRPr="00000000">
        <w:rPr>
          <w:rFonts w:ascii="Times New Roman" w:cs="Times New Roman" w:eastAsia="Times New Roman" w:hAnsi="Times New Roman"/>
          <w:rtl w:val="0"/>
        </w:rPr>
        <w:t xml:space="preserve">, 2022). The aim of data collection for the study is to collect responses from 300 Monzo customers who have actively used the bank’s services for at least six months via an online survey. This sample size is sufficient for conducting regression analysis and structural equation modeling (SEM), which will allow for a comprehensive assessment of direct and indirect relationships among the study variables (Egala, Boateng and Mensah, 2021). For data analysis, regression analysis will be employed to test the relationship between Monzo’s banking features and customer retention. However, SEM will be utilized to examine the mediating effect of customer experience as SEM is particularly suitable for this study since it allows for the testing of complex variable interactions, offering deeper insights into how digital banking features influence customer loyalty through the intermediary role of customer experience (Nusair and Hua, 2009). Additionally, descriptive statistics will be used to summarize respondent characteristics and general trends, including the most commonly used banking features and overall satisfaction levels.</w:t>
      </w:r>
    </w:p>
    <w:p w:rsidR="00000000" w:rsidDel="00000000" w:rsidP="00000000" w:rsidRDefault="00000000" w:rsidRPr="00000000" w14:paraId="00000021">
      <w:pPr>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Literature Review</w:t>
      </w:r>
    </w:p>
    <w:p w:rsidR="00000000" w:rsidDel="00000000" w:rsidP="00000000" w:rsidRDefault="00000000" w:rsidRPr="00000000" w14:paraId="00000022">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increasing adoption of digital banking has transformed customer expectations, making retention a critical challenge for financial institutions and digital service providers (Stobdan and Kumar, 2023). Traditional banking research has long established that customer retention is influenced by factors such as trust, service quality, and customer satisfaction, which together contribute to long-term loyalty (Inkumsah, 2013; Mahfouz, Fayez and ElSamadicy, 2025). However, the rise of digital-only banks such as Monzo has disrupted the industry and has introduced new variables to consumer retention for digital only interfaces. These particularly revolve around digital banking features and customer experience both of which play a significant role in determining customer retention in a digital banking context. Unlike traditional banks, which rely on physical branches and personalized human interactions, digital banks depend entirely on their technological offerings and the overall digital experience they provide to maintain consumer loyalty (Amiri </w:t>
      </w:r>
      <w:r w:rsidDel="00000000" w:rsidR="00000000" w:rsidRPr="00000000">
        <w:rPr>
          <w:rFonts w:ascii="Times New Roman" w:cs="Times New Roman" w:eastAsia="Times New Roman" w:hAnsi="Times New Roman"/>
          <w:i w:val="1"/>
          <w:rtl w:val="0"/>
        </w:rPr>
        <w:t xml:space="preserve">et al.</w:t>
      </w:r>
      <w:r w:rsidDel="00000000" w:rsidR="00000000" w:rsidRPr="00000000">
        <w:rPr>
          <w:rFonts w:ascii="Times New Roman" w:cs="Times New Roman" w:eastAsia="Times New Roman" w:hAnsi="Times New Roman"/>
          <w:rtl w:val="0"/>
        </w:rPr>
        <w:t xml:space="preserve">, 2023; Mogaji, 2023). Therefore, understanding  the interplay of digital banking features customer experience in retention of consumers is crucial for both academic research and industry practice.  </w:t>
      </w:r>
    </w:p>
    <w:p w:rsidR="00000000" w:rsidDel="00000000" w:rsidP="00000000" w:rsidRDefault="00000000" w:rsidRPr="00000000" w14:paraId="00000023">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Digital banking features, particularly those embedded in mobile applications play a crucial role in influencing customer experience. Prior research suggests that app usability, functionality, and security are among the key factors influencing whether customers continue using digital banking services (Sultana and Faisal, 2025). Monzo has gained significant traction among users due to its highly user-centric design, which includes intuitive navigation, instant transaction notifications, and budgeting tools. Usability is particularly important in ensuring long-term engagement, as research shows that digital banking customers tend to remain loyal when they encounter minimal friction in their banking interactions. A study by Jahan and Shahria (2021) states that a highly usable digital banking platform reduces frustration and enhances user experience which in turn limits the possibility of customers looking to switch to competitors. Monzo’s mobile app which is used to deliver its banking services integrates user-friendly features aimed to enhance the customer experience along with having advanced security measures such as multi-factor authentication, biometric verification, and real-time fraud detection, all of which enhance customer trust (Patov, 2024; Monzo, 2025). In addition to that research by Almaiah et al. (2022) indicates that perceived security is among the key features in digital banking that directly influences consumer trust and potentially strengthens customer retention. Beyond the aspects of usability and security, personalization plays a crucial role in customer retention in digital banks as well as other digital-only services (Tyrväinen, Karjaluoto and Saarijärvi, 2020). Study by Walls (2024)  suggests that AI-driven financial insights and tailored spending reports significantly improves customer engagement. According to Patov (2024), Monzo enhances this experience by offering categorized spending notifications and custom savings goals, fostering a stronger connection between customers and the brand. This overall aligns with the findings of Pires et al. (2024), who argue that customer experience is shaped not only by ease of use but also by emotional connection and responsiveness to individual needs. Vargo and Lusch’s (2004) Service-Dominant Logic further supports this perspective, emphasizing that value creation in services depends on customer engagement and perception, rather than just the features a company provides.</w:t>
      </w:r>
    </w:p>
    <w:p w:rsidR="00000000" w:rsidDel="00000000" w:rsidP="00000000" w:rsidRDefault="00000000" w:rsidRPr="00000000" w14:paraId="00000024">
      <w:pPr>
        <w:spacing w:after="200" w:before="24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the growing body of research on customer retention in traditional banking, there remains a significant gap in understanding how digital banking features and its interplay with customer experience leading to customer retention. While existing studies have examined individual digital banking features such as security and usability, few have comprehensively analyzed their interconnected impact on customer retention, particularly within digital-only banks (Mahfouz, Fayez and ElSamadicy, 2025; Mogaji, 2023). Additionally, there is limited empirical evidence assessing whether customer experience serves as a mediating factor in this context. Given Monzo’s strong reliance on customer engagement through its digital platform, this study seeks to provide a more nuanced understanding of how its banking features influence consumer loyalty. The findings of this study will not only contribute to existing academic literature but will also provide practical insights for digital banks aiming to improve retention strategies in an increasingly competitive market.</w:t>
      </w:r>
    </w:p>
    <w:p w:rsidR="00000000" w:rsidDel="00000000" w:rsidP="00000000" w:rsidRDefault="00000000" w:rsidRPr="00000000" w14:paraId="00000026">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Limitations</w:t>
      </w:r>
    </w:p>
    <w:p w:rsidR="00000000" w:rsidDel="00000000" w:rsidP="00000000" w:rsidRDefault="00000000" w:rsidRPr="00000000" w14:paraId="00000027">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While this research aims to provide valuable insights into the role of digital banking features in customer retention there remain a few key limitations to the study. One key limitation is the study’s exclusive focus on Monzo Bank which may limit the generalizability of findings to other digital banks or traditional financial institutions. Since Monzo operates within a distinct business model emphasizing digital-first engagement and community-driven banking, the findings may not be directly applicable to banks with hybrid or traditional structures. Another limitation relates to the sample size and demographic composition. Although 300 respondents provide a statistically viable sample for analysis, certain user segments, such as older customers or individuals with minimal digital banking experience, may be underrepresented which could lead to an incomplete understanding of how different customer groups interact with Monzo’s banking features. Additionally, self-reported survey data may be subject to response bias, where participants provide socially desirable answers rather than reflecting their actual experiences (Lavrakas, 2008). While efforts will be made to mitigate this issue by incorporating consistency checks and follow-up questions to ensure response reliability,there still remains the possibility of lack of authenticity in some responses.</w:t>
      </w:r>
    </w:p>
    <w:p w:rsidR="00000000" w:rsidDel="00000000" w:rsidP="00000000" w:rsidRDefault="00000000" w:rsidRPr="00000000" w14:paraId="00000028">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Moreover, the study employs a cross-sectional research design that helps to  capture data at a single point in time. This approach does not account for potential shifts in customer behavior or retention patterns over time. A longitudinal study would provide a more comprehensive view of how digital banking features and customer experience influence retention in the long term. Lastly, this research focuses exclusively on digital customer interactions, omitting potential offline factors that could influence retention, such as brand reputation or external financial market trends.</w:t>
      </w:r>
    </w:p>
    <w:p w:rsidR="00000000" w:rsidDel="00000000" w:rsidP="00000000" w:rsidRDefault="00000000" w:rsidRPr="00000000" w14:paraId="00000029">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Ethical Considerations</w:t>
      </w:r>
    </w:p>
    <w:p w:rsidR="00000000" w:rsidDel="00000000" w:rsidP="00000000" w:rsidRDefault="00000000" w:rsidRPr="00000000" w14:paraId="0000002A">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study aims to adhere to strict ethical guidelines to ensure participant confidentiality and data integrity during the data collection and analysis processes. Moreover , all respondents will be fully informed about the research objectives, and explicit informed consent will be obtained before participation in the survey. In addition to that, participants will be further assured that their responses will remain confidential, and their personal data will not be shared with third parties while respondents will also have the option to withdraw from the study at any stage without any consequences.</w:t>
      </w:r>
    </w:p>
    <w:p w:rsidR="00000000" w:rsidDel="00000000" w:rsidP="00000000" w:rsidRDefault="00000000" w:rsidRPr="00000000" w14:paraId="0000002B">
      <w:pPr>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Timeline </w:t>
      </w:r>
    </w:p>
    <w:p w:rsidR="00000000" w:rsidDel="00000000" w:rsidP="00000000" w:rsidRDefault="00000000" w:rsidRPr="00000000" w14:paraId="0000002C">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project is expected to take five weeks to complete and consists of a series of tasks that must be completed systematically, as each task often depends on the previous one. The following  Gantt chart has been created to outline these tasks in sequential order based on their importance in the study. This chart also provides a clear overview of how the tasks will be executed and the time required for each.</w:t>
      </w:r>
    </w:p>
    <w:tbl>
      <w:tblPr>
        <w:tblStyle w:val="Table1"/>
        <w:tblW w:w="964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00"/>
        <w:gridCol w:w="1335"/>
        <w:gridCol w:w="1320"/>
        <w:gridCol w:w="1320"/>
        <w:gridCol w:w="1320"/>
        <w:gridCol w:w="1350"/>
        <w:tblGridChange w:id="0">
          <w:tblGrid>
            <w:gridCol w:w="3000"/>
            <w:gridCol w:w="1335"/>
            <w:gridCol w:w="1320"/>
            <w:gridCol w:w="1320"/>
            <w:gridCol w:w="1320"/>
            <w:gridCol w:w="1350"/>
          </w:tblGrid>
        </w:tblGridChange>
      </w:tblGrid>
      <w:tr>
        <w:trPr>
          <w:cantSplit w:val="0"/>
          <w:trHeight w:val="315" w:hRule="atLeast"/>
          <w:tblHeader w:val="0"/>
        </w:trPr>
        <w:tc>
          <w:tcPr>
            <w:tcBorders>
              <w:top w:color="284e3f" w:space="0" w:sz="6" w:val="single"/>
              <w:left w:color="284e3f"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2D">
            <w:pPr>
              <w:widowControl w:val="0"/>
              <w:jc w:val="center"/>
              <w:rPr>
                <w:sz w:val="20"/>
                <w:szCs w:val="20"/>
              </w:rPr>
            </w:pPr>
            <w:r w:rsidDel="00000000" w:rsidR="00000000" w:rsidRPr="00000000">
              <w:rPr>
                <w:rFonts w:ascii="Roboto" w:cs="Roboto" w:eastAsia="Roboto" w:hAnsi="Roboto"/>
                <w:b w:val="1"/>
                <w:color w:val="ffffff"/>
                <w:sz w:val="20"/>
                <w:szCs w:val="20"/>
                <w:rtl w:val="0"/>
              </w:rPr>
              <w:t xml:space="preserve">Task</w:t>
            </w:r>
            <w:r w:rsidDel="00000000" w:rsidR="00000000" w:rsidRPr="00000000">
              <w:rPr>
                <w:rtl w:val="0"/>
              </w:rPr>
            </w:r>
          </w:p>
        </w:tc>
        <w:tc>
          <w:tcPr>
            <w:tcBorders>
              <w:top w:color="284e3f" w:space="0" w:sz="6" w:val="single"/>
              <w:left w:color="cccccc"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2E">
            <w:pPr>
              <w:widowControl w:val="0"/>
              <w:jc w:val="center"/>
              <w:rPr>
                <w:sz w:val="20"/>
                <w:szCs w:val="20"/>
              </w:rPr>
            </w:pPr>
            <w:r w:rsidDel="00000000" w:rsidR="00000000" w:rsidRPr="00000000">
              <w:rPr>
                <w:rFonts w:ascii="Roboto" w:cs="Roboto" w:eastAsia="Roboto" w:hAnsi="Roboto"/>
                <w:b w:val="1"/>
                <w:color w:val="ffffff"/>
                <w:sz w:val="20"/>
                <w:szCs w:val="20"/>
                <w:rtl w:val="0"/>
              </w:rPr>
              <w:t xml:space="preserve">Week 1</w:t>
            </w:r>
            <w:r w:rsidDel="00000000" w:rsidR="00000000" w:rsidRPr="00000000">
              <w:rPr>
                <w:rtl w:val="0"/>
              </w:rPr>
            </w:r>
          </w:p>
        </w:tc>
        <w:tc>
          <w:tcPr>
            <w:tcBorders>
              <w:top w:color="284e3f" w:space="0" w:sz="6" w:val="single"/>
              <w:left w:color="cccccc"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2F">
            <w:pPr>
              <w:widowControl w:val="0"/>
              <w:jc w:val="center"/>
              <w:rPr>
                <w:sz w:val="20"/>
                <w:szCs w:val="20"/>
              </w:rPr>
            </w:pPr>
            <w:r w:rsidDel="00000000" w:rsidR="00000000" w:rsidRPr="00000000">
              <w:rPr>
                <w:rFonts w:ascii="Roboto" w:cs="Roboto" w:eastAsia="Roboto" w:hAnsi="Roboto"/>
                <w:b w:val="1"/>
                <w:color w:val="ffffff"/>
                <w:sz w:val="20"/>
                <w:szCs w:val="20"/>
                <w:rtl w:val="0"/>
              </w:rPr>
              <w:t xml:space="preserve">Week 2</w:t>
            </w:r>
            <w:r w:rsidDel="00000000" w:rsidR="00000000" w:rsidRPr="00000000">
              <w:rPr>
                <w:rtl w:val="0"/>
              </w:rPr>
            </w:r>
          </w:p>
        </w:tc>
        <w:tc>
          <w:tcPr>
            <w:tcBorders>
              <w:top w:color="284e3f" w:space="0" w:sz="6" w:val="single"/>
              <w:left w:color="cccccc"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30">
            <w:pPr>
              <w:widowControl w:val="0"/>
              <w:jc w:val="center"/>
              <w:rPr>
                <w:sz w:val="20"/>
                <w:szCs w:val="20"/>
              </w:rPr>
            </w:pPr>
            <w:r w:rsidDel="00000000" w:rsidR="00000000" w:rsidRPr="00000000">
              <w:rPr>
                <w:rFonts w:ascii="Roboto" w:cs="Roboto" w:eastAsia="Roboto" w:hAnsi="Roboto"/>
                <w:b w:val="1"/>
                <w:color w:val="ffffff"/>
                <w:sz w:val="20"/>
                <w:szCs w:val="20"/>
                <w:rtl w:val="0"/>
              </w:rPr>
              <w:t xml:space="preserve">Week 3</w:t>
            </w:r>
            <w:r w:rsidDel="00000000" w:rsidR="00000000" w:rsidRPr="00000000">
              <w:rPr>
                <w:rtl w:val="0"/>
              </w:rPr>
            </w:r>
          </w:p>
        </w:tc>
        <w:tc>
          <w:tcPr>
            <w:tcBorders>
              <w:top w:color="284e3f" w:space="0" w:sz="6" w:val="single"/>
              <w:left w:color="cccccc" w:space="0" w:sz="6" w:val="single"/>
              <w:bottom w:color="284e3f" w:space="0" w:sz="6" w:val="single"/>
              <w:right w:color="356854"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31">
            <w:pPr>
              <w:widowControl w:val="0"/>
              <w:jc w:val="center"/>
              <w:rPr>
                <w:sz w:val="20"/>
                <w:szCs w:val="20"/>
              </w:rPr>
            </w:pPr>
            <w:r w:rsidDel="00000000" w:rsidR="00000000" w:rsidRPr="00000000">
              <w:rPr>
                <w:rFonts w:ascii="Roboto" w:cs="Roboto" w:eastAsia="Roboto" w:hAnsi="Roboto"/>
                <w:b w:val="1"/>
                <w:color w:val="ffffff"/>
                <w:sz w:val="20"/>
                <w:szCs w:val="20"/>
                <w:rtl w:val="0"/>
              </w:rPr>
              <w:t xml:space="preserve">Week 4</w:t>
            </w:r>
            <w:r w:rsidDel="00000000" w:rsidR="00000000" w:rsidRPr="00000000">
              <w:rPr>
                <w:rtl w:val="0"/>
              </w:rPr>
            </w:r>
          </w:p>
        </w:tc>
        <w:tc>
          <w:tcPr>
            <w:tcBorders>
              <w:top w:color="284e3f" w:space="0" w:sz="6" w:val="single"/>
              <w:left w:color="cccccc" w:space="0" w:sz="6" w:val="single"/>
              <w:bottom w:color="284e3f" w:space="0" w:sz="6" w:val="single"/>
              <w:right w:color="284e3f" w:space="0" w:sz="6"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32">
            <w:pPr>
              <w:widowControl w:val="0"/>
              <w:jc w:val="center"/>
              <w:rPr>
                <w:sz w:val="20"/>
                <w:szCs w:val="20"/>
              </w:rPr>
            </w:pPr>
            <w:r w:rsidDel="00000000" w:rsidR="00000000" w:rsidRPr="00000000">
              <w:rPr>
                <w:rFonts w:ascii="Roboto" w:cs="Roboto" w:eastAsia="Roboto" w:hAnsi="Roboto"/>
                <w:b w:val="1"/>
                <w:color w:val="ffffff"/>
                <w:sz w:val="20"/>
                <w:szCs w:val="20"/>
                <w:rtl w:val="0"/>
              </w:rPr>
              <w:t xml:space="preserve">Week 5</w:t>
            </w:r>
            <w:r w:rsidDel="00000000" w:rsidR="00000000" w:rsidRPr="00000000">
              <w:rPr>
                <w:rtl w:val="0"/>
              </w:rPr>
            </w:r>
          </w:p>
        </w:tc>
      </w:tr>
      <w:tr>
        <w:trPr>
          <w:cantSplit w:val="0"/>
          <w:trHeight w:val="330" w:hRule="atLeast"/>
          <w:tblHeader w:val="0"/>
        </w:trPr>
        <w:tc>
          <w:tcPr>
            <w:tcBorders>
              <w:top w:color="cccccc" w:space="0" w:sz="6" w:val="single"/>
              <w:left w:color="284e3f" w:space="0" w:sz="6" w:val="single"/>
              <w:bottom w:color="ffffff" w:space="0" w:sz="18" w:val="single"/>
              <w:right w:color="46bdc6"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33">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Background Research</w:t>
            </w: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34">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35">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36">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37">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38">
            <w:pPr>
              <w:widowControl w:val="0"/>
              <w:rPr>
                <w:sz w:val="20"/>
                <w:szCs w:val="20"/>
              </w:rPr>
            </w:pPr>
            <w:r w:rsidDel="00000000" w:rsidR="00000000" w:rsidRPr="00000000">
              <w:rPr>
                <w:rtl w:val="0"/>
              </w:rPr>
            </w:r>
          </w:p>
        </w:tc>
      </w:tr>
      <w:tr>
        <w:trPr>
          <w:cantSplit w:val="0"/>
          <w:trHeight w:val="345" w:hRule="atLeast"/>
          <w:tblHeader w:val="0"/>
        </w:trPr>
        <w:tc>
          <w:tcPr>
            <w:tcBorders>
              <w:top w:color="cccccc" w:space="0" w:sz="6" w:val="single"/>
              <w:left w:color="284e3f" w:space="0" w:sz="6" w:val="single"/>
              <w:bottom w:color="ffffff" w:space="0" w:sz="18" w:val="single"/>
              <w:right w:color="46bdc6"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39">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Literature Review</w:t>
            </w: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3A">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3B">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3C">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3D">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3E">
            <w:pPr>
              <w:widowControl w:val="0"/>
              <w:rPr>
                <w:sz w:val="20"/>
                <w:szCs w:val="20"/>
              </w:rPr>
            </w:pPr>
            <w:r w:rsidDel="00000000" w:rsidR="00000000" w:rsidRPr="00000000">
              <w:rPr>
                <w:rtl w:val="0"/>
              </w:rPr>
            </w:r>
          </w:p>
        </w:tc>
      </w:tr>
      <w:tr>
        <w:trPr>
          <w:cantSplit w:val="0"/>
          <w:trHeight w:val="345" w:hRule="atLeast"/>
          <w:tblHeader w:val="0"/>
        </w:trPr>
        <w:tc>
          <w:tcPr>
            <w:tcBorders>
              <w:top w:color="cccccc" w:space="0" w:sz="6" w:val="single"/>
              <w:left w:color="284e3f"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3F">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Survey Design and Pilot</w:t>
            </w: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0">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41">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2">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3">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4">
            <w:pPr>
              <w:widowControl w:val="0"/>
              <w:rPr>
                <w:sz w:val="20"/>
                <w:szCs w:val="20"/>
              </w:rPr>
            </w:pPr>
            <w:r w:rsidDel="00000000" w:rsidR="00000000" w:rsidRPr="00000000">
              <w:rPr>
                <w:rtl w:val="0"/>
              </w:rPr>
            </w:r>
          </w:p>
        </w:tc>
      </w:tr>
      <w:tr>
        <w:trPr>
          <w:cantSplit w:val="0"/>
          <w:trHeight w:val="345" w:hRule="atLeast"/>
          <w:tblHeader w:val="0"/>
        </w:trPr>
        <w:tc>
          <w:tcPr>
            <w:tcBorders>
              <w:top w:color="cccccc" w:space="0" w:sz="6" w:val="single"/>
              <w:left w:color="284e3f"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45">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Data Collection (Survey)</w:t>
            </w: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46">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47">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48">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49">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4A">
            <w:pPr>
              <w:widowControl w:val="0"/>
              <w:rPr>
                <w:sz w:val="20"/>
                <w:szCs w:val="20"/>
              </w:rPr>
            </w:pPr>
            <w:r w:rsidDel="00000000" w:rsidR="00000000" w:rsidRPr="00000000">
              <w:rPr>
                <w:rtl w:val="0"/>
              </w:rPr>
            </w:r>
          </w:p>
        </w:tc>
      </w:tr>
      <w:tr>
        <w:trPr>
          <w:cantSplit w:val="0"/>
          <w:trHeight w:val="345" w:hRule="atLeast"/>
          <w:tblHeader w:val="0"/>
        </w:trPr>
        <w:tc>
          <w:tcPr>
            <w:tcBorders>
              <w:top w:color="cccccc" w:space="0" w:sz="6" w:val="single"/>
              <w:left w:color="284e3f"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B">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Data Analysis</w:t>
            </w: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C">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D">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4E">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4F">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0">
            <w:pPr>
              <w:widowControl w:val="0"/>
              <w:rPr>
                <w:sz w:val="20"/>
                <w:szCs w:val="20"/>
              </w:rPr>
            </w:pPr>
            <w:r w:rsidDel="00000000" w:rsidR="00000000" w:rsidRPr="00000000">
              <w:rPr>
                <w:rtl w:val="0"/>
              </w:rPr>
            </w:r>
          </w:p>
        </w:tc>
      </w:tr>
      <w:tr>
        <w:trPr>
          <w:cantSplit w:val="0"/>
          <w:trHeight w:val="405" w:hRule="atLeast"/>
          <w:tblHeader w:val="0"/>
        </w:trPr>
        <w:tc>
          <w:tcPr>
            <w:tcBorders>
              <w:top w:color="cccccc" w:space="0" w:sz="6" w:val="single"/>
              <w:left w:color="284e3f"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1">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Writing Methodology &amp; Introduction</w:t>
            </w: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2">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3">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4">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55">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6">
            <w:pPr>
              <w:widowControl w:val="0"/>
              <w:rPr>
                <w:sz w:val="20"/>
                <w:szCs w:val="20"/>
              </w:rPr>
            </w:pPr>
            <w:r w:rsidDel="00000000" w:rsidR="00000000" w:rsidRPr="00000000">
              <w:rPr>
                <w:rtl w:val="0"/>
              </w:rPr>
            </w:r>
          </w:p>
        </w:tc>
      </w:tr>
      <w:tr>
        <w:trPr>
          <w:cantSplit w:val="0"/>
          <w:trHeight w:val="345" w:hRule="atLeast"/>
          <w:tblHeader w:val="0"/>
        </w:trPr>
        <w:tc>
          <w:tcPr>
            <w:tcBorders>
              <w:top w:color="cccccc" w:space="0" w:sz="6" w:val="single"/>
              <w:left w:color="284e3f"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7">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Writing Final Chapters</w:t>
            </w: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8">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9">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fffff"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A">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ffffff" w:val="clear"/>
            <w:tcMar>
              <w:top w:w="40.0" w:type="dxa"/>
              <w:left w:w="120.0" w:type="dxa"/>
              <w:bottom w:w="40.0" w:type="dxa"/>
              <w:right w:w="120.0" w:type="dxa"/>
            </w:tcMar>
            <w:vAlign w:val="center"/>
          </w:tcPr>
          <w:p w:rsidR="00000000" w:rsidDel="00000000" w:rsidP="00000000" w:rsidRDefault="00000000" w:rsidRPr="00000000" w14:paraId="0000005B">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5C">
            <w:pPr>
              <w:widowControl w:val="0"/>
              <w:rPr>
                <w:sz w:val="20"/>
                <w:szCs w:val="20"/>
              </w:rPr>
            </w:pPr>
            <w:r w:rsidDel="00000000" w:rsidR="00000000" w:rsidRPr="00000000">
              <w:rPr>
                <w:rtl w:val="0"/>
              </w:rPr>
            </w:r>
          </w:p>
        </w:tc>
      </w:tr>
      <w:tr>
        <w:trPr>
          <w:cantSplit w:val="0"/>
          <w:trHeight w:val="345" w:hRule="atLeast"/>
          <w:tblHeader w:val="0"/>
        </w:trPr>
        <w:tc>
          <w:tcPr>
            <w:tcBorders>
              <w:top w:color="cccccc" w:space="0" w:sz="6" w:val="single"/>
              <w:left w:color="284e3f"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D">
            <w:pPr>
              <w:widowControl w:val="0"/>
              <w:rPr>
                <w:sz w:val="16"/>
                <w:szCs w:val="16"/>
              </w:rPr>
            </w:pPr>
            <w:r w:rsidDel="00000000" w:rsidR="00000000" w:rsidRPr="00000000">
              <w:rPr>
                <w:rFonts w:ascii="Helvetica Neue" w:cs="Helvetica Neue" w:eastAsia="Helvetica Neue" w:hAnsi="Helvetica Neue"/>
                <w:b w:val="1"/>
                <w:color w:val="434343"/>
                <w:sz w:val="16"/>
                <w:szCs w:val="16"/>
                <w:rtl w:val="0"/>
              </w:rPr>
              <w:t xml:space="preserve">Submission</w:t>
            </w: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E">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5F">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f8f9fa"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60">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46bdc6" w:space="0" w:sz="6" w:val="single"/>
            </w:tcBorders>
            <w:shd w:fill="f8f9fa" w:val="clear"/>
            <w:tcMar>
              <w:top w:w="40.0" w:type="dxa"/>
              <w:left w:w="120.0" w:type="dxa"/>
              <w:bottom w:w="40.0" w:type="dxa"/>
              <w:right w:w="120.0" w:type="dxa"/>
            </w:tcMar>
            <w:vAlign w:val="center"/>
          </w:tcPr>
          <w:p w:rsidR="00000000" w:rsidDel="00000000" w:rsidP="00000000" w:rsidRDefault="00000000" w:rsidRPr="00000000" w14:paraId="00000061">
            <w:pPr>
              <w:widowControl w:val="0"/>
              <w:rPr>
                <w:sz w:val="20"/>
                <w:szCs w:val="20"/>
              </w:rPr>
            </w:pPr>
            <w:r w:rsidDel="00000000" w:rsidR="00000000" w:rsidRPr="00000000">
              <w:rPr>
                <w:rtl w:val="0"/>
              </w:rPr>
            </w:r>
          </w:p>
        </w:tc>
        <w:tc>
          <w:tcPr>
            <w:tcBorders>
              <w:top w:color="cccccc" w:space="0" w:sz="6" w:val="single"/>
              <w:left w:color="cccccc" w:space="0" w:sz="6" w:val="single"/>
              <w:bottom w:color="ffffff" w:space="0" w:sz="18" w:val="single"/>
              <w:right w:color="284e3f" w:space="0" w:sz="6" w:val="single"/>
            </w:tcBorders>
            <w:shd w:fill="46bdc6" w:val="clear"/>
            <w:tcMar>
              <w:top w:w="40.0" w:type="dxa"/>
              <w:left w:w="120.0" w:type="dxa"/>
              <w:bottom w:w="40.0" w:type="dxa"/>
              <w:right w:w="120.0" w:type="dxa"/>
            </w:tcMar>
            <w:vAlign w:val="center"/>
          </w:tcPr>
          <w:p w:rsidR="00000000" w:rsidDel="00000000" w:rsidP="00000000" w:rsidRDefault="00000000" w:rsidRPr="00000000" w14:paraId="00000062">
            <w:pPr>
              <w:widowControl w:val="0"/>
              <w:rPr>
                <w:sz w:val="20"/>
                <w:szCs w:val="20"/>
              </w:rPr>
            </w:pPr>
            <w:r w:rsidDel="00000000" w:rsidR="00000000" w:rsidRPr="00000000">
              <w:rPr>
                <w:rtl w:val="0"/>
              </w:rPr>
            </w:r>
          </w:p>
        </w:tc>
      </w:tr>
    </w:tbl>
    <w:p w:rsidR="00000000" w:rsidDel="00000000" w:rsidP="00000000" w:rsidRDefault="00000000" w:rsidRPr="00000000" w14:paraId="00000063">
      <w:pPr>
        <w:keepNext w:val="0"/>
        <w:keepLines w:val="0"/>
        <w:spacing w:after="200" w:before="24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Conclusion</w:t>
      </w:r>
    </w:p>
    <w:p w:rsidR="00000000" w:rsidDel="00000000" w:rsidP="00000000" w:rsidRDefault="00000000" w:rsidRPr="00000000" w14:paraId="00000064">
      <w:pPr>
        <w:spacing w:after="20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aims to address a crucial gap in understanding how digital banking features paired with customer experience impact customer retention within the context of Monzo Bank. By analyzing these factors, the study seeks to provide both theoretical and practical insights into optimizing customer loyalty strategies in the digital banking sector. As banking evolves into the fully digital set-ups with competition intensifying within the fintech landscape, the findings of this study will be valuable for Monzo and similar digital banks in refining their service offerings, enhancing user experience, and fostering long-term customer engagement. In addition to making contributions to academia, this study is of particular interest to me as I intend to build a career in the fintech industry aiming to work for companies like Monzo. This study will help me get a better understanding of the company, the industry it operates in and how it interacts with its customers to pursue higher retention and growth.     </w:t>
      </w:r>
    </w:p>
    <w:p w:rsidR="00000000" w:rsidDel="00000000" w:rsidP="00000000" w:rsidRDefault="00000000" w:rsidRPr="00000000" w14:paraId="00000065">
      <w:pPr>
        <w:spacing w:after="200" w:line="360" w:lineRule="auto"/>
        <w:jc w:val="both"/>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References</w:t>
      </w:r>
    </w:p>
    <w:p w:rsidR="00000000" w:rsidDel="00000000" w:rsidP="00000000" w:rsidRDefault="00000000" w:rsidRPr="00000000" w14:paraId="00000066">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Almaiah, M.A.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'Investigating the Effect of Perceived Security, Perceived Trust, and Information Quality on Mobile Payment Usage through Near-Field Communication (NFC) in Saudi Arabia,' </w:t>
      </w:r>
      <w:r w:rsidDel="00000000" w:rsidR="00000000" w:rsidRPr="00000000">
        <w:rPr>
          <w:rFonts w:ascii="Times New Roman" w:cs="Times New Roman" w:eastAsia="Times New Roman" w:hAnsi="Times New Roman"/>
          <w:i w:val="1"/>
          <w:sz w:val="24"/>
          <w:szCs w:val="24"/>
          <w:rtl w:val="0"/>
        </w:rPr>
        <w:t xml:space="preserve">Electronics</w:t>
      </w:r>
      <w:r w:rsidDel="00000000" w:rsidR="00000000" w:rsidRPr="00000000">
        <w:rPr>
          <w:rFonts w:ascii="Times New Roman" w:cs="Times New Roman" w:eastAsia="Times New Roman" w:hAnsi="Times New Roman"/>
          <w:sz w:val="24"/>
          <w:szCs w:val="24"/>
          <w:rtl w:val="0"/>
        </w:rPr>
        <w:t xml:space="preserve">, 11(23), p. 3926. https://doi.org/10.3390/electronics11233926.</w:t>
      </w:r>
    </w:p>
    <w:p w:rsidR="00000000" w:rsidDel="00000000" w:rsidP="00000000" w:rsidRDefault="00000000" w:rsidRPr="00000000" w14:paraId="00000067">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Amiri, 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'Evaluation of Digital Banking Implementation Indicators and Models in the context of Industry 4.0: A Fuzzy Group MCDM approach,' </w:t>
      </w:r>
      <w:r w:rsidDel="00000000" w:rsidR="00000000" w:rsidRPr="00000000">
        <w:rPr>
          <w:rFonts w:ascii="Times New Roman" w:cs="Times New Roman" w:eastAsia="Times New Roman" w:hAnsi="Times New Roman"/>
          <w:i w:val="1"/>
          <w:sz w:val="24"/>
          <w:szCs w:val="24"/>
          <w:rtl w:val="0"/>
        </w:rPr>
        <w:t xml:space="preserve">Axioms</w:t>
      </w:r>
      <w:r w:rsidDel="00000000" w:rsidR="00000000" w:rsidRPr="00000000">
        <w:rPr>
          <w:rFonts w:ascii="Times New Roman" w:cs="Times New Roman" w:eastAsia="Times New Roman" w:hAnsi="Times New Roman"/>
          <w:sz w:val="24"/>
          <w:szCs w:val="24"/>
          <w:rtl w:val="0"/>
        </w:rPr>
        <w:t xml:space="preserve">, 12(6), p. 516. https://doi.org/10.3390/axioms12060516.</w:t>
      </w:r>
    </w:p>
    <w:p w:rsidR="00000000" w:rsidDel="00000000" w:rsidP="00000000" w:rsidRDefault="00000000" w:rsidRPr="00000000" w14:paraId="00000068">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Arun, 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'Impact of Neo-Banks (Digital Banks) India -UK comparison,' </w:t>
      </w:r>
      <w:r w:rsidDel="00000000" w:rsidR="00000000" w:rsidRPr="00000000">
        <w:rPr>
          <w:rFonts w:ascii="Times New Roman" w:cs="Times New Roman" w:eastAsia="Times New Roman" w:hAnsi="Times New Roman"/>
          <w:i w:val="1"/>
          <w:sz w:val="24"/>
          <w:szCs w:val="24"/>
          <w:rtl w:val="0"/>
        </w:rPr>
        <w:t xml:space="preserve">SSRN Electronic Journal</w:t>
      </w:r>
      <w:r w:rsidDel="00000000" w:rsidR="00000000" w:rsidRPr="00000000">
        <w:rPr>
          <w:rFonts w:ascii="Times New Roman" w:cs="Times New Roman" w:eastAsia="Times New Roman" w:hAnsi="Times New Roman"/>
          <w:sz w:val="24"/>
          <w:szCs w:val="24"/>
          <w:rtl w:val="0"/>
        </w:rPr>
        <w:t xml:space="preserve"> [Preprint]. https://doi.org/10.2139/ssrn.4452179.</w:t>
      </w:r>
    </w:p>
    <w:p w:rsidR="00000000" w:rsidDel="00000000" w:rsidP="00000000" w:rsidRDefault="00000000" w:rsidRPr="00000000" w14:paraId="00000069">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Bhatnagr, P. and Rajesh, A. (2023) 'Neobanking adoption – An integrated UTAUT-3, perceived risk and recommendation model,' </w:t>
      </w:r>
      <w:r w:rsidDel="00000000" w:rsidR="00000000" w:rsidRPr="00000000">
        <w:rPr>
          <w:rFonts w:ascii="Times New Roman" w:cs="Times New Roman" w:eastAsia="Times New Roman" w:hAnsi="Times New Roman"/>
          <w:i w:val="1"/>
          <w:sz w:val="24"/>
          <w:szCs w:val="24"/>
          <w:rtl w:val="0"/>
        </w:rPr>
        <w:t xml:space="preserve">South Asian Journal of Marketing</w:t>
      </w:r>
      <w:r w:rsidDel="00000000" w:rsidR="00000000" w:rsidRPr="00000000">
        <w:rPr>
          <w:rFonts w:ascii="Times New Roman" w:cs="Times New Roman" w:eastAsia="Times New Roman" w:hAnsi="Times New Roman"/>
          <w:sz w:val="24"/>
          <w:szCs w:val="24"/>
          <w:rtl w:val="0"/>
        </w:rPr>
        <w:t xml:space="preserve">, 5(2), pp. 93–112. https://doi.org/10.1108/sajm-06-2022-0040.</w:t>
      </w:r>
    </w:p>
    <w:p w:rsidR="00000000" w:rsidDel="00000000" w:rsidP="00000000" w:rsidRDefault="00000000" w:rsidRPr="00000000" w14:paraId="0000006A">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Egala, S.B., Boateng, D. and Mensah, S.A. (2021) 'To leave or retain? An interplay between quality digital banking services and customer satisfaction,' </w:t>
      </w:r>
      <w:r w:rsidDel="00000000" w:rsidR="00000000" w:rsidRPr="00000000">
        <w:rPr>
          <w:rFonts w:ascii="Times New Roman" w:cs="Times New Roman" w:eastAsia="Times New Roman" w:hAnsi="Times New Roman"/>
          <w:i w:val="1"/>
          <w:sz w:val="24"/>
          <w:szCs w:val="24"/>
          <w:rtl w:val="0"/>
        </w:rPr>
        <w:t xml:space="preserve">International Journal of Bank Marketing</w:t>
      </w:r>
      <w:r w:rsidDel="00000000" w:rsidR="00000000" w:rsidRPr="00000000">
        <w:rPr>
          <w:rFonts w:ascii="Times New Roman" w:cs="Times New Roman" w:eastAsia="Times New Roman" w:hAnsi="Times New Roman"/>
          <w:sz w:val="24"/>
          <w:szCs w:val="24"/>
          <w:rtl w:val="0"/>
        </w:rPr>
        <w:t xml:space="preserve">, 39(7), pp. 1420–1445. https://doi.org/10.1108/ijbm-02-2021-0072.</w:t>
      </w:r>
    </w:p>
    <w:p w:rsidR="00000000" w:rsidDel="00000000" w:rsidP="00000000" w:rsidRDefault="00000000" w:rsidRPr="00000000" w14:paraId="0000006B">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Inkumsah, W.A. (2013) 'Factors that impacted customer retention of banks. A study of recently acquired banks in the UPSA area of Madina, Accra (Specifically Access Bank).,' </w:t>
      </w:r>
      <w:r w:rsidDel="00000000" w:rsidR="00000000" w:rsidRPr="00000000">
        <w:rPr>
          <w:rFonts w:ascii="Times New Roman" w:cs="Times New Roman" w:eastAsia="Times New Roman" w:hAnsi="Times New Roman"/>
          <w:i w:val="1"/>
          <w:sz w:val="24"/>
          <w:szCs w:val="24"/>
          <w:rtl w:val="0"/>
        </w:rPr>
        <w:t xml:space="preserve">Journal of Marketing and Consumer Research</w:t>
      </w:r>
      <w:r w:rsidDel="00000000" w:rsidR="00000000" w:rsidRPr="00000000">
        <w:rPr>
          <w:rFonts w:ascii="Times New Roman" w:cs="Times New Roman" w:eastAsia="Times New Roman" w:hAnsi="Times New Roman"/>
          <w:sz w:val="24"/>
          <w:szCs w:val="24"/>
          <w:rtl w:val="0"/>
        </w:rPr>
        <w:t xml:space="preserve">, 1, pp. 88–103. https://www.iiste.org/Journals/index.php/JMCR/article/download/9229/9438.</w:t>
      </w:r>
    </w:p>
    <w:p w:rsidR="00000000" w:rsidDel="00000000" w:rsidP="00000000" w:rsidRDefault="00000000" w:rsidRPr="00000000" w14:paraId="0000006C">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Jahan, N. and Shahria, G. (2021) 'Factors effecting customer satisfaction of mobile banking in Bangladesh: a study on young users’ perspective,' </w:t>
      </w:r>
      <w:r w:rsidDel="00000000" w:rsidR="00000000" w:rsidRPr="00000000">
        <w:rPr>
          <w:rFonts w:ascii="Times New Roman" w:cs="Times New Roman" w:eastAsia="Times New Roman" w:hAnsi="Times New Roman"/>
          <w:i w:val="1"/>
          <w:sz w:val="24"/>
          <w:szCs w:val="24"/>
          <w:rtl w:val="0"/>
        </w:rPr>
        <w:t xml:space="preserve">South Asian Journal of Marketing</w:t>
      </w:r>
      <w:r w:rsidDel="00000000" w:rsidR="00000000" w:rsidRPr="00000000">
        <w:rPr>
          <w:rFonts w:ascii="Times New Roman" w:cs="Times New Roman" w:eastAsia="Times New Roman" w:hAnsi="Times New Roman"/>
          <w:sz w:val="24"/>
          <w:szCs w:val="24"/>
          <w:rtl w:val="0"/>
        </w:rPr>
        <w:t xml:space="preserve">, 3(1), pp. 60–76. https://doi.org/10.1108/sajm-02-2021-0018.</w:t>
      </w:r>
    </w:p>
    <w:p w:rsidR="00000000" w:rsidDel="00000000" w:rsidP="00000000" w:rsidRDefault="00000000" w:rsidRPr="00000000" w14:paraId="0000006D">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Lavrakas, P. (2008) </w:t>
      </w:r>
      <w:r w:rsidDel="00000000" w:rsidR="00000000" w:rsidRPr="00000000">
        <w:rPr>
          <w:rFonts w:ascii="Times New Roman" w:cs="Times New Roman" w:eastAsia="Times New Roman" w:hAnsi="Times New Roman"/>
          <w:i w:val="1"/>
          <w:sz w:val="24"/>
          <w:szCs w:val="24"/>
          <w:rtl w:val="0"/>
        </w:rPr>
        <w:t xml:space="preserve">Encyclopedia of Survey Research Methods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SAGE Publications, Inc. eBooks</w:t>
      </w:r>
      <w:r w:rsidDel="00000000" w:rsidR="00000000" w:rsidRPr="00000000">
        <w:rPr>
          <w:rFonts w:ascii="Times New Roman" w:cs="Times New Roman" w:eastAsia="Times New Roman" w:hAnsi="Times New Roman"/>
          <w:sz w:val="24"/>
          <w:szCs w:val="24"/>
          <w:rtl w:val="0"/>
        </w:rPr>
        <w:t xml:space="preserve">. https://doi.org/10.4135/9781412963947.</w:t>
      </w:r>
    </w:p>
    <w:p w:rsidR="00000000" w:rsidDel="00000000" w:rsidP="00000000" w:rsidRDefault="00000000" w:rsidRPr="00000000" w14:paraId="0000006E">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 W.M. (2024) 'What is quantitative research? An overview and guidelines,' </w:t>
      </w:r>
      <w:r w:rsidDel="00000000" w:rsidR="00000000" w:rsidRPr="00000000">
        <w:rPr>
          <w:rFonts w:ascii="Times New Roman" w:cs="Times New Roman" w:eastAsia="Times New Roman" w:hAnsi="Times New Roman"/>
          <w:i w:val="1"/>
          <w:sz w:val="24"/>
          <w:szCs w:val="24"/>
          <w:rtl w:val="0"/>
        </w:rPr>
        <w:t xml:space="preserve">Australasian Marketing Journal (AMJ)</w:t>
      </w:r>
      <w:r w:rsidDel="00000000" w:rsidR="00000000" w:rsidRPr="00000000">
        <w:rPr>
          <w:rFonts w:ascii="Times New Roman" w:cs="Times New Roman" w:eastAsia="Times New Roman" w:hAnsi="Times New Roman"/>
          <w:sz w:val="24"/>
          <w:szCs w:val="24"/>
          <w:rtl w:val="0"/>
        </w:rPr>
        <w:t xml:space="preserve"> [Preprint]. https://doi.org/10.1177/14413582241264622.</w:t>
      </w:r>
    </w:p>
    <w:p w:rsidR="00000000" w:rsidDel="00000000" w:rsidP="00000000" w:rsidRDefault="00000000" w:rsidRPr="00000000" w14:paraId="0000006F">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Mahfouz, M.R., Fayez, M. and ElSamadicy, A.M. (2025) 'Investigation of factors that affecting on customer loyalty in banking sector in Egypt,' </w:t>
      </w:r>
      <w:r w:rsidDel="00000000" w:rsidR="00000000" w:rsidRPr="00000000">
        <w:rPr>
          <w:rFonts w:ascii="Times New Roman" w:cs="Times New Roman" w:eastAsia="Times New Roman" w:hAnsi="Times New Roman"/>
          <w:i w:val="1"/>
          <w:sz w:val="24"/>
          <w:szCs w:val="24"/>
          <w:rtl w:val="0"/>
        </w:rPr>
        <w:t xml:space="preserve">OALib</w:t>
      </w:r>
      <w:r w:rsidDel="00000000" w:rsidR="00000000" w:rsidRPr="00000000">
        <w:rPr>
          <w:rFonts w:ascii="Times New Roman" w:cs="Times New Roman" w:eastAsia="Times New Roman" w:hAnsi="Times New Roman"/>
          <w:sz w:val="24"/>
          <w:szCs w:val="24"/>
          <w:rtl w:val="0"/>
        </w:rPr>
        <w:t xml:space="preserve">, 12(02), pp. 1–21. https://doi.org/10.4236/oalib.1112891.</w:t>
      </w:r>
    </w:p>
    <w:p w:rsidR="00000000" w:rsidDel="00000000" w:rsidP="00000000" w:rsidRDefault="00000000" w:rsidRPr="00000000" w14:paraId="00000070">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Mogaji, E. (2023) 'Redefining banks in the digital era: a typology of banks and their research, managerial and policy implications,' </w:t>
      </w:r>
      <w:r w:rsidDel="00000000" w:rsidR="00000000" w:rsidRPr="00000000">
        <w:rPr>
          <w:rFonts w:ascii="Times New Roman" w:cs="Times New Roman" w:eastAsia="Times New Roman" w:hAnsi="Times New Roman"/>
          <w:i w:val="1"/>
          <w:sz w:val="24"/>
          <w:szCs w:val="24"/>
          <w:rtl w:val="0"/>
        </w:rPr>
        <w:t xml:space="preserve">International Journal of Bank Marketing</w:t>
      </w:r>
      <w:r w:rsidDel="00000000" w:rsidR="00000000" w:rsidRPr="00000000">
        <w:rPr>
          <w:rFonts w:ascii="Times New Roman" w:cs="Times New Roman" w:eastAsia="Times New Roman" w:hAnsi="Times New Roman"/>
          <w:sz w:val="24"/>
          <w:szCs w:val="24"/>
          <w:rtl w:val="0"/>
        </w:rPr>
        <w:t xml:space="preserve">, 41(7), pp. 1899–1918. https://doi.org/10.1108/ijbm-06-2023-0333.</w:t>
      </w:r>
    </w:p>
    <w:p w:rsidR="00000000" w:rsidDel="00000000" w:rsidP="00000000" w:rsidRDefault="00000000" w:rsidRPr="00000000" w14:paraId="00000071">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Monzo (2025) </w:t>
      </w:r>
      <w:r w:rsidDel="00000000" w:rsidR="00000000" w:rsidRPr="00000000">
        <w:rPr>
          <w:rFonts w:ascii="Times New Roman" w:cs="Times New Roman" w:eastAsia="Times New Roman" w:hAnsi="Times New Roman"/>
          <w:i w:val="1"/>
          <w:sz w:val="24"/>
          <w:szCs w:val="24"/>
          <w:rtl w:val="0"/>
        </w:rPr>
        <w:t xml:space="preserve">About Monzo</w:t>
      </w:r>
      <w:r w:rsidDel="00000000" w:rsidR="00000000" w:rsidRPr="00000000">
        <w:rPr>
          <w:rFonts w:ascii="Times New Roman" w:cs="Times New Roman" w:eastAsia="Times New Roman" w:hAnsi="Times New Roman"/>
          <w:sz w:val="24"/>
          <w:szCs w:val="24"/>
          <w:rtl w:val="0"/>
        </w:rPr>
        <w:t xml:space="preserve">. https://monzo.com/about.</w:t>
      </w:r>
    </w:p>
    <w:p w:rsidR="00000000" w:rsidDel="00000000" w:rsidP="00000000" w:rsidRDefault="00000000" w:rsidRPr="00000000" w14:paraId="00000072">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Nusair, K. and Hua, N. (2009) 'Comparative assessment of structural equation modeling and multiple regression research methodologies: E-commerce context,' </w:t>
      </w:r>
      <w:r w:rsidDel="00000000" w:rsidR="00000000" w:rsidRPr="00000000">
        <w:rPr>
          <w:rFonts w:ascii="Times New Roman" w:cs="Times New Roman" w:eastAsia="Times New Roman" w:hAnsi="Times New Roman"/>
          <w:i w:val="1"/>
          <w:sz w:val="24"/>
          <w:szCs w:val="24"/>
          <w:rtl w:val="0"/>
        </w:rPr>
        <w:t xml:space="preserve">Tourism Management</w:t>
      </w:r>
      <w:r w:rsidDel="00000000" w:rsidR="00000000" w:rsidRPr="00000000">
        <w:rPr>
          <w:rFonts w:ascii="Times New Roman" w:cs="Times New Roman" w:eastAsia="Times New Roman" w:hAnsi="Times New Roman"/>
          <w:sz w:val="24"/>
          <w:szCs w:val="24"/>
          <w:rtl w:val="0"/>
        </w:rPr>
        <w:t xml:space="preserve">, 31(3), pp. 314–324. https://doi.org/10.1016/j.tourman.2009.03.010.</w:t>
      </w:r>
    </w:p>
    <w:p w:rsidR="00000000" w:rsidDel="00000000" w:rsidP="00000000" w:rsidRDefault="00000000" w:rsidRPr="00000000" w14:paraId="00000073">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Patov, A. (2024) </w:t>
      </w:r>
      <w:r w:rsidDel="00000000" w:rsidR="00000000" w:rsidRPr="00000000">
        <w:rPr>
          <w:rFonts w:ascii="Times New Roman" w:cs="Times New Roman" w:eastAsia="Times New Roman" w:hAnsi="Times New Roman"/>
          <w:i w:val="1"/>
          <w:sz w:val="24"/>
          <w:szCs w:val="24"/>
          <w:rtl w:val="0"/>
        </w:rPr>
        <w:t xml:space="preserve">How Monzo Enhances Customer Experience (CX) with Community-Driven Banking and Real-Time Financial Tools</w:t>
      </w:r>
      <w:r w:rsidDel="00000000" w:rsidR="00000000" w:rsidRPr="00000000">
        <w:rPr>
          <w:rFonts w:ascii="Times New Roman" w:cs="Times New Roman" w:eastAsia="Times New Roman" w:hAnsi="Times New Roman"/>
          <w:sz w:val="24"/>
          <w:szCs w:val="24"/>
          <w:rtl w:val="0"/>
        </w:rPr>
        <w:t xml:space="preserve">. https://www.renascence.io/journal/how-monzo-enhances-customer-experience-cx-with-community-driven-banking-and-real-time-financial-tools.</w:t>
      </w:r>
    </w:p>
    <w:p w:rsidR="00000000" w:rsidDel="00000000" w:rsidP="00000000" w:rsidRDefault="00000000" w:rsidRPr="00000000" w14:paraId="00000074">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Pires, P.B.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'A Conceptual Approach to Understanding the Customer Experience in E-Commerce: An Empirical study,' </w:t>
      </w:r>
      <w:r w:rsidDel="00000000" w:rsidR="00000000" w:rsidRPr="00000000">
        <w:rPr>
          <w:rFonts w:ascii="Times New Roman" w:cs="Times New Roman" w:eastAsia="Times New Roman" w:hAnsi="Times New Roman"/>
          <w:i w:val="1"/>
          <w:sz w:val="24"/>
          <w:szCs w:val="24"/>
          <w:rtl w:val="0"/>
        </w:rPr>
        <w:t xml:space="preserve">Journal of Theoretical and Applied Electronic Commerce Research</w:t>
      </w:r>
      <w:r w:rsidDel="00000000" w:rsidR="00000000" w:rsidRPr="00000000">
        <w:rPr>
          <w:rFonts w:ascii="Times New Roman" w:cs="Times New Roman" w:eastAsia="Times New Roman" w:hAnsi="Times New Roman"/>
          <w:sz w:val="24"/>
          <w:szCs w:val="24"/>
          <w:rtl w:val="0"/>
        </w:rPr>
        <w:t xml:space="preserve">, 19(3), pp. 1943–1983. https://doi.org/10.3390/jtaer19030096.</w:t>
      </w:r>
    </w:p>
    <w:p w:rsidR="00000000" w:rsidDel="00000000" w:rsidP="00000000" w:rsidRDefault="00000000" w:rsidRPr="00000000" w14:paraId="00000075">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Sharma, S. (2024) 'Digital Disruption in Banking: A Comparative analysis of neo banks and traditional Institutions,' </w:t>
      </w:r>
      <w:r w:rsidDel="00000000" w:rsidR="00000000" w:rsidRPr="00000000">
        <w:rPr>
          <w:rFonts w:ascii="Times New Roman" w:cs="Times New Roman" w:eastAsia="Times New Roman" w:hAnsi="Times New Roman"/>
          <w:i w:val="1"/>
          <w:sz w:val="24"/>
          <w:szCs w:val="24"/>
          <w:rtl w:val="0"/>
        </w:rPr>
        <w:t xml:space="preserve">International Journal of Management and Development Studies</w:t>
      </w:r>
      <w:r w:rsidDel="00000000" w:rsidR="00000000" w:rsidRPr="00000000">
        <w:rPr>
          <w:rFonts w:ascii="Times New Roman" w:cs="Times New Roman" w:eastAsia="Times New Roman" w:hAnsi="Times New Roman"/>
          <w:sz w:val="24"/>
          <w:szCs w:val="24"/>
          <w:rtl w:val="0"/>
        </w:rPr>
        <w:t xml:space="preserve">, 13(3), pp. 01–12. https://doi.org/10.53983/ijmds.v13n3.001.</w:t>
      </w:r>
    </w:p>
    <w:p w:rsidR="00000000" w:rsidDel="00000000" w:rsidP="00000000" w:rsidRDefault="00000000" w:rsidRPr="00000000" w14:paraId="00000076">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Stobdan and Kumar (2023) </w:t>
      </w:r>
      <w:r w:rsidDel="00000000" w:rsidR="00000000" w:rsidRPr="00000000">
        <w:rPr>
          <w:rFonts w:ascii="Times New Roman" w:cs="Times New Roman" w:eastAsia="Times New Roman" w:hAnsi="Times New Roman"/>
          <w:i w:val="1"/>
          <w:sz w:val="24"/>
          <w:szCs w:val="24"/>
          <w:rtl w:val="0"/>
        </w:rPr>
        <w:t xml:space="preserve">NeoBanks: Future Prospects, Challenges and Strategies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iibf.org.in</w:t>
      </w:r>
      <w:r w:rsidDel="00000000" w:rsidR="00000000" w:rsidRPr="00000000">
        <w:rPr>
          <w:rFonts w:ascii="Times New Roman" w:cs="Times New Roman" w:eastAsia="Times New Roman" w:hAnsi="Times New Roman"/>
          <w:sz w:val="24"/>
          <w:szCs w:val="24"/>
          <w:rtl w:val="0"/>
        </w:rPr>
        <w:t xml:space="preserve">. INDIAN INSTITUTE OF BANKING &amp; FINANCE (IIBF).</w:t>
      </w:r>
    </w:p>
    <w:p w:rsidR="00000000" w:rsidDel="00000000" w:rsidP="00000000" w:rsidRDefault="00000000" w:rsidRPr="00000000" w14:paraId="00000077">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Sultana, R. and Faisal, N.A. (2025) 'The role of Digital banking features in Bank selection An analysis of customer preferences for online and mobile banking,' </w:t>
      </w:r>
      <w:r w:rsidDel="00000000" w:rsidR="00000000" w:rsidRPr="00000000">
        <w:rPr>
          <w:rFonts w:ascii="Times New Roman" w:cs="Times New Roman" w:eastAsia="Times New Roman" w:hAnsi="Times New Roman"/>
          <w:i w:val="1"/>
          <w:sz w:val="24"/>
          <w:szCs w:val="24"/>
          <w:rtl w:val="0"/>
        </w:rPr>
        <w:t xml:space="preserve">SSRN Electronic Journal</w:t>
      </w:r>
      <w:r w:rsidDel="00000000" w:rsidR="00000000" w:rsidRPr="00000000">
        <w:rPr>
          <w:rFonts w:ascii="Times New Roman" w:cs="Times New Roman" w:eastAsia="Times New Roman" w:hAnsi="Times New Roman"/>
          <w:sz w:val="24"/>
          <w:szCs w:val="24"/>
          <w:rtl w:val="0"/>
        </w:rPr>
        <w:t xml:space="preserve"> [Preprint]. https://doi.org/10.2139/ssrn.5049165.</w:t>
      </w:r>
    </w:p>
    <w:p w:rsidR="00000000" w:rsidDel="00000000" w:rsidP="00000000" w:rsidRDefault="00000000" w:rsidRPr="00000000" w14:paraId="00000078">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Tyrväinen, O., Karjaluoto, H. and Saarijärvi, H. (2020) 'Personalization and hedonic motivation in creating customer experiences and loyalty in omnichannel retail,' </w:t>
      </w:r>
      <w:r w:rsidDel="00000000" w:rsidR="00000000" w:rsidRPr="00000000">
        <w:rPr>
          <w:rFonts w:ascii="Times New Roman" w:cs="Times New Roman" w:eastAsia="Times New Roman" w:hAnsi="Times New Roman"/>
          <w:i w:val="1"/>
          <w:sz w:val="24"/>
          <w:szCs w:val="24"/>
          <w:rtl w:val="0"/>
        </w:rPr>
        <w:t xml:space="preserve">Journal of Retailing and Consumer Services</w:t>
      </w:r>
      <w:r w:rsidDel="00000000" w:rsidR="00000000" w:rsidRPr="00000000">
        <w:rPr>
          <w:rFonts w:ascii="Times New Roman" w:cs="Times New Roman" w:eastAsia="Times New Roman" w:hAnsi="Times New Roman"/>
          <w:sz w:val="24"/>
          <w:szCs w:val="24"/>
          <w:rtl w:val="0"/>
        </w:rPr>
        <w:t xml:space="preserve">, 57, p. 102233. https://doi.org/10.1016/j.jretconser.2020.102233.</w:t>
      </w:r>
    </w:p>
    <w:p w:rsidR="00000000" w:rsidDel="00000000" w:rsidP="00000000" w:rsidRDefault="00000000" w:rsidRPr="00000000" w14:paraId="00000079">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Vargo, S.L. and Lusch, R.F. (2003) 'Evolving to a new dominant logic for marketing,' </w:t>
      </w:r>
      <w:r w:rsidDel="00000000" w:rsidR="00000000" w:rsidRPr="00000000">
        <w:rPr>
          <w:rFonts w:ascii="Times New Roman" w:cs="Times New Roman" w:eastAsia="Times New Roman" w:hAnsi="Times New Roman"/>
          <w:i w:val="1"/>
          <w:sz w:val="24"/>
          <w:szCs w:val="24"/>
          <w:rtl w:val="0"/>
        </w:rPr>
        <w:t xml:space="preserve">Journal of Marketing</w:t>
      </w:r>
      <w:r w:rsidDel="00000000" w:rsidR="00000000" w:rsidRPr="00000000">
        <w:rPr>
          <w:rFonts w:ascii="Times New Roman" w:cs="Times New Roman" w:eastAsia="Times New Roman" w:hAnsi="Times New Roman"/>
          <w:sz w:val="24"/>
          <w:szCs w:val="24"/>
          <w:rtl w:val="0"/>
        </w:rPr>
        <w:t xml:space="preserve">, 68(1), pp. 1–17. https://doi.org/10.1509/jmkg.68.1.1.24036.</w:t>
      </w:r>
    </w:p>
    <w:p w:rsidR="00000000" w:rsidDel="00000000" w:rsidP="00000000" w:rsidRDefault="00000000" w:rsidRPr="00000000" w14:paraId="0000007A">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Walls, E.J. (2024) </w:t>
      </w:r>
      <w:r w:rsidDel="00000000" w:rsidR="00000000" w:rsidRPr="00000000">
        <w:rPr>
          <w:rFonts w:ascii="Times New Roman" w:cs="Times New Roman" w:eastAsia="Times New Roman" w:hAnsi="Times New Roman"/>
          <w:i w:val="1"/>
          <w:sz w:val="24"/>
          <w:szCs w:val="24"/>
          <w:rtl w:val="0"/>
        </w:rPr>
        <w:t xml:space="preserve">The Human Side of Digital Banking: Why Personalization is the Future of Customer Loyalty</w:t>
      </w:r>
      <w:r w:rsidDel="00000000" w:rsidR="00000000" w:rsidRPr="00000000">
        <w:rPr>
          <w:rFonts w:ascii="Times New Roman" w:cs="Times New Roman" w:eastAsia="Times New Roman" w:hAnsi="Times New Roman"/>
          <w:sz w:val="24"/>
          <w:szCs w:val="24"/>
          <w:rtl w:val="0"/>
        </w:rPr>
        <w:t xml:space="preserve">. https://www.linkedin.com/pulse/human-side-digital-banking-why-personalization-future-jarraux-walls-ufgge.</w:t>
      </w:r>
    </w:p>
    <w:p w:rsidR="00000000" w:rsidDel="00000000" w:rsidP="00000000" w:rsidRDefault="00000000" w:rsidRPr="00000000" w14:paraId="0000007B">
      <w:pPr>
        <w:spacing w:after="200"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Windasari, N.A.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'Digital-only banking experience: Insights from gen Y and gen Z,' </w:t>
      </w:r>
      <w:r w:rsidDel="00000000" w:rsidR="00000000" w:rsidRPr="00000000">
        <w:rPr>
          <w:rFonts w:ascii="Times New Roman" w:cs="Times New Roman" w:eastAsia="Times New Roman" w:hAnsi="Times New Roman"/>
          <w:i w:val="1"/>
          <w:sz w:val="24"/>
          <w:szCs w:val="24"/>
          <w:rtl w:val="0"/>
        </w:rPr>
        <w:t xml:space="preserve">Journal of Innovation &amp; Knowledge</w:t>
      </w:r>
      <w:r w:rsidDel="00000000" w:rsidR="00000000" w:rsidRPr="00000000">
        <w:rPr>
          <w:rFonts w:ascii="Times New Roman" w:cs="Times New Roman" w:eastAsia="Times New Roman" w:hAnsi="Times New Roman"/>
          <w:sz w:val="24"/>
          <w:szCs w:val="24"/>
          <w:rtl w:val="0"/>
        </w:rPr>
        <w:t xml:space="preserve">, 7(2), p. 100170. https://doi.org/10.1016/j.jik.2022.100170.</w:t>
      </w:r>
    </w:p>
    <w:p w:rsidR="00000000" w:rsidDel="00000000" w:rsidP="00000000" w:rsidRDefault="00000000" w:rsidRPr="00000000" w14:paraId="0000007C">
      <w:pPr>
        <w:spacing w:after="200" w:line="276"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after="200" w:line="360" w:lineRule="auto"/>
        <w:jc w:val="both"/>
        <w:rPr>
          <w:rFonts w:ascii="Times New Roman" w:cs="Times New Roman" w:eastAsia="Times New Roman" w:hAnsi="Times New Roman"/>
        </w:rPr>
      </w:pPr>
      <w:r w:rsidDel="00000000" w:rsidR="00000000" w:rsidRPr="00000000">
        <w:rPr>
          <w:rtl w:val="0"/>
        </w:rPr>
      </w:r>
    </w:p>
    <w:sectPr>
      <w:type w:val="nextPage"/>
      <w:pgSz w:h="16838" w:w="11906"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Helvetica Neue">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HelveticaNeue-regular.ttf"/><Relationship Id="rId6" Type="http://schemas.openxmlformats.org/officeDocument/2006/relationships/font" Target="fonts/HelveticaNeue-bold.ttf"/><Relationship Id="rId7" Type="http://schemas.openxmlformats.org/officeDocument/2006/relationships/font" Target="fonts/HelveticaNeue-italic.ttf"/><Relationship Id="rId8"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