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5B9BD5" w:themeColor="accent1"/>
          <w:sz w:val="24"/>
          <w:szCs w:val="24"/>
          <w:lang w:val="en-GB"/>
        </w:rPr>
        <w:id w:val="-1522475554"/>
        <w:docPartObj>
          <w:docPartGallery w:val="Cover Pages"/>
          <w:docPartUnique/>
        </w:docPartObj>
      </w:sdtPr>
      <w:sdtEndPr>
        <w:rPr>
          <w:color w:val="auto"/>
          <w:sz w:val="22"/>
          <w:szCs w:val="22"/>
        </w:rPr>
      </w:sdtEndPr>
      <w:sdtContent>
        <w:p w14:paraId="13CFB25A" w14:textId="77777777" w:rsidR="007D1947" w:rsidRPr="000F70F6" w:rsidRDefault="00337A67" w:rsidP="007437BD">
          <w:pPr>
            <w:pStyle w:val="NoSpacing"/>
            <w:spacing w:before="1540" w:after="240" w:line="360" w:lineRule="auto"/>
            <w:jc w:val="center"/>
            <w:rPr>
              <w:rFonts w:ascii="Times New Roman" w:hAnsi="Times New Roman" w:cs="Times New Roman"/>
              <w:color w:val="5B9BD5" w:themeColor="accent1"/>
              <w:sz w:val="24"/>
              <w:szCs w:val="24"/>
              <w:lang w:val="en-GB"/>
            </w:rPr>
          </w:pPr>
          <w:r>
            <w:rPr>
              <w:noProof/>
              <w:lang w:val="en-GB" w:eastAsia="en-GB"/>
            </w:rPr>
            <mc:AlternateContent>
              <mc:Choice Requires="wps">
                <w:drawing>
                  <wp:anchor distT="0" distB="0" distL="114300" distR="114300" simplePos="0" relativeHeight="251661312" behindDoc="0" locked="0" layoutInCell="1" allowOverlap="1" wp14:anchorId="58AE5414" wp14:editId="5611272A">
                    <wp:simplePos x="0" y="0"/>
                    <wp:positionH relativeFrom="column">
                      <wp:posOffset>2066925</wp:posOffset>
                    </wp:positionH>
                    <wp:positionV relativeFrom="paragraph">
                      <wp:posOffset>3009900</wp:posOffset>
                    </wp:positionV>
                    <wp:extent cx="1790700" cy="533400"/>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533400"/>
                            </a:xfrm>
                            <a:prstGeom prst="rect">
                              <a:avLst/>
                            </a:prstGeom>
                            <a:noFill/>
                            <a:ln w="9525">
                              <a:noFill/>
                              <a:miter lim="800000"/>
                              <a:headEnd/>
                              <a:tailEnd/>
                            </a:ln>
                          </wps:spPr>
                          <wps:txbx>
                            <w:txbxContent>
                              <w:p w14:paraId="11CBB5A4" w14:textId="26F3729E" w:rsidR="00745BD7" w:rsidRPr="003C5252" w:rsidRDefault="003C5252" w:rsidP="003C5252">
                                <w:pPr>
                                  <w:pStyle w:val="Heading1"/>
                                  <w:rPr>
                                    <w:color w:val="2E74B5" w:themeColor="accent1" w:themeShade="BF"/>
                                  </w:rPr>
                                </w:pPr>
                                <w:r>
                                  <w:rPr>
                                    <w:color w:val="2E74B5" w:themeColor="accent1" w:themeShade="BF"/>
                                  </w:rPr>
                                  <w:t>Lecturer: Dale Clark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AE5414" id="_x0000_t202" coordsize="21600,21600" o:spt="202" path="m,l,21600r21600,l21600,xe">
                    <v:stroke joinstyle="miter"/>
                    <v:path gradientshapeok="t" o:connecttype="rect"/>
                  </v:shapetype>
                  <v:shape id="Text Box 5" o:spid="_x0000_s1026" type="#_x0000_t202" style="position:absolute;left:0;text-align:left;margin-left:162.75pt;margin-top:237pt;width:141pt;height:4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" filled="f" stroked="f">
                    <v:textbox>
                      <w:txbxContent>
                        <w:p w14:paraId="11CBB5A4" w14:textId="26F3729E" w:rsidR="00745BD7" w:rsidRPr="003C5252" w:rsidRDefault="003C5252" w:rsidP="003C5252">
                          <w:pPr>
                            <w:pStyle w:val="Heading1"/>
                            <w:rPr>
                              <w:color w:val="2E74B5" w:themeColor="accent1" w:themeShade="BF"/>
                            </w:rPr>
                          </w:pPr>
                          <w:r>
                            <w:rPr>
                              <w:color w:val="2E74B5" w:themeColor="accent1" w:themeShade="BF"/>
                            </w:rPr>
                            <w:t>Lecturer: Dale Clark</w:t>
                          </w:r>
                        </w:p>
                      </w:txbxContent>
                    </v:textbox>
                  </v:shape>
                </w:pict>
              </mc:Fallback>
            </mc:AlternateContent>
          </w:r>
          <w:r>
            <w:rPr>
              <w:noProof/>
              <w:lang w:val="en-GB" w:eastAsia="en-GB"/>
            </w:rPr>
            <mc:AlternateContent>
              <mc:Choice Requires="wps">
                <w:drawing>
                  <wp:anchor distT="0" distB="0" distL="114300" distR="114300" simplePos="0" relativeHeight="251659264" behindDoc="1" locked="0" layoutInCell="1" allowOverlap="1" wp14:anchorId="4A938A7D" wp14:editId="1934C377">
                    <wp:simplePos x="0" y="0"/>
                    <wp:positionH relativeFrom="column">
                      <wp:posOffset>2308860</wp:posOffset>
                    </wp:positionH>
                    <wp:positionV relativeFrom="paragraph">
                      <wp:posOffset>2344420</wp:posOffset>
                    </wp:positionV>
                    <wp:extent cx="1109345" cy="436880"/>
                    <wp:effectExtent l="5715" t="5080" r="8890" b="57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9345" cy="436880"/>
                            </a:xfrm>
                            <a:prstGeom prst="rect">
                              <a:avLst/>
                            </a:prstGeom>
                            <a:solidFill>
                              <a:srgbClr val="FFFFFF"/>
                            </a:solidFill>
                            <a:ln w="9525">
                              <a:solidFill>
                                <a:schemeClr val="bg1">
                                  <a:lumMod val="100000"/>
                                  <a:lumOff val="0"/>
                                </a:schemeClr>
                              </a:solidFill>
                              <a:miter lim="800000"/>
                              <a:headEnd/>
                              <a:tailEnd/>
                            </a:ln>
                          </wps:spPr>
                          <wps:txbx>
                            <w:txbxContent>
                              <w:p w14:paraId="6C114C16" w14:textId="77777777" w:rsidR="00274F20" w:rsidRPr="00274F20" w:rsidRDefault="00274F20">
                                <w:pPr>
                                  <w:rPr>
                                    <w:color w:val="2E74B5" w:themeColor="accent1" w:themeShade="BF"/>
                                    <w:sz w:val="28"/>
                                  </w:rPr>
                                </w:pPr>
                                <w:r w:rsidRPr="00274F20">
                                  <w:rPr>
                                    <w:color w:val="2E74B5" w:themeColor="accent1" w:themeShade="BF"/>
                                    <w:sz w:val="28"/>
                                  </w:rPr>
                                  <w:t>BMIH5007</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A938A7D" id="Text Box 2" o:spid="_x0000_s1027" type="#_x0000_t202" style="position:absolute;left:0;text-align:left;margin-left:181.8pt;margin-top:184.6pt;width:87.35pt;height:34.4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" strokecolor="white [3212]">
                    <v:textbox style="mso-fit-shape-to-text:t">
                      <w:txbxContent>
                        <w:p w14:paraId="6C114C16" w14:textId="77777777" w:rsidR="00274F20" w:rsidRPr="00274F20" w:rsidRDefault="00274F20">
                          <w:pPr>
                            <w:rPr>
                              <w:color w:val="2E74B5" w:themeColor="accent1" w:themeShade="BF"/>
                              <w:sz w:val="28"/>
                            </w:rPr>
                          </w:pPr>
                          <w:r w:rsidRPr="00274F20">
                            <w:rPr>
                              <w:color w:val="2E74B5" w:themeColor="accent1" w:themeShade="BF"/>
                              <w:sz w:val="28"/>
                            </w:rPr>
                            <w:t>BMIH5007</w:t>
                          </w:r>
                        </w:p>
                      </w:txbxContent>
                    </v:textbox>
                  </v:shape>
                </w:pict>
              </mc:Fallback>
            </mc:AlternateContent>
          </w:r>
          <w:r w:rsidR="007D1947" w:rsidRPr="000F70F6">
            <w:rPr>
              <w:rFonts w:ascii="Times New Roman" w:hAnsi="Times New Roman" w:cs="Times New Roman"/>
              <w:noProof/>
              <w:color w:val="5B9BD5" w:themeColor="accent1"/>
              <w:sz w:val="24"/>
              <w:szCs w:val="24"/>
              <w:lang w:val="en-GB" w:eastAsia="en-GB"/>
            </w:rPr>
            <w:drawing>
              <wp:inline distT="0" distB="0" distL="0" distR="0" wp14:anchorId="183B6ED8" wp14:editId="3B181A4D">
                <wp:extent cx="2821067" cy="1494604"/>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817888" cy="1492920"/>
                        </a:xfrm>
                        <a:prstGeom prst="rect">
                          <a:avLst/>
                        </a:prstGeom>
                        <a:noFill/>
                        <a:ln>
                          <a:noFill/>
                        </a:ln>
                      </pic:spPr>
                    </pic:pic>
                  </a:graphicData>
                </a:graphic>
              </wp:inline>
            </w:drawing>
          </w:r>
        </w:p>
        <w:sdt>
          <w:sdtPr>
            <w:rPr>
              <w:rFonts w:ascii="Times New Roman" w:hAnsi="Times New Roman" w:cs="Times New Roman"/>
              <w:color w:val="5B9BD5" w:themeColor="accent1"/>
              <w:sz w:val="40"/>
              <w:szCs w:val="24"/>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sdtContent>
            <w:p w14:paraId="21F9E0B1" w14:textId="77777777" w:rsidR="007D1947" w:rsidRPr="00274F20" w:rsidRDefault="00274F20" w:rsidP="00274F20">
              <w:pPr>
                <w:pStyle w:val="NoSpacing"/>
                <w:pBdr>
                  <w:top w:val="single" w:sz="6" w:space="6" w:color="5B9BD5" w:themeColor="accent1"/>
                  <w:bottom w:val="single" w:sz="6" w:space="17" w:color="5B9BD5" w:themeColor="accent1"/>
                </w:pBdr>
                <w:spacing w:after="240" w:line="360" w:lineRule="auto"/>
                <w:jc w:val="center"/>
                <w:rPr>
                  <w:rFonts w:ascii="Times New Roman" w:eastAsiaTheme="majorEastAsia" w:hAnsi="Times New Roman" w:cs="Times New Roman"/>
                  <w:caps/>
                  <w:color w:val="5B9BD5" w:themeColor="accent1"/>
                  <w:sz w:val="48"/>
                  <w:szCs w:val="24"/>
                  <w:lang w:val="en-GB"/>
                </w:rPr>
              </w:pPr>
              <w:r w:rsidRPr="00274F20">
                <w:rPr>
                  <w:rFonts w:ascii="Times New Roman" w:hAnsi="Times New Roman" w:cs="Times New Roman"/>
                  <w:color w:val="5B9BD5" w:themeColor="accent1"/>
                  <w:sz w:val="40"/>
                  <w:szCs w:val="24"/>
                </w:rPr>
                <w:t>Financial Management for the Hotel Industry</w:t>
              </w:r>
            </w:p>
          </w:sdtContent>
        </w:sdt>
        <w:sdt>
          <w:sdtPr>
            <w:rPr>
              <w:rFonts w:ascii="Times New Roman" w:hAnsi="Times New Roman" w:cs="Times New Roman"/>
              <w:color w:val="5B9BD5" w:themeColor="accent1"/>
              <w:sz w:val="36"/>
              <w:szCs w:val="24"/>
              <w:lang w:val="en-GB"/>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0A2DB069" w14:textId="26A80459" w:rsidR="007D1947" w:rsidRPr="00274F20" w:rsidRDefault="00274F20" w:rsidP="007437BD">
              <w:pPr>
                <w:pStyle w:val="NoSpacing"/>
                <w:spacing w:line="360" w:lineRule="auto"/>
                <w:jc w:val="center"/>
                <w:rPr>
                  <w:rFonts w:ascii="Times New Roman" w:hAnsi="Times New Roman" w:cs="Times New Roman"/>
                  <w:color w:val="5B9BD5" w:themeColor="accent1"/>
                  <w:sz w:val="36"/>
                  <w:szCs w:val="24"/>
                  <w:lang w:val="en-GB"/>
                </w:rPr>
              </w:pPr>
              <w:r w:rsidRPr="00274F20">
                <w:rPr>
                  <w:rFonts w:ascii="Times New Roman" w:hAnsi="Times New Roman" w:cs="Times New Roman"/>
                  <w:color w:val="5B9BD5" w:themeColor="accent1"/>
                  <w:sz w:val="36"/>
                  <w:szCs w:val="24"/>
                  <w:lang w:val="en-GB"/>
                </w:rPr>
                <w:t>Hadi Njai</w:t>
              </w:r>
              <w:r w:rsidR="00745BD7">
                <w:rPr>
                  <w:rFonts w:ascii="Times New Roman" w:hAnsi="Times New Roman" w:cs="Times New Roman"/>
                  <w:color w:val="5B9BD5" w:themeColor="accent1"/>
                  <w:sz w:val="36"/>
                  <w:szCs w:val="24"/>
                  <w:lang w:val="en-GB"/>
                </w:rPr>
                <w:t xml:space="preserve"> – </w:t>
              </w:r>
              <w:r w:rsidR="003C5252">
                <w:rPr>
                  <w:rFonts w:ascii="Times New Roman" w:hAnsi="Times New Roman" w:cs="Times New Roman"/>
                  <w:color w:val="5B9BD5" w:themeColor="accent1"/>
                  <w:sz w:val="36"/>
                  <w:szCs w:val="24"/>
                  <w:lang w:val="en-GB"/>
                </w:rPr>
                <w:t>2022566</w:t>
              </w:r>
            </w:p>
          </w:sdtContent>
        </w:sdt>
        <w:p w14:paraId="15D551E9" w14:textId="21EDCC65" w:rsidR="007D1947" w:rsidRPr="000F70F6" w:rsidRDefault="007D1947" w:rsidP="007437BD">
          <w:pPr>
            <w:pStyle w:val="NoSpacing"/>
            <w:spacing w:before="480" w:line="360" w:lineRule="auto"/>
            <w:jc w:val="center"/>
            <w:rPr>
              <w:rFonts w:ascii="Times New Roman" w:hAnsi="Times New Roman" w:cs="Times New Roman"/>
              <w:color w:val="5B9BD5" w:themeColor="accent1"/>
              <w:sz w:val="24"/>
              <w:szCs w:val="24"/>
              <w:lang w:val="en-GB"/>
            </w:rPr>
          </w:pPr>
          <w:r w:rsidRPr="000F70F6">
            <w:rPr>
              <w:rFonts w:ascii="Times New Roman" w:hAnsi="Times New Roman" w:cs="Times New Roman"/>
              <w:noProof/>
              <w:color w:val="5B9BD5" w:themeColor="accent1"/>
              <w:sz w:val="24"/>
              <w:szCs w:val="24"/>
              <w:lang w:val="en-GB" w:eastAsia="en-GB"/>
            </w:rPr>
            <w:drawing>
              <wp:inline distT="0" distB="0" distL="0" distR="0" wp14:anchorId="50593501" wp14:editId="544BCC0E">
                <wp:extent cx="2047875" cy="1292299"/>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047875" cy="1292299"/>
                        </a:xfrm>
                        <a:prstGeom prst="rect">
                          <a:avLst/>
                        </a:prstGeom>
                      </pic:spPr>
                    </pic:pic>
                  </a:graphicData>
                </a:graphic>
              </wp:inline>
            </w:drawing>
          </w:r>
        </w:p>
        <w:p w14:paraId="33B4201A" w14:textId="77777777" w:rsidR="00745BD7" w:rsidRDefault="00745BD7" w:rsidP="000F70F6">
          <w:pPr>
            <w:spacing w:line="360" w:lineRule="auto"/>
            <w:jc w:val="center"/>
            <w:rPr>
              <w:rFonts w:ascii="Times New Roman" w:hAnsi="Times New Roman" w:cs="Times New Roman"/>
              <w:b/>
              <w:sz w:val="32"/>
              <w:szCs w:val="24"/>
            </w:rPr>
          </w:pPr>
        </w:p>
        <w:p w14:paraId="204051B9" w14:textId="77777777" w:rsidR="00745BD7" w:rsidRDefault="00745BD7" w:rsidP="000F70F6">
          <w:pPr>
            <w:spacing w:line="360" w:lineRule="auto"/>
            <w:jc w:val="center"/>
            <w:rPr>
              <w:rFonts w:ascii="Times New Roman" w:hAnsi="Times New Roman" w:cs="Times New Roman"/>
              <w:b/>
              <w:sz w:val="32"/>
              <w:szCs w:val="24"/>
            </w:rPr>
          </w:pPr>
        </w:p>
        <w:p w14:paraId="5E8BFC99" w14:textId="77777777" w:rsidR="00745BD7" w:rsidRDefault="00745BD7" w:rsidP="000F70F6">
          <w:pPr>
            <w:spacing w:line="360" w:lineRule="auto"/>
            <w:jc w:val="center"/>
            <w:rPr>
              <w:rFonts w:ascii="Times New Roman" w:hAnsi="Times New Roman" w:cs="Times New Roman"/>
              <w:b/>
              <w:sz w:val="32"/>
              <w:szCs w:val="24"/>
            </w:rPr>
          </w:pPr>
        </w:p>
        <w:p w14:paraId="3B6663FB" w14:textId="77777777" w:rsidR="00745BD7" w:rsidRDefault="00745BD7" w:rsidP="000F70F6">
          <w:pPr>
            <w:spacing w:line="360" w:lineRule="auto"/>
            <w:jc w:val="center"/>
            <w:rPr>
              <w:rFonts w:ascii="Times New Roman" w:hAnsi="Times New Roman" w:cs="Times New Roman"/>
              <w:b/>
              <w:sz w:val="32"/>
              <w:szCs w:val="24"/>
            </w:rPr>
          </w:pPr>
        </w:p>
        <w:p w14:paraId="62166B53" w14:textId="77777777" w:rsidR="00745BD7" w:rsidRDefault="00745BD7" w:rsidP="000F70F6">
          <w:pPr>
            <w:spacing w:line="360" w:lineRule="auto"/>
            <w:jc w:val="center"/>
            <w:rPr>
              <w:rFonts w:ascii="Times New Roman" w:hAnsi="Times New Roman" w:cs="Times New Roman"/>
              <w:b/>
              <w:sz w:val="32"/>
              <w:szCs w:val="24"/>
            </w:rPr>
          </w:pPr>
        </w:p>
        <w:p w14:paraId="11203283" w14:textId="3AC707D2" w:rsidR="00745BD7" w:rsidRDefault="00FD14E2" w:rsidP="000F70F6">
          <w:pPr>
            <w:spacing w:line="360" w:lineRule="auto"/>
            <w:jc w:val="center"/>
            <w:rPr>
              <w:rFonts w:ascii="Times New Roman" w:hAnsi="Times New Roman" w:cs="Times New Roman"/>
              <w:b/>
              <w:sz w:val="32"/>
              <w:szCs w:val="24"/>
            </w:rPr>
          </w:pPr>
          <w:r>
            <w:rPr>
              <w:rFonts w:ascii="Times New Roman" w:hAnsi="Times New Roman" w:cs="Times New Roman"/>
              <w:noProof/>
              <w:color w:val="5B9BD5" w:themeColor="accent1"/>
              <w:sz w:val="24"/>
              <w:szCs w:val="24"/>
              <w:lang w:eastAsia="en-GB"/>
            </w:rPr>
            <mc:AlternateContent>
              <mc:Choice Requires="wps">
                <w:drawing>
                  <wp:anchor distT="0" distB="0" distL="114300" distR="114300" simplePos="0" relativeHeight="251657216" behindDoc="0" locked="0" layoutInCell="1" allowOverlap="1" wp14:anchorId="26B5E0E7" wp14:editId="02F3D164">
                    <wp:simplePos x="0" y="0"/>
                    <wp:positionH relativeFrom="margin">
                      <wp:posOffset>0</wp:posOffset>
                    </wp:positionH>
                    <wp:positionV relativeFrom="page">
                      <wp:posOffset>9221470</wp:posOffset>
                    </wp:positionV>
                    <wp:extent cx="5731510" cy="583565"/>
                    <wp:effectExtent l="0" t="0" r="2540" b="635"/>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583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809042289"/>
                                  <w:dataBinding w:prefixMappings="xmlns:ns0='http://schemas.microsoft.com/office/2006/coverPageProps' " w:xpath="/ns0:CoverPageProperties[1]/ns0:PublishDate[1]" w:storeItemID="{55AF091B-3C7A-41E3-B477-F2FDAA23CFDA}"/>
                                  <w:date w:fullDate="2022-06-01T00:00:00Z">
                                    <w:dateFormat w:val="MMMM d, yyyy"/>
                                    <w:lid w:val="en-US"/>
                                    <w:storeMappedDataAs w:val="dateTime"/>
                                    <w:calendar w:val="gregorian"/>
                                  </w:date>
                                </w:sdtPr>
                                <w:sdtEndPr/>
                                <w:sdtContent>
                                  <w:p w14:paraId="2D380081" w14:textId="77777777" w:rsidR="007D1947" w:rsidRDefault="00274F20">
                                    <w:pPr>
                                      <w:pStyle w:val="NoSpacing"/>
                                      <w:spacing w:after="40"/>
                                      <w:jc w:val="center"/>
                                      <w:rPr>
                                        <w:caps/>
                                        <w:color w:val="5B9BD5" w:themeColor="accent1"/>
                                        <w:sz w:val="28"/>
                                        <w:szCs w:val="28"/>
                                      </w:rPr>
                                    </w:pPr>
                                    <w:r>
                                      <w:rPr>
                                        <w:caps/>
                                        <w:color w:val="5B9BD5" w:themeColor="accent1"/>
                                        <w:sz w:val="28"/>
                                        <w:szCs w:val="28"/>
                                      </w:rPr>
                                      <w:t>June 1, 2022</w:t>
                                    </w:r>
                                  </w:p>
                                </w:sdtContent>
                              </w:sdt>
                              <w:p w14:paraId="10F8B6DD" w14:textId="3169A025" w:rsidR="007D1947" w:rsidRDefault="007D1947">
                                <w:pPr>
                                  <w:pStyle w:val="NoSpacing"/>
                                  <w:jc w:val="center"/>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26B5E0E7" id="Text Box 142" o:spid="_x0000_s1028" type="#_x0000_t202" style="position:absolute;left:0;text-align:left;margin-left:0;margin-top:726.1pt;width:451.3pt;height:45.95pt;z-index:251657216;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" filled="f" stroked="f" strokeweight=".5pt">
                    <v:textbox style="mso-fit-shape-to-text:t" inset="0,0,0,0">
                      <w:txbxContent>
                        <w:sdt>
                          <w:sdtPr>
                            <w:rPr>
                              <w:caps/>
                              <w:color w:val="5B9BD5" w:themeColor="accent1"/>
                              <w:sz w:val="28"/>
                              <w:szCs w:val="28"/>
                            </w:rPr>
                            <w:alias w:val="Date"/>
                            <w:tag w:val=""/>
                            <w:id w:val="1809042289"/>
                            <w:dataBinding w:prefixMappings="xmlns:ns0='http://schemas.microsoft.com/office/2006/coverPageProps' " w:xpath="/ns0:CoverPageProperties[1]/ns0:PublishDate[1]" w:storeItemID="{55AF091B-3C7A-41E3-B477-F2FDAA23CFDA}"/>
                            <w:date w:fullDate="2022-06-01T00:00:00Z">
                              <w:dateFormat w:val="MMMM d, yyyy"/>
                              <w:lid w:val="en-US"/>
                              <w:storeMappedDataAs w:val="dateTime"/>
                              <w:calendar w:val="gregorian"/>
                            </w:date>
                          </w:sdtPr>
                          <w:sdtEndPr/>
                          <w:sdtContent>
                            <w:p w14:paraId="2D380081" w14:textId="77777777" w:rsidR="007D1947" w:rsidRDefault="00274F20">
                              <w:pPr>
                                <w:pStyle w:val="NoSpacing"/>
                                <w:spacing w:after="40"/>
                                <w:jc w:val="center"/>
                                <w:rPr>
                                  <w:caps/>
                                  <w:color w:val="5B9BD5" w:themeColor="accent1"/>
                                  <w:sz w:val="28"/>
                                  <w:szCs w:val="28"/>
                                </w:rPr>
                              </w:pPr>
                              <w:r>
                                <w:rPr>
                                  <w:caps/>
                                  <w:color w:val="5B9BD5" w:themeColor="accent1"/>
                                  <w:sz w:val="28"/>
                                  <w:szCs w:val="28"/>
                                </w:rPr>
                                <w:t>June 1, 2022</w:t>
                              </w:r>
                            </w:p>
                          </w:sdtContent>
                        </w:sdt>
                        <w:p w14:paraId="10F8B6DD" w14:textId="3169A025" w:rsidR="007D1947" w:rsidRDefault="007D1947">
                          <w:pPr>
                            <w:pStyle w:val="NoSpacing"/>
                            <w:jc w:val="center"/>
                            <w:rPr>
                              <w:color w:val="5B9BD5" w:themeColor="accent1"/>
                            </w:rPr>
                          </w:pPr>
                        </w:p>
                      </w:txbxContent>
                    </v:textbox>
                    <w10:wrap anchorx="margin" anchory="page"/>
                  </v:shape>
                </w:pict>
              </mc:Fallback>
            </mc:AlternateContent>
          </w:r>
        </w:p>
        <w:p w14:paraId="1B3E7986" w14:textId="77777777" w:rsidR="00745BD7" w:rsidRDefault="00745BD7" w:rsidP="000F70F6">
          <w:pPr>
            <w:spacing w:line="360" w:lineRule="auto"/>
            <w:jc w:val="center"/>
            <w:rPr>
              <w:rFonts w:ascii="Times New Roman" w:hAnsi="Times New Roman" w:cs="Times New Roman"/>
              <w:b/>
              <w:sz w:val="32"/>
              <w:szCs w:val="24"/>
            </w:rPr>
          </w:pPr>
        </w:p>
        <w:p w14:paraId="46C8CA6B" w14:textId="77777777" w:rsidR="00745BD7" w:rsidRDefault="00745BD7" w:rsidP="000F70F6">
          <w:pPr>
            <w:spacing w:line="360" w:lineRule="auto"/>
            <w:jc w:val="center"/>
            <w:rPr>
              <w:rFonts w:ascii="Times New Roman" w:hAnsi="Times New Roman" w:cs="Times New Roman"/>
              <w:b/>
              <w:sz w:val="32"/>
              <w:szCs w:val="24"/>
            </w:rPr>
          </w:pPr>
        </w:p>
        <w:p w14:paraId="200A4251" w14:textId="77777777" w:rsidR="00745BD7" w:rsidRDefault="00745BD7" w:rsidP="000F70F6">
          <w:pPr>
            <w:spacing w:line="360" w:lineRule="auto"/>
            <w:jc w:val="center"/>
            <w:rPr>
              <w:rFonts w:ascii="Times New Roman" w:hAnsi="Times New Roman" w:cs="Times New Roman"/>
              <w:b/>
              <w:sz w:val="32"/>
              <w:szCs w:val="24"/>
            </w:rPr>
          </w:pPr>
        </w:p>
        <w:p w14:paraId="449ECFED" w14:textId="77777777" w:rsidR="007D1947" w:rsidRDefault="00602B28" w:rsidP="000F70F6">
          <w:pPr>
            <w:spacing w:line="360" w:lineRule="auto"/>
            <w:jc w:val="center"/>
            <w:rPr>
              <w:rFonts w:ascii="Times New Roman" w:hAnsi="Times New Roman" w:cs="Times New Roman"/>
              <w:b/>
              <w:sz w:val="32"/>
              <w:szCs w:val="24"/>
            </w:rPr>
          </w:pPr>
          <w:r w:rsidRPr="00745BD7">
            <w:rPr>
              <w:rFonts w:ascii="Times New Roman" w:hAnsi="Times New Roman" w:cs="Times New Roman"/>
              <w:b/>
              <w:sz w:val="32"/>
              <w:szCs w:val="24"/>
            </w:rPr>
            <w:t>Executive summary</w:t>
          </w:r>
        </w:p>
        <w:p w14:paraId="1B9BA146" w14:textId="77777777" w:rsidR="00745BD7" w:rsidRPr="00745BD7" w:rsidRDefault="00745BD7" w:rsidP="000F70F6">
          <w:pPr>
            <w:spacing w:line="360" w:lineRule="auto"/>
            <w:jc w:val="center"/>
            <w:rPr>
              <w:rFonts w:ascii="Times New Roman" w:hAnsi="Times New Roman" w:cs="Times New Roman"/>
              <w:b/>
              <w:sz w:val="32"/>
              <w:szCs w:val="24"/>
            </w:rPr>
          </w:pPr>
        </w:p>
        <w:p w14:paraId="3C86BCAB" w14:textId="3128652A" w:rsidR="000F70F6" w:rsidRPr="00745BD7" w:rsidRDefault="000F70F6" w:rsidP="000F70F6">
          <w:pPr>
            <w:pStyle w:val="NormalWeb"/>
            <w:spacing w:before="0" w:beforeAutospacing="0" w:after="0" w:afterAutospacing="0" w:line="360" w:lineRule="auto"/>
            <w:jc w:val="both"/>
            <w:rPr>
              <w:sz w:val="28"/>
              <w:lang w:val="en-GB"/>
            </w:rPr>
          </w:pPr>
          <w:r w:rsidRPr="00745BD7">
            <w:rPr>
              <w:color w:val="000000"/>
              <w:sz w:val="28"/>
              <w:lang w:val="en-GB"/>
            </w:rPr>
            <w:t xml:space="preserve">Significance of accounting evaluation with the engagement of financial </w:t>
          </w:r>
          <w:r w:rsidR="002D0D2A" w:rsidRPr="00745BD7">
            <w:rPr>
              <w:color w:val="000000"/>
              <w:sz w:val="28"/>
              <w:lang w:val="en-GB"/>
            </w:rPr>
            <w:t>decision-making</w:t>
          </w:r>
          <w:r w:rsidRPr="00745BD7">
            <w:rPr>
              <w:color w:val="000000"/>
              <w:sz w:val="28"/>
              <w:lang w:val="en-GB"/>
            </w:rPr>
            <w:t xml:space="preserve"> approach is essential for individual business that allows for managing the potentiality approach of business in a proper order. According to the present financial processing of Hilton the financial analysis approach has been initiated that provides the formulated development including accounting positive approach in an effective basis. In </w:t>
          </w:r>
          <w:r w:rsidR="002D0D2A" w:rsidRPr="00745BD7">
            <w:rPr>
              <w:color w:val="000000"/>
              <w:sz w:val="28"/>
              <w:lang w:val="en-GB"/>
            </w:rPr>
            <w:t>addition,</w:t>
          </w:r>
          <w:r w:rsidRPr="00745BD7">
            <w:rPr>
              <w:color w:val="000000"/>
              <w:sz w:val="28"/>
              <w:lang w:val="en-GB"/>
            </w:rPr>
            <w:t xml:space="preserve"> it also provides presence of accounting ratios over the business for feasibility recognition support mainly. </w:t>
          </w:r>
        </w:p>
        <w:p w14:paraId="1800B57B" w14:textId="77777777" w:rsidR="000F70F6" w:rsidRPr="00745BD7" w:rsidRDefault="000F70F6" w:rsidP="00602B28">
          <w:pPr>
            <w:spacing w:line="360" w:lineRule="auto"/>
            <w:jc w:val="both"/>
            <w:rPr>
              <w:rFonts w:ascii="Times New Roman" w:hAnsi="Times New Roman" w:cs="Times New Roman"/>
              <w:b/>
              <w:sz w:val="28"/>
              <w:szCs w:val="24"/>
            </w:rPr>
          </w:pPr>
        </w:p>
        <w:p w14:paraId="6E3EDC7D" w14:textId="77777777" w:rsidR="00602B28" w:rsidRPr="000F70F6" w:rsidRDefault="00602B28" w:rsidP="00602B28">
          <w:pPr>
            <w:spacing w:line="360" w:lineRule="auto"/>
            <w:jc w:val="both"/>
            <w:rPr>
              <w:rFonts w:ascii="Times New Roman" w:hAnsi="Times New Roman" w:cs="Times New Roman"/>
              <w:sz w:val="24"/>
              <w:szCs w:val="24"/>
            </w:rPr>
          </w:pPr>
        </w:p>
        <w:p w14:paraId="7C9D9913" w14:textId="77777777" w:rsidR="007D1947" w:rsidRPr="000F70F6" w:rsidRDefault="007D1947" w:rsidP="00602B28">
          <w:pPr>
            <w:spacing w:line="360" w:lineRule="auto"/>
            <w:jc w:val="both"/>
            <w:rPr>
              <w:rFonts w:ascii="Times New Roman" w:hAnsi="Times New Roman" w:cs="Times New Roman"/>
              <w:sz w:val="24"/>
              <w:szCs w:val="24"/>
            </w:rPr>
          </w:pPr>
        </w:p>
        <w:p w14:paraId="45065CDF" w14:textId="77777777" w:rsidR="007D1947" w:rsidRPr="000F70F6" w:rsidRDefault="007D1947" w:rsidP="00602B28">
          <w:pPr>
            <w:spacing w:line="360" w:lineRule="auto"/>
            <w:jc w:val="both"/>
            <w:rPr>
              <w:rFonts w:ascii="Times New Roman" w:hAnsi="Times New Roman" w:cs="Times New Roman"/>
              <w:sz w:val="24"/>
              <w:szCs w:val="24"/>
            </w:rPr>
          </w:pPr>
        </w:p>
        <w:p w14:paraId="2025B14D" w14:textId="77777777" w:rsidR="007D1947" w:rsidRPr="000F70F6" w:rsidRDefault="007D1947" w:rsidP="00602B28">
          <w:pPr>
            <w:spacing w:line="360" w:lineRule="auto"/>
            <w:jc w:val="both"/>
            <w:rPr>
              <w:rFonts w:ascii="Times New Roman" w:hAnsi="Times New Roman" w:cs="Times New Roman"/>
              <w:sz w:val="24"/>
              <w:szCs w:val="24"/>
            </w:rPr>
          </w:pPr>
        </w:p>
        <w:p w14:paraId="610FAC17" w14:textId="77777777" w:rsidR="007D1947" w:rsidRPr="000F70F6" w:rsidRDefault="007D1947" w:rsidP="00602B28">
          <w:pPr>
            <w:spacing w:line="360" w:lineRule="auto"/>
            <w:jc w:val="both"/>
            <w:rPr>
              <w:rFonts w:ascii="Times New Roman" w:hAnsi="Times New Roman" w:cs="Times New Roman"/>
              <w:sz w:val="24"/>
              <w:szCs w:val="24"/>
            </w:rPr>
          </w:pPr>
        </w:p>
        <w:p w14:paraId="3149D562" w14:textId="77777777" w:rsidR="007D1947" w:rsidRPr="000F70F6" w:rsidRDefault="007D1947" w:rsidP="00602B28">
          <w:pPr>
            <w:spacing w:line="360" w:lineRule="auto"/>
            <w:jc w:val="both"/>
            <w:rPr>
              <w:rFonts w:ascii="Times New Roman" w:hAnsi="Times New Roman" w:cs="Times New Roman"/>
              <w:sz w:val="24"/>
              <w:szCs w:val="24"/>
            </w:rPr>
          </w:pPr>
        </w:p>
        <w:p w14:paraId="788BE112" w14:textId="77777777" w:rsidR="007D1947" w:rsidRPr="000F70F6" w:rsidRDefault="007D1947" w:rsidP="00602B28">
          <w:pPr>
            <w:spacing w:line="360" w:lineRule="auto"/>
            <w:jc w:val="both"/>
            <w:rPr>
              <w:rFonts w:ascii="Times New Roman" w:hAnsi="Times New Roman" w:cs="Times New Roman"/>
              <w:sz w:val="24"/>
              <w:szCs w:val="24"/>
            </w:rPr>
          </w:pPr>
        </w:p>
        <w:p w14:paraId="294672E4" w14:textId="77777777" w:rsidR="007D1947" w:rsidRPr="000F70F6" w:rsidRDefault="007D1947" w:rsidP="00602B28">
          <w:pPr>
            <w:spacing w:line="360" w:lineRule="auto"/>
            <w:jc w:val="both"/>
            <w:rPr>
              <w:rFonts w:ascii="Times New Roman" w:hAnsi="Times New Roman" w:cs="Times New Roman"/>
              <w:sz w:val="24"/>
              <w:szCs w:val="24"/>
            </w:rPr>
          </w:pPr>
        </w:p>
        <w:p w14:paraId="0EB25858" w14:textId="77777777" w:rsidR="007D1947" w:rsidRPr="000F70F6" w:rsidRDefault="007D1947" w:rsidP="00602B28">
          <w:pPr>
            <w:spacing w:line="360" w:lineRule="auto"/>
            <w:jc w:val="both"/>
            <w:rPr>
              <w:rFonts w:ascii="Times New Roman" w:hAnsi="Times New Roman" w:cs="Times New Roman"/>
              <w:sz w:val="24"/>
              <w:szCs w:val="24"/>
            </w:rPr>
          </w:pPr>
        </w:p>
        <w:p w14:paraId="6AF3CE54" w14:textId="77777777" w:rsidR="007D1947" w:rsidRPr="000F70F6" w:rsidRDefault="007D1947" w:rsidP="00602B28">
          <w:pPr>
            <w:spacing w:line="360" w:lineRule="auto"/>
            <w:jc w:val="both"/>
            <w:rPr>
              <w:rFonts w:ascii="Times New Roman" w:hAnsi="Times New Roman" w:cs="Times New Roman"/>
              <w:sz w:val="24"/>
              <w:szCs w:val="24"/>
            </w:rPr>
          </w:pPr>
        </w:p>
        <w:p w14:paraId="263F6CB8" w14:textId="77777777" w:rsidR="007D1947" w:rsidRPr="000F70F6" w:rsidRDefault="007D1947" w:rsidP="00602B28">
          <w:pPr>
            <w:spacing w:line="360" w:lineRule="auto"/>
            <w:jc w:val="both"/>
            <w:rPr>
              <w:rFonts w:ascii="Times New Roman" w:hAnsi="Times New Roman" w:cs="Times New Roman"/>
              <w:sz w:val="24"/>
              <w:szCs w:val="24"/>
            </w:rPr>
          </w:pPr>
        </w:p>
        <w:p w14:paraId="5458691F" w14:textId="77777777" w:rsidR="007D1947" w:rsidRPr="000F70F6" w:rsidRDefault="007D1947" w:rsidP="00602B28">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8"/>
              <w:szCs w:val="28"/>
              <w14:textFill>
                <w14:solidFill>
                  <w14:srgbClr w14:val="000000">
                    <w14:lumMod w14:val="75000"/>
                  </w14:srgbClr>
                </w14:solidFill>
              </w14:textFill>
            </w:rPr>
            <w:id w:val="-592008225"/>
            <w:docPartObj>
              <w:docPartGallery w:val="Table of Contents"/>
              <w:docPartUnique/>
            </w:docPartObj>
          </w:sdtPr>
          <w:sdtEndPr>
            <w:rPr>
              <w:b w:val="0"/>
              <w:bCs/>
              <w:lang w:val="en-GB"/>
            </w:rPr>
          </w:sdtEndPr>
          <w:sdtContent>
            <w:p w14:paraId="5EC5A0CD" w14:textId="77777777" w:rsidR="003455C7" w:rsidRPr="00FD14E2" w:rsidRDefault="003455C7" w:rsidP="003C5252">
              <w:pPr>
                <w:pStyle w:val="TOCHeading"/>
                <w:rPr>
                  <w:color w:val="2E74B5" w:themeColor="accent1" w:themeShade="BF"/>
                  <w:sz w:val="32"/>
                  <w:szCs w:val="32"/>
                </w:rPr>
              </w:pPr>
              <w:r w:rsidRPr="00FD14E2">
                <w:rPr>
                  <w:color w:val="2E74B5" w:themeColor="accent1" w:themeShade="BF"/>
                  <w:sz w:val="32"/>
                  <w:szCs w:val="32"/>
                </w:rPr>
                <w:t>Table of Contents</w:t>
              </w:r>
            </w:p>
            <w:p w14:paraId="5EB6D0CE" w14:textId="77777777" w:rsidR="003455C7" w:rsidRPr="00FD14E2" w:rsidRDefault="00B875F5" w:rsidP="003455C7">
              <w:pPr>
                <w:pStyle w:val="TOC1"/>
                <w:tabs>
                  <w:tab w:val="right" w:leader="dot" w:pos="9016"/>
                </w:tabs>
                <w:spacing w:line="360" w:lineRule="auto"/>
                <w:jc w:val="both"/>
                <w:rPr>
                  <w:rFonts w:ascii="Times New Roman" w:eastAsiaTheme="minorEastAsia" w:hAnsi="Times New Roman" w:cs="Times New Roman"/>
                  <w:b/>
                  <w:noProof/>
                  <w:sz w:val="32"/>
                  <w:szCs w:val="32"/>
                  <w:lang w:eastAsia="en-IN"/>
                </w:rPr>
              </w:pPr>
              <w:r w:rsidRPr="00FD14E2">
                <w:rPr>
                  <w:rFonts w:ascii="Times New Roman" w:hAnsi="Times New Roman" w:cs="Times New Roman"/>
                  <w:b/>
                  <w:sz w:val="32"/>
                  <w:szCs w:val="32"/>
                </w:rPr>
                <w:fldChar w:fldCharType="begin"/>
              </w:r>
              <w:r w:rsidR="003455C7" w:rsidRPr="00FD14E2">
                <w:rPr>
                  <w:rFonts w:ascii="Times New Roman" w:hAnsi="Times New Roman" w:cs="Times New Roman"/>
                  <w:b/>
                  <w:sz w:val="32"/>
                  <w:szCs w:val="32"/>
                </w:rPr>
                <w:instrText xml:space="preserve"> TOC \o "1-3" \h \z \u </w:instrText>
              </w:r>
              <w:r w:rsidRPr="00FD14E2">
                <w:rPr>
                  <w:rFonts w:ascii="Times New Roman" w:hAnsi="Times New Roman" w:cs="Times New Roman"/>
                  <w:b/>
                  <w:sz w:val="32"/>
                  <w:szCs w:val="32"/>
                </w:rPr>
                <w:fldChar w:fldCharType="separate"/>
              </w:r>
              <w:hyperlink w:anchor="_Toc104801383" w:history="1">
                <w:r w:rsidR="003455C7" w:rsidRPr="00FD14E2">
                  <w:rPr>
                    <w:rStyle w:val="Hyperlink"/>
                    <w:rFonts w:ascii="Times New Roman" w:hAnsi="Times New Roman" w:cs="Times New Roman"/>
                    <w:b/>
                    <w:noProof/>
                    <w:sz w:val="32"/>
                    <w:szCs w:val="32"/>
                  </w:rPr>
                  <w:t>Introduction</w:t>
                </w:r>
                <w:r w:rsidR="003455C7" w:rsidRPr="00FD14E2">
                  <w:rPr>
                    <w:rFonts w:ascii="Times New Roman" w:hAnsi="Times New Roman" w:cs="Times New Roman"/>
                    <w:b/>
                    <w:noProof/>
                    <w:webHidden/>
                    <w:sz w:val="32"/>
                    <w:szCs w:val="32"/>
                  </w:rPr>
                  <w:tab/>
                </w:r>
                <w:r w:rsidRPr="00FD14E2">
                  <w:rPr>
                    <w:rFonts w:ascii="Times New Roman" w:hAnsi="Times New Roman" w:cs="Times New Roman"/>
                    <w:b/>
                    <w:noProof/>
                    <w:webHidden/>
                    <w:sz w:val="32"/>
                    <w:szCs w:val="32"/>
                  </w:rPr>
                  <w:fldChar w:fldCharType="begin"/>
                </w:r>
                <w:r w:rsidR="003455C7" w:rsidRPr="00FD14E2">
                  <w:rPr>
                    <w:rFonts w:ascii="Times New Roman" w:hAnsi="Times New Roman" w:cs="Times New Roman"/>
                    <w:b/>
                    <w:noProof/>
                    <w:webHidden/>
                    <w:sz w:val="32"/>
                    <w:szCs w:val="32"/>
                  </w:rPr>
                  <w:instrText xml:space="preserve"> PAGEREF _Toc104801383 \h </w:instrText>
                </w:r>
                <w:r w:rsidRPr="00FD14E2">
                  <w:rPr>
                    <w:rFonts w:ascii="Times New Roman" w:hAnsi="Times New Roman" w:cs="Times New Roman"/>
                    <w:b/>
                    <w:noProof/>
                    <w:webHidden/>
                    <w:sz w:val="32"/>
                    <w:szCs w:val="32"/>
                  </w:rPr>
                </w:r>
                <w:r w:rsidRPr="00FD14E2">
                  <w:rPr>
                    <w:rFonts w:ascii="Times New Roman" w:hAnsi="Times New Roman" w:cs="Times New Roman"/>
                    <w:b/>
                    <w:noProof/>
                    <w:webHidden/>
                    <w:sz w:val="32"/>
                    <w:szCs w:val="32"/>
                  </w:rPr>
                  <w:fldChar w:fldCharType="separate"/>
                </w:r>
                <w:r w:rsidR="00C979FE" w:rsidRPr="00FD14E2">
                  <w:rPr>
                    <w:rFonts w:ascii="Times New Roman" w:hAnsi="Times New Roman" w:cs="Times New Roman"/>
                    <w:b/>
                    <w:noProof/>
                    <w:webHidden/>
                    <w:sz w:val="32"/>
                    <w:szCs w:val="32"/>
                  </w:rPr>
                  <w:t>3</w:t>
                </w:r>
                <w:r w:rsidRPr="00FD14E2">
                  <w:rPr>
                    <w:rFonts w:ascii="Times New Roman" w:hAnsi="Times New Roman" w:cs="Times New Roman"/>
                    <w:b/>
                    <w:noProof/>
                    <w:webHidden/>
                    <w:sz w:val="32"/>
                    <w:szCs w:val="32"/>
                  </w:rPr>
                  <w:fldChar w:fldCharType="end"/>
                </w:r>
              </w:hyperlink>
            </w:p>
            <w:p w14:paraId="2675641A" w14:textId="77777777" w:rsidR="003455C7" w:rsidRPr="00FD14E2" w:rsidRDefault="00FE070E" w:rsidP="003455C7">
              <w:pPr>
                <w:pStyle w:val="TOC1"/>
                <w:tabs>
                  <w:tab w:val="right" w:leader="dot" w:pos="9016"/>
                </w:tabs>
                <w:spacing w:line="360" w:lineRule="auto"/>
                <w:jc w:val="both"/>
                <w:rPr>
                  <w:rFonts w:ascii="Times New Roman" w:eastAsiaTheme="minorEastAsia" w:hAnsi="Times New Roman" w:cs="Times New Roman"/>
                  <w:b/>
                  <w:noProof/>
                  <w:sz w:val="32"/>
                  <w:szCs w:val="32"/>
                  <w:lang w:eastAsia="en-IN"/>
                </w:rPr>
              </w:pPr>
              <w:hyperlink w:anchor="_Toc104801384" w:history="1">
                <w:r w:rsidR="003455C7" w:rsidRPr="00FD14E2">
                  <w:rPr>
                    <w:rStyle w:val="Hyperlink"/>
                    <w:rFonts w:ascii="Times New Roman" w:hAnsi="Times New Roman" w:cs="Times New Roman"/>
                    <w:b/>
                    <w:noProof/>
                    <w:sz w:val="32"/>
                    <w:szCs w:val="32"/>
                  </w:rPr>
                  <w:t>Section A: Identify basic financial processing regarding business performances</w:t>
                </w:r>
                <w:r w:rsidR="003455C7" w:rsidRPr="00FD14E2">
                  <w:rPr>
                    <w:rFonts w:ascii="Times New Roman" w:hAnsi="Times New Roman" w:cs="Times New Roman"/>
                    <w:b/>
                    <w:noProof/>
                    <w:webHidden/>
                    <w:sz w:val="32"/>
                    <w:szCs w:val="32"/>
                  </w:rPr>
                  <w:tab/>
                </w:r>
                <w:r w:rsidR="00B875F5" w:rsidRPr="00FD14E2">
                  <w:rPr>
                    <w:rFonts w:ascii="Times New Roman" w:hAnsi="Times New Roman" w:cs="Times New Roman"/>
                    <w:b/>
                    <w:noProof/>
                    <w:webHidden/>
                    <w:sz w:val="32"/>
                    <w:szCs w:val="32"/>
                  </w:rPr>
                  <w:fldChar w:fldCharType="begin"/>
                </w:r>
                <w:r w:rsidR="003455C7" w:rsidRPr="00FD14E2">
                  <w:rPr>
                    <w:rFonts w:ascii="Times New Roman" w:hAnsi="Times New Roman" w:cs="Times New Roman"/>
                    <w:b/>
                    <w:noProof/>
                    <w:webHidden/>
                    <w:sz w:val="32"/>
                    <w:szCs w:val="32"/>
                  </w:rPr>
                  <w:instrText xml:space="preserve"> PAGEREF _Toc104801384 \h </w:instrText>
                </w:r>
                <w:r w:rsidR="00B875F5" w:rsidRPr="00FD14E2">
                  <w:rPr>
                    <w:rFonts w:ascii="Times New Roman" w:hAnsi="Times New Roman" w:cs="Times New Roman"/>
                    <w:b/>
                    <w:noProof/>
                    <w:webHidden/>
                    <w:sz w:val="32"/>
                    <w:szCs w:val="32"/>
                  </w:rPr>
                </w:r>
                <w:r w:rsidR="00B875F5" w:rsidRPr="00FD14E2">
                  <w:rPr>
                    <w:rFonts w:ascii="Times New Roman" w:hAnsi="Times New Roman" w:cs="Times New Roman"/>
                    <w:b/>
                    <w:noProof/>
                    <w:webHidden/>
                    <w:sz w:val="32"/>
                    <w:szCs w:val="32"/>
                  </w:rPr>
                  <w:fldChar w:fldCharType="separate"/>
                </w:r>
                <w:r w:rsidR="00C979FE" w:rsidRPr="00FD14E2">
                  <w:rPr>
                    <w:rFonts w:ascii="Times New Roman" w:hAnsi="Times New Roman" w:cs="Times New Roman"/>
                    <w:b/>
                    <w:noProof/>
                    <w:webHidden/>
                    <w:sz w:val="32"/>
                    <w:szCs w:val="32"/>
                  </w:rPr>
                  <w:t>3</w:t>
                </w:r>
                <w:r w:rsidR="00B875F5" w:rsidRPr="00FD14E2">
                  <w:rPr>
                    <w:rFonts w:ascii="Times New Roman" w:hAnsi="Times New Roman" w:cs="Times New Roman"/>
                    <w:b/>
                    <w:noProof/>
                    <w:webHidden/>
                    <w:sz w:val="32"/>
                    <w:szCs w:val="32"/>
                  </w:rPr>
                  <w:fldChar w:fldCharType="end"/>
                </w:r>
              </w:hyperlink>
            </w:p>
            <w:p w14:paraId="008DF731" w14:textId="77777777" w:rsidR="003455C7" w:rsidRPr="00FD14E2" w:rsidRDefault="00FE070E" w:rsidP="003455C7">
              <w:pPr>
                <w:pStyle w:val="TOC1"/>
                <w:tabs>
                  <w:tab w:val="right" w:leader="dot" w:pos="9016"/>
                </w:tabs>
                <w:spacing w:line="360" w:lineRule="auto"/>
                <w:jc w:val="both"/>
                <w:rPr>
                  <w:rFonts w:ascii="Times New Roman" w:eastAsiaTheme="minorEastAsia" w:hAnsi="Times New Roman" w:cs="Times New Roman"/>
                  <w:b/>
                  <w:noProof/>
                  <w:sz w:val="32"/>
                  <w:szCs w:val="32"/>
                  <w:lang w:eastAsia="en-IN"/>
                </w:rPr>
              </w:pPr>
              <w:hyperlink w:anchor="_Toc104801385" w:history="1">
                <w:r w:rsidR="003455C7" w:rsidRPr="00FD14E2">
                  <w:rPr>
                    <w:rStyle w:val="Hyperlink"/>
                    <w:rFonts w:ascii="Times New Roman" w:hAnsi="Times New Roman" w:cs="Times New Roman"/>
                    <w:b/>
                    <w:noProof/>
                    <w:sz w:val="32"/>
                    <w:szCs w:val="32"/>
                  </w:rPr>
                  <w:t>Section B: Identify importance of ratios for decision supportive</w:t>
                </w:r>
                <w:r w:rsidR="003455C7" w:rsidRPr="00FD14E2">
                  <w:rPr>
                    <w:rFonts w:ascii="Times New Roman" w:hAnsi="Times New Roman" w:cs="Times New Roman"/>
                    <w:b/>
                    <w:noProof/>
                    <w:webHidden/>
                    <w:sz w:val="32"/>
                    <w:szCs w:val="32"/>
                  </w:rPr>
                  <w:tab/>
                </w:r>
                <w:r w:rsidR="00B875F5" w:rsidRPr="00FD14E2">
                  <w:rPr>
                    <w:rFonts w:ascii="Times New Roman" w:hAnsi="Times New Roman" w:cs="Times New Roman"/>
                    <w:b/>
                    <w:noProof/>
                    <w:webHidden/>
                    <w:sz w:val="32"/>
                    <w:szCs w:val="32"/>
                  </w:rPr>
                  <w:fldChar w:fldCharType="begin"/>
                </w:r>
                <w:r w:rsidR="003455C7" w:rsidRPr="00FD14E2">
                  <w:rPr>
                    <w:rFonts w:ascii="Times New Roman" w:hAnsi="Times New Roman" w:cs="Times New Roman"/>
                    <w:b/>
                    <w:noProof/>
                    <w:webHidden/>
                    <w:sz w:val="32"/>
                    <w:szCs w:val="32"/>
                  </w:rPr>
                  <w:instrText xml:space="preserve"> PAGEREF _Toc104801385 \h </w:instrText>
                </w:r>
                <w:r w:rsidR="00B875F5" w:rsidRPr="00FD14E2">
                  <w:rPr>
                    <w:rFonts w:ascii="Times New Roman" w:hAnsi="Times New Roman" w:cs="Times New Roman"/>
                    <w:b/>
                    <w:noProof/>
                    <w:webHidden/>
                    <w:sz w:val="32"/>
                    <w:szCs w:val="32"/>
                  </w:rPr>
                </w:r>
                <w:r w:rsidR="00B875F5" w:rsidRPr="00FD14E2">
                  <w:rPr>
                    <w:rFonts w:ascii="Times New Roman" w:hAnsi="Times New Roman" w:cs="Times New Roman"/>
                    <w:b/>
                    <w:noProof/>
                    <w:webHidden/>
                    <w:sz w:val="32"/>
                    <w:szCs w:val="32"/>
                  </w:rPr>
                  <w:fldChar w:fldCharType="separate"/>
                </w:r>
                <w:r w:rsidR="00C979FE" w:rsidRPr="00FD14E2">
                  <w:rPr>
                    <w:rFonts w:ascii="Times New Roman" w:hAnsi="Times New Roman" w:cs="Times New Roman"/>
                    <w:b/>
                    <w:noProof/>
                    <w:webHidden/>
                    <w:sz w:val="32"/>
                    <w:szCs w:val="32"/>
                  </w:rPr>
                  <w:t>9</w:t>
                </w:r>
                <w:r w:rsidR="00B875F5" w:rsidRPr="00FD14E2">
                  <w:rPr>
                    <w:rFonts w:ascii="Times New Roman" w:hAnsi="Times New Roman" w:cs="Times New Roman"/>
                    <w:b/>
                    <w:noProof/>
                    <w:webHidden/>
                    <w:sz w:val="32"/>
                    <w:szCs w:val="32"/>
                  </w:rPr>
                  <w:fldChar w:fldCharType="end"/>
                </w:r>
              </w:hyperlink>
            </w:p>
            <w:p w14:paraId="6150B9B0" w14:textId="77777777" w:rsidR="003455C7" w:rsidRPr="00FD14E2" w:rsidRDefault="00FE070E" w:rsidP="003455C7">
              <w:pPr>
                <w:pStyle w:val="TOC1"/>
                <w:tabs>
                  <w:tab w:val="right" w:leader="dot" w:pos="9016"/>
                </w:tabs>
                <w:spacing w:line="360" w:lineRule="auto"/>
                <w:jc w:val="both"/>
                <w:rPr>
                  <w:rFonts w:ascii="Times New Roman" w:eastAsiaTheme="minorEastAsia" w:hAnsi="Times New Roman" w:cs="Times New Roman"/>
                  <w:b/>
                  <w:noProof/>
                  <w:sz w:val="32"/>
                  <w:szCs w:val="32"/>
                  <w:lang w:eastAsia="en-IN"/>
                </w:rPr>
              </w:pPr>
              <w:hyperlink w:anchor="_Toc104801386" w:history="1">
                <w:r w:rsidR="003455C7" w:rsidRPr="00FD14E2">
                  <w:rPr>
                    <w:rStyle w:val="Hyperlink"/>
                    <w:rFonts w:ascii="Times New Roman" w:hAnsi="Times New Roman" w:cs="Times New Roman"/>
                    <w:b/>
                    <w:noProof/>
                    <w:sz w:val="32"/>
                    <w:szCs w:val="32"/>
                  </w:rPr>
                  <w:t>Section C: General limitation of using ratios, significance of using ratios and its fluctuation for this hotel business</w:t>
                </w:r>
                <w:r w:rsidR="003455C7" w:rsidRPr="00FD14E2">
                  <w:rPr>
                    <w:rFonts w:ascii="Times New Roman" w:hAnsi="Times New Roman" w:cs="Times New Roman"/>
                    <w:b/>
                    <w:noProof/>
                    <w:webHidden/>
                    <w:sz w:val="32"/>
                    <w:szCs w:val="32"/>
                  </w:rPr>
                  <w:tab/>
                </w:r>
                <w:r w:rsidR="00B875F5" w:rsidRPr="00FD14E2">
                  <w:rPr>
                    <w:rFonts w:ascii="Times New Roman" w:hAnsi="Times New Roman" w:cs="Times New Roman"/>
                    <w:b/>
                    <w:noProof/>
                    <w:webHidden/>
                    <w:sz w:val="32"/>
                    <w:szCs w:val="32"/>
                  </w:rPr>
                  <w:fldChar w:fldCharType="begin"/>
                </w:r>
                <w:r w:rsidR="003455C7" w:rsidRPr="00FD14E2">
                  <w:rPr>
                    <w:rFonts w:ascii="Times New Roman" w:hAnsi="Times New Roman" w:cs="Times New Roman"/>
                    <w:b/>
                    <w:noProof/>
                    <w:webHidden/>
                    <w:sz w:val="32"/>
                    <w:szCs w:val="32"/>
                  </w:rPr>
                  <w:instrText xml:space="preserve"> PAGEREF _Toc104801386 \h </w:instrText>
                </w:r>
                <w:r w:rsidR="00B875F5" w:rsidRPr="00FD14E2">
                  <w:rPr>
                    <w:rFonts w:ascii="Times New Roman" w:hAnsi="Times New Roman" w:cs="Times New Roman"/>
                    <w:b/>
                    <w:noProof/>
                    <w:webHidden/>
                    <w:sz w:val="32"/>
                    <w:szCs w:val="32"/>
                  </w:rPr>
                </w:r>
                <w:r w:rsidR="00B875F5" w:rsidRPr="00FD14E2">
                  <w:rPr>
                    <w:rFonts w:ascii="Times New Roman" w:hAnsi="Times New Roman" w:cs="Times New Roman"/>
                    <w:b/>
                    <w:noProof/>
                    <w:webHidden/>
                    <w:sz w:val="32"/>
                    <w:szCs w:val="32"/>
                  </w:rPr>
                  <w:fldChar w:fldCharType="separate"/>
                </w:r>
                <w:r w:rsidR="00C979FE" w:rsidRPr="00FD14E2">
                  <w:rPr>
                    <w:rFonts w:ascii="Times New Roman" w:hAnsi="Times New Roman" w:cs="Times New Roman"/>
                    <w:b/>
                    <w:noProof/>
                    <w:webHidden/>
                    <w:sz w:val="32"/>
                    <w:szCs w:val="32"/>
                  </w:rPr>
                  <w:t>10</w:t>
                </w:r>
                <w:r w:rsidR="00B875F5" w:rsidRPr="00FD14E2">
                  <w:rPr>
                    <w:rFonts w:ascii="Times New Roman" w:hAnsi="Times New Roman" w:cs="Times New Roman"/>
                    <w:b/>
                    <w:noProof/>
                    <w:webHidden/>
                    <w:sz w:val="32"/>
                    <w:szCs w:val="32"/>
                  </w:rPr>
                  <w:fldChar w:fldCharType="end"/>
                </w:r>
              </w:hyperlink>
            </w:p>
            <w:p w14:paraId="70F07931" w14:textId="77777777" w:rsidR="003455C7" w:rsidRPr="00FD14E2" w:rsidRDefault="00FE070E" w:rsidP="003455C7">
              <w:pPr>
                <w:pStyle w:val="TOC1"/>
                <w:tabs>
                  <w:tab w:val="right" w:leader="dot" w:pos="9016"/>
                </w:tabs>
                <w:spacing w:line="360" w:lineRule="auto"/>
                <w:jc w:val="both"/>
                <w:rPr>
                  <w:rFonts w:ascii="Times New Roman" w:eastAsiaTheme="minorEastAsia" w:hAnsi="Times New Roman" w:cs="Times New Roman"/>
                  <w:b/>
                  <w:noProof/>
                  <w:sz w:val="32"/>
                  <w:szCs w:val="32"/>
                  <w:lang w:eastAsia="en-IN"/>
                </w:rPr>
              </w:pPr>
              <w:hyperlink w:anchor="_Toc104801387" w:history="1">
                <w:r w:rsidR="003455C7" w:rsidRPr="00FD14E2">
                  <w:rPr>
                    <w:rStyle w:val="Hyperlink"/>
                    <w:rFonts w:ascii="Times New Roman" w:hAnsi="Times New Roman" w:cs="Times New Roman"/>
                    <w:b/>
                    <w:noProof/>
                    <w:sz w:val="32"/>
                    <w:szCs w:val="32"/>
                  </w:rPr>
                  <w:t>Conclusions</w:t>
                </w:r>
                <w:r w:rsidR="003455C7" w:rsidRPr="00FD14E2">
                  <w:rPr>
                    <w:rFonts w:ascii="Times New Roman" w:hAnsi="Times New Roman" w:cs="Times New Roman"/>
                    <w:b/>
                    <w:noProof/>
                    <w:webHidden/>
                    <w:sz w:val="32"/>
                    <w:szCs w:val="32"/>
                  </w:rPr>
                  <w:tab/>
                </w:r>
                <w:r w:rsidR="00B875F5" w:rsidRPr="00FD14E2">
                  <w:rPr>
                    <w:rFonts w:ascii="Times New Roman" w:hAnsi="Times New Roman" w:cs="Times New Roman"/>
                    <w:b/>
                    <w:noProof/>
                    <w:webHidden/>
                    <w:sz w:val="32"/>
                    <w:szCs w:val="32"/>
                  </w:rPr>
                  <w:fldChar w:fldCharType="begin"/>
                </w:r>
                <w:r w:rsidR="003455C7" w:rsidRPr="00FD14E2">
                  <w:rPr>
                    <w:rFonts w:ascii="Times New Roman" w:hAnsi="Times New Roman" w:cs="Times New Roman"/>
                    <w:b/>
                    <w:noProof/>
                    <w:webHidden/>
                    <w:sz w:val="32"/>
                    <w:szCs w:val="32"/>
                  </w:rPr>
                  <w:instrText xml:space="preserve"> PAGEREF _Toc104801387 \h </w:instrText>
                </w:r>
                <w:r w:rsidR="00B875F5" w:rsidRPr="00FD14E2">
                  <w:rPr>
                    <w:rFonts w:ascii="Times New Roman" w:hAnsi="Times New Roman" w:cs="Times New Roman"/>
                    <w:b/>
                    <w:noProof/>
                    <w:webHidden/>
                    <w:sz w:val="32"/>
                    <w:szCs w:val="32"/>
                  </w:rPr>
                </w:r>
                <w:r w:rsidR="00B875F5" w:rsidRPr="00FD14E2">
                  <w:rPr>
                    <w:rFonts w:ascii="Times New Roman" w:hAnsi="Times New Roman" w:cs="Times New Roman"/>
                    <w:b/>
                    <w:noProof/>
                    <w:webHidden/>
                    <w:sz w:val="32"/>
                    <w:szCs w:val="32"/>
                  </w:rPr>
                  <w:fldChar w:fldCharType="separate"/>
                </w:r>
                <w:r w:rsidR="00C979FE" w:rsidRPr="00FD14E2">
                  <w:rPr>
                    <w:rFonts w:ascii="Times New Roman" w:hAnsi="Times New Roman" w:cs="Times New Roman"/>
                    <w:b/>
                    <w:noProof/>
                    <w:webHidden/>
                    <w:sz w:val="32"/>
                    <w:szCs w:val="32"/>
                  </w:rPr>
                  <w:t>11</w:t>
                </w:r>
                <w:r w:rsidR="00B875F5" w:rsidRPr="00FD14E2">
                  <w:rPr>
                    <w:rFonts w:ascii="Times New Roman" w:hAnsi="Times New Roman" w:cs="Times New Roman"/>
                    <w:b/>
                    <w:noProof/>
                    <w:webHidden/>
                    <w:sz w:val="32"/>
                    <w:szCs w:val="32"/>
                  </w:rPr>
                  <w:fldChar w:fldCharType="end"/>
                </w:r>
              </w:hyperlink>
            </w:p>
            <w:p w14:paraId="54663374" w14:textId="0522F2F9" w:rsidR="003455C7" w:rsidRPr="00FD14E2" w:rsidRDefault="00FE070E" w:rsidP="003455C7">
              <w:pPr>
                <w:pStyle w:val="TOC1"/>
                <w:tabs>
                  <w:tab w:val="right" w:leader="dot" w:pos="9016"/>
                </w:tabs>
                <w:spacing w:line="360" w:lineRule="auto"/>
                <w:jc w:val="both"/>
                <w:rPr>
                  <w:rFonts w:ascii="Times New Roman" w:eastAsiaTheme="minorEastAsia" w:hAnsi="Times New Roman" w:cs="Times New Roman"/>
                  <w:b/>
                  <w:noProof/>
                  <w:sz w:val="32"/>
                  <w:szCs w:val="32"/>
                  <w:lang w:eastAsia="en-IN"/>
                </w:rPr>
              </w:pPr>
              <w:hyperlink w:anchor="_Toc104801388" w:history="1">
                <w:r w:rsidR="00077647">
                  <w:rPr>
                    <w:rStyle w:val="Hyperlink"/>
                    <w:rFonts w:ascii="Times New Roman" w:hAnsi="Times New Roman" w:cs="Times New Roman"/>
                    <w:b/>
                    <w:noProof/>
                    <w:sz w:val="32"/>
                    <w:szCs w:val="32"/>
                  </w:rPr>
                  <w:t>References</w:t>
                </w:r>
                <w:r w:rsidR="003455C7" w:rsidRPr="00FD14E2">
                  <w:rPr>
                    <w:rFonts w:ascii="Times New Roman" w:hAnsi="Times New Roman" w:cs="Times New Roman"/>
                    <w:b/>
                    <w:noProof/>
                    <w:webHidden/>
                    <w:sz w:val="32"/>
                    <w:szCs w:val="32"/>
                  </w:rPr>
                  <w:tab/>
                </w:r>
                <w:r w:rsidR="00B875F5" w:rsidRPr="00FD14E2">
                  <w:rPr>
                    <w:rFonts w:ascii="Times New Roman" w:hAnsi="Times New Roman" w:cs="Times New Roman"/>
                    <w:b/>
                    <w:noProof/>
                    <w:webHidden/>
                    <w:sz w:val="32"/>
                    <w:szCs w:val="32"/>
                  </w:rPr>
                  <w:fldChar w:fldCharType="begin"/>
                </w:r>
                <w:r w:rsidR="003455C7" w:rsidRPr="00FD14E2">
                  <w:rPr>
                    <w:rFonts w:ascii="Times New Roman" w:hAnsi="Times New Roman" w:cs="Times New Roman"/>
                    <w:b/>
                    <w:noProof/>
                    <w:webHidden/>
                    <w:sz w:val="32"/>
                    <w:szCs w:val="32"/>
                  </w:rPr>
                  <w:instrText xml:space="preserve"> PAGEREF _Toc104801388 \h </w:instrText>
                </w:r>
                <w:r w:rsidR="00B875F5" w:rsidRPr="00FD14E2">
                  <w:rPr>
                    <w:rFonts w:ascii="Times New Roman" w:hAnsi="Times New Roman" w:cs="Times New Roman"/>
                    <w:b/>
                    <w:noProof/>
                    <w:webHidden/>
                    <w:sz w:val="32"/>
                    <w:szCs w:val="32"/>
                  </w:rPr>
                </w:r>
                <w:r w:rsidR="00B875F5" w:rsidRPr="00FD14E2">
                  <w:rPr>
                    <w:rFonts w:ascii="Times New Roman" w:hAnsi="Times New Roman" w:cs="Times New Roman"/>
                    <w:b/>
                    <w:noProof/>
                    <w:webHidden/>
                    <w:sz w:val="32"/>
                    <w:szCs w:val="32"/>
                  </w:rPr>
                  <w:fldChar w:fldCharType="separate"/>
                </w:r>
                <w:r w:rsidR="00C979FE" w:rsidRPr="00FD14E2">
                  <w:rPr>
                    <w:rFonts w:ascii="Times New Roman" w:hAnsi="Times New Roman" w:cs="Times New Roman"/>
                    <w:b/>
                    <w:noProof/>
                    <w:webHidden/>
                    <w:sz w:val="32"/>
                    <w:szCs w:val="32"/>
                  </w:rPr>
                  <w:t>13</w:t>
                </w:r>
                <w:r w:rsidR="00B875F5" w:rsidRPr="00FD14E2">
                  <w:rPr>
                    <w:rFonts w:ascii="Times New Roman" w:hAnsi="Times New Roman" w:cs="Times New Roman"/>
                    <w:b/>
                    <w:noProof/>
                    <w:webHidden/>
                    <w:sz w:val="32"/>
                    <w:szCs w:val="32"/>
                  </w:rPr>
                  <w:fldChar w:fldCharType="end"/>
                </w:r>
              </w:hyperlink>
            </w:p>
            <w:p w14:paraId="6FD0BD48" w14:textId="77777777" w:rsidR="003455C7" w:rsidRPr="00FD14E2" w:rsidRDefault="00B875F5" w:rsidP="003455C7">
              <w:pPr>
                <w:spacing w:line="360" w:lineRule="auto"/>
                <w:jc w:val="both"/>
                <w:rPr>
                  <w:b/>
                  <w:sz w:val="28"/>
                  <w:szCs w:val="28"/>
                </w:rPr>
              </w:pPr>
              <w:r w:rsidRPr="00FD14E2">
                <w:rPr>
                  <w:rFonts w:ascii="Times New Roman" w:hAnsi="Times New Roman" w:cs="Times New Roman"/>
                  <w:b/>
                  <w:bCs/>
                  <w:sz w:val="32"/>
                  <w:szCs w:val="32"/>
                </w:rPr>
                <w:fldChar w:fldCharType="end"/>
              </w:r>
            </w:p>
          </w:sdtContent>
        </w:sdt>
        <w:p w14:paraId="35FA72AF" w14:textId="77777777" w:rsidR="007D1947" w:rsidRPr="00FD14E2" w:rsidRDefault="007D1947" w:rsidP="00602B28">
          <w:pPr>
            <w:spacing w:line="360" w:lineRule="auto"/>
            <w:jc w:val="both"/>
            <w:rPr>
              <w:rFonts w:ascii="Times New Roman" w:hAnsi="Times New Roman" w:cs="Times New Roman"/>
              <w:b/>
              <w:sz w:val="32"/>
              <w:szCs w:val="32"/>
            </w:rPr>
          </w:pPr>
        </w:p>
        <w:p w14:paraId="640E8368" w14:textId="77777777" w:rsidR="007D1947" w:rsidRPr="00E32F46" w:rsidRDefault="007D1947" w:rsidP="00602B28">
          <w:pPr>
            <w:spacing w:line="360" w:lineRule="auto"/>
            <w:jc w:val="both"/>
            <w:rPr>
              <w:rFonts w:ascii="Times New Roman" w:hAnsi="Times New Roman" w:cs="Times New Roman"/>
              <w:b/>
              <w:sz w:val="24"/>
              <w:szCs w:val="24"/>
            </w:rPr>
          </w:pPr>
        </w:p>
        <w:p w14:paraId="1BD412D6" w14:textId="77777777" w:rsidR="007D1947" w:rsidRPr="00E32F46" w:rsidRDefault="007D1947" w:rsidP="00602B28">
          <w:pPr>
            <w:spacing w:line="360" w:lineRule="auto"/>
            <w:jc w:val="both"/>
            <w:rPr>
              <w:rFonts w:ascii="Times New Roman" w:hAnsi="Times New Roman" w:cs="Times New Roman"/>
              <w:b/>
              <w:sz w:val="24"/>
              <w:szCs w:val="24"/>
            </w:rPr>
          </w:pPr>
        </w:p>
        <w:p w14:paraId="31E35E5B" w14:textId="77777777" w:rsidR="007D1947" w:rsidRPr="00E32F46" w:rsidRDefault="007D1947" w:rsidP="00602B28">
          <w:pPr>
            <w:spacing w:line="360" w:lineRule="auto"/>
            <w:jc w:val="both"/>
            <w:rPr>
              <w:rFonts w:ascii="Times New Roman" w:hAnsi="Times New Roman" w:cs="Times New Roman"/>
              <w:b/>
              <w:sz w:val="24"/>
              <w:szCs w:val="24"/>
            </w:rPr>
          </w:pPr>
        </w:p>
        <w:p w14:paraId="7AA78EE3" w14:textId="77777777" w:rsidR="007D1947" w:rsidRPr="000F70F6" w:rsidRDefault="007D1947" w:rsidP="00602B28">
          <w:pPr>
            <w:spacing w:line="360" w:lineRule="auto"/>
            <w:jc w:val="both"/>
            <w:rPr>
              <w:rFonts w:ascii="Times New Roman" w:hAnsi="Times New Roman" w:cs="Times New Roman"/>
              <w:sz w:val="24"/>
              <w:szCs w:val="24"/>
            </w:rPr>
          </w:pPr>
        </w:p>
        <w:p w14:paraId="0921A5C3" w14:textId="77777777" w:rsidR="007D1947" w:rsidRPr="000F70F6" w:rsidRDefault="007D1947" w:rsidP="00602B28">
          <w:pPr>
            <w:spacing w:line="360" w:lineRule="auto"/>
            <w:jc w:val="both"/>
            <w:rPr>
              <w:rFonts w:ascii="Times New Roman" w:hAnsi="Times New Roman" w:cs="Times New Roman"/>
              <w:sz w:val="24"/>
              <w:szCs w:val="24"/>
            </w:rPr>
          </w:pPr>
        </w:p>
        <w:p w14:paraId="6AE0D0BA" w14:textId="77777777" w:rsidR="007D1947" w:rsidRPr="000F70F6" w:rsidRDefault="007D1947" w:rsidP="00602B28">
          <w:pPr>
            <w:spacing w:line="360" w:lineRule="auto"/>
            <w:jc w:val="both"/>
            <w:rPr>
              <w:rFonts w:ascii="Times New Roman" w:hAnsi="Times New Roman" w:cs="Times New Roman"/>
              <w:sz w:val="24"/>
              <w:szCs w:val="24"/>
            </w:rPr>
          </w:pPr>
        </w:p>
        <w:p w14:paraId="4DB453D3" w14:textId="77777777" w:rsidR="007D1947" w:rsidRPr="000F70F6" w:rsidRDefault="007D1947" w:rsidP="00602B28">
          <w:pPr>
            <w:spacing w:line="360" w:lineRule="auto"/>
            <w:jc w:val="both"/>
            <w:rPr>
              <w:rFonts w:ascii="Times New Roman" w:hAnsi="Times New Roman" w:cs="Times New Roman"/>
              <w:sz w:val="24"/>
              <w:szCs w:val="24"/>
            </w:rPr>
          </w:pPr>
        </w:p>
        <w:p w14:paraId="1A00A0FE" w14:textId="77777777" w:rsidR="007D1947" w:rsidRPr="000F70F6" w:rsidRDefault="007D1947" w:rsidP="00602B28">
          <w:pPr>
            <w:spacing w:line="360" w:lineRule="auto"/>
            <w:jc w:val="both"/>
            <w:rPr>
              <w:rFonts w:ascii="Times New Roman" w:hAnsi="Times New Roman" w:cs="Times New Roman"/>
              <w:sz w:val="24"/>
              <w:szCs w:val="24"/>
            </w:rPr>
          </w:pPr>
        </w:p>
        <w:p w14:paraId="252CF3DC" w14:textId="77777777" w:rsidR="007D1947" w:rsidRPr="000F70F6" w:rsidRDefault="007D1947" w:rsidP="00602B28">
          <w:pPr>
            <w:spacing w:line="360" w:lineRule="auto"/>
            <w:jc w:val="both"/>
            <w:rPr>
              <w:rFonts w:ascii="Times New Roman" w:hAnsi="Times New Roman" w:cs="Times New Roman"/>
              <w:sz w:val="24"/>
              <w:szCs w:val="24"/>
            </w:rPr>
          </w:pPr>
        </w:p>
        <w:p w14:paraId="4894129E" w14:textId="0083E7EC" w:rsidR="007D1947" w:rsidRDefault="007D1947" w:rsidP="00602B28">
          <w:pPr>
            <w:spacing w:line="360" w:lineRule="auto"/>
            <w:jc w:val="both"/>
            <w:rPr>
              <w:rFonts w:ascii="Times New Roman" w:hAnsi="Times New Roman" w:cs="Times New Roman"/>
              <w:sz w:val="24"/>
              <w:szCs w:val="24"/>
            </w:rPr>
          </w:pPr>
        </w:p>
        <w:p w14:paraId="5F64FA09" w14:textId="3FD9190A" w:rsidR="00FD14E2" w:rsidRDefault="00FD14E2" w:rsidP="00602B28">
          <w:pPr>
            <w:spacing w:line="360" w:lineRule="auto"/>
            <w:jc w:val="both"/>
            <w:rPr>
              <w:rFonts w:ascii="Times New Roman" w:hAnsi="Times New Roman" w:cs="Times New Roman"/>
              <w:sz w:val="24"/>
              <w:szCs w:val="24"/>
            </w:rPr>
          </w:pPr>
        </w:p>
        <w:p w14:paraId="53A42D81" w14:textId="77777777" w:rsidR="00FD14E2" w:rsidRPr="000F70F6" w:rsidRDefault="00FD14E2" w:rsidP="00602B28">
          <w:pPr>
            <w:spacing w:line="360" w:lineRule="auto"/>
            <w:jc w:val="both"/>
            <w:rPr>
              <w:rFonts w:ascii="Times New Roman" w:hAnsi="Times New Roman" w:cs="Times New Roman"/>
              <w:sz w:val="24"/>
              <w:szCs w:val="24"/>
            </w:rPr>
          </w:pPr>
        </w:p>
        <w:p w14:paraId="1990DE83" w14:textId="77777777" w:rsidR="00AB0D7A" w:rsidRPr="000F70F6" w:rsidRDefault="00AB0D7A" w:rsidP="003C5252">
          <w:pPr>
            <w:pStyle w:val="Heading1"/>
            <w:rPr>
              <w:color w:val="2E74B5" w:themeColor="accent1" w:themeShade="BF"/>
            </w:rPr>
          </w:pPr>
          <w:bookmarkStart w:id="0" w:name="_Toc104632259"/>
          <w:bookmarkStart w:id="1" w:name="_Toc104801383"/>
          <w:r w:rsidRPr="000F70F6">
            <w:rPr>
              <w:color w:val="2E74B5" w:themeColor="accent1" w:themeShade="BF"/>
            </w:rPr>
            <w:lastRenderedPageBreak/>
            <w:t>Introduction</w:t>
          </w:r>
          <w:bookmarkEnd w:id="0"/>
          <w:bookmarkEnd w:id="1"/>
        </w:p>
        <w:p w14:paraId="6E636691" w14:textId="4F788D40" w:rsidR="00AB0D7A" w:rsidRPr="000F70F6" w:rsidRDefault="00863563" w:rsidP="00602B28">
          <w:pPr>
            <w:spacing w:line="360" w:lineRule="auto"/>
            <w:jc w:val="both"/>
            <w:rPr>
              <w:rFonts w:ascii="Times New Roman" w:hAnsi="Times New Roman" w:cs="Times New Roman"/>
              <w:sz w:val="24"/>
              <w:szCs w:val="24"/>
            </w:rPr>
          </w:pPr>
          <w:r>
            <w:rPr>
              <w:rFonts w:ascii="Times New Roman" w:hAnsi="Times New Roman" w:cs="Times New Roman"/>
              <w:sz w:val="24"/>
              <w:szCs w:val="24"/>
            </w:rPr>
            <w:t>Accounting is</w:t>
          </w:r>
          <w:r w:rsidR="00AB0D7A" w:rsidRPr="000F70F6">
            <w:rPr>
              <w:rFonts w:ascii="Times New Roman" w:hAnsi="Times New Roman" w:cs="Times New Roman"/>
              <w:sz w:val="24"/>
              <w:szCs w:val="24"/>
            </w:rPr>
            <w:t xml:space="preserve"> essential under the principles of </w:t>
          </w:r>
          <w:r>
            <w:rPr>
              <w:rFonts w:ascii="Times New Roman" w:hAnsi="Times New Roman" w:cs="Times New Roman"/>
              <w:sz w:val="24"/>
              <w:szCs w:val="24"/>
            </w:rPr>
            <w:t>finance</w:t>
          </w:r>
          <w:r w:rsidR="00AB0D7A" w:rsidRPr="000F70F6">
            <w:rPr>
              <w:rFonts w:ascii="Times New Roman" w:hAnsi="Times New Roman" w:cs="Times New Roman"/>
              <w:sz w:val="24"/>
              <w:szCs w:val="24"/>
            </w:rPr>
            <w:t xml:space="preserve"> in associa</w:t>
          </w:r>
          <w:r>
            <w:rPr>
              <w:rFonts w:ascii="Times New Roman" w:hAnsi="Times New Roman" w:cs="Times New Roman"/>
              <w:sz w:val="24"/>
              <w:szCs w:val="24"/>
            </w:rPr>
            <w:t>tion</w:t>
          </w:r>
          <w:r w:rsidR="00AB0D7A" w:rsidRPr="000F70F6">
            <w:rPr>
              <w:rFonts w:ascii="Times New Roman" w:hAnsi="Times New Roman" w:cs="Times New Roman"/>
              <w:sz w:val="24"/>
              <w:szCs w:val="24"/>
            </w:rPr>
            <w:t xml:space="preserve"> to bookkeeping</w:t>
          </w:r>
          <w:r>
            <w:rPr>
              <w:rFonts w:ascii="Times New Roman" w:hAnsi="Times New Roman" w:cs="Times New Roman"/>
              <w:sz w:val="24"/>
              <w:szCs w:val="24"/>
            </w:rPr>
            <w:t xml:space="preserve"> of a business</w:t>
          </w:r>
          <w:r w:rsidR="00AB0D7A" w:rsidRPr="000F70F6">
            <w:rPr>
              <w:rFonts w:ascii="Times New Roman" w:hAnsi="Times New Roman" w:cs="Times New Roman"/>
              <w:sz w:val="24"/>
              <w:szCs w:val="24"/>
            </w:rPr>
            <w:t>. It also proceeds for developing the standardised approach of “Financial management” that brings stability and other associated growth analysis. The presentation of “accounting ratio analysis” recognised as the systematic measurement approach of accounting mainly that is initiated for evaluation support including identifying the general financial progress also (</w:t>
          </w:r>
          <w:proofErr w:type="spellStart"/>
          <w:r w:rsidR="00AB0D7A" w:rsidRPr="000F70F6">
            <w:rPr>
              <w:rFonts w:ascii="Times New Roman" w:hAnsi="Times New Roman" w:cs="Times New Roman"/>
              <w:color w:val="222222"/>
              <w:sz w:val="24"/>
              <w:szCs w:val="24"/>
              <w:highlight w:val="white"/>
            </w:rPr>
            <w:t>Weikmans</w:t>
          </w:r>
          <w:proofErr w:type="spellEnd"/>
          <w:r w:rsidR="00AB0D7A" w:rsidRPr="000F70F6">
            <w:rPr>
              <w:rFonts w:ascii="Times New Roman" w:hAnsi="Times New Roman" w:cs="Times New Roman"/>
              <w:color w:val="222222"/>
              <w:sz w:val="24"/>
              <w:szCs w:val="24"/>
              <w:highlight w:val="white"/>
            </w:rPr>
            <w:t xml:space="preserve"> and Roberts, 2019)</w:t>
          </w:r>
          <w:r w:rsidR="00AB0D7A" w:rsidRPr="000F70F6">
            <w:rPr>
              <w:rFonts w:ascii="Times New Roman" w:hAnsi="Times New Roman" w:cs="Times New Roman"/>
              <w:sz w:val="24"/>
              <w:szCs w:val="24"/>
            </w:rPr>
            <w:t xml:space="preserve">. It provides the primary maintenance regarding accounting development including strategic processing support as well. It provides some of the potential operating approaches including feasibility growth mainly that can be initiated for standardised growth support on a proper basis. Here, in this report financial processing regarding the analysis for </w:t>
          </w:r>
          <w:r w:rsidR="00AB0D7A" w:rsidRPr="000F70F6">
            <w:rPr>
              <w:rFonts w:ascii="Times New Roman" w:hAnsi="Times New Roman" w:cs="Times New Roman"/>
              <w:b/>
              <w:sz w:val="24"/>
              <w:szCs w:val="24"/>
            </w:rPr>
            <w:t>Hilton Worldwide Holding Inc</w:t>
          </w:r>
          <w:r>
            <w:rPr>
              <w:rFonts w:ascii="Times New Roman" w:hAnsi="Times New Roman" w:cs="Times New Roman"/>
              <w:b/>
              <w:sz w:val="24"/>
              <w:szCs w:val="24"/>
            </w:rPr>
            <w:t xml:space="preserve"> </w:t>
          </w:r>
          <w:r w:rsidR="00AB0D7A" w:rsidRPr="000F70F6">
            <w:rPr>
              <w:rFonts w:ascii="Times New Roman" w:hAnsi="Times New Roman" w:cs="Times New Roman"/>
              <w:sz w:val="24"/>
              <w:szCs w:val="24"/>
            </w:rPr>
            <w:t xml:space="preserve">has been </w:t>
          </w:r>
          <w:r>
            <w:rPr>
              <w:rFonts w:ascii="Times New Roman" w:hAnsi="Times New Roman" w:cs="Times New Roman"/>
              <w:sz w:val="24"/>
              <w:szCs w:val="24"/>
            </w:rPr>
            <w:t>researched.</w:t>
          </w:r>
        </w:p>
        <w:p w14:paraId="7662A9DB" w14:textId="77777777" w:rsidR="00AB0D7A" w:rsidRPr="000F70F6" w:rsidRDefault="00AB0D7A" w:rsidP="003C5252">
          <w:pPr>
            <w:pStyle w:val="Heading1"/>
            <w:rPr>
              <w:color w:val="2E74B5" w:themeColor="accent1" w:themeShade="BF"/>
            </w:rPr>
          </w:pPr>
          <w:bookmarkStart w:id="2" w:name="_Toc104632260"/>
          <w:bookmarkStart w:id="3" w:name="_Toc104801384"/>
          <w:r w:rsidRPr="000F70F6">
            <w:rPr>
              <w:color w:val="2E74B5" w:themeColor="accent1" w:themeShade="BF"/>
            </w:rPr>
            <w:t>Section A: Identify basic financial processing regarding business performances</w:t>
          </w:r>
          <w:bookmarkEnd w:id="2"/>
          <w:bookmarkEnd w:id="3"/>
        </w:p>
        <w:p w14:paraId="421B2707" w14:textId="53A25231"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 xml:space="preserve">With the realisation and processing of present accounting performances of Hilton, the maintenance of relevant accounting evaluation through the processing of “ratio analysis support” is </w:t>
          </w:r>
          <w:r w:rsidR="00863563">
            <w:rPr>
              <w:rFonts w:ascii="Times New Roman" w:hAnsi="Times New Roman" w:cs="Times New Roman"/>
              <w:sz w:val="24"/>
              <w:szCs w:val="24"/>
            </w:rPr>
            <w:t>significant</w:t>
          </w:r>
          <w:r w:rsidRPr="000F70F6">
            <w:rPr>
              <w:rFonts w:ascii="Times New Roman" w:hAnsi="Times New Roman" w:cs="Times New Roman"/>
              <w:sz w:val="24"/>
              <w:szCs w:val="24"/>
            </w:rPr>
            <w:t xml:space="preserve"> (</w:t>
          </w:r>
          <w:proofErr w:type="spellStart"/>
          <w:r w:rsidRPr="000F70F6">
            <w:rPr>
              <w:rFonts w:ascii="Times New Roman" w:hAnsi="Times New Roman" w:cs="Times New Roman"/>
              <w:color w:val="222222"/>
              <w:sz w:val="24"/>
              <w:szCs w:val="24"/>
              <w:highlight w:val="white"/>
            </w:rPr>
            <w:t>Magni</w:t>
          </w:r>
          <w:proofErr w:type="spellEnd"/>
          <w:r w:rsidRPr="000F70F6">
            <w:rPr>
              <w:rFonts w:ascii="Times New Roman" w:hAnsi="Times New Roman" w:cs="Times New Roman"/>
              <w:color w:val="222222"/>
              <w:sz w:val="24"/>
              <w:szCs w:val="24"/>
              <w:highlight w:val="white"/>
            </w:rPr>
            <w:t>, 2020)</w:t>
          </w:r>
          <w:r w:rsidRPr="000F70F6">
            <w:rPr>
              <w:rFonts w:ascii="Times New Roman" w:hAnsi="Times New Roman" w:cs="Times New Roman"/>
              <w:sz w:val="24"/>
              <w:szCs w:val="24"/>
            </w:rPr>
            <w:t>. It is initiated for developing and identifying the operating growth analysis including performance stability reasons that include</w:t>
          </w:r>
          <w:r w:rsidR="00E17D2F">
            <w:rPr>
              <w:rFonts w:ascii="Times New Roman" w:hAnsi="Times New Roman" w:cs="Times New Roman"/>
              <w:sz w:val="24"/>
              <w:szCs w:val="24"/>
            </w:rPr>
            <w:t>:</w:t>
          </w:r>
          <w:r w:rsidRPr="000F70F6">
            <w:rPr>
              <w:rFonts w:ascii="Times New Roman" w:hAnsi="Times New Roman" w:cs="Times New Roman"/>
              <w:sz w:val="24"/>
              <w:szCs w:val="24"/>
            </w:rPr>
            <w:t xml:space="preserve"> </w:t>
          </w:r>
        </w:p>
        <w:p w14:paraId="26B503BF" w14:textId="77777777" w:rsidR="00AB0D7A" w:rsidRPr="000F70F6" w:rsidRDefault="00AB0D7A" w:rsidP="00602B28">
          <w:pPr>
            <w:spacing w:line="360" w:lineRule="auto"/>
            <w:jc w:val="both"/>
            <w:rPr>
              <w:rFonts w:ascii="Times New Roman" w:hAnsi="Times New Roman" w:cs="Times New Roman"/>
              <w:b/>
              <w:sz w:val="24"/>
              <w:szCs w:val="24"/>
            </w:rPr>
          </w:pPr>
          <w:r w:rsidRPr="000F70F6">
            <w:rPr>
              <w:rFonts w:ascii="Times New Roman" w:hAnsi="Times New Roman" w:cs="Times New Roman"/>
              <w:b/>
              <w:sz w:val="24"/>
              <w:szCs w:val="24"/>
            </w:rPr>
            <w:t xml:space="preserve">Presenting liquidity ratios </w:t>
          </w:r>
        </w:p>
        <w:p w14:paraId="095D85D0"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 xml:space="preserve">Current ratio </w:t>
          </w:r>
        </w:p>
        <w:tbl>
          <w:tblPr>
            <w:tblW w:w="8430" w:type="dxa"/>
            <w:tblBorders>
              <w:insideH w:val="nil"/>
              <w:insideV w:val="nil"/>
            </w:tblBorders>
            <w:tblLayout w:type="fixed"/>
            <w:tblLook w:val="0600" w:firstRow="0" w:lastRow="0" w:firstColumn="0" w:lastColumn="0" w:noHBand="1" w:noVBand="1"/>
          </w:tblPr>
          <w:tblGrid>
            <w:gridCol w:w="4875"/>
            <w:gridCol w:w="1740"/>
            <w:gridCol w:w="1815"/>
          </w:tblGrid>
          <w:tr w:rsidR="00AB0D7A" w:rsidRPr="000F70F6" w14:paraId="65A973C2" w14:textId="77777777" w:rsidTr="00AB0D7A">
            <w:trPr>
              <w:trHeight w:val="500"/>
            </w:trPr>
            <w:tc>
              <w:tcPr>
                <w:tcW w:w="48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3E344B7" w14:textId="77777777" w:rsidR="00AB0D7A" w:rsidRPr="000F70F6" w:rsidRDefault="00AB0D7A" w:rsidP="00602B28">
                <w:pPr>
                  <w:widowControl w:val="0"/>
                  <w:spacing w:line="360" w:lineRule="auto"/>
                  <w:jc w:val="both"/>
                  <w:rPr>
                    <w:rFonts w:ascii="Times New Roman" w:hAnsi="Times New Roman" w:cs="Times New Roman"/>
                    <w:b/>
                    <w:sz w:val="24"/>
                    <w:szCs w:val="24"/>
                  </w:rPr>
                </w:pPr>
                <w:r w:rsidRPr="000F70F6">
                  <w:rPr>
                    <w:rFonts w:ascii="Times New Roman" w:hAnsi="Times New Roman" w:cs="Times New Roman"/>
                    <w:b/>
                    <w:sz w:val="24"/>
                    <w:szCs w:val="24"/>
                  </w:rPr>
                  <w:t>Particulars</w:t>
                </w:r>
              </w:p>
            </w:tc>
            <w:tc>
              <w:tcPr>
                <w:tcW w:w="17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0D01D9D" w14:textId="77777777" w:rsidR="00AB0D7A" w:rsidRPr="000F70F6" w:rsidRDefault="00AB0D7A" w:rsidP="00602B28">
                <w:pPr>
                  <w:widowControl w:val="0"/>
                  <w:spacing w:line="360" w:lineRule="auto"/>
                  <w:jc w:val="both"/>
                  <w:rPr>
                    <w:rFonts w:ascii="Times New Roman" w:hAnsi="Times New Roman" w:cs="Times New Roman"/>
                    <w:b/>
                    <w:sz w:val="24"/>
                    <w:szCs w:val="24"/>
                  </w:rPr>
                </w:pPr>
                <w:r w:rsidRPr="000F70F6">
                  <w:rPr>
                    <w:rFonts w:ascii="Times New Roman" w:hAnsi="Times New Roman" w:cs="Times New Roman"/>
                    <w:b/>
                    <w:sz w:val="24"/>
                    <w:szCs w:val="24"/>
                  </w:rPr>
                  <w:t>2020</w:t>
                </w:r>
              </w:p>
            </w:tc>
            <w:tc>
              <w:tcPr>
                <w:tcW w:w="18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B0CD08C" w14:textId="77777777" w:rsidR="00AB0D7A" w:rsidRPr="000F70F6" w:rsidRDefault="00AB0D7A" w:rsidP="00602B28">
                <w:pPr>
                  <w:widowControl w:val="0"/>
                  <w:spacing w:line="360" w:lineRule="auto"/>
                  <w:jc w:val="both"/>
                  <w:rPr>
                    <w:rFonts w:ascii="Times New Roman" w:hAnsi="Times New Roman" w:cs="Times New Roman"/>
                    <w:b/>
                    <w:sz w:val="24"/>
                    <w:szCs w:val="24"/>
                  </w:rPr>
                </w:pPr>
                <w:r w:rsidRPr="000F70F6">
                  <w:rPr>
                    <w:rFonts w:ascii="Times New Roman" w:hAnsi="Times New Roman" w:cs="Times New Roman"/>
                    <w:b/>
                    <w:sz w:val="24"/>
                    <w:szCs w:val="24"/>
                  </w:rPr>
                  <w:t>2019</w:t>
                </w:r>
              </w:p>
            </w:tc>
          </w:tr>
          <w:tr w:rsidR="00AB0D7A" w:rsidRPr="000F70F6" w14:paraId="334CA314" w14:textId="77777777" w:rsidTr="00AB0D7A">
            <w:trPr>
              <w:trHeight w:val="500"/>
            </w:trPr>
            <w:tc>
              <w:tcPr>
                <w:tcW w:w="48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0CABEB5"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 xml:space="preserve">Current assets </w:t>
                </w:r>
              </w:p>
            </w:tc>
            <w:tc>
              <w:tcPr>
                <w:tcW w:w="17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D02E870"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4202000</w:t>
                </w:r>
              </w:p>
            </w:tc>
            <w:tc>
              <w:tcPr>
                <w:tcW w:w="18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39C03DB"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2093000</w:t>
                </w:r>
              </w:p>
            </w:tc>
          </w:tr>
          <w:tr w:rsidR="00AB0D7A" w:rsidRPr="000F70F6" w14:paraId="215665BC" w14:textId="77777777" w:rsidTr="00AB0D7A">
            <w:trPr>
              <w:trHeight w:val="500"/>
            </w:trPr>
            <w:tc>
              <w:tcPr>
                <w:tcW w:w="48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E190ACA"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 xml:space="preserve">Current liabilities </w:t>
                </w:r>
              </w:p>
            </w:tc>
            <w:tc>
              <w:tcPr>
                <w:tcW w:w="17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1BF96AA"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2431000</w:t>
                </w:r>
              </w:p>
            </w:tc>
            <w:tc>
              <w:tcPr>
                <w:tcW w:w="18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E03C2D5"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2871000</w:t>
                </w:r>
              </w:p>
            </w:tc>
          </w:tr>
          <w:tr w:rsidR="00AB0D7A" w:rsidRPr="000F70F6" w14:paraId="206A2F49" w14:textId="77777777" w:rsidTr="00AB0D7A">
            <w:trPr>
              <w:trHeight w:val="500"/>
            </w:trPr>
            <w:tc>
              <w:tcPr>
                <w:tcW w:w="48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A89969F"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 xml:space="preserve">Ratios </w:t>
                </w:r>
              </w:p>
            </w:tc>
            <w:tc>
              <w:tcPr>
                <w:tcW w:w="17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B640383"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1.73</w:t>
                </w:r>
              </w:p>
            </w:tc>
            <w:tc>
              <w:tcPr>
                <w:tcW w:w="18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6E7A9CF"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0.73</w:t>
                </w:r>
              </w:p>
            </w:tc>
          </w:tr>
        </w:tbl>
        <w:p w14:paraId="24A4C921" w14:textId="77777777" w:rsidR="00AB0D7A" w:rsidRPr="000F70F6" w:rsidRDefault="00AB0D7A" w:rsidP="00602B28">
          <w:pPr>
            <w:spacing w:line="360" w:lineRule="auto"/>
            <w:jc w:val="both"/>
            <w:rPr>
              <w:rFonts w:ascii="Times New Roman" w:hAnsi="Times New Roman" w:cs="Times New Roman"/>
              <w:sz w:val="24"/>
              <w:szCs w:val="24"/>
            </w:rPr>
          </w:pPr>
        </w:p>
        <w:p w14:paraId="60C4C703"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b/>
              <w:sz w:val="24"/>
              <w:szCs w:val="24"/>
            </w:rPr>
            <w:t xml:space="preserve">“Definition”: </w:t>
          </w:r>
          <w:r w:rsidRPr="000F70F6">
            <w:rPr>
              <w:rFonts w:ascii="Times New Roman" w:hAnsi="Times New Roman" w:cs="Times New Roman"/>
              <w:sz w:val="24"/>
              <w:szCs w:val="24"/>
            </w:rPr>
            <w:t xml:space="preserve">Initiated for identifying the relation regarding current assets and current liability approach with processing of such fundamental initiatives can be managed. </w:t>
          </w:r>
        </w:p>
        <w:p w14:paraId="781397A0"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b/>
              <w:sz w:val="24"/>
              <w:szCs w:val="24"/>
            </w:rPr>
            <w:t xml:space="preserve">“Company’s performances”: </w:t>
          </w:r>
          <w:proofErr w:type="gramStart"/>
          <w:r w:rsidRPr="000F70F6">
            <w:rPr>
              <w:rFonts w:ascii="Times New Roman" w:hAnsi="Times New Roman" w:cs="Times New Roman"/>
              <w:sz w:val="24"/>
              <w:szCs w:val="24"/>
            </w:rPr>
            <w:t>Generally</w:t>
          </w:r>
          <w:proofErr w:type="gramEnd"/>
          <w:r w:rsidRPr="000F70F6">
            <w:rPr>
              <w:rFonts w:ascii="Times New Roman" w:hAnsi="Times New Roman" w:cs="Times New Roman"/>
              <w:sz w:val="24"/>
              <w:szCs w:val="24"/>
            </w:rPr>
            <w:t xml:space="preserve"> an increasing approach position of present business operation is noticed, indicating the formulating development structure regarding financial </w:t>
          </w:r>
          <w:r w:rsidRPr="000F70F6">
            <w:rPr>
              <w:rFonts w:ascii="Times New Roman" w:hAnsi="Times New Roman" w:cs="Times New Roman"/>
              <w:sz w:val="24"/>
              <w:szCs w:val="24"/>
            </w:rPr>
            <w:lastRenderedPageBreak/>
            <w:t>position of business in respect of operating formulation mainly (</w:t>
          </w:r>
          <w:r w:rsidRPr="000F70F6">
            <w:rPr>
              <w:rFonts w:ascii="Times New Roman" w:hAnsi="Times New Roman" w:cs="Times New Roman"/>
              <w:sz w:val="24"/>
              <w:szCs w:val="24"/>
              <w:highlight w:val="white"/>
            </w:rPr>
            <w:t>Uk.finance.yahoo.com, 2022)</w:t>
          </w:r>
          <w:r w:rsidRPr="000F70F6">
            <w:rPr>
              <w:rFonts w:ascii="Times New Roman" w:hAnsi="Times New Roman" w:cs="Times New Roman"/>
              <w:sz w:val="24"/>
              <w:szCs w:val="24"/>
            </w:rPr>
            <w:t xml:space="preserve">. </w:t>
          </w:r>
        </w:p>
        <w:p w14:paraId="22ACD7A7"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b/>
              <w:sz w:val="24"/>
              <w:szCs w:val="24"/>
            </w:rPr>
            <w:t xml:space="preserve">Yearly performances: </w:t>
          </w:r>
          <w:r w:rsidRPr="000F70F6">
            <w:rPr>
              <w:rFonts w:ascii="Times New Roman" w:hAnsi="Times New Roman" w:cs="Times New Roman"/>
              <w:sz w:val="24"/>
              <w:szCs w:val="24"/>
            </w:rPr>
            <w:t xml:space="preserve">During the period of 2019 the ratio resulted in 0.73, while in 2020 it increased to 1.73 respectively along with a sustainable financial approach. </w:t>
          </w:r>
        </w:p>
        <w:p w14:paraId="5BD9E554"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b/>
              <w:sz w:val="24"/>
              <w:szCs w:val="24"/>
            </w:rPr>
            <w:t xml:space="preserve">Reasons: </w:t>
          </w:r>
          <w:r w:rsidRPr="000F70F6">
            <w:rPr>
              <w:rFonts w:ascii="Times New Roman" w:hAnsi="Times New Roman" w:cs="Times New Roman"/>
              <w:sz w:val="24"/>
              <w:szCs w:val="24"/>
            </w:rPr>
            <w:t xml:space="preserve">A progressive approach including formulation structure regarding supply chain approach of the business provides a systematic development regarding present financial position. Including such the volume of customer engagement also provides positive support for financial expansions of business. </w:t>
          </w:r>
        </w:p>
        <w:p w14:paraId="513FA22E"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b/>
              <w:sz w:val="24"/>
              <w:szCs w:val="24"/>
            </w:rPr>
            <w:t xml:space="preserve">Development strategy: </w:t>
          </w:r>
          <w:r w:rsidRPr="000F70F6">
            <w:rPr>
              <w:rFonts w:ascii="Times New Roman" w:hAnsi="Times New Roman" w:cs="Times New Roman"/>
              <w:sz w:val="24"/>
              <w:szCs w:val="24"/>
            </w:rPr>
            <w:t>In addition to general operating development, initiate basic approach of operating growth including development in business liquidity support is necessary for financial structural support in future (</w:t>
          </w:r>
          <w:r w:rsidRPr="000F70F6">
            <w:rPr>
              <w:rFonts w:ascii="Times New Roman" w:hAnsi="Times New Roman" w:cs="Times New Roman"/>
              <w:color w:val="222222"/>
              <w:sz w:val="24"/>
              <w:szCs w:val="24"/>
              <w:highlight w:val="white"/>
            </w:rPr>
            <w:t>Cockcroft and Russell, 2018)</w:t>
          </w:r>
          <w:r w:rsidRPr="000F70F6">
            <w:rPr>
              <w:rFonts w:ascii="Times New Roman" w:hAnsi="Times New Roman" w:cs="Times New Roman"/>
              <w:sz w:val="24"/>
              <w:szCs w:val="24"/>
            </w:rPr>
            <w:t xml:space="preserve">. </w:t>
          </w:r>
        </w:p>
        <w:p w14:paraId="113D9050" w14:textId="77777777" w:rsidR="00AB0D7A" w:rsidRPr="000F70F6" w:rsidRDefault="00AB0D7A" w:rsidP="00602B28">
          <w:pPr>
            <w:spacing w:line="360" w:lineRule="auto"/>
            <w:jc w:val="both"/>
            <w:rPr>
              <w:rFonts w:ascii="Times New Roman" w:eastAsia="Arial" w:hAnsi="Times New Roman" w:cs="Times New Roman"/>
              <w:sz w:val="24"/>
              <w:szCs w:val="24"/>
            </w:rPr>
          </w:pPr>
        </w:p>
        <w:p w14:paraId="01D5F920" w14:textId="77777777" w:rsidR="00AB0D7A" w:rsidRPr="000F70F6" w:rsidRDefault="00AB0D7A" w:rsidP="00602B28">
          <w:pPr>
            <w:spacing w:line="360" w:lineRule="auto"/>
            <w:jc w:val="both"/>
            <w:rPr>
              <w:rFonts w:ascii="Times New Roman" w:eastAsia="Times New Roman" w:hAnsi="Times New Roman" w:cs="Times New Roman"/>
              <w:sz w:val="24"/>
              <w:szCs w:val="24"/>
            </w:rPr>
          </w:pPr>
          <w:r w:rsidRPr="000F70F6">
            <w:rPr>
              <w:rFonts w:ascii="Times New Roman" w:hAnsi="Times New Roman" w:cs="Times New Roman"/>
              <w:sz w:val="24"/>
              <w:szCs w:val="24"/>
            </w:rPr>
            <w:t xml:space="preserve">Acid-test or quick ratio </w:t>
          </w:r>
        </w:p>
        <w:tbl>
          <w:tblPr>
            <w:tblW w:w="8400" w:type="dxa"/>
            <w:tblBorders>
              <w:insideH w:val="nil"/>
              <w:insideV w:val="nil"/>
            </w:tblBorders>
            <w:tblLayout w:type="fixed"/>
            <w:tblLook w:val="0600" w:firstRow="0" w:lastRow="0" w:firstColumn="0" w:lastColumn="0" w:noHBand="1" w:noVBand="1"/>
          </w:tblPr>
          <w:tblGrid>
            <w:gridCol w:w="4755"/>
            <w:gridCol w:w="1905"/>
            <w:gridCol w:w="1740"/>
          </w:tblGrid>
          <w:tr w:rsidR="00AB0D7A" w:rsidRPr="000F70F6" w14:paraId="73C1181D" w14:textId="77777777" w:rsidTr="00AB0D7A">
            <w:trPr>
              <w:trHeight w:val="500"/>
            </w:trPr>
            <w:tc>
              <w:tcPr>
                <w:tcW w:w="47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8C2EC9D" w14:textId="77777777" w:rsidR="00AB0D7A" w:rsidRPr="000F70F6" w:rsidRDefault="00AB0D7A" w:rsidP="00602B28">
                <w:pPr>
                  <w:widowControl w:val="0"/>
                  <w:spacing w:line="360" w:lineRule="auto"/>
                  <w:jc w:val="both"/>
                  <w:rPr>
                    <w:rFonts w:ascii="Times New Roman" w:hAnsi="Times New Roman" w:cs="Times New Roman"/>
                    <w:b/>
                    <w:sz w:val="24"/>
                    <w:szCs w:val="24"/>
                  </w:rPr>
                </w:pPr>
                <w:r w:rsidRPr="000F70F6">
                  <w:rPr>
                    <w:rFonts w:ascii="Times New Roman" w:hAnsi="Times New Roman" w:cs="Times New Roman"/>
                    <w:b/>
                    <w:sz w:val="24"/>
                    <w:szCs w:val="24"/>
                  </w:rPr>
                  <w:t xml:space="preserve">Particulars </w:t>
                </w:r>
              </w:p>
            </w:tc>
            <w:tc>
              <w:tcPr>
                <w:tcW w:w="19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8FBE80E" w14:textId="77777777" w:rsidR="00AB0D7A" w:rsidRPr="000F70F6" w:rsidRDefault="00AB0D7A" w:rsidP="00602B28">
                <w:pPr>
                  <w:widowControl w:val="0"/>
                  <w:spacing w:line="360" w:lineRule="auto"/>
                  <w:jc w:val="both"/>
                  <w:rPr>
                    <w:rFonts w:ascii="Times New Roman" w:hAnsi="Times New Roman" w:cs="Times New Roman"/>
                    <w:b/>
                    <w:sz w:val="24"/>
                    <w:szCs w:val="24"/>
                  </w:rPr>
                </w:pPr>
                <w:r w:rsidRPr="000F70F6">
                  <w:rPr>
                    <w:rFonts w:ascii="Times New Roman" w:hAnsi="Times New Roman" w:cs="Times New Roman"/>
                    <w:b/>
                    <w:sz w:val="24"/>
                    <w:szCs w:val="24"/>
                  </w:rPr>
                  <w:t>2020</w:t>
                </w:r>
              </w:p>
            </w:tc>
            <w:tc>
              <w:tcPr>
                <w:tcW w:w="17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3022137" w14:textId="77777777" w:rsidR="00AB0D7A" w:rsidRPr="000F70F6" w:rsidRDefault="00AB0D7A" w:rsidP="00602B28">
                <w:pPr>
                  <w:widowControl w:val="0"/>
                  <w:spacing w:line="360" w:lineRule="auto"/>
                  <w:jc w:val="both"/>
                  <w:rPr>
                    <w:rFonts w:ascii="Times New Roman" w:hAnsi="Times New Roman" w:cs="Times New Roman"/>
                    <w:b/>
                    <w:sz w:val="24"/>
                    <w:szCs w:val="24"/>
                  </w:rPr>
                </w:pPr>
                <w:r w:rsidRPr="000F70F6">
                  <w:rPr>
                    <w:rFonts w:ascii="Times New Roman" w:hAnsi="Times New Roman" w:cs="Times New Roman"/>
                    <w:b/>
                    <w:sz w:val="24"/>
                    <w:szCs w:val="24"/>
                  </w:rPr>
                  <w:t>2019</w:t>
                </w:r>
              </w:p>
            </w:tc>
          </w:tr>
          <w:tr w:rsidR="00AB0D7A" w:rsidRPr="000F70F6" w14:paraId="03C8A42A" w14:textId="77777777" w:rsidTr="00AB0D7A">
            <w:trPr>
              <w:trHeight w:val="500"/>
            </w:trPr>
            <w:tc>
              <w:tcPr>
                <w:tcW w:w="47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1C70845"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 xml:space="preserve">Current assets - Inventory </w:t>
                </w:r>
              </w:p>
            </w:tc>
            <w:tc>
              <w:tcPr>
                <w:tcW w:w="1905" w:type="dxa"/>
                <w:tcBorders>
                  <w:top w:val="single" w:sz="4" w:space="0" w:color="000000"/>
                  <w:left w:val="single" w:sz="4" w:space="0" w:color="000000"/>
                  <w:bottom w:val="single" w:sz="4" w:space="0" w:color="808080"/>
                  <w:right w:val="single" w:sz="4" w:space="0" w:color="808080"/>
                </w:tcBorders>
                <w:tcMar>
                  <w:top w:w="100" w:type="dxa"/>
                  <w:left w:w="100" w:type="dxa"/>
                  <w:bottom w:w="100" w:type="dxa"/>
                  <w:right w:w="100" w:type="dxa"/>
                </w:tcMar>
                <w:hideMark/>
              </w:tcPr>
              <w:p w14:paraId="5B952318"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3500000</w:t>
                </w:r>
              </w:p>
            </w:tc>
            <w:tc>
              <w:tcPr>
                <w:tcW w:w="1740" w:type="dxa"/>
                <w:tcBorders>
                  <w:top w:val="single" w:sz="4" w:space="0" w:color="000000"/>
                  <w:left w:val="single" w:sz="4" w:space="0" w:color="808080"/>
                  <w:bottom w:val="single" w:sz="4" w:space="0" w:color="808080"/>
                  <w:right w:val="single" w:sz="4" w:space="0" w:color="808080"/>
                </w:tcBorders>
                <w:tcMar>
                  <w:top w:w="100" w:type="dxa"/>
                  <w:left w:w="100" w:type="dxa"/>
                  <w:bottom w:w="100" w:type="dxa"/>
                  <w:right w:w="100" w:type="dxa"/>
                </w:tcMar>
                <w:hideMark/>
              </w:tcPr>
              <w:p w14:paraId="03703C5E"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1535000</w:t>
                </w:r>
              </w:p>
            </w:tc>
          </w:tr>
          <w:tr w:rsidR="00AB0D7A" w:rsidRPr="000F70F6" w14:paraId="752D0BE8" w14:textId="77777777" w:rsidTr="00AB0D7A">
            <w:trPr>
              <w:trHeight w:val="500"/>
            </w:trPr>
            <w:tc>
              <w:tcPr>
                <w:tcW w:w="47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34E93B5"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 xml:space="preserve">Current liabilities </w:t>
                </w:r>
              </w:p>
            </w:tc>
            <w:tc>
              <w:tcPr>
                <w:tcW w:w="1905" w:type="dxa"/>
                <w:tcBorders>
                  <w:top w:val="single" w:sz="4" w:space="0" w:color="808080"/>
                  <w:left w:val="single" w:sz="4" w:space="0" w:color="000000"/>
                  <w:bottom w:val="single" w:sz="4" w:space="0" w:color="808080"/>
                  <w:right w:val="single" w:sz="4" w:space="0" w:color="808080"/>
                </w:tcBorders>
                <w:tcMar>
                  <w:top w:w="100" w:type="dxa"/>
                  <w:left w:w="100" w:type="dxa"/>
                  <w:bottom w:w="100" w:type="dxa"/>
                  <w:right w:w="100" w:type="dxa"/>
                </w:tcMar>
                <w:hideMark/>
              </w:tcPr>
              <w:p w14:paraId="3885664A"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2431000</w:t>
                </w:r>
              </w:p>
            </w:tc>
            <w:tc>
              <w:tcPr>
                <w:tcW w:w="1740" w:type="dxa"/>
                <w:tcBorders>
                  <w:top w:val="single" w:sz="4" w:space="0" w:color="808080"/>
                  <w:left w:val="single" w:sz="4" w:space="0" w:color="808080"/>
                  <w:bottom w:val="single" w:sz="4" w:space="0" w:color="808080"/>
                  <w:right w:val="single" w:sz="4" w:space="0" w:color="808080"/>
                </w:tcBorders>
                <w:tcMar>
                  <w:top w:w="100" w:type="dxa"/>
                  <w:left w:w="100" w:type="dxa"/>
                  <w:bottom w:w="100" w:type="dxa"/>
                  <w:right w:w="100" w:type="dxa"/>
                </w:tcMar>
                <w:hideMark/>
              </w:tcPr>
              <w:p w14:paraId="70B1EF0F"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2871000</w:t>
                </w:r>
              </w:p>
            </w:tc>
          </w:tr>
          <w:tr w:rsidR="00AB0D7A" w:rsidRPr="000F70F6" w14:paraId="5A08BCEC" w14:textId="77777777" w:rsidTr="00AB0D7A">
            <w:trPr>
              <w:trHeight w:val="500"/>
            </w:trPr>
            <w:tc>
              <w:tcPr>
                <w:tcW w:w="47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C2EAE0D"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 xml:space="preserve">Ratios </w:t>
                </w:r>
              </w:p>
            </w:tc>
            <w:tc>
              <w:tcPr>
                <w:tcW w:w="1905" w:type="dxa"/>
                <w:tcBorders>
                  <w:top w:val="single" w:sz="4" w:space="0" w:color="808080"/>
                  <w:left w:val="single" w:sz="4" w:space="0" w:color="000000"/>
                  <w:bottom w:val="single" w:sz="4" w:space="0" w:color="808080"/>
                  <w:right w:val="single" w:sz="4" w:space="0" w:color="808080"/>
                </w:tcBorders>
                <w:tcMar>
                  <w:top w:w="100" w:type="dxa"/>
                  <w:left w:w="100" w:type="dxa"/>
                  <w:bottom w:w="100" w:type="dxa"/>
                  <w:right w:w="100" w:type="dxa"/>
                </w:tcMar>
                <w:hideMark/>
              </w:tcPr>
              <w:p w14:paraId="05D822C9"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1.44</w:t>
                </w:r>
              </w:p>
            </w:tc>
            <w:tc>
              <w:tcPr>
                <w:tcW w:w="1740" w:type="dxa"/>
                <w:tcBorders>
                  <w:top w:val="single" w:sz="4" w:space="0" w:color="808080"/>
                  <w:left w:val="single" w:sz="4" w:space="0" w:color="808080"/>
                  <w:bottom w:val="single" w:sz="4" w:space="0" w:color="808080"/>
                  <w:right w:val="single" w:sz="4" w:space="0" w:color="808080"/>
                </w:tcBorders>
                <w:tcMar>
                  <w:top w:w="100" w:type="dxa"/>
                  <w:left w:w="100" w:type="dxa"/>
                  <w:bottom w:w="100" w:type="dxa"/>
                  <w:right w:w="100" w:type="dxa"/>
                </w:tcMar>
                <w:hideMark/>
              </w:tcPr>
              <w:p w14:paraId="4FBB2860"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0.53</w:t>
                </w:r>
              </w:p>
            </w:tc>
          </w:tr>
        </w:tbl>
        <w:p w14:paraId="1C447F9B" w14:textId="77777777" w:rsidR="00AB0D7A" w:rsidRPr="000F70F6" w:rsidRDefault="00AB0D7A" w:rsidP="00602B28">
          <w:pPr>
            <w:spacing w:line="360" w:lineRule="auto"/>
            <w:jc w:val="both"/>
            <w:rPr>
              <w:rFonts w:ascii="Times New Roman" w:hAnsi="Times New Roman" w:cs="Times New Roman"/>
              <w:sz w:val="24"/>
              <w:szCs w:val="24"/>
            </w:rPr>
          </w:pPr>
        </w:p>
        <w:p w14:paraId="0AE016EF"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b/>
              <w:sz w:val="24"/>
              <w:szCs w:val="24"/>
            </w:rPr>
            <w:t xml:space="preserve">“Definition”: </w:t>
          </w:r>
          <w:r w:rsidRPr="000F70F6">
            <w:rPr>
              <w:rFonts w:ascii="Times New Roman" w:hAnsi="Times New Roman" w:cs="Times New Roman"/>
              <w:sz w:val="24"/>
              <w:szCs w:val="24"/>
            </w:rPr>
            <w:t>Applied for representing the liquidity formulation apart from the inventory engagement that brings the structural processing support in an effective order with recognising the relation with current liabilities (</w:t>
          </w:r>
          <w:proofErr w:type="spellStart"/>
          <w:r w:rsidRPr="000F70F6">
            <w:rPr>
              <w:rFonts w:ascii="Times New Roman" w:hAnsi="Times New Roman" w:cs="Times New Roman"/>
              <w:color w:val="222222"/>
              <w:sz w:val="24"/>
              <w:szCs w:val="24"/>
              <w:highlight w:val="white"/>
            </w:rPr>
            <w:t>Battiston</w:t>
          </w:r>
          <w:r w:rsidRPr="000F70F6">
            <w:rPr>
              <w:rFonts w:ascii="Times New Roman" w:hAnsi="Times New Roman" w:cs="Times New Roman"/>
              <w:i/>
              <w:color w:val="222222"/>
              <w:sz w:val="24"/>
              <w:szCs w:val="24"/>
              <w:highlight w:val="white"/>
            </w:rPr>
            <w:t>et</w:t>
          </w:r>
          <w:proofErr w:type="spellEnd"/>
          <w:r w:rsidRPr="000F70F6">
            <w:rPr>
              <w:rFonts w:ascii="Times New Roman" w:hAnsi="Times New Roman" w:cs="Times New Roman"/>
              <w:i/>
              <w:color w:val="222222"/>
              <w:sz w:val="24"/>
              <w:szCs w:val="24"/>
              <w:highlight w:val="white"/>
            </w:rPr>
            <w:t xml:space="preserve"> al.,</w:t>
          </w:r>
          <w:r w:rsidRPr="000F70F6">
            <w:rPr>
              <w:rFonts w:ascii="Times New Roman" w:hAnsi="Times New Roman" w:cs="Times New Roman"/>
              <w:color w:val="222222"/>
              <w:sz w:val="24"/>
              <w:szCs w:val="24"/>
              <w:highlight w:val="white"/>
            </w:rPr>
            <w:t xml:space="preserve"> 2021)</w:t>
          </w:r>
          <w:r w:rsidRPr="000F70F6">
            <w:rPr>
              <w:rFonts w:ascii="Times New Roman" w:hAnsi="Times New Roman" w:cs="Times New Roman"/>
              <w:sz w:val="24"/>
              <w:szCs w:val="24"/>
            </w:rPr>
            <w:t xml:space="preserve">. </w:t>
          </w:r>
        </w:p>
        <w:p w14:paraId="51DC7616"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b/>
              <w:sz w:val="24"/>
              <w:szCs w:val="24"/>
            </w:rPr>
            <w:t xml:space="preserve">“Company’s performances”: </w:t>
          </w:r>
          <w:r w:rsidRPr="000F70F6">
            <w:rPr>
              <w:rFonts w:ascii="Times New Roman" w:hAnsi="Times New Roman" w:cs="Times New Roman"/>
              <w:sz w:val="24"/>
              <w:szCs w:val="24"/>
            </w:rPr>
            <w:t xml:space="preserve">Compared to the previous position, a significant financial development has been initiated in the present period that indicates the feasibility approach of the business on an effective basis. </w:t>
          </w:r>
        </w:p>
        <w:p w14:paraId="11AB0ABA"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b/>
              <w:sz w:val="24"/>
              <w:szCs w:val="24"/>
            </w:rPr>
            <w:t xml:space="preserve">“Yearly performances”: </w:t>
          </w:r>
          <w:r w:rsidRPr="000F70F6">
            <w:rPr>
              <w:rFonts w:ascii="Times New Roman" w:hAnsi="Times New Roman" w:cs="Times New Roman"/>
              <w:sz w:val="24"/>
              <w:szCs w:val="24"/>
            </w:rPr>
            <w:t xml:space="preserve">During the period of 2019 the ratio resulted in 0.53, while in 2020 it increased to 1.44 respectively along with a sustainable financial approach. </w:t>
          </w:r>
        </w:p>
        <w:p w14:paraId="69C74827"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b/>
              <w:sz w:val="24"/>
              <w:szCs w:val="24"/>
            </w:rPr>
            <w:lastRenderedPageBreak/>
            <w:t xml:space="preserve">“Reasons”: </w:t>
          </w:r>
          <w:r w:rsidRPr="000F70F6">
            <w:rPr>
              <w:rFonts w:ascii="Times New Roman" w:hAnsi="Times New Roman" w:cs="Times New Roman"/>
              <w:sz w:val="24"/>
              <w:szCs w:val="24"/>
            </w:rPr>
            <w:t xml:space="preserve">A positive expansions regarding operating development including performance initiatives bring this development approach mainly with maintenance of which progressive approach of the business supportively initiated as well. </w:t>
          </w:r>
        </w:p>
        <w:p w14:paraId="1D27DE0E" w14:textId="77777777" w:rsidR="00AB0D7A" w:rsidRPr="000F70F6" w:rsidRDefault="00AB0D7A" w:rsidP="00602B28">
          <w:pPr>
            <w:spacing w:line="360" w:lineRule="auto"/>
            <w:jc w:val="both"/>
            <w:rPr>
              <w:rFonts w:ascii="Times New Roman" w:hAnsi="Times New Roman" w:cs="Times New Roman"/>
              <w:b/>
              <w:sz w:val="24"/>
              <w:szCs w:val="24"/>
            </w:rPr>
          </w:pPr>
          <w:r w:rsidRPr="000F70F6">
            <w:rPr>
              <w:rFonts w:ascii="Times New Roman" w:hAnsi="Times New Roman" w:cs="Times New Roman"/>
              <w:b/>
              <w:sz w:val="24"/>
              <w:szCs w:val="24"/>
            </w:rPr>
            <w:t xml:space="preserve">“Development strategy”: </w:t>
          </w:r>
          <w:r w:rsidRPr="000F70F6">
            <w:rPr>
              <w:rFonts w:ascii="Times New Roman" w:hAnsi="Times New Roman" w:cs="Times New Roman"/>
              <w:sz w:val="24"/>
              <w:szCs w:val="24"/>
            </w:rPr>
            <w:t xml:space="preserve">Depending on present operating approach systematic formulation including credit policy support is needed to be initiated in an effective basis so that the operating standardised processing of the business can effectively be initiated. </w:t>
          </w:r>
        </w:p>
        <w:p w14:paraId="1D7E896B" w14:textId="77777777" w:rsidR="00AB0D7A" w:rsidRPr="000F70F6" w:rsidRDefault="00AB0D7A" w:rsidP="00602B28">
          <w:pPr>
            <w:spacing w:line="360" w:lineRule="auto"/>
            <w:jc w:val="both"/>
            <w:rPr>
              <w:rFonts w:ascii="Times New Roman" w:hAnsi="Times New Roman" w:cs="Times New Roman"/>
              <w:b/>
              <w:sz w:val="24"/>
              <w:szCs w:val="24"/>
            </w:rPr>
          </w:pPr>
          <w:r w:rsidRPr="000F70F6">
            <w:rPr>
              <w:rFonts w:ascii="Times New Roman" w:hAnsi="Times New Roman" w:cs="Times New Roman"/>
              <w:b/>
              <w:sz w:val="24"/>
              <w:szCs w:val="24"/>
            </w:rPr>
            <w:t xml:space="preserve">Presenting Financial leverage ratios </w:t>
          </w:r>
        </w:p>
        <w:p w14:paraId="1A6A888B"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 xml:space="preserve">Debt to equity ratio </w:t>
          </w:r>
        </w:p>
        <w:tbl>
          <w:tblPr>
            <w:tblW w:w="8415" w:type="dxa"/>
            <w:tblBorders>
              <w:insideH w:val="nil"/>
              <w:insideV w:val="nil"/>
            </w:tblBorders>
            <w:tblLayout w:type="fixed"/>
            <w:tblLook w:val="0600" w:firstRow="0" w:lastRow="0" w:firstColumn="0" w:lastColumn="0" w:noHBand="1" w:noVBand="1"/>
          </w:tblPr>
          <w:tblGrid>
            <w:gridCol w:w="4710"/>
            <w:gridCol w:w="1935"/>
            <w:gridCol w:w="1770"/>
          </w:tblGrid>
          <w:tr w:rsidR="00AB0D7A" w:rsidRPr="000F70F6" w14:paraId="37437AC8" w14:textId="77777777" w:rsidTr="00AB0D7A">
            <w:trPr>
              <w:trHeight w:val="500"/>
            </w:trPr>
            <w:tc>
              <w:tcPr>
                <w:tcW w:w="47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404F898" w14:textId="77777777" w:rsidR="00AB0D7A" w:rsidRPr="000F70F6" w:rsidRDefault="00AB0D7A" w:rsidP="00602B28">
                <w:pPr>
                  <w:widowControl w:val="0"/>
                  <w:spacing w:line="360" w:lineRule="auto"/>
                  <w:jc w:val="both"/>
                  <w:rPr>
                    <w:rFonts w:ascii="Times New Roman" w:hAnsi="Times New Roman" w:cs="Times New Roman"/>
                    <w:b/>
                    <w:sz w:val="24"/>
                    <w:szCs w:val="24"/>
                  </w:rPr>
                </w:pPr>
                <w:r w:rsidRPr="000F70F6">
                  <w:rPr>
                    <w:rFonts w:ascii="Times New Roman" w:hAnsi="Times New Roman" w:cs="Times New Roman"/>
                    <w:b/>
                    <w:sz w:val="24"/>
                    <w:szCs w:val="24"/>
                  </w:rPr>
                  <w:t xml:space="preserve">Particulars </w:t>
                </w:r>
              </w:p>
            </w:tc>
            <w:tc>
              <w:tcPr>
                <w:tcW w:w="19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DC18642" w14:textId="77777777" w:rsidR="00AB0D7A" w:rsidRPr="000F70F6" w:rsidRDefault="00AB0D7A" w:rsidP="00602B28">
                <w:pPr>
                  <w:widowControl w:val="0"/>
                  <w:spacing w:line="360" w:lineRule="auto"/>
                  <w:jc w:val="both"/>
                  <w:rPr>
                    <w:rFonts w:ascii="Times New Roman" w:hAnsi="Times New Roman" w:cs="Times New Roman"/>
                    <w:b/>
                    <w:sz w:val="24"/>
                    <w:szCs w:val="24"/>
                  </w:rPr>
                </w:pPr>
                <w:r w:rsidRPr="000F70F6">
                  <w:rPr>
                    <w:rFonts w:ascii="Times New Roman" w:hAnsi="Times New Roman" w:cs="Times New Roman"/>
                    <w:b/>
                    <w:sz w:val="24"/>
                    <w:szCs w:val="24"/>
                  </w:rPr>
                  <w:t>2020</w:t>
                </w:r>
              </w:p>
            </w:tc>
            <w:tc>
              <w:tcPr>
                <w:tcW w:w="17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4485DCF" w14:textId="77777777" w:rsidR="00AB0D7A" w:rsidRPr="000F70F6" w:rsidRDefault="00AB0D7A" w:rsidP="00602B28">
                <w:pPr>
                  <w:widowControl w:val="0"/>
                  <w:spacing w:line="360" w:lineRule="auto"/>
                  <w:jc w:val="both"/>
                  <w:rPr>
                    <w:rFonts w:ascii="Times New Roman" w:hAnsi="Times New Roman" w:cs="Times New Roman"/>
                    <w:b/>
                    <w:sz w:val="24"/>
                    <w:szCs w:val="24"/>
                  </w:rPr>
                </w:pPr>
                <w:r w:rsidRPr="000F70F6">
                  <w:rPr>
                    <w:rFonts w:ascii="Times New Roman" w:hAnsi="Times New Roman" w:cs="Times New Roman"/>
                    <w:b/>
                    <w:sz w:val="24"/>
                    <w:szCs w:val="24"/>
                  </w:rPr>
                  <w:t>2019</w:t>
                </w:r>
              </w:p>
            </w:tc>
          </w:tr>
          <w:tr w:rsidR="00AB0D7A" w:rsidRPr="000F70F6" w14:paraId="49F061FD" w14:textId="77777777" w:rsidTr="00AB0D7A">
            <w:trPr>
              <w:trHeight w:val="500"/>
            </w:trPr>
            <w:tc>
              <w:tcPr>
                <w:tcW w:w="47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2CA276B"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 xml:space="preserve">Debt capital </w:t>
                </w:r>
              </w:p>
            </w:tc>
            <w:tc>
              <w:tcPr>
                <w:tcW w:w="19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05708C5"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15810000</w:t>
                </w:r>
              </w:p>
            </w:tc>
            <w:tc>
              <w:tcPr>
                <w:tcW w:w="17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5F81952"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12558000</w:t>
                </w:r>
              </w:p>
            </w:tc>
          </w:tr>
          <w:tr w:rsidR="00AB0D7A" w:rsidRPr="000F70F6" w14:paraId="6EF80506" w14:textId="77777777" w:rsidTr="00AB0D7A">
            <w:trPr>
              <w:trHeight w:val="500"/>
            </w:trPr>
            <w:tc>
              <w:tcPr>
                <w:tcW w:w="47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5EC02D9"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 xml:space="preserve">Equity capital </w:t>
                </w:r>
              </w:p>
            </w:tc>
            <w:tc>
              <w:tcPr>
                <w:tcW w:w="19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A3613CC"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6735000</w:t>
                </w:r>
              </w:p>
            </w:tc>
            <w:tc>
              <w:tcPr>
                <w:tcW w:w="17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7A27890"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5968000</w:t>
                </w:r>
              </w:p>
            </w:tc>
          </w:tr>
          <w:tr w:rsidR="00AB0D7A" w:rsidRPr="000F70F6" w14:paraId="0E84D10C" w14:textId="77777777" w:rsidTr="00AB0D7A">
            <w:trPr>
              <w:trHeight w:val="500"/>
            </w:trPr>
            <w:tc>
              <w:tcPr>
                <w:tcW w:w="47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BE5B9C8"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 xml:space="preserve">Ratios </w:t>
                </w:r>
              </w:p>
            </w:tc>
            <w:tc>
              <w:tcPr>
                <w:tcW w:w="19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714F835"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2.35</w:t>
                </w:r>
              </w:p>
            </w:tc>
            <w:tc>
              <w:tcPr>
                <w:tcW w:w="17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A82FF30"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2.10</w:t>
                </w:r>
              </w:p>
            </w:tc>
          </w:tr>
        </w:tbl>
        <w:p w14:paraId="18546F89" w14:textId="77777777" w:rsidR="00AB0D7A" w:rsidRPr="000F70F6" w:rsidRDefault="00AB0D7A" w:rsidP="00602B28">
          <w:pPr>
            <w:spacing w:line="360" w:lineRule="auto"/>
            <w:jc w:val="both"/>
            <w:rPr>
              <w:rFonts w:ascii="Times New Roman" w:hAnsi="Times New Roman" w:cs="Times New Roman"/>
              <w:sz w:val="24"/>
              <w:szCs w:val="24"/>
            </w:rPr>
          </w:pPr>
        </w:p>
        <w:p w14:paraId="7A479AC1"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b/>
              <w:sz w:val="24"/>
              <w:szCs w:val="24"/>
            </w:rPr>
            <w:t xml:space="preserve">“Definition”: </w:t>
          </w:r>
          <w:r w:rsidRPr="000F70F6">
            <w:rPr>
              <w:rFonts w:ascii="Times New Roman" w:hAnsi="Times New Roman" w:cs="Times New Roman"/>
              <w:sz w:val="24"/>
              <w:szCs w:val="24"/>
            </w:rPr>
            <w:t xml:space="preserve">Initiated for measuring the “capital optimised recognition support” that brings the formulated and leverage approach regarding business capital engagement in an effective basis. </w:t>
          </w:r>
        </w:p>
        <w:p w14:paraId="2808E2F7"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b/>
              <w:sz w:val="24"/>
              <w:szCs w:val="24"/>
            </w:rPr>
            <w:t xml:space="preserve">“Company’s performances”: </w:t>
          </w:r>
          <w:r w:rsidRPr="000F70F6">
            <w:rPr>
              <w:rFonts w:ascii="Times New Roman" w:hAnsi="Times New Roman" w:cs="Times New Roman"/>
              <w:sz w:val="24"/>
              <w:szCs w:val="24"/>
            </w:rPr>
            <w:t xml:space="preserve">According to the present operating approach a systematic development including sustainable capital initiatives has been initiated that indicates the optimised approach of operating development for the business in an effective basis. </w:t>
          </w:r>
        </w:p>
        <w:p w14:paraId="77F7D327"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b/>
              <w:sz w:val="24"/>
              <w:szCs w:val="24"/>
            </w:rPr>
            <w:t xml:space="preserve">“Yearly performances”: </w:t>
          </w:r>
          <w:r w:rsidRPr="000F70F6">
            <w:rPr>
              <w:rFonts w:ascii="Times New Roman" w:hAnsi="Times New Roman" w:cs="Times New Roman"/>
              <w:sz w:val="24"/>
              <w:szCs w:val="24"/>
            </w:rPr>
            <w:t xml:space="preserve">During the period of 2019 the ratio resulted in 2.10, while in 2020 it increased to 2.53 respectively along with a sustainable financial approach. </w:t>
          </w:r>
        </w:p>
        <w:p w14:paraId="796C6C8F"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b/>
              <w:sz w:val="24"/>
              <w:szCs w:val="24"/>
            </w:rPr>
            <w:t xml:space="preserve">“Reasons”: </w:t>
          </w:r>
          <w:r w:rsidRPr="000F70F6">
            <w:rPr>
              <w:rFonts w:ascii="Times New Roman" w:hAnsi="Times New Roman" w:cs="Times New Roman"/>
              <w:sz w:val="24"/>
              <w:szCs w:val="24"/>
            </w:rPr>
            <w:t xml:space="preserve">Present financial growth including marketing development approach provides a systematic opportunity for the business along with debt capital enhancing volume mainly. </w:t>
          </w:r>
        </w:p>
        <w:p w14:paraId="4F8DB1A5"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b/>
              <w:sz w:val="24"/>
              <w:szCs w:val="24"/>
            </w:rPr>
            <w:t xml:space="preserve">“Development strategy”: </w:t>
          </w:r>
          <w:r w:rsidRPr="000F70F6">
            <w:rPr>
              <w:rFonts w:ascii="Times New Roman" w:hAnsi="Times New Roman" w:cs="Times New Roman"/>
              <w:sz w:val="24"/>
              <w:szCs w:val="24"/>
            </w:rPr>
            <w:t xml:space="preserve">Considering the present position a systematic development regarding equity capital is needed to be initiated for managing and formulating the optimised level of capital properly. </w:t>
          </w:r>
        </w:p>
        <w:p w14:paraId="09E4DEFC" w14:textId="77777777" w:rsidR="00AB0D7A" w:rsidRPr="000F70F6" w:rsidRDefault="00AB0D7A" w:rsidP="00602B28">
          <w:pPr>
            <w:spacing w:line="360" w:lineRule="auto"/>
            <w:jc w:val="both"/>
            <w:rPr>
              <w:rFonts w:ascii="Times New Roman" w:hAnsi="Times New Roman" w:cs="Times New Roman"/>
              <w:b/>
              <w:sz w:val="24"/>
              <w:szCs w:val="24"/>
            </w:rPr>
          </w:pPr>
        </w:p>
        <w:p w14:paraId="2C4B2D6F"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 xml:space="preserve">Interest coverage ratio </w:t>
          </w:r>
        </w:p>
        <w:tbl>
          <w:tblPr>
            <w:tblW w:w="8460" w:type="dxa"/>
            <w:tblBorders>
              <w:insideH w:val="nil"/>
              <w:insideV w:val="nil"/>
            </w:tblBorders>
            <w:tblLayout w:type="fixed"/>
            <w:tblLook w:val="0600" w:firstRow="0" w:lastRow="0" w:firstColumn="0" w:lastColumn="0" w:noHBand="1" w:noVBand="1"/>
          </w:tblPr>
          <w:tblGrid>
            <w:gridCol w:w="4725"/>
            <w:gridCol w:w="1995"/>
            <w:gridCol w:w="1740"/>
          </w:tblGrid>
          <w:tr w:rsidR="00AB0D7A" w:rsidRPr="000F70F6" w14:paraId="61ACA868" w14:textId="77777777" w:rsidTr="00AB0D7A">
            <w:trPr>
              <w:trHeight w:val="500"/>
            </w:trPr>
            <w:tc>
              <w:tcPr>
                <w:tcW w:w="47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B1AC487" w14:textId="77777777" w:rsidR="00AB0D7A" w:rsidRPr="000F70F6" w:rsidRDefault="00AB0D7A" w:rsidP="00602B28">
                <w:pPr>
                  <w:widowControl w:val="0"/>
                  <w:spacing w:line="360" w:lineRule="auto"/>
                  <w:jc w:val="both"/>
                  <w:rPr>
                    <w:rFonts w:ascii="Times New Roman" w:hAnsi="Times New Roman" w:cs="Times New Roman"/>
                    <w:b/>
                    <w:sz w:val="24"/>
                    <w:szCs w:val="24"/>
                  </w:rPr>
                </w:pPr>
                <w:r w:rsidRPr="000F70F6">
                  <w:rPr>
                    <w:rFonts w:ascii="Times New Roman" w:hAnsi="Times New Roman" w:cs="Times New Roman"/>
                    <w:b/>
                    <w:sz w:val="24"/>
                    <w:szCs w:val="24"/>
                  </w:rPr>
                  <w:t xml:space="preserve">Particulars </w:t>
                </w:r>
              </w:p>
            </w:tc>
            <w:tc>
              <w:tcPr>
                <w:tcW w:w="1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CF25AA4" w14:textId="77777777" w:rsidR="00AB0D7A" w:rsidRPr="000F70F6" w:rsidRDefault="00AB0D7A" w:rsidP="00602B28">
                <w:pPr>
                  <w:widowControl w:val="0"/>
                  <w:spacing w:line="360" w:lineRule="auto"/>
                  <w:jc w:val="both"/>
                  <w:rPr>
                    <w:rFonts w:ascii="Times New Roman" w:hAnsi="Times New Roman" w:cs="Times New Roman"/>
                    <w:b/>
                    <w:sz w:val="24"/>
                    <w:szCs w:val="24"/>
                  </w:rPr>
                </w:pPr>
                <w:r w:rsidRPr="000F70F6">
                  <w:rPr>
                    <w:rFonts w:ascii="Times New Roman" w:hAnsi="Times New Roman" w:cs="Times New Roman"/>
                    <w:b/>
                    <w:sz w:val="24"/>
                    <w:szCs w:val="24"/>
                  </w:rPr>
                  <w:t>2020</w:t>
                </w:r>
              </w:p>
            </w:tc>
            <w:tc>
              <w:tcPr>
                <w:tcW w:w="17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88C191F" w14:textId="77777777" w:rsidR="00AB0D7A" w:rsidRPr="000F70F6" w:rsidRDefault="00AB0D7A" w:rsidP="00602B28">
                <w:pPr>
                  <w:widowControl w:val="0"/>
                  <w:spacing w:line="360" w:lineRule="auto"/>
                  <w:jc w:val="both"/>
                  <w:rPr>
                    <w:rFonts w:ascii="Times New Roman" w:hAnsi="Times New Roman" w:cs="Times New Roman"/>
                    <w:b/>
                    <w:sz w:val="24"/>
                    <w:szCs w:val="24"/>
                  </w:rPr>
                </w:pPr>
                <w:r w:rsidRPr="000F70F6">
                  <w:rPr>
                    <w:rFonts w:ascii="Times New Roman" w:hAnsi="Times New Roman" w:cs="Times New Roman"/>
                    <w:b/>
                    <w:sz w:val="24"/>
                    <w:szCs w:val="24"/>
                  </w:rPr>
                  <w:t>2019</w:t>
                </w:r>
              </w:p>
            </w:tc>
          </w:tr>
          <w:tr w:rsidR="00AB0D7A" w:rsidRPr="000F70F6" w14:paraId="5253AAEC" w14:textId="77777777" w:rsidTr="00AB0D7A">
            <w:trPr>
              <w:trHeight w:val="500"/>
            </w:trPr>
            <w:tc>
              <w:tcPr>
                <w:tcW w:w="47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7C57812"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 xml:space="preserve">Operating profit  </w:t>
                </w:r>
              </w:p>
            </w:tc>
            <w:tc>
              <w:tcPr>
                <w:tcW w:w="1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D9C1FA9"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-119000</w:t>
                </w:r>
              </w:p>
            </w:tc>
            <w:tc>
              <w:tcPr>
                <w:tcW w:w="17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977570E"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1576000</w:t>
                </w:r>
              </w:p>
            </w:tc>
          </w:tr>
          <w:tr w:rsidR="00AB0D7A" w:rsidRPr="000F70F6" w14:paraId="65EB1BFC" w14:textId="77777777" w:rsidTr="00AB0D7A">
            <w:trPr>
              <w:trHeight w:val="500"/>
            </w:trPr>
            <w:tc>
              <w:tcPr>
                <w:tcW w:w="47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ED0FCB8"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 xml:space="preserve">Interest expenses </w:t>
                </w:r>
              </w:p>
            </w:tc>
            <w:tc>
              <w:tcPr>
                <w:tcW w:w="1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27C08A4"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429000</w:t>
                </w:r>
              </w:p>
            </w:tc>
            <w:tc>
              <w:tcPr>
                <w:tcW w:w="17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B6467B3"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414000</w:t>
                </w:r>
              </w:p>
            </w:tc>
          </w:tr>
          <w:tr w:rsidR="00AB0D7A" w:rsidRPr="000F70F6" w14:paraId="132B623D" w14:textId="77777777" w:rsidTr="00AB0D7A">
            <w:trPr>
              <w:trHeight w:val="500"/>
            </w:trPr>
            <w:tc>
              <w:tcPr>
                <w:tcW w:w="47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79D8A36"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 xml:space="preserve">Ratios </w:t>
                </w:r>
              </w:p>
            </w:tc>
            <w:tc>
              <w:tcPr>
                <w:tcW w:w="1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1CBF02A"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-0.28</w:t>
                </w:r>
              </w:p>
            </w:tc>
            <w:tc>
              <w:tcPr>
                <w:tcW w:w="17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7C95E17"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3.81</w:t>
                </w:r>
              </w:p>
            </w:tc>
          </w:tr>
        </w:tbl>
        <w:p w14:paraId="02647563" w14:textId="77777777" w:rsidR="00AB0D7A" w:rsidRPr="000F70F6" w:rsidRDefault="00AB0D7A" w:rsidP="00602B28">
          <w:pPr>
            <w:spacing w:line="360" w:lineRule="auto"/>
            <w:jc w:val="both"/>
            <w:rPr>
              <w:rFonts w:ascii="Times New Roman" w:hAnsi="Times New Roman" w:cs="Times New Roman"/>
              <w:sz w:val="24"/>
              <w:szCs w:val="24"/>
            </w:rPr>
          </w:pPr>
        </w:p>
        <w:p w14:paraId="62F8056B"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b/>
              <w:sz w:val="24"/>
              <w:szCs w:val="24"/>
            </w:rPr>
            <w:t xml:space="preserve">“Definition”: </w:t>
          </w:r>
          <w:r w:rsidRPr="000F70F6">
            <w:rPr>
              <w:rFonts w:ascii="Times New Roman" w:hAnsi="Times New Roman" w:cs="Times New Roman"/>
              <w:sz w:val="24"/>
              <w:szCs w:val="24"/>
            </w:rPr>
            <w:t>Mainly initiated for recognising the payment approach regarding business borrowings with the support of present earning approach of business mainly (</w:t>
          </w:r>
          <w:r w:rsidRPr="000F70F6">
            <w:rPr>
              <w:rFonts w:ascii="Times New Roman" w:hAnsi="Times New Roman" w:cs="Times New Roman"/>
              <w:color w:val="222222"/>
              <w:sz w:val="24"/>
              <w:szCs w:val="24"/>
              <w:highlight w:val="white"/>
            </w:rPr>
            <w:t xml:space="preserve">Farhi and </w:t>
          </w:r>
          <w:proofErr w:type="spellStart"/>
          <w:r w:rsidRPr="000F70F6">
            <w:rPr>
              <w:rFonts w:ascii="Times New Roman" w:hAnsi="Times New Roman" w:cs="Times New Roman"/>
              <w:color w:val="222222"/>
              <w:sz w:val="24"/>
              <w:szCs w:val="24"/>
              <w:highlight w:val="white"/>
            </w:rPr>
            <w:t>Gourio</w:t>
          </w:r>
          <w:proofErr w:type="spellEnd"/>
          <w:r w:rsidRPr="000F70F6">
            <w:rPr>
              <w:rFonts w:ascii="Times New Roman" w:hAnsi="Times New Roman" w:cs="Times New Roman"/>
              <w:color w:val="222222"/>
              <w:sz w:val="24"/>
              <w:szCs w:val="24"/>
              <w:highlight w:val="white"/>
            </w:rPr>
            <w:t>, 2018)</w:t>
          </w:r>
          <w:r w:rsidRPr="000F70F6">
            <w:rPr>
              <w:rFonts w:ascii="Times New Roman" w:hAnsi="Times New Roman" w:cs="Times New Roman"/>
              <w:sz w:val="24"/>
              <w:szCs w:val="24"/>
            </w:rPr>
            <w:t xml:space="preserve">.  </w:t>
          </w:r>
        </w:p>
        <w:p w14:paraId="5FF4CB63"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b/>
              <w:sz w:val="24"/>
              <w:szCs w:val="24"/>
            </w:rPr>
            <w:t xml:space="preserve">“Company’s performances”: </w:t>
          </w:r>
          <w:r w:rsidRPr="000F70F6">
            <w:rPr>
              <w:rFonts w:ascii="Times New Roman" w:hAnsi="Times New Roman" w:cs="Times New Roman"/>
              <w:sz w:val="24"/>
              <w:szCs w:val="24"/>
            </w:rPr>
            <w:t xml:space="preserve">According to present position mainly the declining approach is noticed as the present financial position including profit of the business is not supportive </w:t>
          </w:r>
          <w:proofErr w:type="gramStart"/>
          <w:r w:rsidRPr="000F70F6">
            <w:rPr>
              <w:rFonts w:ascii="Times New Roman" w:hAnsi="Times New Roman" w:cs="Times New Roman"/>
              <w:sz w:val="24"/>
              <w:szCs w:val="24"/>
            </w:rPr>
            <w:t>in order to</w:t>
          </w:r>
          <w:proofErr w:type="gramEnd"/>
          <w:r w:rsidRPr="000F70F6">
            <w:rPr>
              <w:rFonts w:ascii="Times New Roman" w:hAnsi="Times New Roman" w:cs="Times New Roman"/>
              <w:sz w:val="24"/>
              <w:szCs w:val="24"/>
            </w:rPr>
            <w:t xml:space="preserve"> generate effective business profit development approach mainly. </w:t>
          </w:r>
        </w:p>
        <w:p w14:paraId="4D2B8CED"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b/>
              <w:sz w:val="24"/>
              <w:szCs w:val="24"/>
            </w:rPr>
            <w:t xml:space="preserve">“Yearly performances”: </w:t>
          </w:r>
          <w:r w:rsidRPr="000F70F6">
            <w:rPr>
              <w:rFonts w:ascii="Times New Roman" w:hAnsi="Times New Roman" w:cs="Times New Roman"/>
              <w:sz w:val="24"/>
              <w:szCs w:val="24"/>
            </w:rPr>
            <w:t xml:space="preserve">During the period of 2019 the ratio resulted in 3.81, while in 2020 it declined to (-0.28) respectively along with a sustainable financial approach. </w:t>
          </w:r>
        </w:p>
        <w:p w14:paraId="1ACA3285"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b/>
              <w:sz w:val="24"/>
              <w:szCs w:val="24"/>
            </w:rPr>
            <w:t xml:space="preserve">“Reasons”: </w:t>
          </w:r>
          <w:r w:rsidRPr="000F70F6">
            <w:rPr>
              <w:rFonts w:ascii="Times New Roman" w:hAnsi="Times New Roman" w:cs="Times New Roman"/>
              <w:sz w:val="24"/>
              <w:szCs w:val="24"/>
            </w:rPr>
            <w:t xml:space="preserve">The present level of operating expenditure structure are mainly indicating a negative approach over the financial position of business that is required to be structured and rectified with cost maintenance support mainly. </w:t>
          </w:r>
        </w:p>
        <w:p w14:paraId="5A00EAA9"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b/>
              <w:sz w:val="24"/>
              <w:szCs w:val="24"/>
            </w:rPr>
            <w:t xml:space="preserve">“Development strategy”: </w:t>
          </w:r>
          <w:r w:rsidRPr="000F70F6">
            <w:rPr>
              <w:rFonts w:ascii="Times New Roman" w:hAnsi="Times New Roman" w:cs="Times New Roman"/>
              <w:sz w:val="24"/>
              <w:szCs w:val="24"/>
            </w:rPr>
            <w:t xml:space="preserve">A positive cost control with revenue enhancing approach is required for financial expansions support in future. </w:t>
          </w:r>
        </w:p>
        <w:p w14:paraId="70374722" w14:textId="77777777" w:rsidR="00AB0D7A" w:rsidRPr="000F70F6" w:rsidRDefault="00AB0D7A" w:rsidP="00602B28">
          <w:pPr>
            <w:spacing w:line="360" w:lineRule="auto"/>
            <w:jc w:val="both"/>
            <w:rPr>
              <w:rFonts w:ascii="Times New Roman" w:hAnsi="Times New Roman" w:cs="Times New Roman"/>
              <w:b/>
              <w:sz w:val="24"/>
              <w:szCs w:val="24"/>
            </w:rPr>
          </w:pPr>
          <w:r w:rsidRPr="000F70F6">
            <w:rPr>
              <w:rFonts w:ascii="Times New Roman" w:hAnsi="Times New Roman" w:cs="Times New Roman"/>
              <w:b/>
              <w:sz w:val="24"/>
              <w:szCs w:val="24"/>
            </w:rPr>
            <w:t xml:space="preserve">Presenting Efficiency ratio </w:t>
          </w:r>
        </w:p>
        <w:p w14:paraId="13B0D938"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 xml:space="preserve">Assets turnover ratio </w:t>
          </w:r>
        </w:p>
        <w:tbl>
          <w:tblPr>
            <w:tblW w:w="8445" w:type="dxa"/>
            <w:tblBorders>
              <w:insideH w:val="nil"/>
              <w:insideV w:val="nil"/>
            </w:tblBorders>
            <w:tblLayout w:type="fixed"/>
            <w:tblLook w:val="0600" w:firstRow="0" w:lastRow="0" w:firstColumn="0" w:lastColumn="0" w:noHBand="1" w:noVBand="1"/>
          </w:tblPr>
          <w:tblGrid>
            <w:gridCol w:w="4635"/>
            <w:gridCol w:w="2070"/>
            <w:gridCol w:w="1740"/>
          </w:tblGrid>
          <w:tr w:rsidR="00AB0D7A" w:rsidRPr="000F70F6" w14:paraId="58A485E9" w14:textId="77777777" w:rsidTr="00AB0D7A">
            <w:trPr>
              <w:trHeight w:val="500"/>
            </w:trPr>
            <w:tc>
              <w:tcPr>
                <w:tcW w:w="46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289E22F" w14:textId="77777777" w:rsidR="00AB0D7A" w:rsidRPr="000F70F6" w:rsidRDefault="00AB0D7A" w:rsidP="00602B28">
                <w:pPr>
                  <w:widowControl w:val="0"/>
                  <w:spacing w:line="360" w:lineRule="auto"/>
                  <w:jc w:val="both"/>
                  <w:rPr>
                    <w:rFonts w:ascii="Times New Roman" w:hAnsi="Times New Roman" w:cs="Times New Roman"/>
                    <w:b/>
                    <w:sz w:val="24"/>
                    <w:szCs w:val="24"/>
                  </w:rPr>
                </w:pPr>
                <w:r w:rsidRPr="000F70F6">
                  <w:rPr>
                    <w:rFonts w:ascii="Times New Roman" w:hAnsi="Times New Roman" w:cs="Times New Roman"/>
                    <w:b/>
                    <w:sz w:val="24"/>
                    <w:szCs w:val="24"/>
                  </w:rPr>
                  <w:t xml:space="preserve">Particulars </w:t>
                </w:r>
              </w:p>
            </w:tc>
            <w:tc>
              <w:tcPr>
                <w:tcW w:w="20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EB6D852" w14:textId="77777777" w:rsidR="00AB0D7A" w:rsidRPr="000F70F6" w:rsidRDefault="00AB0D7A" w:rsidP="00602B28">
                <w:pPr>
                  <w:widowControl w:val="0"/>
                  <w:spacing w:line="360" w:lineRule="auto"/>
                  <w:jc w:val="both"/>
                  <w:rPr>
                    <w:rFonts w:ascii="Times New Roman" w:hAnsi="Times New Roman" w:cs="Times New Roman"/>
                    <w:b/>
                    <w:sz w:val="24"/>
                    <w:szCs w:val="24"/>
                  </w:rPr>
                </w:pPr>
                <w:r w:rsidRPr="000F70F6">
                  <w:rPr>
                    <w:rFonts w:ascii="Times New Roman" w:hAnsi="Times New Roman" w:cs="Times New Roman"/>
                    <w:b/>
                    <w:sz w:val="24"/>
                    <w:szCs w:val="24"/>
                  </w:rPr>
                  <w:t>2020</w:t>
                </w:r>
              </w:p>
            </w:tc>
            <w:tc>
              <w:tcPr>
                <w:tcW w:w="17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795CB49" w14:textId="77777777" w:rsidR="00AB0D7A" w:rsidRPr="000F70F6" w:rsidRDefault="00AB0D7A" w:rsidP="00602B28">
                <w:pPr>
                  <w:widowControl w:val="0"/>
                  <w:spacing w:line="360" w:lineRule="auto"/>
                  <w:jc w:val="both"/>
                  <w:rPr>
                    <w:rFonts w:ascii="Times New Roman" w:hAnsi="Times New Roman" w:cs="Times New Roman"/>
                    <w:b/>
                    <w:sz w:val="24"/>
                    <w:szCs w:val="24"/>
                  </w:rPr>
                </w:pPr>
                <w:r w:rsidRPr="000F70F6">
                  <w:rPr>
                    <w:rFonts w:ascii="Times New Roman" w:hAnsi="Times New Roman" w:cs="Times New Roman"/>
                    <w:b/>
                    <w:sz w:val="24"/>
                    <w:szCs w:val="24"/>
                  </w:rPr>
                  <w:t>2019</w:t>
                </w:r>
              </w:p>
            </w:tc>
          </w:tr>
          <w:tr w:rsidR="00AB0D7A" w:rsidRPr="000F70F6" w14:paraId="7A85C3D5" w14:textId="77777777" w:rsidTr="00AB0D7A">
            <w:trPr>
              <w:trHeight w:val="500"/>
            </w:trPr>
            <w:tc>
              <w:tcPr>
                <w:tcW w:w="46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AB2260B"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 xml:space="preserve">Revenue </w:t>
                </w:r>
              </w:p>
            </w:tc>
            <w:tc>
              <w:tcPr>
                <w:tcW w:w="20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F6A4B23"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4307000</w:t>
                </w:r>
              </w:p>
            </w:tc>
            <w:tc>
              <w:tcPr>
                <w:tcW w:w="17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BD16113"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9452000</w:t>
                </w:r>
              </w:p>
            </w:tc>
          </w:tr>
          <w:tr w:rsidR="00AB0D7A" w:rsidRPr="000F70F6" w14:paraId="05B85C75" w14:textId="77777777" w:rsidTr="00AB0D7A">
            <w:trPr>
              <w:trHeight w:val="500"/>
            </w:trPr>
            <w:tc>
              <w:tcPr>
                <w:tcW w:w="46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8B6A97A"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lastRenderedPageBreak/>
                  <w:t xml:space="preserve">Total assets </w:t>
                </w:r>
              </w:p>
            </w:tc>
            <w:tc>
              <w:tcPr>
                <w:tcW w:w="20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290AB21"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16755000</w:t>
                </w:r>
              </w:p>
            </w:tc>
            <w:tc>
              <w:tcPr>
                <w:tcW w:w="17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301C390"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14957000</w:t>
                </w:r>
              </w:p>
            </w:tc>
          </w:tr>
          <w:tr w:rsidR="00AB0D7A" w:rsidRPr="000F70F6" w14:paraId="5D5D184B" w14:textId="77777777" w:rsidTr="00AB0D7A">
            <w:trPr>
              <w:trHeight w:val="500"/>
            </w:trPr>
            <w:tc>
              <w:tcPr>
                <w:tcW w:w="46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CBFB29F"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 xml:space="preserve">Ratios </w:t>
                </w:r>
              </w:p>
            </w:tc>
            <w:tc>
              <w:tcPr>
                <w:tcW w:w="20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134477E"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26%</w:t>
                </w:r>
              </w:p>
            </w:tc>
            <w:tc>
              <w:tcPr>
                <w:tcW w:w="17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DA77C6C"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63%</w:t>
                </w:r>
              </w:p>
            </w:tc>
          </w:tr>
        </w:tbl>
        <w:p w14:paraId="5779E603" w14:textId="77777777" w:rsidR="00AB0D7A" w:rsidRPr="000F70F6" w:rsidRDefault="00AB0D7A" w:rsidP="00602B28">
          <w:pPr>
            <w:spacing w:line="360" w:lineRule="auto"/>
            <w:jc w:val="both"/>
            <w:rPr>
              <w:rFonts w:ascii="Times New Roman" w:hAnsi="Times New Roman" w:cs="Times New Roman"/>
              <w:sz w:val="24"/>
              <w:szCs w:val="24"/>
            </w:rPr>
          </w:pPr>
        </w:p>
        <w:p w14:paraId="7A79E916"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b/>
              <w:sz w:val="24"/>
              <w:szCs w:val="24"/>
            </w:rPr>
            <w:t xml:space="preserve">“Definition”: </w:t>
          </w:r>
          <w:r w:rsidRPr="000F70F6">
            <w:rPr>
              <w:rFonts w:ascii="Times New Roman" w:hAnsi="Times New Roman" w:cs="Times New Roman"/>
              <w:sz w:val="24"/>
              <w:szCs w:val="24"/>
            </w:rPr>
            <w:t xml:space="preserve">Represents basic relation regarding business revenue and total </w:t>
          </w:r>
          <w:proofErr w:type="gramStart"/>
          <w:r w:rsidRPr="000F70F6">
            <w:rPr>
              <w:rFonts w:ascii="Times New Roman" w:hAnsi="Times New Roman" w:cs="Times New Roman"/>
              <w:sz w:val="24"/>
              <w:szCs w:val="24"/>
            </w:rPr>
            <w:t>assets</w:t>
          </w:r>
          <w:proofErr w:type="gramEnd"/>
          <w:r w:rsidRPr="000F70F6">
            <w:rPr>
              <w:rFonts w:ascii="Times New Roman" w:hAnsi="Times New Roman" w:cs="Times New Roman"/>
              <w:sz w:val="24"/>
              <w:szCs w:val="24"/>
            </w:rPr>
            <w:t xml:space="preserve"> structure. </w:t>
          </w:r>
        </w:p>
        <w:p w14:paraId="31EFF5B1"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b/>
              <w:sz w:val="24"/>
              <w:szCs w:val="24"/>
            </w:rPr>
            <w:t xml:space="preserve">“Company’s performances”: </w:t>
          </w:r>
          <w:r w:rsidRPr="000F70F6">
            <w:rPr>
              <w:rFonts w:ascii="Times New Roman" w:hAnsi="Times New Roman" w:cs="Times New Roman"/>
              <w:sz w:val="24"/>
              <w:szCs w:val="24"/>
            </w:rPr>
            <w:t>Mainly the declining approach is identified that is indicating the insufficient approach including non-supportive operating development of business (</w:t>
          </w:r>
          <w:r w:rsidRPr="000F70F6">
            <w:rPr>
              <w:rFonts w:ascii="Times New Roman" w:hAnsi="Times New Roman" w:cs="Times New Roman"/>
              <w:color w:val="222222"/>
              <w:sz w:val="24"/>
              <w:szCs w:val="24"/>
              <w:highlight w:val="white"/>
            </w:rPr>
            <w:t>Habib and Hasan, 2019)</w:t>
          </w:r>
          <w:r w:rsidRPr="000F70F6">
            <w:rPr>
              <w:rFonts w:ascii="Times New Roman" w:hAnsi="Times New Roman" w:cs="Times New Roman"/>
              <w:sz w:val="24"/>
              <w:szCs w:val="24"/>
            </w:rPr>
            <w:t xml:space="preserve">. </w:t>
          </w:r>
        </w:p>
        <w:p w14:paraId="5DB15526"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b/>
              <w:sz w:val="24"/>
              <w:szCs w:val="24"/>
            </w:rPr>
            <w:t xml:space="preserve">“Yearly performances”: </w:t>
          </w:r>
          <w:r w:rsidRPr="000F70F6">
            <w:rPr>
              <w:rFonts w:ascii="Times New Roman" w:hAnsi="Times New Roman" w:cs="Times New Roman"/>
              <w:sz w:val="24"/>
              <w:szCs w:val="24"/>
            </w:rPr>
            <w:t xml:space="preserve">During the period of 2019 the ratio resulted in 63%, while in 2020 it declined to 26% respectively along with a sustainable financial approach. </w:t>
          </w:r>
        </w:p>
        <w:p w14:paraId="771C8870"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b/>
              <w:sz w:val="24"/>
              <w:szCs w:val="24"/>
            </w:rPr>
            <w:t xml:space="preserve">“Reasons”: </w:t>
          </w:r>
          <w:r w:rsidRPr="000F70F6">
            <w:rPr>
              <w:rFonts w:ascii="Times New Roman" w:hAnsi="Times New Roman" w:cs="Times New Roman"/>
              <w:sz w:val="24"/>
              <w:szCs w:val="24"/>
            </w:rPr>
            <w:t xml:space="preserve">Due to declining position of customers’ engagement associated to covid circumstances is one of the significant reasons behind such reduction. Including the present supply chain also initiates a significant negative approach over the business. </w:t>
          </w:r>
        </w:p>
        <w:p w14:paraId="1CAB37A3"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b/>
              <w:sz w:val="24"/>
              <w:szCs w:val="24"/>
            </w:rPr>
            <w:t xml:space="preserve">“Development strategy”: </w:t>
          </w:r>
          <w:r w:rsidRPr="000F70F6">
            <w:rPr>
              <w:rFonts w:ascii="Times New Roman" w:hAnsi="Times New Roman" w:cs="Times New Roman"/>
              <w:sz w:val="24"/>
              <w:szCs w:val="24"/>
            </w:rPr>
            <w:t xml:space="preserve">A positive operating growth including promotional support is required for developing the revenue approach of business in an effective basis in the current position. </w:t>
          </w:r>
        </w:p>
        <w:p w14:paraId="6F8220EF" w14:textId="77777777" w:rsidR="00AB0D7A" w:rsidRPr="000F70F6" w:rsidRDefault="00AB0D7A" w:rsidP="00602B28">
          <w:pPr>
            <w:spacing w:line="360" w:lineRule="auto"/>
            <w:jc w:val="both"/>
            <w:rPr>
              <w:rFonts w:ascii="Times New Roman" w:hAnsi="Times New Roman" w:cs="Times New Roman"/>
              <w:b/>
              <w:sz w:val="24"/>
              <w:szCs w:val="24"/>
            </w:rPr>
          </w:pPr>
          <w:r w:rsidRPr="000F70F6">
            <w:rPr>
              <w:rFonts w:ascii="Times New Roman" w:hAnsi="Times New Roman" w:cs="Times New Roman"/>
              <w:b/>
              <w:sz w:val="24"/>
              <w:szCs w:val="24"/>
            </w:rPr>
            <w:t xml:space="preserve">Presenting profitability ratio </w:t>
          </w:r>
        </w:p>
        <w:p w14:paraId="6E365DEB"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 xml:space="preserve">Gross profit margin </w:t>
          </w:r>
        </w:p>
        <w:tbl>
          <w:tblPr>
            <w:tblW w:w="8520" w:type="dxa"/>
            <w:tblBorders>
              <w:insideH w:val="nil"/>
              <w:insideV w:val="nil"/>
            </w:tblBorders>
            <w:tblLayout w:type="fixed"/>
            <w:tblLook w:val="0600" w:firstRow="0" w:lastRow="0" w:firstColumn="0" w:lastColumn="0" w:noHBand="1" w:noVBand="1"/>
          </w:tblPr>
          <w:tblGrid>
            <w:gridCol w:w="4740"/>
            <w:gridCol w:w="2025"/>
            <w:gridCol w:w="1755"/>
          </w:tblGrid>
          <w:tr w:rsidR="00AB0D7A" w:rsidRPr="000F70F6" w14:paraId="22B04936" w14:textId="77777777" w:rsidTr="00AB0D7A">
            <w:trPr>
              <w:trHeight w:val="500"/>
            </w:trPr>
            <w:tc>
              <w:tcPr>
                <w:tcW w:w="47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6BDEC32" w14:textId="77777777" w:rsidR="00AB0D7A" w:rsidRPr="000F70F6" w:rsidRDefault="00AB0D7A" w:rsidP="00602B28">
                <w:pPr>
                  <w:widowControl w:val="0"/>
                  <w:spacing w:line="360" w:lineRule="auto"/>
                  <w:jc w:val="both"/>
                  <w:rPr>
                    <w:rFonts w:ascii="Times New Roman" w:hAnsi="Times New Roman" w:cs="Times New Roman"/>
                    <w:b/>
                    <w:sz w:val="24"/>
                    <w:szCs w:val="24"/>
                  </w:rPr>
                </w:pPr>
                <w:r w:rsidRPr="000F70F6">
                  <w:rPr>
                    <w:rFonts w:ascii="Times New Roman" w:hAnsi="Times New Roman" w:cs="Times New Roman"/>
                    <w:b/>
                    <w:sz w:val="24"/>
                    <w:szCs w:val="24"/>
                  </w:rPr>
                  <w:t xml:space="preserve">Particulars </w:t>
                </w:r>
              </w:p>
            </w:tc>
            <w:tc>
              <w:tcPr>
                <w:tcW w:w="20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F1AFC54" w14:textId="77777777" w:rsidR="00AB0D7A" w:rsidRPr="000F70F6" w:rsidRDefault="00AB0D7A" w:rsidP="00602B28">
                <w:pPr>
                  <w:widowControl w:val="0"/>
                  <w:spacing w:line="360" w:lineRule="auto"/>
                  <w:jc w:val="both"/>
                  <w:rPr>
                    <w:rFonts w:ascii="Times New Roman" w:hAnsi="Times New Roman" w:cs="Times New Roman"/>
                    <w:b/>
                    <w:sz w:val="24"/>
                    <w:szCs w:val="24"/>
                  </w:rPr>
                </w:pPr>
                <w:r w:rsidRPr="000F70F6">
                  <w:rPr>
                    <w:rFonts w:ascii="Times New Roman" w:hAnsi="Times New Roman" w:cs="Times New Roman"/>
                    <w:b/>
                    <w:sz w:val="24"/>
                    <w:szCs w:val="24"/>
                  </w:rPr>
                  <w:t>2020</w:t>
                </w:r>
              </w:p>
            </w:tc>
            <w:tc>
              <w:tcPr>
                <w:tcW w:w="17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94EE4E7" w14:textId="77777777" w:rsidR="00AB0D7A" w:rsidRPr="000F70F6" w:rsidRDefault="00AB0D7A" w:rsidP="00602B28">
                <w:pPr>
                  <w:widowControl w:val="0"/>
                  <w:spacing w:line="360" w:lineRule="auto"/>
                  <w:jc w:val="both"/>
                  <w:rPr>
                    <w:rFonts w:ascii="Times New Roman" w:hAnsi="Times New Roman" w:cs="Times New Roman"/>
                    <w:b/>
                    <w:sz w:val="24"/>
                    <w:szCs w:val="24"/>
                  </w:rPr>
                </w:pPr>
                <w:r w:rsidRPr="000F70F6">
                  <w:rPr>
                    <w:rFonts w:ascii="Times New Roman" w:hAnsi="Times New Roman" w:cs="Times New Roman"/>
                    <w:b/>
                    <w:sz w:val="24"/>
                    <w:szCs w:val="24"/>
                  </w:rPr>
                  <w:t>2019</w:t>
                </w:r>
              </w:p>
            </w:tc>
          </w:tr>
          <w:tr w:rsidR="00AB0D7A" w:rsidRPr="000F70F6" w14:paraId="08A09B8A" w14:textId="77777777" w:rsidTr="00AB0D7A">
            <w:trPr>
              <w:trHeight w:val="500"/>
            </w:trPr>
            <w:tc>
              <w:tcPr>
                <w:tcW w:w="47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FF5678B"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 xml:space="preserve">Gross profit </w:t>
                </w:r>
              </w:p>
            </w:tc>
            <w:tc>
              <w:tcPr>
                <w:tcW w:w="2025" w:type="dxa"/>
                <w:tcBorders>
                  <w:top w:val="single" w:sz="4" w:space="0" w:color="000000"/>
                  <w:left w:val="single" w:sz="4" w:space="0" w:color="000000"/>
                  <w:bottom w:val="single" w:sz="4" w:space="0" w:color="808080"/>
                  <w:right w:val="single" w:sz="4" w:space="0" w:color="808080"/>
                </w:tcBorders>
                <w:tcMar>
                  <w:top w:w="100" w:type="dxa"/>
                  <w:left w:w="100" w:type="dxa"/>
                  <w:bottom w:w="100" w:type="dxa"/>
                  <w:right w:w="100" w:type="dxa"/>
                </w:tcMar>
                <w:hideMark/>
              </w:tcPr>
              <w:p w14:paraId="649231E9"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583000</w:t>
                </w:r>
              </w:p>
            </w:tc>
            <w:tc>
              <w:tcPr>
                <w:tcW w:w="1755" w:type="dxa"/>
                <w:tcBorders>
                  <w:top w:val="single" w:sz="4" w:space="0" w:color="000000"/>
                  <w:left w:val="single" w:sz="4" w:space="0" w:color="808080"/>
                  <w:bottom w:val="single" w:sz="4" w:space="0" w:color="808080"/>
                  <w:right w:val="single" w:sz="4" w:space="0" w:color="808080"/>
                </w:tcBorders>
                <w:tcMar>
                  <w:top w:w="100" w:type="dxa"/>
                  <w:left w:w="100" w:type="dxa"/>
                  <w:bottom w:w="100" w:type="dxa"/>
                  <w:right w:w="100" w:type="dxa"/>
                </w:tcMar>
                <w:hideMark/>
              </w:tcPr>
              <w:p w14:paraId="57919F7E"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2435000</w:t>
                </w:r>
              </w:p>
            </w:tc>
          </w:tr>
          <w:tr w:rsidR="00AB0D7A" w:rsidRPr="000F70F6" w14:paraId="16F1944F" w14:textId="77777777" w:rsidTr="00AB0D7A">
            <w:trPr>
              <w:trHeight w:val="500"/>
            </w:trPr>
            <w:tc>
              <w:tcPr>
                <w:tcW w:w="47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47BACCA"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 xml:space="preserve">Revenue </w:t>
                </w:r>
              </w:p>
            </w:tc>
            <w:tc>
              <w:tcPr>
                <w:tcW w:w="2025" w:type="dxa"/>
                <w:tcBorders>
                  <w:top w:val="single" w:sz="4" w:space="0" w:color="808080"/>
                  <w:left w:val="single" w:sz="4" w:space="0" w:color="000000"/>
                  <w:bottom w:val="single" w:sz="4" w:space="0" w:color="808080"/>
                  <w:right w:val="single" w:sz="4" w:space="0" w:color="808080"/>
                </w:tcBorders>
                <w:tcMar>
                  <w:top w:w="100" w:type="dxa"/>
                  <w:left w:w="100" w:type="dxa"/>
                  <w:bottom w:w="100" w:type="dxa"/>
                  <w:right w:w="100" w:type="dxa"/>
                </w:tcMar>
                <w:hideMark/>
              </w:tcPr>
              <w:p w14:paraId="67A088F0"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4307000</w:t>
                </w:r>
              </w:p>
            </w:tc>
            <w:tc>
              <w:tcPr>
                <w:tcW w:w="1755" w:type="dxa"/>
                <w:tcBorders>
                  <w:top w:val="single" w:sz="4" w:space="0" w:color="808080"/>
                  <w:left w:val="single" w:sz="4" w:space="0" w:color="808080"/>
                  <w:bottom w:val="single" w:sz="4" w:space="0" w:color="808080"/>
                  <w:right w:val="single" w:sz="4" w:space="0" w:color="808080"/>
                </w:tcBorders>
                <w:tcMar>
                  <w:top w:w="100" w:type="dxa"/>
                  <w:left w:w="100" w:type="dxa"/>
                  <w:bottom w:w="100" w:type="dxa"/>
                  <w:right w:w="100" w:type="dxa"/>
                </w:tcMar>
                <w:hideMark/>
              </w:tcPr>
              <w:p w14:paraId="14B24AF0"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9452000</w:t>
                </w:r>
              </w:p>
            </w:tc>
          </w:tr>
          <w:tr w:rsidR="00AB0D7A" w:rsidRPr="000F70F6" w14:paraId="09765B21" w14:textId="77777777" w:rsidTr="00AB0D7A">
            <w:trPr>
              <w:trHeight w:val="500"/>
            </w:trPr>
            <w:tc>
              <w:tcPr>
                <w:tcW w:w="47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CD35A3D"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 xml:space="preserve">Ratios </w:t>
                </w:r>
              </w:p>
            </w:tc>
            <w:tc>
              <w:tcPr>
                <w:tcW w:w="2025" w:type="dxa"/>
                <w:tcBorders>
                  <w:top w:val="single" w:sz="4" w:space="0" w:color="808080"/>
                  <w:left w:val="single" w:sz="4" w:space="0" w:color="000000"/>
                  <w:bottom w:val="single" w:sz="4" w:space="0" w:color="808080"/>
                  <w:right w:val="single" w:sz="4" w:space="0" w:color="808080"/>
                </w:tcBorders>
                <w:tcMar>
                  <w:top w:w="100" w:type="dxa"/>
                  <w:left w:w="100" w:type="dxa"/>
                  <w:bottom w:w="100" w:type="dxa"/>
                  <w:right w:w="100" w:type="dxa"/>
                </w:tcMar>
                <w:hideMark/>
              </w:tcPr>
              <w:p w14:paraId="6339B132"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14%</w:t>
                </w:r>
              </w:p>
            </w:tc>
            <w:tc>
              <w:tcPr>
                <w:tcW w:w="1755" w:type="dxa"/>
                <w:tcBorders>
                  <w:top w:val="single" w:sz="4" w:space="0" w:color="808080"/>
                  <w:left w:val="single" w:sz="4" w:space="0" w:color="808080"/>
                  <w:bottom w:val="single" w:sz="4" w:space="0" w:color="808080"/>
                  <w:right w:val="single" w:sz="4" w:space="0" w:color="808080"/>
                </w:tcBorders>
                <w:tcMar>
                  <w:top w:w="100" w:type="dxa"/>
                  <w:left w:w="100" w:type="dxa"/>
                  <w:bottom w:w="100" w:type="dxa"/>
                  <w:right w:w="100" w:type="dxa"/>
                </w:tcMar>
                <w:hideMark/>
              </w:tcPr>
              <w:p w14:paraId="374FBF9A"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26%</w:t>
                </w:r>
              </w:p>
            </w:tc>
          </w:tr>
        </w:tbl>
        <w:p w14:paraId="1C92AED9" w14:textId="77777777" w:rsidR="00AB0D7A" w:rsidRPr="000F70F6" w:rsidRDefault="00AB0D7A" w:rsidP="00602B28">
          <w:pPr>
            <w:spacing w:line="360" w:lineRule="auto"/>
            <w:jc w:val="both"/>
            <w:rPr>
              <w:rFonts w:ascii="Times New Roman" w:hAnsi="Times New Roman" w:cs="Times New Roman"/>
              <w:sz w:val="24"/>
              <w:szCs w:val="24"/>
            </w:rPr>
          </w:pPr>
        </w:p>
        <w:p w14:paraId="424A749A"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b/>
              <w:sz w:val="24"/>
              <w:szCs w:val="24"/>
            </w:rPr>
            <w:t xml:space="preserve">“Definition”: </w:t>
          </w:r>
          <w:r w:rsidRPr="000F70F6">
            <w:rPr>
              <w:rFonts w:ascii="Times New Roman" w:hAnsi="Times New Roman" w:cs="Times New Roman"/>
              <w:sz w:val="24"/>
              <w:szCs w:val="24"/>
            </w:rPr>
            <w:t xml:space="preserve">Initiate for formulating the financial approach associated with the business production approach mainly with considering the revenue formulation support. </w:t>
          </w:r>
        </w:p>
        <w:p w14:paraId="3D681382"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b/>
              <w:sz w:val="24"/>
              <w:szCs w:val="24"/>
            </w:rPr>
            <w:lastRenderedPageBreak/>
            <w:t xml:space="preserve">“Company’s performances”: </w:t>
          </w:r>
          <w:r w:rsidRPr="000F70F6">
            <w:rPr>
              <w:rFonts w:ascii="Times New Roman" w:hAnsi="Times New Roman" w:cs="Times New Roman"/>
              <w:sz w:val="24"/>
              <w:szCs w:val="24"/>
            </w:rPr>
            <w:t xml:space="preserve">Depending on the present covid circumstances a significant level of declining approach is noticed that indicates the present operating approach of the business is not supportive for development. </w:t>
          </w:r>
        </w:p>
        <w:p w14:paraId="5CC13AB7"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b/>
              <w:sz w:val="24"/>
              <w:szCs w:val="24"/>
            </w:rPr>
            <w:t xml:space="preserve">“Yearly performances”: </w:t>
          </w:r>
          <w:r w:rsidRPr="000F70F6">
            <w:rPr>
              <w:rFonts w:ascii="Times New Roman" w:hAnsi="Times New Roman" w:cs="Times New Roman"/>
              <w:sz w:val="24"/>
              <w:szCs w:val="24"/>
            </w:rPr>
            <w:t xml:space="preserve">During the period of 2019 the ratio resulted in 26%, while in 2020 it declined to 14% respectively along with a sustainable financial approach. </w:t>
          </w:r>
        </w:p>
        <w:p w14:paraId="7BF66C2C"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b/>
              <w:sz w:val="24"/>
              <w:szCs w:val="24"/>
            </w:rPr>
            <w:t xml:space="preserve">“Reasons”: </w:t>
          </w:r>
          <w:r w:rsidRPr="000F70F6">
            <w:rPr>
              <w:rFonts w:ascii="Times New Roman" w:hAnsi="Times New Roman" w:cs="Times New Roman"/>
              <w:sz w:val="24"/>
              <w:szCs w:val="24"/>
            </w:rPr>
            <w:t xml:space="preserve">Due to covid overall customers engagement level significantly decreased at the present situation including the non-supportive operating engagement that also impose a level of negative impact over the business mainly.  </w:t>
          </w:r>
        </w:p>
        <w:p w14:paraId="37A0D131"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b/>
              <w:sz w:val="24"/>
              <w:szCs w:val="24"/>
            </w:rPr>
            <w:t xml:space="preserve">“Development strategy”: </w:t>
          </w:r>
          <w:r w:rsidRPr="000F70F6">
            <w:rPr>
              <w:rFonts w:ascii="Times New Roman" w:hAnsi="Times New Roman" w:cs="Times New Roman"/>
              <w:sz w:val="24"/>
              <w:szCs w:val="24"/>
            </w:rPr>
            <w:t xml:space="preserve">A formulated development including marketing growth is necessary for enhancing the level of business revenue on a proper basis. </w:t>
          </w:r>
        </w:p>
        <w:p w14:paraId="2F860C5C"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 xml:space="preserve">Net profit margin </w:t>
          </w:r>
        </w:p>
        <w:tbl>
          <w:tblPr>
            <w:tblW w:w="8535" w:type="dxa"/>
            <w:tblBorders>
              <w:insideH w:val="nil"/>
              <w:insideV w:val="nil"/>
            </w:tblBorders>
            <w:tblLayout w:type="fixed"/>
            <w:tblLook w:val="0600" w:firstRow="0" w:lastRow="0" w:firstColumn="0" w:lastColumn="0" w:noHBand="1" w:noVBand="1"/>
          </w:tblPr>
          <w:tblGrid>
            <w:gridCol w:w="4695"/>
            <w:gridCol w:w="1950"/>
            <w:gridCol w:w="1890"/>
          </w:tblGrid>
          <w:tr w:rsidR="00AB0D7A" w:rsidRPr="000F70F6" w14:paraId="185A088E" w14:textId="77777777" w:rsidTr="00AB0D7A">
            <w:trPr>
              <w:trHeight w:val="500"/>
            </w:trPr>
            <w:tc>
              <w:tcPr>
                <w:tcW w:w="4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494EACE" w14:textId="77777777" w:rsidR="00AB0D7A" w:rsidRPr="000F70F6" w:rsidRDefault="00AB0D7A" w:rsidP="00602B28">
                <w:pPr>
                  <w:widowControl w:val="0"/>
                  <w:spacing w:line="360" w:lineRule="auto"/>
                  <w:jc w:val="both"/>
                  <w:rPr>
                    <w:rFonts w:ascii="Times New Roman" w:hAnsi="Times New Roman" w:cs="Times New Roman"/>
                    <w:b/>
                    <w:sz w:val="24"/>
                    <w:szCs w:val="24"/>
                  </w:rPr>
                </w:pPr>
                <w:r w:rsidRPr="000F70F6">
                  <w:rPr>
                    <w:rFonts w:ascii="Times New Roman" w:hAnsi="Times New Roman" w:cs="Times New Roman"/>
                    <w:b/>
                    <w:sz w:val="24"/>
                    <w:szCs w:val="24"/>
                  </w:rPr>
                  <w:t xml:space="preserve">Particulars </w:t>
                </w:r>
              </w:p>
            </w:tc>
            <w:tc>
              <w:tcPr>
                <w:tcW w:w="19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000C252" w14:textId="77777777" w:rsidR="00AB0D7A" w:rsidRPr="000F70F6" w:rsidRDefault="00AB0D7A" w:rsidP="00602B28">
                <w:pPr>
                  <w:widowControl w:val="0"/>
                  <w:spacing w:line="360" w:lineRule="auto"/>
                  <w:jc w:val="both"/>
                  <w:rPr>
                    <w:rFonts w:ascii="Times New Roman" w:hAnsi="Times New Roman" w:cs="Times New Roman"/>
                    <w:b/>
                    <w:sz w:val="24"/>
                    <w:szCs w:val="24"/>
                  </w:rPr>
                </w:pPr>
                <w:r w:rsidRPr="000F70F6">
                  <w:rPr>
                    <w:rFonts w:ascii="Times New Roman" w:hAnsi="Times New Roman" w:cs="Times New Roman"/>
                    <w:b/>
                    <w:sz w:val="24"/>
                    <w:szCs w:val="24"/>
                  </w:rPr>
                  <w:t>2020</w:t>
                </w:r>
              </w:p>
            </w:tc>
            <w:tc>
              <w:tcPr>
                <w:tcW w:w="18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82B8354" w14:textId="77777777" w:rsidR="00AB0D7A" w:rsidRPr="000F70F6" w:rsidRDefault="00AB0D7A" w:rsidP="00602B28">
                <w:pPr>
                  <w:widowControl w:val="0"/>
                  <w:spacing w:line="360" w:lineRule="auto"/>
                  <w:jc w:val="both"/>
                  <w:rPr>
                    <w:rFonts w:ascii="Times New Roman" w:hAnsi="Times New Roman" w:cs="Times New Roman"/>
                    <w:b/>
                    <w:sz w:val="24"/>
                    <w:szCs w:val="24"/>
                  </w:rPr>
                </w:pPr>
                <w:r w:rsidRPr="000F70F6">
                  <w:rPr>
                    <w:rFonts w:ascii="Times New Roman" w:hAnsi="Times New Roman" w:cs="Times New Roman"/>
                    <w:b/>
                    <w:sz w:val="24"/>
                    <w:szCs w:val="24"/>
                  </w:rPr>
                  <w:t>2019</w:t>
                </w:r>
              </w:p>
            </w:tc>
          </w:tr>
          <w:tr w:rsidR="00AB0D7A" w:rsidRPr="000F70F6" w14:paraId="45B762E5" w14:textId="77777777" w:rsidTr="00AB0D7A">
            <w:trPr>
              <w:trHeight w:val="500"/>
            </w:trPr>
            <w:tc>
              <w:tcPr>
                <w:tcW w:w="4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106FDA9"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 xml:space="preserve">Net profit </w:t>
                </w:r>
              </w:p>
            </w:tc>
            <w:tc>
              <w:tcPr>
                <w:tcW w:w="1950" w:type="dxa"/>
                <w:tcBorders>
                  <w:top w:val="single" w:sz="4" w:space="0" w:color="000000"/>
                  <w:left w:val="single" w:sz="4" w:space="0" w:color="000000"/>
                  <w:bottom w:val="single" w:sz="4" w:space="0" w:color="808080"/>
                  <w:right w:val="single" w:sz="4" w:space="0" w:color="808080"/>
                </w:tcBorders>
                <w:tcMar>
                  <w:top w:w="100" w:type="dxa"/>
                  <w:left w:w="100" w:type="dxa"/>
                  <w:bottom w:w="100" w:type="dxa"/>
                  <w:right w:w="100" w:type="dxa"/>
                </w:tcMar>
                <w:hideMark/>
              </w:tcPr>
              <w:p w14:paraId="143E2094"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-715000</w:t>
                </w:r>
              </w:p>
            </w:tc>
            <w:tc>
              <w:tcPr>
                <w:tcW w:w="1890" w:type="dxa"/>
                <w:tcBorders>
                  <w:top w:val="single" w:sz="4" w:space="0" w:color="000000"/>
                  <w:left w:val="single" w:sz="4" w:space="0" w:color="808080"/>
                  <w:bottom w:val="single" w:sz="4" w:space="0" w:color="808080"/>
                  <w:right w:val="single" w:sz="4" w:space="0" w:color="808080"/>
                </w:tcBorders>
                <w:tcMar>
                  <w:top w:w="100" w:type="dxa"/>
                  <w:left w:w="100" w:type="dxa"/>
                  <w:bottom w:w="100" w:type="dxa"/>
                  <w:right w:w="100" w:type="dxa"/>
                </w:tcMar>
                <w:hideMark/>
              </w:tcPr>
              <w:p w14:paraId="2E747BA0"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881000</w:t>
                </w:r>
              </w:p>
            </w:tc>
          </w:tr>
          <w:tr w:rsidR="00AB0D7A" w:rsidRPr="000F70F6" w14:paraId="4E4F896B" w14:textId="77777777" w:rsidTr="00AB0D7A">
            <w:trPr>
              <w:trHeight w:val="500"/>
            </w:trPr>
            <w:tc>
              <w:tcPr>
                <w:tcW w:w="4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759C6C1"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 xml:space="preserve">Revenue </w:t>
                </w:r>
              </w:p>
            </w:tc>
            <w:tc>
              <w:tcPr>
                <w:tcW w:w="1950" w:type="dxa"/>
                <w:tcBorders>
                  <w:top w:val="single" w:sz="4" w:space="0" w:color="808080"/>
                  <w:left w:val="single" w:sz="4" w:space="0" w:color="000000"/>
                  <w:bottom w:val="single" w:sz="4" w:space="0" w:color="808080"/>
                  <w:right w:val="single" w:sz="4" w:space="0" w:color="808080"/>
                </w:tcBorders>
                <w:tcMar>
                  <w:top w:w="100" w:type="dxa"/>
                  <w:left w:w="100" w:type="dxa"/>
                  <w:bottom w:w="100" w:type="dxa"/>
                  <w:right w:w="100" w:type="dxa"/>
                </w:tcMar>
                <w:hideMark/>
              </w:tcPr>
              <w:p w14:paraId="3A2AB29B"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4307000</w:t>
                </w:r>
              </w:p>
            </w:tc>
            <w:tc>
              <w:tcPr>
                <w:tcW w:w="1890" w:type="dxa"/>
                <w:tcBorders>
                  <w:top w:val="single" w:sz="4" w:space="0" w:color="808080"/>
                  <w:left w:val="single" w:sz="4" w:space="0" w:color="808080"/>
                  <w:bottom w:val="single" w:sz="4" w:space="0" w:color="808080"/>
                  <w:right w:val="single" w:sz="4" w:space="0" w:color="808080"/>
                </w:tcBorders>
                <w:tcMar>
                  <w:top w:w="100" w:type="dxa"/>
                  <w:left w:w="100" w:type="dxa"/>
                  <w:bottom w:w="100" w:type="dxa"/>
                  <w:right w:w="100" w:type="dxa"/>
                </w:tcMar>
                <w:hideMark/>
              </w:tcPr>
              <w:p w14:paraId="1312ABA5"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9452000</w:t>
                </w:r>
              </w:p>
            </w:tc>
          </w:tr>
          <w:tr w:rsidR="00AB0D7A" w:rsidRPr="000F70F6" w14:paraId="5283584B" w14:textId="77777777" w:rsidTr="00AB0D7A">
            <w:trPr>
              <w:trHeight w:val="500"/>
            </w:trPr>
            <w:tc>
              <w:tcPr>
                <w:tcW w:w="4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C57BBB7"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 xml:space="preserve">Ratios </w:t>
                </w:r>
              </w:p>
            </w:tc>
            <w:tc>
              <w:tcPr>
                <w:tcW w:w="1950" w:type="dxa"/>
                <w:tcBorders>
                  <w:top w:val="single" w:sz="4" w:space="0" w:color="808080"/>
                  <w:left w:val="single" w:sz="4" w:space="0" w:color="000000"/>
                  <w:bottom w:val="single" w:sz="4" w:space="0" w:color="808080"/>
                  <w:right w:val="single" w:sz="4" w:space="0" w:color="808080"/>
                </w:tcBorders>
                <w:tcMar>
                  <w:top w:w="100" w:type="dxa"/>
                  <w:left w:w="100" w:type="dxa"/>
                  <w:bottom w:w="100" w:type="dxa"/>
                  <w:right w:w="100" w:type="dxa"/>
                </w:tcMar>
                <w:hideMark/>
              </w:tcPr>
              <w:p w14:paraId="2CC94043"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-17%</w:t>
                </w:r>
              </w:p>
            </w:tc>
            <w:tc>
              <w:tcPr>
                <w:tcW w:w="1890" w:type="dxa"/>
                <w:tcBorders>
                  <w:top w:val="single" w:sz="4" w:space="0" w:color="808080"/>
                  <w:left w:val="single" w:sz="4" w:space="0" w:color="808080"/>
                  <w:bottom w:val="single" w:sz="4" w:space="0" w:color="808080"/>
                  <w:right w:val="single" w:sz="4" w:space="0" w:color="808080"/>
                </w:tcBorders>
                <w:tcMar>
                  <w:top w:w="100" w:type="dxa"/>
                  <w:left w:w="100" w:type="dxa"/>
                  <w:bottom w:w="100" w:type="dxa"/>
                  <w:right w:w="100" w:type="dxa"/>
                </w:tcMar>
                <w:hideMark/>
              </w:tcPr>
              <w:p w14:paraId="3FB30994" w14:textId="77777777" w:rsidR="00AB0D7A" w:rsidRPr="000F70F6" w:rsidRDefault="00AB0D7A" w:rsidP="00602B28">
                <w:pPr>
                  <w:widowControl w:val="0"/>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9%</w:t>
                </w:r>
              </w:p>
            </w:tc>
          </w:tr>
        </w:tbl>
        <w:p w14:paraId="13DF13CF" w14:textId="77777777" w:rsidR="00AB0D7A" w:rsidRPr="000F70F6" w:rsidRDefault="00AB0D7A" w:rsidP="00602B28">
          <w:pPr>
            <w:spacing w:line="360" w:lineRule="auto"/>
            <w:jc w:val="both"/>
            <w:rPr>
              <w:rFonts w:ascii="Times New Roman" w:hAnsi="Times New Roman" w:cs="Times New Roman"/>
              <w:sz w:val="24"/>
              <w:szCs w:val="24"/>
            </w:rPr>
          </w:pPr>
        </w:p>
        <w:p w14:paraId="7007A884"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b/>
              <w:sz w:val="24"/>
              <w:szCs w:val="24"/>
            </w:rPr>
            <w:t xml:space="preserve">“Definition”: </w:t>
          </w:r>
          <w:r w:rsidRPr="000F70F6">
            <w:rPr>
              <w:rFonts w:ascii="Times New Roman" w:hAnsi="Times New Roman" w:cs="Times New Roman"/>
              <w:sz w:val="24"/>
              <w:szCs w:val="24"/>
            </w:rPr>
            <w:t xml:space="preserve">Initiate for presenting the primary compatibility approach of business in a proper basis including the recognition regarding operating standardised approach in a proper manner also. </w:t>
          </w:r>
        </w:p>
        <w:p w14:paraId="70D8B242"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b/>
              <w:sz w:val="24"/>
              <w:szCs w:val="24"/>
            </w:rPr>
            <w:t xml:space="preserve">“Company’s performances”: </w:t>
          </w:r>
          <w:r w:rsidRPr="000F70F6">
            <w:rPr>
              <w:rFonts w:ascii="Times New Roman" w:hAnsi="Times New Roman" w:cs="Times New Roman"/>
              <w:sz w:val="24"/>
              <w:szCs w:val="24"/>
            </w:rPr>
            <w:t xml:space="preserve">According to the present operating approach a declining approach is identified that initiated significant amount of non-supportive financial processing approach in the present circumstances. </w:t>
          </w:r>
        </w:p>
        <w:p w14:paraId="443B73CE"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b/>
              <w:sz w:val="24"/>
              <w:szCs w:val="24"/>
            </w:rPr>
            <w:t xml:space="preserve">“Yearly performances”: </w:t>
          </w:r>
          <w:r w:rsidRPr="000F70F6">
            <w:rPr>
              <w:rFonts w:ascii="Times New Roman" w:hAnsi="Times New Roman" w:cs="Times New Roman"/>
              <w:sz w:val="24"/>
              <w:szCs w:val="24"/>
            </w:rPr>
            <w:t xml:space="preserve">During the period of 2019 the ratio resulted in 9%, while in 2020 it declined to (-17%) respectively along with a sustainable financial approach. </w:t>
          </w:r>
        </w:p>
        <w:p w14:paraId="37D679FB"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b/>
              <w:sz w:val="24"/>
              <w:szCs w:val="24"/>
            </w:rPr>
            <w:t xml:space="preserve">“Reasons”: </w:t>
          </w:r>
          <w:r w:rsidRPr="000F70F6">
            <w:rPr>
              <w:rFonts w:ascii="Times New Roman" w:hAnsi="Times New Roman" w:cs="Times New Roman"/>
              <w:sz w:val="24"/>
              <w:szCs w:val="24"/>
            </w:rPr>
            <w:t xml:space="preserve">In the present situation overall volume of present expenditure is non-supportive </w:t>
          </w:r>
          <w:proofErr w:type="gramStart"/>
          <w:r w:rsidRPr="000F70F6">
            <w:rPr>
              <w:rFonts w:ascii="Times New Roman" w:hAnsi="Times New Roman" w:cs="Times New Roman"/>
              <w:sz w:val="24"/>
              <w:szCs w:val="24"/>
            </w:rPr>
            <w:t>in order to</w:t>
          </w:r>
          <w:proofErr w:type="gramEnd"/>
          <w:r w:rsidRPr="000F70F6">
            <w:rPr>
              <w:rFonts w:ascii="Times New Roman" w:hAnsi="Times New Roman" w:cs="Times New Roman"/>
              <w:sz w:val="24"/>
              <w:szCs w:val="24"/>
            </w:rPr>
            <w:t xml:space="preserve"> manage the profit approach properly and the present performance level including </w:t>
          </w:r>
          <w:r w:rsidRPr="000F70F6">
            <w:rPr>
              <w:rFonts w:ascii="Times New Roman" w:hAnsi="Times New Roman" w:cs="Times New Roman"/>
              <w:sz w:val="24"/>
              <w:szCs w:val="24"/>
            </w:rPr>
            <w:lastRenderedPageBreak/>
            <w:t xml:space="preserve">supply chain processing also imposes a level of negative approach over the business basically.  </w:t>
          </w:r>
        </w:p>
        <w:p w14:paraId="3A126B59"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b/>
              <w:sz w:val="24"/>
              <w:szCs w:val="24"/>
            </w:rPr>
            <w:t xml:space="preserve">“Development strategy”: </w:t>
          </w:r>
          <w:r w:rsidRPr="000F70F6">
            <w:rPr>
              <w:rFonts w:ascii="Times New Roman" w:hAnsi="Times New Roman" w:cs="Times New Roman"/>
              <w:sz w:val="24"/>
              <w:szCs w:val="24"/>
            </w:rPr>
            <w:t xml:space="preserve">A systematic development including cost control with supply chain management support is required for developing the operating maintenance support mainly. </w:t>
          </w:r>
        </w:p>
        <w:p w14:paraId="6FAD1503" w14:textId="77777777" w:rsidR="00AB0D7A" w:rsidRPr="000F70F6" w:rsidRDefault="00AB0D7A" w:rsidP="003C5252">
          <w:pPr>
            <w:pStyle w:val="Heading1"/>
            <w:rPr>
              <w:color w:val="2E74B5" w:themeColor="accent1" w:themeShade="BF"/>
            </w:rPr>
          </w:pPr>
          <w:bookmarkStart w:id="4" w:name="_Toc104632261"/>
          <w:bookmarkStart w:id="5" w:name="_Toc104801385"/>
          <w:r w:rsidRPr="000F70F6">
            <w:rPr>
              <w:color w:val="2E74B5" w:themeColor="accent1" w:themeShade="BF"/>
            </w:rPr>
            <w:t>Section B: Identify importance of ratios for decision supportive</w:t>
          </w:r>
          <w:bookmarkEnd w:id="4"/>
          <w:bookmarkEnd w:id="5"/>
        </w:p>
        <w:p w14:paraId="5E0C1291" w14:textId="6C80DB24"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According to the primary conceptual approach</w:t>
          </w:r>
          <w:r w:rsidR="00E17D2F">
            <w:rPr>
              <w:rFonts w:ascii="Times New Roman" w:hAnsi="Times New Roman" w:cs="Times New Roman"/>
              <w:sz w:val="24"/>
              <w:szCs w:val="24"/>
            </w:rPr>
            <w:t>,</w:t>
          </w:r>
          <w:r w:rsidRPr="000F70F6">
            <w:rPr>
              <w:rFonts w:ascii="Times New Roman" w:hAnsi="Times New Roman" w:cs="Times New Roman"/>
              <w:sz w:val="24"/>
              <w:szCs w:val="24"/>
            </w:rPr>
            <w:t xml:space="preserve"> the engagement of “accounting ratio analysis” is applied for providing a systematic identification support</w:t>
          </w:r>
          <w:r w:rsidR="0075686A">
            <w:rPr>
              <w:rFonts w:ascii="Times New Roman" w:hAnsi="Times New Roman" w:cs="Times New Roman"/>
              <w:sz w:val="24"/>
              <w:szCs w:val="24"/>
            </w:rPr>
            <w:t>. This</w:t>
          </w:r>
          <w:r w:rsidRPr="000F70F6">
            <w:rPr>
              <w:rFonts w:ascii="Times New Roman" w:hAnsi="Times New Roman" w:cs="Times New Roman"/>
              <w:sz w:val="24"/>
              <w:szCs w:val="24"/>
            </w:rPr>
            <w:t xml:space="preserve"> includ</w:t>
          </w:r>
          <w:r w:rsidR="0075686A">
            <w:rPr>
              <w:rFonts w:ascii="Times New Roman" w:hAnsi="Times New Roman" w:cs="Times New Roman"/>
              <w:sz w:val="24"/>
              <w:szCs w:val="24"/>
            </w:rPr>
            <w:t>es</w:t>
          </w:r>
          <w:r w:rsidRPr="000F70F6">
            <w:rPr>
              <w:rFonts w:ascii="Times New Roman" w:hAnsi="Times New Roman" w:cs="Times New Roman"/>
              <w:sz w:val="24"/>
              <w:szCs w:val="24"/>
            </w:rPr>
            <w:t xml:space="preserve"> analysis approach</w:t>
          </w:r>
          <w:r w:rsidR="0075686A">
            <w:rPr>
              <w:rFonts w:ascii="Times New Roman" w:hAnsi="Times New Roman" w:cs="Times New Roman"/>
              <w:sz w:val="24"/>
              <w:szCs w:val="24"/>
            </w:rPr>
            <w:t xml:space="preserve"> </w:t>
          </w:r>
          <w:r w:rsidRPr="000F70F6">
            <w:rPr>
              <w:rFonts w:ascii="Times New Roman" w:hAnsi="Times New Roman" w:cs="Times New Roman"/>
              <w:sz w:val="24"/>
              <w:szCs w:val="24"/>
            </w:rPr>
            <w:t>that can be managed for operating development and other formulation purposes. It allowed determination of basic financial position of business including the approach of “liquidity, profitability, risk, solvency, efficiency, operations effectiveness and including the positive utilisation of financial source analysis” support mainly that is proceeds for formulating the fundamental growth initiatives in an effective basis mainly (</w:t>
          </w:r>
          <w:r w:rsidRPr="000F70F6">
            <w:rPr>
              <w:rFonts w:ascii="Times New Roman" w:hAnsi="Times New Roman" w:cs="Times New Roman"/>
              <w:color w:val="222222"/>
              <w:sz w:val="24"/>
              <w:szCs w:val="24"/>
              <w:highlight w:val="white"/>
            </w:rPr>
            <w:t>Habib and Hasan, 2019)</w:t>
          </w:r>
          <w:r w:rsidRPr="000F70F6">
            <w:rPr>
              <w:rFonts w:ascii="Times New Roman" w:hAnsi="Times New Roman" w:cs="Times New Roman"/>
              <w:sz w:val="24"/>
              <w:szCs w:val="24"/>
            </w:rPr>
            <w:t xml:space="preserve">. </w:t>
          </w:r>
        </w:p>
        <w:p w14:paraId="103135E5" w14:textId="0609F10C"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Along with recognising the historical data support, appl</w:t>
          </w:r>
          <w:r w:rsidR="00EC745D">
            <w:rPr>
              <w:rFonts w:ascii="Times New Roman" w:hAnsi="Times New Roman" w:cs="Times New Roman"/>
              <w:sz w:val="24"/>
              <w:szCs w:val="24"/>
            </w:rPr>
            <w:t>ying</w:t>
          </w:r>
          <w:r w:rsidRPr="000F70F6">
            <w:rPr>
              <w:rFonts w:ascii="Times New Roman" w:hAnsi="Times New Roman" w:cs="Times New Roman"/>
              <w:sz w:val="24"/>
              <w:szCs w:val="24"/>
            </w:rPr>
            <w:t xml:space="preserve"> this </w:t>
          </w:r>
          <w:r w:rsidR="00C62C0E" w:rsidRPr="000F70F6">
            <w:rPr>
              <w:rFonts w:ascii="Times New Roman" w:hAnsi="Times New Roman" w:cs="Times New Roman"/>
              <w:sz w:val="24"/>
              <w:szCs w:val="24"/>
            </w:rPr>
            <w:t>evaluation</w:t>
          </w:r>
          <w:r w:rsidRPr="000F70F6">
            <w:rPr>
              <w:rFonts w:ascii="Times New Roman" w:hAnsi="Times New Roman" w:cs="Times New Roman"/>
              <w:sz w:val="24"/>
              <w:szCs w:val="24"/>
            </w:rPr>
            <w:t xml:space="preserve"> tool </w:t>
          </w:r>
          <w:r w:rsidR="00EC745D">
            <w:rPr>
              <w:rFonts w:ascii="Times New Roman" w:hAnsi="Times New Roman" w:cs="Times New Roman"/>
              <w:sz w:val="24"/>
              <w:szCs w:val="24"/>
            </w:rPr>
            <w:t xml:space="preserve">allows for better </w:t>
          </w:r>
          <w:r w:rsidRPr="000F70F6">
            <w:rPr>
              <w:rFonts w:ascii="Times New Roman" w:hAnsi="Times New Roman" w:cs="Times New Roman"/>
              <w:sz w:val="24"/>
              <w:szCs w:val="24"/>
            </w:rPr>
            <w:t xml:space="preserve">managing </w:t>
          </w:r>
          <w:r w:rsidR="00EC745D">
            <w:rPr>
              <w:rFonts w:ascii="Times New Roman" w:hAnsi="Times New Roman" w:cs="Times New Roman"/>
              <w:sz w:val="24"/>
              <w:szCs w:val="24"/>
            </w:rPr>
            <w:t xml:space="preserve">of </w:t>
          </w:r>
          <w:r w:rsidRPr="000F70F6">
            <w:rPr>
              <w:rFonts w:ascii="Times New Roman" w:hAnsi="Times New Roman" w:cs="Times New Roman"/>
              <w:sz w:val="24"/>
              <w:szCs w:val="24"/>
            </w:rPr>
            <w:t xml:space="preserve">the operating growth approach including performance stability mainly with the allowance of which positive comparison including decision making structure can also be managed. It also allows the crucial analysis </w:t>
          </w:r>
          <w:r w:rsidR="00C62C0E">
            <w:rPr>
              <w:rFonts w:ascii="Times New Roman" w:hAnsi="Times New Roman" w:cs="Times New Roman"/>
              <w:sz w:val="24"/>
              <w:szCs w:val="24"/>
            </w:rPr>
            <w:t>of</w:t>
          </w:r>
          <w:r w:rsidRPr="000F70F6">
            <w:rPr>
              <w:rFonts w:ascii="Times New Roman" w:hAnsi="Times New Roman" w:cs="Times New Roman"/>
              <w:sz w:val="24"/>
              <w:szCs w:val="24"/>
            </w:rPr>
            <w:t xml:space="preserve"> the benchmarking approach</w:t>
          </w:r>
          <w:r w:rsidR="00C62C0E">
            <w:rPr>
              <w:rFonts w:ascii="Times New Roman" w:hAnsi="Times New Roman" w:cs="Times New Roman"/>
              <w:sz w:val="24"/>
              <w:szCs w:val="24"/>
            </w:rPr>
            <w:t>,</w:t>
          </w:r>
          <w:r w:rsidRPr="000F70F6">
            <w:rPr>
              <w:rFonts w:ascii="Times New Roman" w:hAnsi="Times New Roman" w:cs="Times New Roman"/>
              <w:sz w:val="24"/>
              <w:szCs w:val="24"/>
            </w:rPr>
            <w:t xml:space="preserve"> mainly with the support of the fundamental growth</w:t>
          </w:r>
          <w:r w:rsidR="00C62C0E">
            <w:rPr>
              <w:rFonts w:ascii="Times New Roman" w:hAnsi="Times New Roman" w:cs="Times New Roman"/>
              <w:sz w:val="24"/>
              <w:szCs w:val="24"/>
            </w:rPr>
            <w:t xml:space="preserve"> theory. I</w:t>
          </w:r>
          <w:r w:rsidRPr="000F70F6">
            <w:rPr>
              <w:rFonts w:ascii="Times New Roman" w:hAnsi="Times New Roman" w:cs="Times New Roman"/>
              <w:sz w:val="24"/>
              <w:szCs w:val="24"/>
            </w:rPr>
            <w:t xml:space="preserve">ncluding positive competitive identification regarding operating stability and primary strength of the business can also be </w:t>
          </w:r>
          <w:r w:rsidR="00C62C0E">
            <w:rPr>
              <w:rFonts w:ascii="Times New Roman" w:hAnsi="Times New Roman" w:cs="Times New Roman"/>
              <w:sz w:val="24"/>
              <w:szCs w:val="24"/>
            </w:rPr>
            <w:t>utilised</w:t>
          </w:r>
          <w:r w:rsidRPr="000F70F6">
            <w:rPr>
              <w:rFonts w:ascii="Times New Roman" w:hAnsi="Times New Roman" w:cs="Times New Roman"/>
              <w:sz w:val="24"/>
              <w:szCs w:val="24"/>
            </w:rPr>
            <w:t xml:space="preserve"> in an effective order (Babar and Habib, 2021). It also manages the decision regarding industrial operating strategic purpose</w:t>
          </w:r>
          <w:r w:rsidR="00C62C0E">
            <w:rPr>
              <w:rFonts w:ascii="Times New Roman" w:hAnsi="Times New Roman" w:cs="Times New Roman"/>
              <w:sz w:val="24"/>
              <w:szCs w:val="24"/>
            </w:rPr>
            <w:t>,</w:t>
          </w:r>
          <w:r w:rsidRPr="000F70F6">
            <w:rPr>
              <w:rFonts w:ascii="Times New Roman" w:hAnsi="Times New Roman" w:cs="Times New Roman"/>
              <w:sz w:val="24"/>
              <w:szCs w:val="24"/>
            </w:rPr>
            <w:t xml:space="preserve"> including goal completion support regarding business development</w:t>
          </w:r>
          <w:r w:rsidR="00C62C0E">
            <w:rPr>
              <w:rFonts w:ascii="Times New Roman" w:hAnsi="Times New Roman" w:cs="Times New Roman"/>
              <w:sz w:val="24"/>
              <w:szCs w:val="24"/>
            </w:rPr>
            <w:t>.</w:t>
          </w:r>
        </w:p>
        <w:p w14:paraId="4AED5746" w14:textId="26D4D482" w:rsidR="00AB0D7A" w:rsidRPr="000F70F6" w:rsidRDefault="00F2371D" w:rsidP="00602B28">
          <w:pPr>
            <w:spacing w:line="360" w:lineRule="auto"/>
            <w:jc w:val="both"/>
            <w:rPr>
              <w:rFonts w:ascii="Times New Roman" w:hAnsi="Times New Roman" w:cs="Times New Roman"/>
              <w:sz w:val="24"/>
              <w:szCs w:val="24"/>
            </w:rPr>
          </w:pPr>
          <w:r>
            <w:rPr>
              <w:rFonts w:ascii="Times New Roman" w:hAnsi="Times New Roman" w:cs="Times New Roman"/>
              <w:sz w:val="24"/>
              <w:szCs w:val="24"/>
            </w:rPr>
            <w:t>In terms</w:t>
          </w:r>
          <w:r w:rsidR="00AB0D7A" w:rsidRPr="000F70F6">
            <w:rPr>
              <w:rFonts w:ascii="Times New Roman" w:hAnsi="Times New Roman" w:cs="Times New Roman"/>
              <w:sz w:val="24"/>
              <w:szCs w:val="24"/>
            </w:rPr>
            <w:t xml:space="preserve"> of </w:t>
          </w:r>
          <w:r>
            <w:rPr>
              <w:rFonts w:ascii="Times New Roman" w:hAnsi="Times New Roman" w:cs="Times New Roman"/>
              <w:sz w:val="24"/>
              <w:szCs w:val="24"/>
            </w:rPr>
            <w:t xml:space="preserve">the </w:t>
          </w:r>
          <w:r w:rsidR="00AB0D7A" w:rsidRPr="00C9410F">
            <w:rPr>
              <w:rFonts w:ascii="Times New Roman" w:hAnsi="Times New Roman" w:cs="Times New Roman"/>
              <w:bCs/>
              <w:sz w:val="24"/>
              <w:szCs w:val="24"/>
            </w:rPr>
            <w:t>Hilton</w:t>
          </w:r>
          <w:r w:rsidR="00AB0D7A" w:rsidRPr="000F70F6">
            <w:rPr>
              <w:rFonts w:ascii="Times New Roman" w:hAnsi="Times New Roman" w:cs="Times New Roman"/>
              <w:b/>
              <w:sz w:val="24"/>
              <w:szCs w:val="24"/>
            </w:rPr>
            <w:t xml:space="preserve">, </w:t>
          </w:r>
          <w:r w:rsidR="00AB0D7A" w:rsidRPr="000F70F6">
            <w:rPr>
              <w:rFonts w:ascii="Times New Roman" w:hAnsi="Times New Roman" w:cs="Times New Roman"/>
              <w:sz w:val="24"/>
              <w:szCs w:val="24"/>
            </w:rPr>
            <w:t xml:space="preserve">analysis support regarding accounting ratio processing brings the supportive maintenance and recognition support that is </w:t>
          </w:r>
          <w:r w:rsidR="00C9410F">
            <w:rPr>
              <w:rFonts w:ascii="Times New Roman" w:hAnsi="Times New Roman" w:cs="Times New Roman"/>
              <w:sz w:val="24"/>
              <w:szCs w:val="24"/>
            </w:rPr>
            <w:t>required</w:t>
          </w:r>
          <w:r w:rsidR="00AB0D7A" w:rsidRPr="000F70F6">
            <w:rPr>
              <w:rFonts w:ascii="Times New Roman" w:hAnsi="Times New Roman" w:cs="Times New Roman"/>
              <w:sz w:val="24"/>
              <w:szCs w:val="24"/>
            </w:rPr>
            <w:t xml:space="preserve"> for </w:t>
          </w:r>
          <w:r w:rsidR="00C9410F">
            <w:rPr>
              <w:rFonts w:ascii="Times New Roman" w:hAnsi="Times New Roman" w:cs="Times New Roman"/>
              <w:sz w:val="24"/>
              <w:szCs w:val="24"/>
            </w:rPr>
            <w:t>maximising</w:t>
          </w:r>
          <w:r w:rsidR="00AB0D7A" w:rsidRPr="000F70F6">
            <w:rPr>
              <w:rFonts w:ascii="Times New Roman" w:hAnsi="Times New Roman" w:cs="Times New Roman"/>
              <w:sz w:val="24"/>
              <w:szCs w:val="24"/>
            </w:rPr>
            <w:t xml:space="preserve"> profit</w:t>
          </w:r>
          <w:r w:rsidR="00C9410F">
            <w:rPr>
              <w:rFonts w:ascii="Times New Roman" w:hAnsi="Times New Roman" w:cs="Times New Roman"/>
              <w:sz w:val="24"/>
              <w:szCs w:val="24"/>
            </w:rPr>
            <w:t xml:space="preserve">, </w:t>
          </w:r>
          <w:r w:rsidR="00AB0D7A" w:rsidRPr="000F70F6">
            <w:rPr>
              <w:rFonts w:ascii="Times New Roman" w:hAnsi="Times New Roman" w:cs="Times New Roman"/>
              <w:sz w:val="24"/>
              <w:szCs w:val="24"/>
            </w:rPr>
            <w:t xml:space="preserve">revenue expansions, and cost maintenance </w:t>
          </w:r>
          <w:r w:rsidR="00C9410F">
            <w:rPr>
              <w:rFonts w:ascii="Times New Roman" w:hAnsi="Times New Roman" w:cs="Times New Roman"/>
              <w:sz w:val="24"/>
              <w:szCs w:val="24"/>
            </w:rPr>
            <w:t xml:space="preserve">to make financial </w:t>
          </w:r>
          <w:r w:rsidR="00AB0D7A" w:rsidRPr="000F70F6">
            <w:rPr>
              <w:rFonts w:ascii="Times New Roman" w:hAnsi="Times New Roman" w:cs="Times New Roman"/>
              <w:sz w:val="24"/>
              <w:szCs w:val="24"/>
            </w:rPr>
            <w:t>decision</w:t>
          </w:r>
          <w:r w:rsidR="00C9410F">
            <w:rPr>
              <w:rFonts w:ascii="Times New Roman" w:hAnsi="Times New Roman" w:cs="Times New Roman"/>
              <w:sz w:val="24"/>
              <w:szCs w:val="24"/>
            </w:rPr>
            <w:t>s</w:t>
          </w:r>
          <w:r w:rsidR="00AB0D7A" w:rsidRPr="000F70F6">
            <w:rPr>
              <w:rFonts w:ascii="Times New Roman" w:hAnsi="Times New Roman" w:cs="Times New Roman"/>
              <w:sz w:val="24"/>
              <w:szCs w:val="24"/>
            </w:rPr>
            <w:t xml:space="preserve"> in an effective and sustainable manner. Associated with the present operating approach the marketing capitalisation approach of the business is indicating around 39.593billion with beta as 1.16 mainly indicating the significant risks assessment approach regarding business liquidity performances mainly (</w:t>
          </w:r>
          <w:proofErr w:type="spellStart"/>
          <w:r w:rsidR="00AB0D7A" w:rsidRPr="000F70F6">
            <w:rPr>
              <w:rFonts w:ascii="Times New Roman" w:hAnsi="Times New Roman" w:cs="Times New Roman"/>
              <w:color w:val="222222"/>
              <w:sz w:val="24"/>
              <w:szCs w:val="24"/>
              <w:highlight w:val="white"/>
            </w:rPr>
            <w:t>Linnenluecke</w:t>
          </w:r>
          <w:r w:rsidR="00AB0D7A" w:rsidRPr="000F70F6">
            <w:rPr>
              <w:rFonts w:ascii="Times New Roman" w:hAnsi="Times New Roman" w:cs="Times New Roman"/>
              <w:i/>
              <w:color w:val="222222"/>
              <w:sz w:val="24"/>
              <w:szCs w:val="24"/>
              <w:highlight w:val="white"/>
            </w:rPr>
            <w:t>et</w:t>
          </w:r>
          <w:proofErr w:type="spellEnd"/>
          <w:r w:rsidR="00AB0D7A" w:rsidRPr="000F70F6">
            <w:rPr>
              <w:rFonts w:ascii="Times New Roman" w:hAnsi="Times New Roman" w:cs="Times New Roman"/>
              <w:i/>
              <w:color w:val="222222"/>
              <w:sz w:val="24"/>
              <w:szCs w:val="24"/>
              <w:highlight w:val="white"/>
            </w:rPr>
            <w:t xml:space="preserve"> al.,</w:t>
          </w:r>
          <w:r w:rsidR="00AB0D7A" w:rsidRPr="000F70F6">
            <w:rPr>
              <w:rFonts w:ascii="Times New Roman" w:hAnsi="Times New Roman" w:cs="Times New Roman"/>
              <w:color w:val="222222"/>
              <w:sz w:val="24"/>
              <w:szCs w:val="24"/>
              <w:highlight w:val="white"/>
            </w:rPr>
            <w:t xml:space="preserve"> 2020)</w:t>
          </w:r>
          <w:r w:rsidR="00AB0D7A" w:rsidRPr="000F70F6">
            <w:rPr>
              <w:rFonts w:ascii="Times New Roman" w:hAnsi="Times New Roman" w:cs="Times New Roman"/>
              <w:sz w:val="24"/>
              <w:szCs w:val="24"/>
            </w:rPr>
            <w:t xml:space="preserve">. Under this position engagement of supportive and effective operating stability including sustainable growth analysis decisions can also be initiated by the management of such companies including the presence of accounting ratio analysis also. </w:t>
          </w:r>
        </w:p>
        <w:p w14:paraId="0E3A0468" w14:textId="77777777" w:rsidR="00AB0D7A" w:rsidRPr="000F70F6" w:rsidRDefault="00AB0D7A" w:rsidP="003C5252">
          <w:pPr>
            <w:pStyle w:val="Heading1"/>
            <w:rPr>
              <w:color w:val="2E74B5" w:themeColor="accent1" w:themeShade="BF"/>
            </w:rPr>
          </w:pPr>
          <w:bookmarkStart w:id="6" w:name="_Toc104632262"/>
          <w:bookmarkStart w:id="7" w:name="_Toc104801386"/>
          <w:r w:rsidRPr="000F70F6">
            <w:rPr>
              <w:color w:val="2E74B5" w:themeColor="accent1" w:themeShade="BF"/>
            </w:rPr>
            <w:lastRenderedPageBreak/>
            <w:t>Section C: General limitation of using ratios, significance of using ratios and its fluctuation for this hotel business</w:t>
          </w:r>
          <w:bookmarkEnd w:id="6"/>
          <w:bookmarkEnd w:id="7"/>
        </w:p>
        <w:p w14:paraId="62C7B371" w14:textId="0BD1E299" w:rsidR="00AB0D7A" w:rsidRPr="000F70F6" w:rsidRDefault="00F2371D" w:rsidP="00602B28">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AB0D7A" w:rsidRPr="000F70F6">
            <w:rPr>
              <w:rFonts w:ascii="Times New Roman" w:hAnsi="Times New Roman" w:cs="Times New Roman"/>
              <w:sz w:val="24"/>
              <w:szCs w:val="24"/>
            </w:rPr>
            <w:t xml:space="preserve"> presence of a positive accounting analysis approach brings the formulated evaluation support </w:t>
          </w:r>
          <w:r w:rsidR="00361DFE">
            <w:rPr>
              <w:rFonts w:ascii="Times New Roman" w:hAnsi="Times New Roman" w:cs="Times New Roman"/>
              <w:sz w:val="24"/>
              <w:szCs w:val="24"/>
            </w:rPr>
            <w:t>to</w:t>
          </w:r>
          <w:r w:rsidR="00AB0D7A" w:rsidRPr="000F70F6">
            <w:rPr>
              <w:rFonts w:ascii="Times New Roman" w:hAnsi="Times New Roman" w:cs="Times New Roman"/>
              <w:sz w:val="24"/>
              <w:szCs w:val="24"/>
            </w:rPr>
            <w:t xml:space="preserve"> present financial position of business with the recognition </w:t>
          </w:r>
          <w:r w:rsidR="00361DFE">
            <w:rPr>
              <w:rFonts w:ascii="Times New Roman" w:hAnsi="Times New Roman" w:cs="Times New Roman"/>
              <w:sz w:val="24"/>
              <w:szCs w:val="24"/>
            </w:rPr>
            <w:t xml:space="preserve">of </w:t>
          </w:r>
          <w:r w:rsidR="00AB0D7A" w:rsidRPr="000F70F6">
            <w:rPr>
              <w:rFonts w:ascii="Times New Roman" w:hAnsi="Times New Roman" w:cs="Times New Roman"/>
              <w:sz w:val="24"/>
              <w:szCs w:val="24"/>
            </w:rPr>
            <w:t xml:space="preserve">support regarding historical data analysis. </w:t>
          </w:r>
          <w:r w:rsidR="00361DFE">
            <w:rPr>
              <w:rFonts w:ascii="Times New Roman" w:hAnsi="Times New Roman" w:cs="Times New Roman"/>
              <w:sz w:val="24"/>
              <w:szCs w:val="24"/>
            </w:rPr>
            <w:t>On the other hand</w:t>
          </w:r>
          <w:r w:rsidR="00AB0D7A" w:rsidRPr="000F70F6">
            <w:rPr>
              <w:rFonts w:ascii="Times New Roman" w:hAnsi="Times New Roman" w:cs="Times New Roman"/>
              <w:sz w:val="24"/>
              <w:szCs w:val="24"/>
            </w:rPr>
            <w:t xml:space="preserve">, the presence of such analysis also influences some level of difficulties also that includes some primary disadvantages mainly. Those </w:t>
          </w:r>
          <w:proofErr w:type="gramStart"/>
          <w:r w:rsidR="00AB0D7A" w:rsidRPr="000F70F6">
            <w:rPr>
              <w:rFonts w:ascii="Times New Roman" w:hAnsi="Times New Roman" w:cs="Times New Roman"/>
              <w:sz w:val="24"/>
              <w:szCs w:val="24"/>
            </w:rPr>
            <w:t>are;</w:t>
          </w:r>
          <w:proofErr w:type="gramEnd"/>
          <w:r w:rsidR="00AB0D7A" w:rsidRPr="000F70F6">
            <w:rPr>
              <w:rFonts w:ascii="Times New Roman" w:hAnsi="Times New Roman" w:cs="Times New Roman"/>
              <w:sz w:val="24"/>
              <w:szCs w:val="24"/>
            </w:rPr>
            <w:t xml:space="preserve"> </w:t>
          </w:r>
        </w:p>
        <w:p w14:paraId="223BCF98" w14:textId="77777777" w:rsidR="00AB0D7A" w:rsidRPr="000F70F6" w:rsidRDefault="00AB0D7A" w:rsidP="00602B28">
          <w:pPr>
            <w:numPr>
              <w:ilvl w:val="0"/>
              <w:numId w:val="2"/>
            </w:numPr>
            <w:spacing w:after="0" w:line="360" w:lineRule="auto"/>
            <w:jc w:val="both"/>
            <w:rPr>
              <w:rFonts w:ascii="Times New Roman" w:hAnsi="Times New Roman" w:cs="Times New Roman"/>
              <w:sz w:val="24"/>
              <w:szCs w:val="24"/>
            </w:rPr>
          </w:pPr>
          <w:r w:rsidRPr="000F70F6">
            <w:rPr>
              <w:rFonts w:ascii="Times New Roman" w:hAnsi="Times New Roman" w:cs="Times New Roman"/>
              <w:sz w:val="24"/>
              <w:szCs w:val="24"/>
            </w:rPr>
            <w:t>Engagement of accounting ratio analysis mainly focuses on the historical cost approach with the processing of which general financial analysis of the business can be realised. However, it is unable to provide importance to the forecasted analysis support regarding accounting presentation that is initiated for performance growth determination purpose (</w:t>
          </w:r>
          <w:r w:rsidRPr="000F70F6">
            <w:rPr>
              <w:rFonts w:ascii="Times New Roman" w:hAnsi="Times New Roman" w:cs="Times New Roman"/>
              <w:color w:val="222222"/>
              <w:sz w:val="24"/>
              <w:szCs w:val="24"/>
              <w:highlight w:val="white"/>
            </w:rPr>
            <w:t>Liu and He, 2019)</w:t>
          </w:r>
          <w:r w:rsidRPr="000F70F6">
            <w:rPr>
              <w:rFonts w:ascii="Times New Roman" w:hAnsi="Times New Roman" w:cs="Times New Roman"/>
              <w:sz w:val="24"/>
              <w:szCs w:val="24"/>
            </w:rPr>
            <w:t xml:space="preserve">. </w:t>
          </w:r>
        </w:p>
        <w:p w14:paraId="6B97B004" w14:textId="77777777" w:rsidR="00AB0D7A" w:rsidRPr="000F70F6" w:rsidRDefault="00AB0D7A" w:rsidP="00602B28">
          <w:pPr>
            <w:numPr>
              <w:ilvl w:val="0"/>
              <w:numId w:val="2"/>
            </w:numPr>
            <w:spacing w:after="0" w:line="360" w:lineRule="auto"/>
            <w:jc w:val="both"/>
            <w:rPr>
              <w:rFonts w:ascii="Times New Roman" w:hAnsi="Times New Roman" w:cs="Times New Roman"/>
              <w:sz w:val="24"/>
              <w:szCs w:val="24"/>
            </w:rPr>
          </w:pPr>
          <w:r w:rsidRPr="000F70F6">
            <w:rPr>
              <w:rFonts w:ascii="Times New Roman" w:hAnsi="Times New Roman" w:cs="Times New Roman"/>
              <w:sz w:val="24"/>
              <w:szCs w:val="24"/>
            </w:rPr>
            <w:t xml:space="preserve">The maintenance of such is unable to provide focus over the basic inflationary effects associated to business operating performances mainly with the maintenance of which a supportive understanding regarding the price fluctuations associated with the engagement in flexible marketing approach can be realisable. </w:t>
          </w:r>
        </w:p>
        <w:p w14:paraId="35487354" w14:textId="77777777" w:rsidR="00AB0D7A" w:rsidRPr="000F70F6" w:rsidRDefault="00AB0D7A" w:rsidP="00602B28">
          <w:pPr>
            <w:numPr>
              <w:ilvl w:val="0"/>
              <w:numId w:val="2"/>
            </w:numPr>
            <w:spacing w:after="0" w:line="360" w:lineRule="auto"/>
            <w:jc w:val="both"/>
            <w:rPr>
              <w:rFonts w:ascii="Times New Roman" w:hAnsi="Times New Roman" w:cs="Times New Roman"/>
              <w:sz w:val="24"/>
              <w:szCs w:val="24"/>
            </w:rPr>
          </w:pPr>
          <w:r w:rsidRPr="000F70F6">
            <w:rPr>
              <w:rFonts w:ascii="Times New Roman" w:hAnsi="Times New Roman" w:cs="Times New Roman"/>
              <w:sz w:val="24"/>
              <w:szCs w:val="24"/>
            </w:rPr>
            <w:t xml:space="preserve">Importance of this analysis is generally formulated with the support of accounting policies, which is unable to manage consistency including formulated development in an effective basis for managing optimised growth initiatives in an effective manner mainly. </w:t>
          </w:r>
        </w:p>
        <w:p w14:paraId="377D2A51" w14:textId="77777777" w:rsidR="00AB0D7A" w:rsidRPr="000F70F6" w:rsidRDefault="00AB0D7A" w:rsidP="00602B28">
          <w:pPr>
            <w:numPr>
              <w:ilvl w:val="0"/>
              <w:numId w:val="2"/>
            </w:numPr>
            <w:spacing w:after="0" w:line="360" w:lineRule="auto"/>
            <w:jc w:val="both"/>
            <w:rPr>
              <w:rFonts w:ascii="Times New Roman" w:hAnsi="Times New Roman" w:cs="Times New Roman"/>
              <w:sz w:val="24"/>
              <w:szCs w:val="24"/>
            </w:rPr>
          </w:pPr>
          <w:r w:rsidRPr="000F70F6">
            <w:rPr>
              <w:rFonts w:ascii="Times New Roman" w:hAnsi="Times New Roman" w:cs="Times New Roman"/>
              <w:sz w:val="24"/>
              <w:szCs w:val="24"/>
            </w:rPr>
            <w:t xml:space="preserve">The maintenance of ratios </w:t>
          </w:r>
          <w:proofErr w:type="gramStart"/>
          <w:r w:rsidRPr="000F70F6">
            <w:rPr>
              <w:rFonts w:ascii="Times New Roman" w:hAnsi="Times New Roman" w:cs="Times New Roman"/>
              <w:sz w:val="24"/>
              <w:szCs w:val="24"/>
            </w:rPr>
            <w:t>are</w:t>
          </w:r>
          <w:proofErr w:type="gramEnd"/>
          <w:r w:rsidRPr="000F70F6">
            <w:rPr>
              <w:rFonts w:ascii="Times New Roman" w:hAnsi="Times New Roman" w:cs="Times New Roman"/>
              <w:sz w:val="24"/>
              <w:szCs w:val="24"/>
            </w:rPr>
            <w:t xml:space="preserve"> also unable to provide importance to the operating consistency approach mainly with the support of which the positive formulation including marketing initiatives can also be identified in an effective and sustainable manner mainly. </w:t>
          </w:r>
        </w:p>
        <w:p w14:paraId="57CD463B" w14:textId="77777777" w:rsidR="00AB0D7A" w:rsidRPr="000F70F6" w:rsidRDefault="00AB0D7A" w:rsidP="00602B28">
          <w:pPr>
            <w:numPr>
              <w:ilvl w:val="0"/>
              <w:numId w:val="2"/>
            </w:numPr>
            <w:spacing w:after="0" w:line="360" w:lineRule="auto"/>
            <w:jc w:val="both"/>
            <w:rPr>
              <w:rFonts w:ascii="Times New Roman" w:hAnsi="Times New Roman" w:cs="Times New Roman"/>
              <w:sz w:val="24"/>
              <w:szCs w:val="24"/>
            </w:rPr>
          </w:pPr>
          <w:r w:rsidRPr="000F70F6">
            <w:rPr>
              <w:rFonts w:ascii="Times New Roman" w:hAnsi="Times New Roman" w:cs="Times New Roman"/>
              <w:sz w:val="24"/>
              <w:szCs w:val="24"/>
            </w:rPr>
            <w:t xml:space="preserve">In case of financial </w:t>
          </w:r>
          <w:proofErr w:type="gramStart"/>
          <w:r w:rsidRPr="000F70F6">
            <w:rPr>
              <w:rFonts w:ascii="Times New Roman" w:hAnsi="Times New Roman" w:cs="Times New Roman"/>
              <w:sz w:val="24"/>
              <w:szCs w:val="24"/>
            </w:rPr>
            <w:t>manipulation</w:t>
          </w:r>
          <w:proofErr w:type="gramEnd"/>
          <w:r w:rsidRPr="000F70F6">
            <w:rPr>
              <w:rFonts w:ascii="Times New Roman" w:hAnsi="Times New Roman" w:cs="Times New Roman"/>
              <w:sz w:val="24"/>
              <w:szCs w:val="24"/>
            </w:rPr>
            <w:t xml:space="preserve"> the processing of accounting ratio analysis is unable to provide effective business decision and formulation analysis mainly, as a result the supportive operating development cannot be effectively initiated. </w:t>
          </w:r>
        </w:p>
        <w:p w14:paraId="790C3958" w14:textId="77777777" w:rsidR="00AB0D7A" w:rsidRPr="000F70F6"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 xml:space="preserve">According to basic conceptual approach, the presence of accounting ratios and its fluctuation generally indicates the financial operating approach with the determination of which the positive development including operating formulation support can also be managed in an effective order. Over the business of </w:t>
          </w:r>
          <w:r w:rsidRPr="000F70F6">
            <w:rPr>
              <w:rFonts w:ascii="Times New Roman" w:hAnsi="Times New Roman" w:cs="Times New Roman"/>
              <w:b/>
              <w:sz w:val="24"/>
              <w:szCs w:val="24"/>
            </w:rPr>
            <w:t xml:space="preserve">Hilton, </w:t>
          </w:r>
          <w:r w:rsidRPr="000F70F6">
            <w:rPr>
              <w:rFonts w:ascii="Times New Roman" w:hAnsi="Times New Roman" w:cs="Times New Roman"/>
              <w:sz w:val="24"/>
              <w:szCs w:val="24"/>
            </w:rPr>
            <w:t xml:space="preserve">engagement accounting ratio analysis provides a formulated development support including feasibility approach also that is initiated for developing and maintaining the sustainable growth approach on a proper basis. The processing development regarding financial performance fluctuation regarding accounting </w:t>
          </w:r>
          <w:r w:rsidRPr="000F70F6">
            <w:rPr>
              <w:rFonts w:ascii="Times New Roman" w:hAnsi="Times New Roman" w:cs="Times New Roman"/>
              <w:sz w:val="24"/>
              <w:szCs w:val="24"/>
            </w:rPr>
            <w:lastRenderedPageBreak/>
            <w:t xml:space="preserve">ratios mainly indicates the non-supportive business position while under the basic operating position some significant level of accounting alternation </w:t>
          </w:r>
          <w:proofErr w:type="gramStart"/>
          <w:r w:rsidRPr="000F70F6">
            <w:rPr>
              <w:rFonts w:ascii="Times New Roman" w:hAnsi="Times New Roman" w:cs="Times New Roman"/>
              <w:sz w:val="24"/>
              <w:szCs w:val="24"/>
            </w:rPr>
            <w:t>are</w:t>
          </w:r>
          <w:proofErr w:type="gramEnd"/>
          <w:r w:rsidRPr="000F70F6">
            <w:rPr>
              <w:rFonts w:ascii="Times New Roman" w:hAnsi="Times New Roman" w:cs="Times New Roman"/>
              <w:sz w:val="24"/>
              <w:szCs w:val="24"/>
            </w:rPr>
            <w:t xml:space="preserve"> initiated. The presence of accounting performance fluctuation associated with individual approaches also initiate the progressive measurement approach regarding accounting development also with the support of which positive development including the general feasibility approach of business can also be recognised in a proper order (</w:t>
          </w:r>
          <w:proofErr w:type="spellStart"/>
          <w:r w:rsidRPr="000F70F6">
            <w:rPr>
              <w:rFonts w:ascii="Times New Roman" w:hAnsi="Times New Roman" w:cs="Times New Roman"/>
              <w:color w:val="222222"/>
              <w:sz w:val="24"/>
              <w:szCs w:val="24"/>
              <w:highlight w:val="white"/>
            </w:rPr>
            <w:t>Linnenluecke</w:t>
          </w:r>
          <w:proofErr w:type="spellEnd"/>
          <w:r w:rsidRPr="000F70F6">
            <w:rPr>
              <w:rFonts w:ascii="Times New Roman" w:hAnsi="Times New Roman" w:cs="Times New Roman"/>
              <w:i/>
              <w:color w:val="222222"/>
              <w:sz w:val="24"/>
              <w:szCs w:val="24"/>
              <w:highlight w:val="white"/>
            </w:rPr>
            <w:t xml:space="preserve"> et al.,</w:t>
          </w:r>
          <w:r w:rsidRPr="000F70F6">
            <w:rPr>
              <w:rFonts w:ascii="Times New Roman" w:hAnsi="Times New Roman" w:cs="Times New Roman"/>
              <w:color w:val="222222"/>
              <w:sz w:val="24"/>
              <w:szCs w:val="24"/>
              <w:highlight w:val="white"/>
            </w:rPr>
            <w:t xml:space="preserve"> 2020). </w:t>
          </w:r>
        </w:p>
        <w:p w14:paraId="6500E518" w14:textId="4315F48A" w:rsidR="00AB0D7A" w:rsidRPr="000F70F6" w:rsidRDefault="00361DFE" w:rsidP="00602B28">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AB0D7A" w:rsidRPr="000F70F6">
            <w:rPr>
              <w:rFonts w:ascii="Times New Roman" w:hAnsi="Times New Roman" w:cs="Times New Roman"/>
              <w:sz w:val="24"/>
              <w:szCs w:val="24"/>
            </w:rPr>
            <w:t xml:space="preserve"> operating approach </w:t>
          </w:r>
          <w:r>
            <w:rPr>
              <w:rFonts w:ascii="Times New Roman" w:hAnsi="Times New Roman" w:cs="Times New Roman"/>
              <w:sz w:val="24"/>
              <w:szCs w:val="24"/>
            </w:rPr>
            <w:t>supports</w:t>
          </w:r>
          <w:r w:rsidR="00AB0D7A" w:rsidRPr="000F70F6">
            <w:rPr>
              <w:rFonts w:ascii="Times New Roman" w:hAnsi="Times New Roman" w:cs="Times New Roman"/>
              <w:sz w:val="24"/>
              <w:szCs w:val="24"/>
            </w:rPr>
            <w:t xml:space="preserve"> positive accounting maintenance are also initiated to bring the systematic </w:t>
          </w:r>
          <w:proofErr w:type="gramStart"/>
          <w:r w:rsidR="00AB0D7A" w:rsidRPr="000F70F6">
            <w:rPr>
              <w:rFonts w:ascii="Times New Roman" w:hAnsi="Times New Roman" w:cs="Times New Roman"/>
              <w:sz w:val="24"/>
              <w:szCs w:val="24"/>
            </w:rPr>
            <w:t>decision making</w:t>
          </w:r>
          <w:proofErr w:type="gramEnd"/>
          <w:r w:rsidR="00AB0D7A" w:rsidRPr="000F70F6">
            <w:rPr>
              <w:rFonts w:ascii="Times New Roman" w:hAnsi="Times New Roman" w:cs="Times New Roman"/>
              <w:sz w:val="24"/>
              <w:szCs w:val="24"/>
            </w:rPr>
            <w:t xml:space="preserve"> approach also that can be managed for operating and other associated growth formulation support in a more comprehensive basis mainly (</w:t>
          </w:r>
          <w:r w:rsidR="00AB0D7A" w:rsidRPr="000F70F6">
            <w:rPr>
              <w:rFonts w:ascii="Times New Roman" w:hAnsi="Times New Roman" w:cs="Times New Roman"/>
              <w:sz w:val="24"/>
              <w:szCs w:val="24"/>
              <w:highlight w:val="white"/>
            </w:rPr>
            <w:t>Uk.finance.yahoo.com, 2022)</w:t>
          </w:r>
          <w:r w:rsidR="00AB0D7A" w:rsidRPr="000F70F6">
            <w:rPr>
              <w:rFonts w:ascii="Times New Roman" w:hAnsi="Times New Roman" w:cs="Times New Roman"/>
              <w:sz w:val="24"/>
              <w:szCs w:val="24"/>
            </w:rPr>
            <w:t xml:space="preserve">. The presence of such accounting analysis including fluctuations also bring the structural modification mainly with the determination of which positive operating strategic analysis of the business can also be formulated as well. </w:t>
          </w:r>
        </w:p>
        <w:p w14:paraId="6E61BAEF" w14:textId="77777777" w:rsidR="00AB0D7A" w:rsidRPr="000F70F6" w:rsidRDefault="00AB0D7A" w:rsidP="003C5252">
          <w:pPr>
            <w:pStyle w:val="Heading1"/>
            <w:rPr>
              <w:color w:val="2E74B5" w:themeColor="accent1" w:themeShade="BF"/>
            </w:rPr>
          </w:pPr>
          <w:bookmarkStart w:id="8" w:name="_Toc104632263"/>
          <w:bookmarkStart w:id="9" w:name="_Toc104801387"/>
          <w:r w:rsidRPr="000F70F6">
            <w:rPr>
              <w:color w:val="2E74B5" w:themeColor="accent1" w:themeShade="BF"/>
            </w:rPr>
            <w:t>Conclusions</w:t>
          </w:r>
          <w:bookmarkEnd w:id="8"/>
          <w:bookmarkEnd w:id="9"/>
        </w:p>
        <w:p w14:paraId="364D4E46" w14:textId="5BB6F90E" w:rsidR="00AB0D7A" w:rsidRDefault="00AB0D7A" w:rsidP="00602B28">
          <w:pPr>
            <w:spacing w:line="360" w:lineRule="auto"/>
            <w:jc w:val="both"/>
            <w:rPr>
              <w:rFonts w:ascii="Times New Roman" w:hAnsi="Times New Roman" w:cs="Times New Roman"/>
              <w:sz w:val="24"/>
              <w:szCs w:val="24"/>
            </w:rPr>
          </w:pPr>
          <w:r w:rsidRPr="000F70F6">
            <w:rPr>
              <w:rFonts w:ascii="Times New Roman" w:hAnsi="Times New Roman" w:cs="Times New Roman"/>
              <w:sz w:val="24"/>
              <w:szCs w:val="24"/>
            </w:rPr>
            <w:t xml:space="preserve">In conclusion, processing and formulation of positive accounting identification is considered as an essential approach that brings operating formulation including performance stability approach in an effective basis. It formulates with basic intention of accounting development or progress analysis support with the maintenance of which the feasibility including performance competencies of business can effectively be managed. It allows the formulated development support as well that can be initiated for structuring the optimised evaluation support of business performances in a more effective order. Primary significance including the present financial analysis regarding </w:t>
          </w:r>
          <w:r w:rsidRPr="000F70F6">
            <w:rPr>
              <w:rFonts w:ascii="Times New Roman" w:hAnsi="Times New Roman" w:cs="Times New Roman"/>
              <w:b/>
              <w:sz w:val="24"/>
              <w:szCs w:val="24"/>
            </w:rPr>
            <w:t>Hilton Worldwide Holding Inc</w:t>
          </w:r>
          <w:r w:rsidR="00361DFE">
            <w:rPr>
              <w:rFonts w:ascii="Times New Roman" w:hAnsi="Times New Roman" w:cs="Times New Roman"/>
              <w:b/>
              <w:sz w:val="24"/>
              <w:szCs w:val="24"/>
            </w:rPr>
            <w:t xml:space="preserve"> </w:t>
          </w:r>
          <w:r w:rsidRPr="000F70F6">
            <w:rPr>
              <w:rFonts w:ascii="Times New Roman" w:hAnsi="Times New Roman" w:cs="Times New Roman"/>
              <w:sz w:val="24"/>
              <w:szCs w:val="24"/>
            </w:rPr>
            <w:t xml:space="preserve">is providing a systematic formulation approach mainly with the processing of which a positive and sustainable development position of the business can also be managed as well. </w:t>
          </w:r>
        </w:p>
        <w:p w14:paraId="157D629C" w14:textId="6C80E088" w:rsidR="00361DFE" w:rsidRDefault="00361DFE" w:rsidP="00602B28">
          <w:pPr>
            <w:spacing w:line="360" w:lineRule="auto"/>
            <w:jc w:val="both"/>
            <w:rPr>
              <w:rFonts w:ascii="Times New Roman" w:hAnsi="Times New Roman" w:cs="Times New Roman"/>
              <w:sz w:val="24"/>
              <w:szCs w:val="24"/>
            </w:rPr>
          </w:pPr>
          <w:r>
            <w:rPr>
              <w:rFonts w:ascii="Times New Roman" w:hAnsi="Times New Roman" w:cs="Times New Roman"/>
              <w:sz w:val="24"/>
              <w:szCs w:val="24"/>
            </w:rPr>
            <w:t>Word count: 2185</w:t>
          </w:r>
        </w:p>
        <w:p w14:paraId="68CE3AE8" w14:textId="4AB6D49C" w:rsidR="00B231BD" w:rsidRDefault="00B231BD" w:rsidP="00602B28">
          <w:pPr>
            <w:spacing w:line="360" w:lineRule="auto"/>
            <w:jc w:val="both"/>
            <w:rPr>
              <w:rFonts w:ascii="Times New Roman" w:hAnsi="Times New Roman" w:cs="Times New Roman"/>
              <w:sz w:val="24"/>
              <w:szCs w:val="24"/>
            </w:rPr>
          </w:pPr>
        </w:p>
        <w:p w14:paraId="630747F3" w14:textId="77777777" w:rsidR="00B231BD" w:rsidRPr="000F70F6" w:rsidRDefault="00B231BD" w:rsidP="00602B28">
          <w:pPr>
            <w:spacing w:line="360" w:lineRule="auto"/>
            <w:jc w:val="both"/>
            <w:rPr>
              <w:rFonts w:ascii="Times New Roman" w:hAnsi="Times New Roman" w:cs="Times New Roman"/>
              <w:sz w:val="24"/>
              <w:szCs w:val="24"/>
            </w:rPr>
          </w:pPr>
        </w:p>
        <w:p w14:paraId="4DC1A466" w14:textId="7DFC9208" w:rsidR="003455C7" w:rsidRPr="000F70F6" w:rsidRDefault="003455C7">
          <w:pPr>
            <w:rPr>
              <w:rFonts w:ascii="Times New Roman" w:eastAsiaTheme="majorEastAsia" w:hAnsi="Times New Roman" w:cs="Times New Roman"/>
              <w:b/>
              <w:color w:val="000000" w:themeColor="text1"/>
              <w:sz w:val="32"/>
              <w:szCs w:val="24"/>
            </w:rPr>
          </w:pPr>
          <w:bookmarkStart w:id="10" w:name="_Toc463944609"/>
          <w:bookmarkStart w:id="11" w:name="_Toc104801388"/>
        </w:p>
        <w:bookmarkEnd w:id="10"/>
        <w:bookmarkEnd w:id="11"/>
        <w:p w14:paraId="18CCAE5B" w14:textId="5555146F" w:rsidR="00AA2A91" w:rsidRPr="000F70F6" w:rsidRDefault="00077647" w:rsidP="00077647">
          <w:pPr>
            <w:pStyle w:val="Heading1"/>
            <w:rPr>
              <w:color w:val="2E74B5" w:themeColor="accent1" w:themeShade="BF"/>
            </w:rPr>
          </w:pPr>
          <w:r>
            <w:rPr>
              <w:color w:val="2E74B5" w:themeColor="accent1" w:themeShade="BF"/>
            </w:rPr>
            <w:lastRenderedPageBreak/>
            <w:t>References</w:t>
          </w:r>
        </w:p>
        <w:p w14:paraId="7F498F9A" w14:textId="12E9C41A" w:rsidR="00AB0D7A" w:rsidRPr="00077647" w:rsidRDefault="00AB0D7A" w:rsidP="00077647">
          <w:pPr>
            <w:pStyle w:val="ListParagraph"/>
            <w:numPr>
              <w:ilvl w:val="0"/>
              <w:numId w:val="4"/>
            </w:numPr>
            <w:spacing w:line="360" w:lineRule="auto"/>
            <w:jc w:val="both"/>
            <w:rPr>
              <w:color w:val="222222"/>
              <w:sz w:val="24"/>
              <w:szCs w:val="24"/>
              <w:shd w:val="clear" w:color="auto" w:fill="FFFFFF"/>
            </w:rPr>
          </w:pPr>
          <w:r w:rsidRPr="00077647">
            <w:rPr>
              <w:color w:val="222222"/>
              <w:sz w:val="24"/>
              <w:szCs w:val="24"/>
              <w:shd w:val="clear" w:color="auto" w:fill="FFFFFF"/>
            </w:rPr>
            <w:t xml:space="preserve">Babar, M. and Habib, A., </w:t>
          </w:r>
          <w:r w:rsidR="00077647">
            <w:rPr>
              <w:color w:val="222222"/>
              <w:sz w:val="24"/>
              <w:szCs w:val="24"/>
              <w:shd w:val="clear" w:color="auto" w:fill="FFFFFF"/>
            </w:rPr>
            <w:t>(</w:t>
          </w:r>
          <w:r w:rsidRPr="00077647">
            <w:rPr>
              <w:color w:val="222222"/>
              <w:sz w:val="24"/>
              <w:szCs w:val="24"/>
              <w:shd w:val="clear" w:color="auto" w:fill="FFFFFF"/>
            </w:rPr>
            <w:t>2021</w:t>
          </w:r>
          <w:r w:rsidR="00077647">
            <w:rPr>
              <w:color w:val="222222"/>
              <w:sz w:val="24"/>
              <w:szCs w:val="24"/>
              <w:shd w:val="clear" w:color="auto" w:fill="FFFFFF"/>
            </w:rPr>
            <w:t>)</w:t>
          </w:r>
          <w:r w:rsidRPr="00077647">
            <w:rPr>
              <w:color w:val="222222"/>
              <w:sz w:val="24"/>
              <w:szCs w:val="24"/>
              <w:shd w:val="clear" w:color="auto" w:fill="FFFFFF"/>
            </w:rPr>
            <w:t>. Product market competition in accounting, finance, and corporate governance: A review of the literature. </w:t>
          </w:r>
          <w:r w:rsidRPr="00077647">
            <w:rPr>
              <w:i/>
              <w:iCs/>
              <w:color w:val="222222"/>
              <w:sz w:val="24"/>
              <w:szCs w:val="24"/>
              <w:shd w:val="clear" w:color="auto" w:fill="FFFFFF"/>
            </w:rPr>
            <w:t>International Review of Financial Analysis</w:t>
          </w:r>
          <w:r w:rsidRPr="00077647">
            <w:rPr>
              <w:color w:val="222222"/>
              <w:sz w:val="24"/>
              <w:szCs w:val="24"/>
              <w:shd w:val="clear" w:color="auto" w:fill="FFFFFF"/>
            </w:rPr>
            <w:t>, </w:t>
          </w:r>
          <w:r w:rsidRPr="00077647">
            <w:rPr>
              <w:i/>
              <w:iCs/>
              <w:color w:val="222222"/>
              <w:sz w:val="24"/>
              <w:szCs w:val="24"/>
              <w:shd w:val="clear" w:color="auto" w:fill="FFFFFF"/>
            </w:rPr>
            <w:t>73</w:t>
          </w:r>
          <w:r w:rsidRPr="00077647">
            <w:rPr>
              <w:color w:val="222222"/>
              <w:sz w:val="24"/>
              <w:szCs w:val="24"/>
              <w:shd w:val="clear" w:color="auto" w:fill="FFFFFF"/>
            </w:rPr>
            <w:t>, p.101607.</w:t>
          </w:r>
        </w:p>
        <w:p w14:paraId="44171024" w14:textId="53A3E1EC" w:rsidR="00AB0D7A" w:rsidRPr="00077647" w:rsidRDefault="00AB0D7A" w:rsidP="00077647">
          <w:pPr>
            <w:pStyle w:val="ListParagraph"/>
            <w:numPr>
              <w:ilvl w:val="0"/>
              <w:numId w:val="4"/>
            </w:numPr>
            <w:spacing w:line="360" w:lineRule="auto"/>
            <w:jc w:val="both"/>
            <w:rPr>
              <w:color w:val="222222"/>
              <w:sz w:val="24"/>
              <w:szCs w:val="24"/>
              <w:shd w:val="clear" w:color="auto" w:fill="FFFFFF"/>
            </w:rPr>
          </w:pPr>
          <w:proofErr w:type="spellStart"/>
          <w:r w:rsidRPr="00077647">
            <w:rPr>
              <w:color w:val="222222"/>
              <w:sz w:val="24"/>
              <w:szCs w:val="24"/>
              <w:shd w:val="clear" w:color="auto" w:fill="FFFFFF"/>
            </w:rPr>
            <w:t>Battiston</w:t>
          </w:r>
          <w:proofErr w:type="spellEnd"/>
          <w:r w:rsidRPr="00077647">
            <w:rPr>
              <w:color w:val="222222"/>
              <w:sz w:val="24"/>
              <w:szCs w:val="24"/>
              <w:shd w:val="clear" w:color="auto" w:fill="FFFFFF"/>
            </w:rPr>
            <w:t xml:space="preserve">, S., </w:t>
          </w:r>
          <w:proofErr w:type="spellStart"/>
          <w:r w:rsidRPr="00077647">
            <w:rPr>
              <w:color w:val="222222"/>
              <w:sz w:val="24"/>
              <w:szCs w:val="24"/>
              <w:shd w:val="clear" w:color="auto" w:fill="FFFFFF"/>
            </w:rPr>
            <w:t>Monasterolo</w:t>
          </w:r>
          <w:proofErr w:type="spellEnd"/>
          <w:r w:rsidRPr="00077647">
            <w:rPr>
              <w:color w:val="222222"/>
              <w:sz w:val="24"/>
              <w:szCs w:val="24"/>
              <w:shd w:val="clear" w:color="auto" w:fill="FFFFFF"/>
            </w:rPr>
            <w:t xml:space="preserve">, I., </w:t>
          </w:r>
          <w:proofErr w:type="spellStart"/>
          <w:r w:rsidRPr="00077647">
            <w:rPr>
              <w:color w:val="222222"/>
              <w:sz w:val="24"/>
              <w:szCs w:val="24"/>
              <w:shd w:val="clear" w:color="auto" w:fill="FFFFFF"/>
            </w:rPr>
            <w:t>Riahi</w:t>
          </w:r>
          <w:proofErr w:type="spellEnd"/>
          <w:r w:rsidRPr="00077647">
            <w:rPr>
              <w:color w:val="222222"/>
              <w:sz w:val="24"/>
              <w:szCs w:val="24"/>
              <w:shd w:val="clear" w:color="auto" w:fill="FFFFFF"/>
            </w:rPr>
            <w:t xml:space="preserve">, </w:t>
          </w:r>
          <w:proofErr w:type="gramStart"/>
          <w:r w:rsidRPr="00077647">
            <w:rPr>
              <w:color w:val="222222"/>
              <w:sz w:val="24"/>
              <w:szCs w:val="24"/>
              <w:shd w:val="clear" w:color="auto" w:fill="FFFFFF"/>
            </w:rPr>
            <w:t>K.</w:t>
          </w:r>
          <w:proofErr w:type="gramEnd"/>
          <w:r w:rsidRPr="00077647">
            <w:rPr>
              <w:color w:val="222222"/>
              <w:sz w:val="24"/>
              <w:szCs w:val="24"/>
              <w:shd w:val="clear" w:color="auto" w:fill="FFFFFF"/>
            </w:rPr>
            <w:t xml:space="preserve"> and van </w:t>
          </w:r>
          <w:proofErr w:type="spellStart"/>
          <w:r w:rsidRPr="00077647">
            <w:rPr>
              <w:color w:val="222222"/>
              <w:sz w:val="24"/>
              <w:szCs w:val="24"/>
              <w:shd w:val="clear" w:color="auto" w:fill="FFFFFF"/>
            </w:rPr>
            <w:t>Ruijven</w:t>
          </w:r>
          <w:proofErr w:type="spellEnd"/>
          <w:r w:rsidRPr="00077647">
            <w:rPr>
              <w:color w:val="222222"/>
              <w:sz w:val="24"/>
              <w:szCs w:val="24"/>
              <w:shd w:val="clear" w:color="auto" w:fill="FFFFFF"/>
            </w:rPr>
            <w:t xml:space="preserve">, B.J., </w:t>
          </w:r>
          <w:r w:rsidR="00077647">
            <w:rPr>
              <w:color w:val="222222"/>
              <w:sz w:val="24"/>
              <w:szCs w:val="24"/>
              <w:shd w:val="clear" w:color="auto" w:fill="FFFFFF"/>
            </w:rPr>
            <w:t>(</w:t>
          </w:r>
          <w:r w:rsidRPr="00077647">
            <w:rPr>
              <w:color w:val="222222"/>
              <w:sz w:val="24"/>
              <w:szCs w:val="24"/>
              <w:shd w:val="clear" w:color="auto" w:fill="FFFFFF"/>
            </w:rPr>
            <w:t>2021</w:t>
          </w:r>
          <w:r w:rsidR="00077647">
            <w:rPr>
              <w:color w:val="222222"/>
              <w:sz w:val="24"/>
              <w:szCs w:val="24"/>
              <w:shd w:val="clear" w:color="auto" w:fill="FFFFFF"/>
            </w:rPr>
            <w:t>)</w:t>
          </w:r>
          <w:r w:rsidRPr="00077647">
            <w:rPr>
              <w:color w:val="222222"/>
              <w:sz w:val="24"/>
              <w:szCs w:val="24"/>
              <w:shd w:val="clear" w:color="auto" w:fill="FFFFFF"/>
            </w:rPr>
            <w:t>. Accounting for finance is key for climate mitigation pathways. </w:t>
          </w:r>
          <w:r w:rsidRPr="00077647">
            <w:rPr>
              <w:i/>
              <w:iCs/>
              <w:color w:val="222222"/>
              <w:sz w:val="24"/>
              <w:szCs w:val="24"/>
              <w:shd w:val="clear" w:color="auto" w:fill="FFFFFF"/>
            </w:rPr>
            <w:t>Science</w:t>
          </w:r>
          <w:r w:rsidRPr="00077647">
            <w:rPr>
              <w:color w:val="222222"/>
              <w:sz w:val="24"/>
              <w:szCs w:val="24"/>
              <w:shd w:val="clear" w:color="auto" w:fill="FFFFFF"/>
            </w:rPr>
            <w:t>, </w:t>
          </w:r>
          <w:r w:rsidRPr="00077647">
            <w:rPr>
              <w:i/>
              <w:iCs/>
              <w:color w:val="222222"/>
              <w:sz w:val="24"/>
              <w:szCs w:val="24"/>
              <w:shd w:val="clear" w:color="auto" w:fill="FFFFFF"/>
            </w:rPr>
            <w:t>372</w:t>
          </w:r>
          <w:r w:rsidRPr="00077647">
            <w:rPr>
              <w:color w:val="222222"/>
              <w:sz w:val="24"/>
              <w:szCs w:val="24"/>
              <w:shd w:val="clear" w:color="auto" w:fill="FFFFFF"/>
            </w:rPr>
            <w:t>(6545), pp.918-920.</w:t>
          </w:r>
        </w:p>
        <w:p w14:paraId="43D2FF08" w14:textId="66F8E8DC" w:rsidR="00AB0D7A" w:rsidRPr="00077647" w:rsidRDefault="00AB0D7A" w:rsidP="00077647">
          <w:pPr>
            <w:pStyle w:val="ListParagraph"/>
            <w:numPr>
              <w:ilvl w:val="0"/>
              <w:numId w:val="4"/>
            </w:numPr>
            <w:spacing w:line="360" w:lineRule="auto"/>
            <w:jc w:val="both"/>
            <w:rPr>
              <w:color w:val="222222"/>
              <w:sz w:val="24"/>
              <w:szCs w:val="24"/>
              <w:shd w:val="clear" w:color="auto" w:fill="FFFFFF"/>
            </w:rPr>
          </w:pPr>
          <w:r w:rsidRPr="00077647">
            <w:rPr>
              <w:color w:val="222222"/>
              <w:sz w:val="24"/>
              <w:szCs w:val="24"/>
              <w:shd w:val="clear" w:color="auto" w:fill="FFFFFF"/>
            </w:rPr>
            <w:t xml:space="preserve">Cockcroft, S. and Russell, M., </w:t>
          </w:r>
          <w:r w:rsidR="00D43E89">
            <w:rPr>
              <w:color w:val="222222"/>
              <w:sz w:val="24"/>
              <w:szCs w:val="24"/>
              <w:shd w:val="clear" w:color="auto" w:fill="FFFFFF"/>
            </w:rPr>
            <w:t>(</w:t>
          </w:r>
          <w:r w:rsidRPr="00077647">
            <w:rPr>
              <w:color w:val="222222"/>
              <w:sz w:val="24"/>
              <w:szCs w:val="24"/>
              <w:shd w:val="clear" w:color="auto" w:fill="FFFFFF"/>
            </w:rPr>
            <w:t>2018</w:t>
          </w:r>
          <w:r w:rsidR="00D43E89">
            <w:rPr>
              <w:color w:val="222222"/>
              <w:sz w:val="24"/>
              <w:szCs w:val="24"/>
              <w:shd w:val="clear" w:color="auto" w:fill="FFFFFF"/>
            </w:rPr>
            <w:t>)</w:t>
          </w:r>
          <w:r w:rsidRPr="00077647">
            <w:rPr>
              <w:color w:val="222222"/>
              <w:sz w:val="24"/>
              <w:szCs w:val="24"/>
              <w:shd w:val="clear" w:color="auto" w:fill="FFFFFF"/>
            </w:rPr>
            <w:t>.</w:t>
          </w:r>
          <w:r w:rsidR="00D43E89">
            <w:rPr>
              <w:color w:val="222222"/>
              <w:sz w:val="24"/>
              <w:szCs w:val="24"/>
              <w:shd w:val="clear" w:color="auto" w:fill="FFFFFF"/>
            </w:rPr>
            <w:t xml:space="preserve"> </w:t>
          </w:r>
          <w:r w:rsidRPr="00077647">
            <w:rPr>
              <w:color w:val="222222"/>
              <w:sz w:val="24"/>
              <w:szCs w:val="24"/>
              <w:shd w:val="clear" w:color="auto" w:fill="FFFFFF"/>
            </w:rPr>
            <w:t>Big data opportunities for accounting and finance practice and research. </w:t>
          </w:r>
          <w:r w:rsidRPr="00077647">
            <w:rPr>
              <w:i/>
              <w:iCs/>
              <w:color w:val="222222"/>
              <w:sz w:val="24"/>
              <w:szCs w:val="24"/>
              <w:shd w:val="clear" w:color="auto" w:fill="FFFFFF"/>
            </w:rPr>
            <w:t>Australian Accounting Review</w:t>
          </w:r>
          <w:r w:rsidRPr="00077647">
            <w:rPr>
              <w:color w:val="222222"/>
              <w:sz w:val="24"/>
              <w:szCs w:val="24"/>
              <w:shd w:val="clear" w:color="auto" w:fill="FFFFFF"/>
            </w:rPr>
            <w:t>, </w:t>
          </w:r>
          <w:r w:rsidRPr="00077647">
            <w:rPr>
              <w:i/>
              <w:iCs/>
              <w:color w:val="222222"/>
              <w:sz w:val="24"/>
              <w:szCs w:val="24"/>
              <w:shd w:val="clear" w:color="auto" w:fill="FFFFFF"/>
            </w:rPr>
            <w:t>28</w:t>
          </w:r>
          <w:r w:rsidRPr="00077647">
            <w:rPr>
              <w:color w:val="222222"/>
              <w:sz w:val="24"/>
              <w:szCs w:val="24"/>
              <w:shd w:val="clear" w:color="auto" w:fill="FFFFFF"/>
            </w:rPr>
            <w:t>(3), pp.323-333.</w:t>
          </w:r>
        </w:p>
        <w:p w14:paraId="108EBA77" w14:textId="7F1A8206" w:rsidR="00AB0D7A" w:rsidRPr="00077647" w:rsidRDefault="00AB0D7A" w:rsidP="00077647">
          <w:pPr>
            <w:pStyle w:val="ListParagraph"/>
            <w:numPr>
              <w:ilvl w:val="0"/>
              <w:numId w:val="4"/>
            </w:numPr>
            <w:spacing w:line="360" w:lineRule="auto"/>
            <w:jc w:val="both"/>
            <w:rPr>
              <w:color w:val="222222"/>
              <w:sz w:val="24"/>
              <w:szCs w:val="24"/>
              <w:shd w:val="clear" w:color="auto" w:fill="FFFFFF"/>
            </w:rPr>
          </w:pPr>
          <w:r w:rsidRPr="00077647">
            <w:rPr>
              <w:color w:val="222222"/>
              <w:sz w:val="24"/>
              <w:szCs w:val="24"/>
              <w:shd w:val="clear" w:color="auto" w:fill="FFFFFF"/>
            </w:rPr>
            <w:t xml:space="preserve">Farhi, E. and </w:t>
          </w:r>
          <w:proofErr w:type="spellStart"/>
          <w:r w:rsidRPr="00077647">
            <w:rPr>
              <w:color w:val="222222"/>
              <w:sz w:val="24"/>
              <w:szCs w:val="24"/>
              <w:shd w:val="clear" w:color="auto" w:fill="FFFFFF"/>
            </w:rPr>
            <w:t>Gourio</w:t>
          </w:r>
          <w:proofErr w:type="spellEnd"/>
          <w:r w:rsidRPr="00077647">
            <w:rPr>
              <w:color w:val="222222"/>
              <w:sz w:val="24"/>
              <w:szCs w:val="24"/>
              <w:shd w:val="clear" w:color="auto" w:fill="FFFFFF"/>
            </w:rPr>
            <w:t xml:space="preserve">, F., </w:t>
          </w:r>
          <w:r w:rsidR="00D43E89">
            <w:rPr>
              <w:color w:val="222222"/>
              <w:sz w:val="24"/>
              <w:szCs w:val="24"/>
              <w:shd w:val="clear" w:color="auto" w:fill="FFFFFF"/>
            </w:rPr>
            <w:t>(</w:t>
          </w:r>
          <w:r w:rsidRPr="00077647">
            <w:rPr>
              <w:color w:val="222222"/>
              <w:sz w:val="24"/>
              <w:szCs w:val="24"/>
              <w:shd w:val="clear" w:color="auto" w:fill="FFFFFF"/>
            </w:rPr>
            <w:t>2018</w:t>
          </w:r>
          <w:r w:rsidR="00D43E89">
            <w:rPr>
              <w:color w:val="222222"/>
              <w:sz w:val="24"/>
              <w:szCs w:val="24"/>
              <w:shd w:val="clear" w:color="auto" w:fill="FFFFFF"/>
            </w:rPr>
            <w:t>)</w:t>
          </w:r>
          <w:r w:rsidRPr="00077647">
            <w:rPr>
              <w:color w:val="222222"/>
              <w:sz w:val="24"/>
              <w:szCs w:val="24"/>
              <w:shd w:val="clear" w:color="auto" w:fill="FFFFFF"/>
            </w:rPr>
            <w:t>. </w:t>
          </w:r>
          <w:r w:rsidRPr="00077647">
            <w:rPr>
              <w:i/>
              <w:iCs/>
              <w:color w:val="222222"/>
              <w:sz w:val="24"/>
              <w:szCs w:val="24"/>
              <w:shd w:val="clear" w:color="auto" w:fill="FFFFFF"/>
            </w:rPr>
            <w:t>Accounting for macro-finance trends: Market power, intangibles, and risk premia</w:t>
          </w:r>
          <w:r w:rsidRPr="00077647">
            <w:rPr>
              <w:color w:val="222222"/>
              <w:sz w:val="24"/>
              <w:szCs w:val="24"/>
              <w:shd w:val="clear" w:color="auto" w:fill="FFFFFF"/>
            </w:rPr>
            <w:t> (No. w25282). National Bureau of Economic Research.</w:t>
          </w:r>
        </w:p>
        <w:p w14:paraId="4E941190" w14:textId="58364274" w:rsidR="00AB0D7A" w:rsidRPr="00077647" w:rsidRDefault="00AB0D7A" w:rsidP="00077647">
          <w:pPr>
            <w:pStyle w:val="ListParagraph"/>
            <w:numPr>
              <w:ilvl w:val="0"/>
              <w:numId w:val="4"/>
            </w:numPr>
            <w:spacing w:line="360" w:lineRule="auto"/>
            <w:jc w:val="both"/>
            <w:rPr>
              <w:color w:val="222222"/>
              <w:sz w:val="24"/>
              <w:szCs w:val="24"/>
              <w:shd w:val="clear" w:color="auto" w:fill="FFFFFF"/>
            </w:rPr>
          </w:pPr>
          <w:r w:rsidRPr="00077647">
            <w:rPr>
              <w:color w:val="222222"/>
              <w:sz w:val="24"/>
              <w:szCs w:val="24"/>
              <w:shd w:val="clear" w:color="auto" w:fill="FFFFFF"/>
            </w:rPr>
            <w:t xml:space="preserve">Habib, A. and Hasan, M.M., </w:t>
          </w:r>
          <w:r w:rsidR="00D43E89">
            <w:rPr>
              <w:color w:val="222222"/>
              <w:sz w:val="24"/>
              <w:szCs w:val="24"/>
              <w:shd w:val="clear" w:color="auto" w:fill="FFFFFF"/>
            </w:rPr>
            <w:t>(</w:t>
          </w:r>
          <w:r w:rsidRPr="00077647">
            <w:rPr>
              <w:color w:val="222222"/>
              <w:sz w:val="24"/>
              <w:szCs w:val="24"/>
              <w:shd w:val="clear" w:color="auto" w:fill="FFFFFF"/>
            </w:rPr>
            <w:t>2019</w:t>
          </w:r>
          <w:r w:rsidR="00D43E89">
            <w:rPr>
              <w:color w:val="222222"/>
              <w:sz w:val="24"/>
              <w:szCs w:val="24"/>
              <w:shd w:val="clear" w:color="auto" w:fill="FFFFFF"/>
            </w:rPr>
            <w:t>)</w:t>
          </w:r>
          <w:r w:rsidRPr="00077647">
            <w:rPr>
              <w:color w:val="222222"/>
              <w:sz w:val="24"/>
              <w:szCs w:val="24"/>
              <w:shd w:val="clear" w:color="auto" w:fill="FFFFFF"/>
            </w:rPr>
            <w:t xml:space="preserve">. Corporate life cycle research in accounting, </w:t>
          </w:r>
          <w:proofErr w:type="gramStart"/>
          <w:r w:rsidRPr="00077647">
            <w:rPr>
              <w:color w:val="222222"/>
              <w:sz w:val="24"/>
              <w:szCs w:val="24"/>
              <w:shd w:val="clear" w:color="auto" w:fill="FFFFFF"/>
            </w:rPr>
            <w:t>finance</w:t>
          </w:r>
          <w:proofErr w:type="gramEnd"/>
          <w:r w:rsidRPr="00077647">
            <w:rPr>
              <w:color w:val="222222"/>
              <w:sz w:val="24"/>
              <w:szCs w:val="24"/>
              <w:shd w:val="clear" w:color="auto" w:fill="FFFFFF"/>
            </w:rPr>
            <w:t xml:space="preserve"> and corporate governance: A survey, and directions for future research. </w:t>
          </w:r>
          <w:r w:rsidRPr="00077647">
            <w:rPr>
              <w:i/>
              <w:iCs/>
              <w:color w:val="222222"/>
              <w:sz w:val="24"/>
              <w:szCs w:val="24"/>
              <w:shd w:val="clear" w:color="auto" w:fill="FFFFFF"/>
            </w:rPr>
            <w:t>International Review of Financial Analysis</w:t>
          </w:r>
          <w:r w:rsidRPr="00077647">
            <w:rPr>
              <w:color w:val="222222"/>
              <w:sz w:val="24"/>
              <w:szCs w:val="24"/>
              <w:shd w:val="clear" w:color="auto" w:fill="FFFFFF"/>
            </w:rPr>
            <w:t>, </w:t>
          </w:r>
          <w:r w:rsidRPr="00077647">
            <w:rPr>
              <w:i/>
              <w:iCs/>
              <w:color w:val="222222"/>
              <w:sz w:val="24"/>
              <w:szCs w:val="24"/>
              <w:shd w:val="clear" w:color="auto" w:fill="FFFFFF"/>
            </w:rPr>
            <w:t>61</w:t>
          </w:r>
          <w:r w:rsidRPr="00077647">
            <w:rPr>
              <w:color w:val="222222"/>
              <w:sz w:val="24"/>
              <w:szCs w:val="24"/>
              <w:shd w:val="clear" w:color="auto" w:fill="FFFFFF"/>
            </w:rPr>
            <w:t>, pp.188-201.</w:t>
          </w:r>
        </w:p>
        <w:p w14:paraId="2172B335" w14:textId="7B76FC69" w:rsidR="00AB0D7A" w:rsidRPr="00077647" w:rsidRDefault="00AB0D7A" w:rsidP="00077647">
          <w:pPr>
            <w:pStyle w:val="ListParagraph"/>
            <w:numPr>
              <w:ilvl w:val="0"/>
              <w:numId w:val="4"/>
            </w:numPr>
            <w:spacing w:line="360" w:lineRule="auto"/>
            <w:jc w:val="both"/>
            <w:rPr>
              <w:color w:val="222222"/>
              <w:sz w:val="24"/>
              <w:szCs w:val="24"/>
              <w:shd w:val="clear" w:color="auto" w:fill="FFFFFF"/>
            </w:rPr>
          </w:pPr>
          <w:proofErr w:type="spellStart"/>
          <w:r w:rsidRPr="00077647">
            <w:rPr>
              <w:color w:val="222222"/>
              <w:sz w:val="24"/>
              <w:szCs w:val="24"/>
              <w:shd w:val="clear" w:color="auto" w:fill="FFFFFF"/>
            </w:rPr>
            <w:t>Linnenluecke</w:t>
          </w:r>
          <w:proofErr w:type="spellEnd"/>
          <w:r w:rsidRPr="00077647">
            <w:rPr>
              <w:color w:val="222222"/>
              <w:sz w:val="24"/>
              <w:szCs w:val="24"/>
              <w:shd w:val="clear" w:color="auto" w:fill="FFFFFF"/>
            </w:rPr>
            <w:t xml:space="preserve">, M.K., </w:t>
          </w:r>
          <w:proofErr w:type="spellStart"/>
          <w:r w:rsidRPr="00077647">
            <w:rPr>
              <w:color w:val="222222"/>
              <w:sz w:val="24"/>
              <w:szCs w:val="24"/>
              <w:shd w:val="clear" w:color="auto" w:fill="FFFFFF"/>
            </w:rPr>
            <w:t>Marrone</w:t>
          </w:r>
          <w:proofErr w:type="spellEnd"/>
          <w:r w:rsidRPr="00077647">
            <w:rPr>
              <w:color w:val="222222"/>
              <w:sz w:val="24"/>
              <w:szCs w:val="24"/>
              <w:shd w:val="clear" w:color="auto" w:fill="FFFFFF"/>
            </w:rPr>
            <w:t xml:space="preserve">, M. and Singh, A.K., </w:t>
          </w:r>
          <w:r w:rsidR="00EA793A">
            <w:rPr>
              <w:color w:val="222222"/>
              <w:sz w:val="24"/>
              <w:szCs w:val="24"/>
              <w:shd w:val="clear" w:color="auto" w:fill="FFFFFF"/>
            </w:rPr>
            <w:t>(</w:t>
          </w:r>
          <w:r w:rsidRPr="00077647">
            <w:rPr>
              <w:color w:val="222222"/>
              <w:sz w:val="24"/>
              <w:szCs w:val="24"/>
              <w:shd w:val="clear" w:color="auto" w:fill="FFFFFF"/>
            </w:rPr>
            <w:t>2020</w:t>
          </w:r>
          <w:r w:rsidR="00EA793A">
            <w:rPr>
              <w:color w:val="222222"/>
              <w:sz w:val="24"/>
              <w:szCs w:val="24"/>
              <w:shd w:val="clear" w:color="auto" w:fill="FFFFFF"/>
            </w:rPr>
            <w:t>)</w:t>
          </w:r>
          <w:r w:rsidRPr="00077647">
            <w:rPr>
              <w:color w:val="222222"/>
              <w:sz w:val="24"/>
              <w:szCs w:val="24"/>
              <w:shd w:val="clear" w:color="auto" w:fill="FFFFFF"/>
            </w:rPr>
            <w:t>. Sixty years of Accounting &amp; Finance: a bibliometric analysis of major research themes and contributions. </w:t>
          </w:r>
          <w:r w:rsidRPr="00077647">
            <w:rPr>
              <w:i/>
              <w:iCs/>
              <w:color w:val="222222"/>
              <w:sz w:val="24"/>
              <w:szCs w:val="24"/>
              <w:shd w:val="clear" w:color="auto" w:fill="FFFFFF"/>
            </w:rPr>
            <w:t>Accounting &amp; Finance</w:t>
          </w:r>
          <w:r w:rsidRPr="00077647">
            <w:rPr>
              <w:color w:val="222222"/>
              <w:sz w:val="24"/>
              <w:szCs w:val="24"/>
              <w:shd w:val="clear" w:color="auto" w:fill="FFFFFF"/>
            </w:rPr>
            <w:t>, </w:t>
          </w:r>
          <w:r w:rsidRPr="00077647">
            <w:rPr>
              <w:i/>
              <w:iCs/>
              <w:color w:val="222222"/>
              <w:sz w:val="24"/>
              <w:szCs w:val="24"/>
              <w:shd w:val="clear" w:color="auto" w:fill="FFFFFF"/>
            </w:rPr>
            <w:t>60</w:t>
          </w:r>
          <w:r w:rsidRPr="00077647">
            <w:rPr>
              <w:color w:val="222222"/>
              <w:sz w:val="24"/>
              <w:szCs w:val="24"/>
              <w:shd w:val="clear" w:color="auto" w:fill="FFFFFF"/>
            </w:rPr>
            <w:t>(4), pp.3217-3251.</w:t>
          </w:r>
        </w:p>
        <w:p w14:paraId="4851AF53" w14:textId="235E54C3" w:rsidR="00AB0D7A" w:rsidRPr="00077647" w:rsidRDefault="00AB0D7A" w:rsidP="00077647">
          <w:pPr>
            <w:pStyle w:val="ListParagraph"/>
            <w:numPr>
              <w:ilvl w:val="0"/>
              <w:numId w:val="4"/>
            </w:numPr>
            <w:spacing w:line="360" w:lineRule="auto"/>
            <w:jc w:val="both"/>
            <w:rPr>
              <w:sz w:val="24"/>
              <w:szCs w:val="24"/>
            </w:rPr>
          </w:pPr>
          <w:r w:rsidRPr="00077647">
            <w:rPr>
              <w:color w:val="222222"/>
              <w:sz w:val="24"/>
              <w:szCs w:val="24"/>
              <w:shd w:val="clear" w:color="auto" w:fill="FFFFFF"/>
            </w:rPr>
            <w:t xml:space="preserve">Liu, S. and He, S., </w:t>
          </w:r>
          <w:r w:rsidR="00EA793A">
            <w:rPr>
              <w:color w:val="222222"/>
              <w:sz w:val="24"/>
              <w:szCs w:val="24"/>
              <w:shd w:val="clear" w:color="auto" w:fill="FFFFFF"/>
            </w:rPr>
            <w:t>(</w:t>
          </w:r>
          <w:r w:rsidRPr="00077647">
            <w:rPr>
              <w:color w:val="222222"/>
              <w:sz w:val="24"/>
              <w:szCs w:val="24"/>
              <w:shd w:val="clear" w:color="auto" w:fill="FFFFFF"/>
            </w:rPr>
            <w:t>2019</w:t>
          </w:r>
          <w:r w:rsidR="00EA793A">
            <w:rPr>
              <w:color w:val="222222"/>
              <w:sz w:val="24"/>
              <w:szCs w:val="24"/>
              <w:shd w:val="clear" w:color="auto" w:fill="FFFFFF"/>
            </w:rPr>
            <w:t>)</w:t>
          </w:r>
          <w:r w:rsidRPr="00077647">
            <w:rPr>
              <w:color w:val="222222"/>
              <w:sz w:val="24"/>
              <w:szCs w:val="24"/>
              <w:shd w:val="clear" w:color="auto" w:fill="FFFFFF"/>
            </w:rPr>
            <w:t xml:space="preserve">, </w:t>
          </w:r>
          <w:proofErr w:type="spellStart"/>
          <w:r w:rsidRPr="00077647">
            <w:rPr>
              <w:color w:val="222222"/>
              <w:sz w:val="24"/>
              <w:szCs w:val="24"/>
              <w:shd w:val="clear" w:color="auto" w:fill="FFFFFF"/>
            </w:rPr>
            <w:t>January.Application</w:t>
          </w:r>
          <w:proofErr w:type="spellEnd"/>
          <w:r w:rsidRPr="00077647">
            <w:rPr>
              <w:color w:val="222222"/>
              <w:sz w:val="24"/>
              <w:szCs w:val="24"/>
              <w:shd w:val="clear" w:color="auto" w:fill="FFFFFF"/>
            </w:rPr>
            <w:t xml:space="preserve"> of block chaining technology in finance and accounting </w:t>
          </w:r>
          <w:proofErr w:type="spellStart"/>
          <w:proofErr w:type="gramStart"/>
          <w:r w:rsidRPr="00077647">
            <w:rPr>
              <w:color w:val="222222"/>
              <w:sz w:val="24"/>
              <w:szCs w:val="24"/>
              <w:shd w:val="clear" w:color="auto" w:fill="FFFFFF"/>
            </w:rPr>
            <w:t>field.In</w:t>
          </w:r>
          <w:proofErr w:type="spellEnd"/>
          <w:proofErr w:type="gramEnd"/>
          <w:r w:rsidRPr="00077647">
            <w:rPr>
              <w:color w:val="222222"/>
              <w:sz w:val="24"/>
              <w:szCs w:val="24"/>
              <w:shd w:val="clear" w:color="auto" w:fill="FFFFFF"/>
            </w:rPr>
            <w:t> </w:t>
          </w:r>
          <w:r w:rsidRPr="00077647">
            <w:rPr>
              <w:i/>
              <w:iCs/>
              <w:color w:val="222222"/>
              <w:sz w:val="24"/>
              <w:szCs w:val="24"/>
              <w:shd w:val="clear" w:color="auto" w:fill="FFFFFF"/>
            </w:rPr>
            <w:t>2019 International Conference on Intelligent Transportation, Big Data &amp; Smart City (ICITBS)</w:t>
          </w:r>
          <w:r w:rsidRPr="00077647">
            <w:rPr>
              <w:color w:val="222222"/>
              <w:sz w:val="24"/>
              <w:szCs w:val="24"/>
              <w:shd w:val="clear" w:color="auto" w:fill="FFFFFF"/>
            </w:rPr>
            <w:t> (pp. 342-344).IEEE.</w:t>
          </w:r>
        </w:p>
        <w:p w14:paraId="00BFF067" w14:textId="4C4F2CF8" w:rsidR="00AB0D7A" w:rsidRPr="00077647" w:rsidRDefault="00AB0D7A" w:rsidP="00077647">
          <w:pPr>
            <w:pStyle w:val="ListParagraph"/>
            <w:numPr>
              <w:ilvl w:val="0"/>
              <w:numId w:val="4"/>
            </w:numPr>
            <w:spacing w:line="360" w:lineRule="auto"/>
            <w:jc w:val="both"/>
            <w:rPr>
              <w:color w:val="222222"/>
              <w:sz w:val="24"/>
              <w:szCs w:val="24"/>
              <w:shd w:val="clear" w:color="auto" w:fill="FFFFFF"/>
            </w:rPr>
          </w:pPr>
          <w:proofErr w:type="spellStart"/>
          <w:r w:rsidRPr="00077647">
            <w:rPr>
              <w:color w:val="222222"/>
              <w:sz w:val="24"/>
              <w:szCs w:val="24"/>
              <w:shd w:val="clear" w:color="auto" w:fill="FFFFFF"/>
            </w:rPr>
            <w:t>Magni</w:t>
          </w:r>
          <w:proofErr w:type="spellEnd"/>
          <w:r w:rsidRPr="00077647">
            <w:rPr>
              <w:color w:val="222222"/>
              <w:sz w:val="24"/>
              <w:szCs w:val="24"/>
              <w:shd w:val="clear" w:color="auto" w:fill="FFFFFF"/>
            </w:rPr>
            <w:t xml:space="preserve">, C.A., </w:t>
          </w:r>
          <w:r w:rsidR="00EA793A">
            <w:rPr>
              <w:color w:val="222222"/>
              <w:sz w:val="24"/>
              <w:szCs w:val="24"/>
              <w:shd w:val="clear" w:color="auto" w:fill="FFFFFF"/>
            </w:rPr>
            <w:t>(</w:t>
          </w:r>
          <w:r w:rsidRPr="00077647">
            <w:rPr>
              <w:color w:val="222222"/>
              <w:sz w:val="24"/>
              <w:szCs w:val="24"/>
              <w:shd w:val="clear" w:color="auto" w:fill="FFFFFF"/>
            </w:rPr>
            <w:t>2020</w:t>
          </w:r>
          <w:r w:rsidR="00EA793A">
            <w:rPr>
              <w:color w:val="222222"/>
              <w:sz w:val="24"/>
              <w:szCs w:val="24"/>
              <w:shd w:val="clear" w:color="auto" w:fill="FFFFFF"/>
            </w:rPr>
            <w:t>)</w:t>
          </w:r>
          <w:r w:rsidRPr="00077647">
            <w:rPr>
              <w:color w:val="222222"/>
              <w:sz w:val="24"/>
              <w:szCs w:val="24"/>
              <w:shd w:val="clear" w:color="auto" w:fill="FFFFFF"/>
            </w:rPr>
            <w:t>. Investment Decisions and the Logic of Valuation Linking Finance, Accounting, and Engineering. </w:t>
          </w:r>
          <w:r w:rsidRPr="00077647">
            <w:rPr>
              <w:i/>
              <w:iCs/>
              <w:color w:val="222222"/>
              <w:sz w:val="24"/>
              <w:szCs w:val="24"/>
              <w:shd w:val="clear" w:color="auto" w:fill="FFFFFF"/>
            </w:rPr>
            <w:t>Investment Decisions and the Logic of Valuation Linking Finance, Accounting, and Engineering</w:t>
          </w:r>
          <w:r w:rsidRPr="00077647">
            <w:rPr>
              <w:color w:val="222222"/>
              <w:sz w:val="24"/>
              <w:szCs w:val="24"/>
              <w:shd w:val="clear" w:color="auto" w:fill="FFFFFF"/>
            </w:rPr>
            <w:t>.</w:t>
          </w:r>
        </w:p>
        <w:p w14:paraId="5E764C73" w14:textId="1C8FAD2F" w:rsidR="00AB0D7A" w:rsidRPr="00077647" w:rsidRDefault="00AB0D7A" w:rsidP="00077647">
          <w:pPr>
            <w:pStyle w:val="ListParagraph"/>
            <w:numPr>
              <w:ilvl w:val="0"/>
              <w:numId w:val="4"/>
            </w:numPr>
            <w:spacing w:line="360" w:lineRule="auto"/>
            <w:jc w:val="both"/>
            <w:rPr>
              <w:color w:val="222222"/>
              <w:sz w:val="24"/>
              <w:szCs w:val="24"/>
              <w:shd w:val="clear" w:color="auto" w:fill="FFFFFF"/>
            </w:rPr>
          </w:pPr>
          <w:r w:rsidRPr="00077647">
            <w:rPr>
              <w:color w:val="000000"/>
              <w:sz w:val="24"/>
              <w:szCs w:val="24"/>
              <w:shd w:val="clear" w:color="auto" w:fill="FFFFFF"/>
            </w:rPr>
            <w:t xml:space="preserve">Uk.finance.yahoo.com. </w:t>
          </w:r>
          <w:r w:rsidR="00EA793A">
            <w:rPr>
              <w:color w:val="000000"/>
              <w:sz w:val="24"/>
              <w:szCs w:val="24"/>
              <w:shd w:val="clear" w:color="auto" w:fill="FFFFFF"/>
            </w:rPr>
            <w:t>(</w:t>
          </w:r>
          <w:r w:rsidRPr="00077647">
            <w:rPr>
              <w:color w:val="000000"/>
              <w:sz w:val="24"/>
              <w:szCs w:val="24"/>
              <w:shd w:val="clear" w:color="auto" w:fill="FFFFFF"/>
            </w:rPr>
            <w:t>2022</w:t>
          </w:r>
          <w:r w:rsidR="00EA793A">
            <w:rPr>
              <w:color w:val="000000"/>
              <w:sz w:val="24"/>
              <w:szCs w:val="24"/>
              <w:shd w:val="clear" w:color="auto" w:fill="FFFFFF"/>
            </w:rPr>
            <w:t>)</w:t>
          </w:r>
          <w:r w:rsidRPr="00077647">
            <w:rPr>
              <w:color w:val="000000"/>
              <w:sz w:val="24"/>
              <w:szCs w:val="24"/>
              <w:shd w:val="clear" w:color="auto" w:fill="FFFFFF"/>
            </w:rPr>
            <w:t>. </w:t>
          </w:r>
          <w:r w:rsidRPr="00077647">
            <w:rPr>
              <w:i/>
              <w:iCs/>
              <w:color w:val="000000"/>
              <w:sz w:val="24"/>
              <w:szCs w:val="24"/>
              <w:shd w:val="clear" w:color="auto" w:fill="FFFFFF"/>
            </w:rPr>
            <w:t>Yahoo is part of the Yahoo family of brands</w:t>
          </w:r>
          <w:r w:rsidRPr="00077647">
            <w:rPr>
              <w:color w:val="000000"/>
              <w:sz w:val="24"/>
              <w:szCs w:val="24"/>
              <w:shd w:val="clear" w:color="auto" w:fill="FFFFFF"/>
            </w:rPr>
            <w:t>. [online] Available at: &lt;https://uk.finance.yahoo.com/quote/HLT?p=HLT&gt; [Accessed 28 May 2022].</w:t>
          </w:r>
        </w:p>
        <w:p w14:paraId="7B5FB7FC" w14:textId="7698D963" w:rsidR="00AB0D7A" w:rsidRPr="00077647" w:rsidRDefault="00AB0D7A" w:rsidP="00077647">
          <w:pPr>
            <w:pStyle w:val="ListParagraph"/>
            <w:numPr>
              <w:ilvl w:val="0"/>
              <w:numId w:val="4"/>
            </w:numPr>
            <w:spacing w:line="360" w:lineRule="auto"/>
            <w:jc w:val="both"/>
            <w:rPr>
              <w:color w:val="222222"/>
              <w:sz w:val="24"/>
              <w:szCs w:val="24"/>
              <w:shd w:val="clear" w:color="auto" w:fill="FFFFFF"/>
            </w:rPr>
          </w:pPr>
          <w:proofErr w:type="spellStart"/>
          <w:r w:rsidRPr="00077647">
            <w:rPr>
              <w:color w:val="222222"/>
              <w:sz w:val="24"/>
              <w:szCs w:val="24"/>
              <w:shd w:val="clear" w:color="auto" w:fill="FFFFFF"/>
            </w:rPr>
            <w:t>Weikmans</w:t>
          </w:r>
          <w:proofErr w:type="spellEnd"/>
          <w:r w:rsidRPr="00077647">
            <w:rPr>
              <w:color w:val="222222"/>
              <w:sz w:val="24"/>
              <w:szCs w:val="24"/>
              <w:shd w:val="clear" w:color="auto" w:fill="FFFFFF"/>
            </w:rPr>
            <w:t xml:space="preserve">, R. and Roberts, J.T., </w:t>
          </w:r>
          <w:r w:rsidR="00EA793A">
            <w:rPr>
              <w:color w:val="222222"/>
              <w:sz w:val="24"/>
              <w:szCs w:val="24"/>
              <w:shd w:val="clear" w:color="auto" w:fill="FFFFFF"/>
            </w:rPr>
            <w:t>(</w:t>
          </w:r>
          <w:r w:rsidRPr="00077647">
            <w:rPr>
              <w:color w:val="222222"/>
              <w:sz w:val="24"/>
              <w:szCs w:val="24"/>
              <w:shd w:val="clear" w:color="auto" w:fill="FFFFFF"/>
            </w:rPr>
            <w:t>2019</w:t>
          </w:r>
          <w:r w:rsidR="00EA793A">
            <w:rPr>
              <w:color w:val="222222"/>
              <w:sz w:val="24"/>
              <w:szCs w:val="24"/>
              <w:shd w:val="clear" w:color="auto" w:fill="FFFFFF"/>
            </w:rPr>
            <w:t>)</w:t>
          </w:r>
          <w:r w:rsidRPr="00077647">
            <w:rPr>
              <w:color w:val="222222"/>
              <w:sz w:val="24"/>
              <w:szCs w:val="24"/>
              <w:shd w:val="clear" w:color="auto" w:fill="FFFFFF"/>
            </w:rPr>
            <w:t xml:space="preserve">. The international climate finance accounting muddle: is there hope on the </w:t>
          </w:r>
          <w:proofErr w:type="gramStart"/>
          <w:r w:rsidRPr="00077647">
            <w:rPr>
              <w:color w:val="222222"/>
              <w:sz w:val="24"/>
              <w:szCs w:val="24"/>
              <w:shd w:val="clear" w:color="auto" w:fill="FFFFFF"/>
            </w:rPr>
            <w:t>horizon?.</w:t>
          </w:r>
          <w:proofErr w:type="gramEnd"/>
          <w:r w:rsidRPr="00077647">
            <w:rPr>
              <w:color w:val="222222"/>
              <w:sz w:val="24"/>
              <w:szCs w:val="24"/>
              <w:shd w:val="clear" w:color="auto" w:fill="FFFFFF"/>
            </w:rPr>
            <w:t> </w:t>
          </w:r>
          <w:r w:rsidRPr="00077647">
            <w:rPr>
              <w:i/>
              <w:iCs/>
              <w:color w:val="222222"/>
              <w:sz w:val="24"/>
              <w:szCs w:val="24"/>
              <w:shd w:val="clear" w:color="auto" w:fill="FFFFFF"/>
            </w:rPr>
            <w:t>Climate and Development</w:t>
          </w:r>
          <w:r w:rsidRPr="00077647">
            <w:rPr>
              <w:color w:val="222222"/>
              <w:sz w:val="24"/>
              <w:szCs w:val="24"/>
              <w:shd w:val="clear" w:color="auto" w:fill="FFFFFF"/>
            </w:rPr>
            <w:t>, </w:t>
          </w:r>
          <w:r w:rsidRPr="00077647">
            <w:rPr>
              <w:i/>
              <w:iCs/>
              <w:color w:val="222222"/>
              <w:sz w:val="24"/>
              <w:szCs w:val="24"/>
              <w:shd w:val="clear" w:color="auto" w:fill="FFFFFF"/>
            </w:rPr>
            <w:t>11</w:t>
          </w:r>
          <w:r w:rsidRPr="00077647">
            <w:rPr>
              <w:color w:val="222222"/>
              <w:sz w:val="24"/>
              <w:szCs w:val="24"/>
              <w:shd w:val="clear" w:color="auto" w:fill="FFFFFF"/>
            </w:rPr>
            <w:t>(2), pp.97-111.</w:t>
          </w:r>
        </w:p>
        <w:p w14:paraId="22222C8B" w14:textId="77777777" w:rsidR="00AB0D7A" w:rsidRPr="000F70F6" w:rsidRDefault="00AB0D7A" w:rsidP="00602B28">
          <w:pPr>
            <w:spacing w:line="360" w:lineRule="auto"/>
            <w:jc w:val="both"/>
            <w:rPr>
              <w:rFonts w:ascii="Times New Roman" w:hAnsi="Times New Roman" w:cs="Times New Roman"/>
              <w:sz w:val="24"/>
              <w:szCs w:val="24"/>
            </w:rPr>
          </w:pPr>
        </w:p>
        <w:p w14:paraId="14139CDA" w14:textId="77777777" w:rsidR="00AB0D7A" w:rsidRPr="000F70F6" w:rsidRDefault="00AB0D7A" w:rsidP="00AB0D7A">
          <w:pPr>
            <w:rPr>
              <w:rFonts w:ascii="Times New Roman" w:hAnsi="Times New Roman" w:cs="Times New Roman"/>
            </w:rPr>
          </w:pPr>
        </w:p>
        <w:p w14:paraId="4F750E31" w14:textId="77777777" w:rsidR="00CA09F3" w:rsidRPr="000F70F6" w:rsidRDefault="00FE070E">
          <w:pPr>
            <w:rPr>
              <w:rFonts w:ascii="Times New Roman" w:hAnsi="Times New Roman" w:cs="Times New Roman"/>
            </w:rPr>
          </w:pPr>
        </w:p>
      </w:sdtContent>
    </w:sdt>
    <w:sectPr w:rsidR="00CA09F3" w:rsidRPr="000F70F6" w:rsidSect="007D1947">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6DD46D" w14:textId="77777777" w:rsidR="00FE070E" w:rsidRDefault="00FE070E" w:rsidP="00C979FE">
      <w:pPr>
        <w:spacing w:after="0" w:line="240" w:lineRule="auto"/>
      </w:pPr>
      <w:r>
        <w:separator/>
      </w:r>
    </w:p>
  </w:endnote>
  <w:endnote w:type="continuationSeparator" w:id="0">
    <w:p w14:paraId="67B05E83" w14:textId="77777777" w:rsidR="00FE070E" w:rsidRDefault="00FE070E" w:rsidP="00C979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0282946"/>
      <w:docPartObj>
        <w:docPartGallery w:val="Page Numbers (Bottom of Page)"/>
        <w:docPartUnique/>
      </w:docPartObj>
    </w:sdtPr>
    <w:sdtEndPr/>
    <w:sdtContent>
      <w:p w14:paraId="4731C6B0" w14:textId="77777777" w:rsidR="00C979FE" w:rsidRDefault="005140B3">
        <w:pPr>
          <w:pStyle w:val="Footer"/>
          <w:jc w:val="right"/>
        </w:pPr>
        <w:r>
          <w:fldChar w:fldCharType="begin"/>
        </w:r>
        <w:r>
          <w:instrText xml:space="preserve"> PAGE   \* MERGEFORMAT </w:instrText>
        </w:r>
        <w:r>
          <w:fldChar w:fldCharType="separate"/>
        </w:r>
        <w:r w:rsidR="00745BD7">
          <w:rPr>
            <w:noProof/>
          </w:rPr>
          <w:t>12</w:t>
        </w:r>
        <w:r>
          <w:rPr>
            <w:noProof/>
          </w:rPr>
          <w:fldChar w:fldCharType="end"/>
        </w:r>
      </w:p>
    </w:sdtContent>
  </w:sdt>
  <w:p w14:paraId="5BA02BE5" w14:textId="77777777" w:rsidR="00C979FE" w:rsidRDefault="00C979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5BC76" w14:textId="77777777" w:rsidR="00FE070E" w:rsidRDefault="00FE070E" w:rsidP="00C979FE">
      <w:pPr>
        <w:spacing w:after="0" w:line="240" w:lineRule="auto"/>
      </w:pPr>
      <w:r>
        <w:separator/>
      </w:r>
    </w:p>
  </w:footnote>
  <w:footnote w:type="continuationSeparator" w:id="0">
    <w:p w14:paraId="528F9C64" w14:textId="77777777" w:rsidR="00FE070E" w:rsidRDefault="00FE070E" w:rsidP="00C979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67C2B"/>
    <w:multiLevelType w:val="multilevel"/>
    <w:tmpl w:val="AFB64FF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775F5810"/>
    <w:multiLevelType w:val="hybridMultilevel"/>
    <w:tmpl w:val="1140415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7D5C1268"/>
    <w:multiLevelType w:val="hybridMultilevel"/>
    <w:tmpl w:val="99CCA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79645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2141401">
    <w:abstractNumId w:val="0"/>
  </w:num>
  <w:num w:numId="3" w16cid:durableId="1313633084">
    <w:abstractNumId w:val="1"/>
  </w:num>
  <w:num w:numId="4" w16cid:durableId="14576034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947"/>
    <w:rsid w:val="00077647"/>
    <w:rsid w:val="000F70F6"/>
    <w:rsid w:val="00115B96"/>
    <w:rsid w:val="00203775"/>
    <w:rsid w:val="00274F20"/>
    <w:rsid w:val="002A5D7E"/>
    <w:rsid w:val="002D0D2A"/>
    <w:rsid w:val="00324CCD"/>
    <w:rsid w:val="00337A67"/>
    <w:rsid w:val="003455C7"/>
    <w:rsid w:val="00361DFE"/>
    <w:rsid w:val="003C5252"/>
    <w:rsid w:val="004A11F6"/>
    <w:rsid w:val="004D519C"/>
    <w:rsid w:val="005140B3"/>
    <w:rsid w:val="00602B28"/>
    <w:rsid w:val="00713185"/>
    <w:rsid w:val="007437BD"/>
    <w:rsid w:val="00745BD7"/>
    <w:rsid w:val="0075686A"/>
    <w:rsid w:val="007D1947"/>
    <w:rsid w:val="00863563"/>
    <w:rsid w:val="009C1CE2"/>
    <w:rsid w:val="00AA2A91"/>
    <w:rsid w:val="00AB0D7A"/>
    <w:rsid w:val="00B231BD"/>
    <w:rsid w:val="00B875F5"/>
    <w:rsid w:val="00C37FB1"/>
    <w:rsid w:val="00C62C0E"/>
    <w:rsid w:val="00C71FB5"/>
    <w:rsid w:val="00C9410F"/>
    <w:rsid w:val="00C979FE"/>
    <w:rsid w:val="00CA09F3"/>
    <w:rsid w:val="00D43E89"/>
    <w:rsid w:val="00D854A5"/>
    <w:rsid w:val="00DA0D0D"/>
    <w:rsid w:val="00DB6A70"/>
    <w:rsid w:val="00E17D2F"/>
    <w:rsid w:val="00E32F46"/>
    <w:rsid w:val="00EA793A"/>
    <w:rsid w:val="00EC745D"/>
    <w:rsid w:val="00F2371D"/>
    <w:rsid w:val="00FD14E2"/>
    <w:rsid w:val="00FE07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6A891"/>
  <w15:docId w15:val="{D79920D5-C2C6-4F17-9F67-A43EE80BD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C5252"/>
    <w:pPr>
      <w:keepNext/>
      <w:keepLines/>
      <w:spacing w:before="240" w:after="0" w:line="360" w:lineRule="auto"/>
      <w:jc w:val="both"/>
      <w:outlineLvl w:val="0"/>
    </w:pPr>
    <w:rPr>
      <w:rFonts w:ascii="Times New Roman" w:eastAsiaTheme="majorEastAsia" w:hAnsi="Times New Roman" w:cs="Times New Roman"/>
      <w:b/>
      <w:color w:val="2E74B5" w:themeColor="accent1" w:themeShade="BF"/>
      <w:sz w:val="24"/>
      <w:szCs w:val="24"/>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3C5252"/>
    <w:rPr>
      <w:rFonts w:ascii="Times New Roman" w:eastAsiaTheme="majorEastAsia" w:hAnsi="Times New Roman" w:cs="Times New Roman"/>
      <w:b/>
      <w:color w:val="2E74B5" w:themeColor="accent1" w:themeShade="BF"/>
      <w:sz w:val="24"/>
      <w:szCs w:val="24"/>
    </w:rPr>
  </w:style>
  <w:style w:type="paragraph" w:styleId="TOCHeading">
    <w:name w:val="TOC Heading"/>
    <w:basedOn w:val="Heading1"/>
    <w:next w:val="Normal"/>
    <w:uiPriority w:val="39"/>
    <w:unhideWhenUsed/>
    <w:qFormat/>
    <w:rsid w:val="007D1947"/>
    <w:pPr>
      <w:outlineLvl w:val="9"/>
    </w:pPr>
    <w:rPr>
      <w:color w:val="2E74B5" w:themeColor="accent1" w:themeShade="BF"/>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9C1CE2"/>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AB0D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0D7A"/>
    <w:rPr>
      <w:rFonts w:ascii="Tahoma" w:hAnsi="Tahoma" w:cs="Tahoma"/>
      <w:sz w:val="16"/>
      <w:szCs w:val="16"/>
    </w:rPr>
  </w:style>
  <w:style w:type="paragraph" w:styleId="NormalWeb">
    <w:name w:val="Normal (Web)"/>
    <w:basedOn w:val="Normal"/>
    <w:uiPriority w:val="99"/>
    <w:semiHidden/>
    <w:unhideWhenUsed/>
    <w:rsid w:val="000F70F6"/>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Header">
    <w:name w:val="header"/>
    <w:basedOn w:val="Normal"/>
    <w:link w:val="HeaderChar"/>
    <w:uiPriority w:val="99"/>
    <w:unhideWhenUsed/>
    <w:rsid w:val="00C979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79FE"/>
  </w:style>
  <w:style w:type="paragraph" w:styleId="Footer">
    <w:name w:val="footer"/>
    <w:basedOn w:val="Normal"/>
    <w:link w:val="FooterChar"/>
    <w:uiPriority w:val="99"/>
    <w:unhideWhenUsed/>
    <w:rsid w:val="00C979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79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2958">
      <w:bodyDiv w:val="1"/>
      <w:marLeft w:val="0"/>
      <w:marRight w:val="0"/>
      <w:marTop w:val="0"/>
      <w:marBottom w:val="0"/>
      <w:divBdr>
        <w:top w:val="none" w:sz="0" w:space="0" w:color="auto"/>
        <w:left w:val="none" w:sz="0" w:space="0" w:color="auto"/>
        <w:bottom w:val="none" w:sz="0" w:space="0" w:color="auto"/>
        <w:right w:val="none" w:sz="0" w:space="0" w:color="auto"/>
      </w:divBdr>
    </w:div>
    <w:div w:id="135491737">
      <w:bodyDiv w:val="1"/>
      <w:marLeft w:val="0"/>
      <w:marRight w:val="0"/>
      <w:marTop w:val="0"/>
      <w:marBottom w:val="0"/>
      <w:divBdr>
        <w:top w:val="none" w:sz="0" w:space="0" w:color="auto"/>
        <w:left w:val="none" w:sz="0" w:space="0" w:color="auto"/>
        <w:bottom w:val="none" w:sz="0" w:space="0" w:color="auto"/>
        <w:right w:val="none" w:sz="0" w:space="0" w:color="auto"/>
      </w:divBdr>
    </w:div>
    <w:div w:id="897207440">
      <w:bodyDiv w:val="1"/>
      <w:marLeft w:val="0"/>
      <w:marRight w:val="0"/>
      <w:marTop w:val="0"/>
      <w:marBottom w:val="0"/>
      <w:divBdr>
        <w:top w:val="none" w:sz="0" w:space="0" w:color="auto"/>
        <w:left w:val="none" w:sz="0" w:space="0" w:color="auto"/>
        <w:bottom w:val="none" w:sz="0" w:space="0" w:color="auto"/>
        <w:right w:val="none" w:sz="0" w:space="0" w:color="auto"/>
      </w:divBdr>
    </w:div>
    <w:div w:id="1151680786">
      <w:bodyDiv w:val="1"/>
      <w:marLeft w:val="0"/>
      <w:marRight w:val="0"/>
      <w:marTop w:val="0"/>
      <w:marBottom w:val="0"/>
      <w:divBdr>
        <w:top w:val="none" w:sz="0" w:space="0" w:color="auto"/>
        <w:left w:val="none" w:sz="0" w:space="0" w:color="auto"/>
        <w:bottom w:val="none" w:sz="0" w:space="0" w:color="auto"/>
        <w:right w:val="none" w:sz="0" w:space="0" w:color="auto"/>
      </w:divBdr>
    </w:div>
    <w:div w:id="1426881855">
      <w:bodyDiv w:val="1"/>
      <w:marLeft w:val="0"/>
      <w:marRight w:val="0"/>
      <w:marTop w:val="0"/>
      <w:marBottom w:val="0"/>
      <w:divBdr>
        <w:top w:val="none" w:sz="0" w:space="0" w:color="auto"/>
        <w:left w:val="none" w:sz="0" w:space="0" w:color="auto"/>
        <w:bottom w:val="none" w:sz="0" w:space="0" w:color="auto"/>
        <w:right w:val="none" w:sz="0" w:space="0" w:color="auto"/>
      </w:divBdr>
    </w:div>
    <w:div w:id="1439595320">
      <w:bodyDiv w:val="1"/>
      <w:marLeft w:val="0"/>
      <w:marRight w:val="0"/>
      <w:marTop w:val="0"/>
      <w:marBottom w:val="0"/>
      <w:divBdr>
        <w:top w:val="none" w:sz="0" w:space="0" w:color="auto"/>
        <w:left w:val="none" w:sz="0" w:space="0" w:color="auto"/>
        <w:bottom w:val="none" w:sz="0" w:space="0" w:color="auto"/>
        <w:right w:val="none" w:sz="0" w:space="0" w:color="auto"/>
      </w:divBdr>
    </w:div>
    <w:div w:id="2045399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2022-06-01T00:00:00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3" ma:contentTypeDescription="Create a new document." ma:contentTypeScope="" ma:versionID="e112791552e7951b25a41ed98e45e897">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ce305e294c66165be56cab75694a5e40"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4601369-8EFB-4313-B8B6-887C00BFFF9C}">
  <ds:schemaRefs>
    <ds:schemaRef ds:uri="http://schemas.microsoft.com/sharepoint/v3/contenttype/forms"/>
  </ds:schemaRefs>
</ds:datastoreItem>
</file>

<file path=customXml/itemProps3.xml><?xml version="1.0" encoding="utf-8"?>
<ds:datastoreItem xmlns:ds="http://schemas.openxmlformats.org/officeDocument/2006/customXml" ds:itemID="{5027283A-49DD-47F4-A39D-7EC867CC12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731CE7-7BC0-4840-A1D4-A3A6232CC22E}">
  <ds:schemaRefs>
    <ds:schemaRef ds:uri="http://schemas.openxmlformats.org/officeDocument/2006/bibliography"/>
  </ds:schemaRefs>
</ds:datastoreItem>
</file>

<file path=customXml/itemProps5.xml><?xml version="1.0" encoding="utf-8"?>
<ds:datastoreItem xmlns:ds="http://schemas.openxmlformats.org/officeDocument/2006/customXml" ds:itemID="{3584C94B-2F23-4710-8FBB-D1F972122EE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2934</Words>
  <Characters>16724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Financial Management for the Hotel Industry</vt:lpstr>
    </vt:vector>
  </TitlesOfParts>
  <Company>Epsom &amp; St. Helier University Hospitals NHS Trus</Company>
  <LinksUpToDate>false</LinksUpToDate>
  <CharactersWithSpaces>19619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Management for the Hotel Industry</dc:title>
  <dc:subject>Hadi Njai – 2022566</dc:subject>
  <dc:creator>Sainabou Saine</dc:creator>
  <cp:lastModifiedBy>Hadi Njai (2022566)</cp:lastModifiedBy>
  <cp:revision>2</cp:revision>
  <dcterms:created xsi:type="dcterms:W3CDTF">2022-06-01T22:03:00Z</dcterms:created>
  <dcterms:modified xsi:type="dcterms:W3CDTF">2022-06-01T22:03:00Z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