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3049F" w14:textId="7AB50C78" w:rsidR="002F4726" w:rsidRDefault="002F4726" w:rsidP="00237429">
      <w:pPr>
        <w:spacing w:line="480" w:lineRule="auto"/>
      </w:pPr>
    </w:p>
    <w:p w14:paraId="0EAC4717" w14:textId="022FFBA0" w:rsidR="002F4726" w:rsidRDefault="002F4726" w:rsidP="00237429">
      <w:pPr>
        <w:spacing w:line="480" w:lineRule="auto"/>
      </w:pPr>
    </w:p>
    <w:p w14:paraId="05D4DA6F" w14:textId="51CC755F" w:rsidR="002F4726" w:rsidRDefault="002F4726" w:rsidP="00237429">
      <w:pPr>
        <w:spacing w:line="480" w:lineRule="auto"/>
      </w:pPr>
    </w:p>
    <w:p w14:paraId="2BBF8BF4" w14:textId="6E68E103" w:rsidR="002F4726" w:rsidRDefault="002F4726" w:rsidP="00237429">
      <w:pPr>
        <w:spacing w:line="480" w:lineRule="auto"/>
      </w:pPr>
    </w:p>
    <w:p w14:paraId="488D13F8" w14:textId="6743EFE0" w:rsidR="002F4726" w:rsidRDefault="002F4726" w:rsidP="00237429">
      <w:pPr>
        <w:spacing w:line="480" w:lineRule="auto"/>
      </w:pPr>
    </w:p>
    <w:p w14:paraId="34565BF6" w14:textId="7012C24F" w:rsidR="002F4726" w:rsidRDefault="002F4726" w:rsidP="00237429">
      <w:pPr>
        <w:spacing w:line="480" w:lineRule="auto"/>
      </w:pPr>
    </w:p>
    <w:p w14:paraId="1AB537A7" w14:textId="3524CB53" w:rsidR="002F4726" w:rsidRDefault="002F4726" w:rsidP="00237429">
      <w:pPr>
        <w:spacing w:line="480" w:lineRule="auto"/>
      </w:pPr>
    </w:p>
    <w:p w14:paraId="5F98F7D5" w14:textId="0A688791" w:rsidR="002F4726" w:rsidRDefault="002F4726" w:rsidP="00237429">
      <w:pPr>
        <w:spacing w:line="480" w:lineRule="auto"/>
      </w:pPr>
    </w:p>
    <w:p w14:paraId="67256957" w14:textId="21471A21" w:rsidR="002F4726" w:rsidRDefault="002F4726" w:rsidP="00237429">
      <w:pPr>
        <w:spacing w:line="480" w:lineRule="auto"/>
      </w:pPr>
    </w:p>
    <w:p w14:paraId="3FC23091" w14:textId="17CDF695" w:rsidR="002F4726" w:rsidRDefault="002F4726" w:rsidP="00237429">
      <w:pPr>
        <w:spacing w:line="480" w:lineRule="auto"/>
      </w:pPr>
    </w:p>
    <w:p w14:paraId="537965AE" w14:textId="733E9CD9" w:rsidR="002F4726" w:rsidRDefault="002F4726" w:rsidP="00237429">
      <w:pPr>
        <w:spacing w:line="480" w:lineRule="auto"/>
      </w:pPr>
    </w:p>
    <w:p w14:paraId="44142C77" w14:textId="54FA9FFB" w:rsidR="002F4726" w:rsidRDefault="002F4726" w:rsidP="00237429">
      <w:pPr>
        <w:spacing w:line="480" w:lineRule="auto"/>
      </w:pPr>
    </w:p>
    <w:p w14:paraId="2DD8365A" w14:textId="5AA9F030" w:rsidR="002F4726" w:rsidRDefault="002F4726" w:rsidP="00237429">
      <w:pPr>
        <w:spacing w:line="480" w:lineRule="auto"/>
      </w:pPr>
    </w:p>
    <w:p w14:paraId="447044F1" w14:textId="2211B3C9" w:rsidR="002F4726" w:rsidRDefault="002F4726" w:rsidP="00237429">
      <w:pPr>
        <w:spacing w:line="480" w:lineRule="auto"/>
      </w:pPr>
    </w:p>
    <w:p w14:paraId="1C2ADE85" w14:textId="33A74625" w:rsidR="002F4726" w:rsidRDefault="002F4726" w:rsidP="00237429">
      <w:pPr>
        <w:spacing w:line="480" w:lineRule="auto"/>
      </w:pPr>
    </w:p>
    <w:p w14:paraId="333ACB44" w14:textId="7194B0AA" w:rsidR="002F4726" w:rsidRDefault="002F4726" w:rsidP="00237429">
      <w:pPr>
        <w:spacing w:line="480" w:lineRule="auto"/>
      </w:pPr>
    </w:p>
    <w:p w14:paraId="704A561A" w14:textId="6ED61675" w:rsidR="002F4726" w:rsidRDefault="002F4726" w:rsidP="00237429">
      <w:pPr>
        <w:spacing w:line="480" w:lineRule="auto"/>
      </w:pPr>
    </w:p>
    <w:p w14:paraId="58A03ABC" w14:textId="77777777" w:rsidR="002F4726" w:rsidRDefault="002F4726" w:rsidP="00237429">
      <w:pPr>
        <w:spacing w:line="480" w:lineRule="auto"/>
      </w:pPr>
    </w:p>
    <w:p w14:paraId="5AD2077D" w14:textId="77777777" w:rsidR="004E31A4" w:rsidRPr="004E31A4" w:rsidRDefault="002401D0" w:rsidP="00237429">
      <w:pPr>
        <w:spacing w:line="480" w:lineRule="auto"/>
        <w:rPr>
          <w:b/>
          <w:bCs/>
        </w:rPr>
      </w:pPr>
      <w:r w:rsidRPr="004E31A4">
        <w:rPr>
          <w:b/>
          <w:bCs/>
        </w:rPr>
        <w:lastRenderedPageBreak/>
        <w:t>a.</w:t>
      </w:r>
    </w:p>
    <w:p w14:paraId="7F0ED03F" w14:textId="3EA85502" w:rsidR="006166D4" w:rsidRPr="00247157" w:rsidRDefault="00AC1EA3" w:rsidP="00237429">
      <w:pPr>
        <w:spacing w:line="480" w:lineRule="auto"/>
      </w:pPr>
      <w:r w:rsidRPr="00247157">
        <w:t xml:space="preserve">According to rule of Privity of Contract, contract is only binding on the parties to the contract and third party cannot sue for </w:t>
      </w:r>
      <w:r w:rsidR="00CF798D" w:rsidRPr="00247157">
        <w:t>performance</w:t>
      </w:r>
      <w:r w:rsidRPr="00247157">
        <w:t>.</w:t>
      </w:r>
      <w:r w:rsidR="00984BD5" w:rsidRPr="00247157">
        <w:t xml:space="preserve"> </w:t>
      </w:r>
      <w:r w:rsidR="00CF798D" w:rsidRPr="00247157">
        <w:t xml:space="preserve">For example, </w:t>
      </w:r>
      <w:r w:rsidR="00984BD5" w:rsidRPr="00247157">
        <w:t xml:space="preserve">Mr. John </w:t>
      </w:r>
      <w:proofErr w:type="spellStart"/>
      <w:r w:rsidR="00984BD5" w:rsidRPr="00247157">
        <w:t>Twelldle</w:t>
      </w:r>
      <w:proofErr w:type="spellEnd"/>
      <w:r w:rsidR="00984BD5" w:rsidRPr="00247157">
        <w:t xml:space="preserve"> and Mr. Guy promised each other to pay an amount to Mr. William Tweddle, son of Mr. John Tweddle, who was engaged to Mr. Guy’s daughter. Mr. Guy died before making the p</w:t>
      </w:r>
      <w:r w:rsidR="006C3E19" w:rsidRPr="00247157">
        <w:t>ayment. Mr. William Twiddle sued</w:t>
      </w:r>
      <w:r w:rsidR="00984BD5" w:rsidRPr="00247157">
        <w:t xml:space="preserve"> but court decided </w:t>
      </w:r>
      <w:r w:rsidR="00CF798D" w:rsidRPr="00247157">
        <w:t xml:space="preserve">in Tweddle v Atkinson, [1861] case </w:t>
      </w:r>
      <w:r w:rsidR="006C3E19" w:rsidRPr="00247157">
        <w:t xml:space="preserve">that since </w:t>
      </w:r>
      <w:r w:rsidR="00CF798D" w:rsidRPr="00247157">
        <w:t>complainant</w:t>
      </w:r>
      <w:r w:rsidR="00984BD5" w:rsidRPr="00247157">
        <w:t xml:space="preserve"> did not pay any consideration and was not party to the contract so, he cannot claim the benefit. </w:t>
      </w:r>
    </w:p>
    <w:p w14:paraId="3767593B" w14:textId="77777777" w:rsidR="004E31A4" w:rsidRPr="004E31A4" w:rsidRDefault="002401D0" w:rsidP="00237429">
      <w:pPr>
        <w:spacing w:line="480" w:lineRule="auto"/>
        <w:rPr>
          <w:b/>
          <w:bCs/>
        </w:rPr>
      </w:pPr>
      <w:r w:rsidRPr="004E31A4">
        <w:rPr>
          <w:b/>
          <w:bCs/>
        </w:rPr>
        <w:t>b.</w:t>
      </w:r>
    </w:p>
    <w:p w14:paraId="2B706709" w14:textId="60495200" w:rsidR="002401D0" w:rsidRPr="00247157" w:rsidRDefault="00E875FB" w:rsidP="00237429">
      <w:pPr>
        <w:spacing w:line="480" w:lineRule="auto"/>
      </w:pPr>
      <w:r w:rsidRPr="00247157">
        <w:t>Consideration, defined by in Dictionary of Law, 4</w:t>
      </w:r>
      <w:r w:rsidRPr="00247157">
        <w:rPr>
          <w:vertAlign w:val="superscript"/>
        </w:rPr>
        <w:t>th</w:t>
      </w:r>
      <w:r w:rsidRPr="00247157">
        <w:t xml:space="preserve">ed (Collin, 2004), </w:t>
      </w:r>
      <w:r w:rsidR="007B1C63" w:rsidRPr="00247157">
        <w:t xml:space="preserve">can be price, money, </w:t>
      </w:r>
      <w:proofErr w:type="gramStart"/>
      <w:r w:rsidR="007B1C63" w:rsidRPr="00247157">
        <w:t>goods</w:t>
      </w:r>
      <w:proofErr w:type="gramEnd"/>
      <w:r w:rsidR="007B1C63" w:rsidRPr="00247157">
        <w:t xml:space="preserve"> or any other reward paid by one person in exchange for a promise by another person to do something of sufficient value</w:t>
      </w:r>
      <w:r w:rsidRPr="00247157">
        <w:t>. I</w:t>
      </w:r>
      <w:r w:rsidR="007B1C63" w:rsidRPr="00247157">
        <w:t xml:space="preserve">n English Law, contracts are only valid if there is an underlying consideration. </w:t>
      </w:r>
      <w:r w:rsidRPr="00247157">
        <w:t xml:space="preserve"> Therefore, for enforceable contract, there must be sufficient consideration and it must move from the promise. However, it is important that consideration was decided before the performance </w:t>
      </w:r>
      <w:proofErr w:type="gramStart"/>
      <w:r w:rsidRPr="00247157">
        <w:t>in order to</w:t>
      </w:r>
      <w:proofErr w:type="gramEnd"/>
      <w:r w:rsidRPr="00247157">
        <w:t xml:space="preserve"> be considered enforceable. If consideration is decided after performance of an act then, it is a past consideration and is not enforceable. </w:t>
      </w:r>
      <w:r w:rsidR="007B1C63" w:rsidRPr="00247157">
        <w:t xml:space="preserve"> </w:t>
      </w:r>
      <w:r w:rsidRPr="00247157">
        <w:t xml:space="preserve">For example, in </w:t>
      </w:r>
      <w:proofErr w:type="spellStart"/>
      <w:r w:rsidRPr="00247157">
        <w:t>Roscorla</w:t>
      </w:r>
      <w:proofErr w:type="spellEnd"/>
      <w:r w:rsidRPr="00247157">
        <w:t xml:space="preserve"> v Thomas</w:t>
      </w:r>
      <w:r w:rsidR="00BF050D" w:rsidRPr="00247157">
        <w:t xml:space="preserve"> [1842] </w:t>
      </w:r>
      <w:r w:rsidRPr="00247157">
        <w:t xml:space="preserve">case, both </w:t>
      </w:r>
      <w:r w:rsidR="00BF050D" w:rsidRPr="00247157">
        <w:t>parties</w:t>
      </w:r>
      <w:r w:rsidRPr="00247157">
        <w:t xml:space="preserve"> agreed on sale / purchase of horse at agreed amount. After promises were made, seller han</w:t>
      </w:r>
      <w:r w:rsidR="00E12253" w:rsidRPr="00247157">
        <w:t xml:space="preserve">ded over the horse to the buyer and buyer made the payment. Then, seller </w:t>
      </w:r>
      <w:r w:rsidRPr="00247157">
        <w:t>promised that horse was</w:t>
      </w:r>
      <w:r w:rsidR="00E12253" w:rsidRPr="00247157">
        <w:t xml:space="preserve"> “</w:t>
      </w:r>
      <w:r w:rsidRPr="00247157">
        <w:t>in good health and free from vice”</w:t>
      </w:r>
      <w:r w:rsidR="00E12253" w:rsidRPr="00247157">
        <w:t xml:space="preserve">. However, horse was not so, </w:t>
      </w:r>
      <w:r w:rsidRPr="00247157">
        <w:t xml:space="preserve">buyer sued for breach of contract. Court decided that </w:t>
      </w:r>
      <w:r w:rsidR="00BF050D" w:rsidRPr="00247157">
        <w:t xml:space="preserve">there was no consideration </w:t>
      </w:r>
      <w:r w:rsidR="004E31A4" w:rsidRPr="00247157">
        <w:t>in</w:t>
      </w:r>
      <w:r w:rsidR="00BF050D" w:rsidRPr="00247157">
        <w:t xml:space="preserve"> exchange for promise of health and sale of horse is a past consideration and therefore, </w:t>
      </w:r>
      <w:r w:rsidR="003A7754" w:rsidRPr="00247157">
        <w:t>not a</w:t>
      </w:r>
      <w:r w:rsidR="00BF050D" w:rsidRPr="00247157">
        <w:t xml:space="preserve"> good consideration. </w:t>
      </w:r>
    </w:p>
    <w:p w14:paraId="53F0DE60" w14:textId="77777777" w:rsidR="004E31A4" w:rsidRPr="004E31A4" w:rsidRDefault="002401D0" w:rsidP="00237429">
      <w:pPr>
        <w:spacing w:line="480" w:lineRule="auto"/>
        <w:rPr>
          <w:b/>
          <w:bCs/>
        </w:rPr>
      </w:pPr>
      <w:r w:rsidRPr="004E31A4">
        <w:rPr>
          <w:b/>
          <w:bCs/>
        </w:rPr>
        <w:t>c.</w:t>
      </w:r>
    </w:p>
    <w:p w14:paraId="77A211AC" w14:textId="5C2B477E" w:rsidR="000C3168" w:rsidRPr="00247157" w:rsidRDefault="0087390F" w:rsidP="00237429">
      <w:pPr>
        <w:spacing w:line="480" w:lineRule="auto"/>
      </w:pPr>
      <w:r w:rsidRPr="00247157">
        <w:lastRenderedPageBreak/>
        <w:t>Generally, contract becomes discharged through performance only when both parties to the contract have ful</w:t>
      </w:r>
      <w:r w:rsidR="00783A7D" w:rsidRPr="00247157">
        <w:t xml:space="preserve">ly performed their obligations as decided in Cutter v Powell </w:t>
      </w:r>
      <w:r w:rsidRPr="00247157">
        <w:t xml:space="preserve">[1795], </w:t>
      </w:r>
      <w:r w:rsidR="00783A7D" w:rsidRPr="00247157">
        <w:t>wherein it was established that</w:t>
      </w:r>
      <w:r w:rsidRPr="00247157">
        <w:t xml:space="preserve"> </w:t>
      </w:r>
      <w:r w:rsidR="00783A7D" w:rsidRPr="00247157">
        <w:t xml:space="preserve">as </w:t>
      </w:r>
      <w:r w:rsidRPr="00247157">
        <w:t>remuneration was decided</w:t>
      </w:r>
      <w:r w:rsidR="00783A7D" w:rsidRPr="00247157">
        <w:t xml:space="preserve"> for completion of a task </w:t>
      </w:r>
      <w:r w:rsidR="00BD7D71" w:rsidRPr="00247157">
        <w:t>so</w:t>
      </w:r>
      <w:r w:rsidR="00783A7D" w:rsidRPr="00247157">
        <w:t xml:space="preserve">, </w:t>
      </w:r>
      <w:r w:rsidRPr="00247157">
        <w:t xml:space="preserve">amount only becomes payable </w:t>
      </w:r>
      <w:r w:rsidR="00783A7D" w:rsidRPr="00247157">
        <w:t xml:space="preserve">on completion of task. There are certain exceptions to this </w:t>
      </w:r>
      <w:r w:rsidR="008D0110" w:rsidRPr="00247157">
        <w:t xml:space="preserve">compulsion </w:t>
      </w:r>
      <w:r w:rsidR="00BD7D71" w:rsidRPr="00247157">
        <w:t>of performance</w:t>
      </w:r>
      <w:r w:rsidR="008D0110" w:rsidRPr="00247157">
        <w:t xml:space="preserve">. </w:t>
      </w:r>
      <w:r w:rsidR="00783A7D" w:rsidRPr="00247157">
        <w:t>I</w:t>
      </w:r>
      <w:r w:rsidR="008D0110" w:rsidRPr="00247157">
        <w:t xml:space="preserve">n case the contract can be divided into measureable parts then, rule of fully discharging the obligations for payment is exempted. </w:t>
      </w:r>
      <w:proofErr w:type="gramStart"/>
      <w:r w:rsidR="008D0110" w:rsidRPr="00247157">
        <w:t>In light of</w:t>
      </w:r>
      <w:proofErr w:type="gramEnd"/>
      <w:r w:rsidR="008D0110" w:rsidRPr="00247157">
        <w:t xml:space="preserve"> this exemption, in </w:t>
      </w:r>
      <w:r w:rsidR="00783A7D" w:rsidRPr="00247157">
        <w:t>Ritchie v Atkinson [1808]</w:t>
      </w:r>
      <w:r w:rsidR="008D0110" w:rsidRPr="00247157">
        <w:t>, it was decided that contract was divisible and therefore, the party was compensated for the weight carried to the destination and penalty for non-performance for remaining weight was charged.</w:t>
      </w:r>
      <w:r w:rsidR="008D0110" w:rsidRPr="00247157">
        <w:rPr>
          <w:b/>
          <w:bCs/>
        </w:rPr>
        <w:t xml:space="preserve"> </w:t>
      </w:r>
      <w:r w:rsidR="00BC68F2" w:rsidRPr="00247157">
        <w:t>Another exemption to general rule of performance is if the court agrees that there has been a substantial performance of obligations. The definition of substantial performance varies from case</w:t>
      </w:r>
      <w:r w:rsidR="00783A7D" w:rsidRPr="00247157">
        <w:t xml:space="preserve"> to case. For </w:t>
      </w:r>
      <w:r w:rsidR="00BB5C4A" w:rsidRPr="00247157">
        <w:t>example,</w:t>
      </w:r>
      <w:r w:rsidR="00783A7D" w:rsidRPr="00247157">
        <w:t xml:space="preserve"> in </w:t>
      </w:r>
      <w:r w:rsidR="004D3D1B" w:rsidRPr="00247157">
        <w:t xml:space="preserve">Hoenig v Isaacs </w:t>
      </w:r>
      <w:r w:rsidR="00BC68F2" w:rsidRPr="00247157">
        <w:t xml:space="preserve">[1952], </w:t>
      </w:r>
      <w:r w:rsidR="00BD7D71" w:rsidRPr="00247157">
        <w:t xml:space="preserve">the defendant agreed to pay £750 </w:t>
      </w:r>
      <w:r w:rsidR="00BC68F2" w:rsidRPr="00247157">
        <w:t xml:space="preserve">in two installments and balance after completion. However, on completion defendant was not satisfied with the furnishings and therefore, did not pay last installment. The court decided that since substantial performance was completed therefore, defendant must pay </w:t>
      </w:r>
      <w:r w:rsidR="00BD7D71" w:rsidRPr="00247157">
        <w:t>£</w:t>
      </w:r>
      <w:r w:rsidR="00BC68F2" w:rsidRPr="00247157">
        <w:t xml:space="preserve">750 minus </w:t>
      </w:r>
      <w:r w:rsidR="00BD7D71" w:rsidRPr="00247157">
        <w:t>£</w:t>
      </w:r>
      <w:r w:rsidR="00BC68F2" w:rsidRPr="00247157">
        <w:t>56 (</w:t>
      </w:r>
      <w:r w:rsidR="00BB5C4A" w:rsidRPr="00247157">
        <w:t>number</w:t>
      </w:r>
      <w:r w:rsidR="00BC68F2" w:rsidRPr="00247157">
        <w:t xml:space="preserve"> of defects in furnishing).</w:t>
      </w:r>
      <w:r w:rsidR="00BC68F2" w:rsidRPr="00247157">
        <w:rPr>
          <w:b/>
          <w:bCs/>
        </w:rPr>
        <w:t xml:space="preserve"> </w:t>
      </w:r>
      <w:r w:rsidR="00BC68F2" w:rsidRPr="00247157">
        <w:t>Other exemptions to full performance are when one party accept</w:t>
      </w:r>
      <w:r w:rsidR="00783A7D" w:rsidRPr="00247157">
        <w:t>s</w:t>
      </w:r>
      <w:r w:rsidR="00BC68F2" w:rsidRPr="00247157">
        <w:t xml:space="preserve"> partial performance by free will or when one party makes an offer to perform but other party does not accept the performance then, party soliciting tender performance is discharged from contract as decided in Startup v MacDonald</w:t>
      </w:r>
      <w:r w:rsidR="00783A7D" w:rsidRPr="00247157">
        <w:t xml:space="preserve"> [1843]</w:t>
      </w:r>
      <w:r w:rsidR="00BC68F2" w:rsidRPr="00247157">
        <w:t xml:space="preserve">. Rule of full performance is not applicable when the </w:t>
      </w:r>
      <w:r w:rsidR="00BB5C4A" w:rsidRPr="00247157">
        <w:t>promise</w:t>
      </w:r>
      <w:r w:rsidR="00BC68F2" w:rsidRPr="00247157">
        <w:t xml:space="preserve"> </w:t>
      </w:r>
      <w:r w:rsidR="00A03C1D" w:rsidRPr="00247157">
        <w:t>is</w:t>
      </w:r>
      <w:r w:rsidR="004D3D1B" w:rsidRPr="00247157">
        <w:t xml:space="preserve"> involved in prevention of promise as decided in </w:t>
      </w:r>
      <w:proofErr w:type="spellStart"/>
      <w:r w:rsidR="004D3D1B" w:rsidRPr="00247157">
        <w:t>Planche</w:t>
      </w:r>
      <w:proofErr w:type="spellEnd"/>
      <w:r w:rsidR="004D3D1B" w:rsidRPr="00247157">
        <w:t xml:space="preserve"> v Colburn [1831], wherein claimant received 50 pounds as </w:t>
      </w:r>
      <w:r w:rsidR="00BB5C4A" w:rsidRPr="00247157">
        <w:t>promise</w:t>
      </w:r>
      <w:r w:rsidR="004D3D1B" w:rsidRPr="00247157">
        <w:t xml:space="preserve"> discontinued the series </w:t>
      </w:r>
      <w:proofErr w:type="gramStart"/>
      <w:r w:rsidR="004D3D1B" w:rsidRPr="00247157">
        <w:t>despite the fact that</w:t>
      </w:r>
      <w:proofErr w:type="gramEnd"/>
      <w:r w:rsidR="004D3D1B" w:rsidRPr="00247157">
        <w:t xml:space="preserve"> the claimant had started writing for the series. </w:t>
      </w:r>
    </w:p>
    <w:p w14:paraId="7DDAB3C4" w14:textId="036282DF" w:rsidR="00B43483" w:rsidRPr="00247157" w:rsidRDefault="00B43483" w:rsidP="00237429">
      <w:pPr>
        <w:spacing w:line="480" w:lineRule="auto"/>
      </w:pPr>
      <w:r w:rsidRPr="00247157">
        <w:t>d.</w:t>
      </w:r>
      <w:r w:rsidRPr="00247157">
        <w:tab/>
        <w:t xml:space="preserve">The questions ask for establishing which contract is valid. </w:t>
      </w:r>
      <w:proofErr w:type="gramStart"/>
      <w:r w:rsidRPr="00247157">
        <w:t>In order to</w:t>
      </w:r>
      <w:proofErr w:type="gramEnd"/>
      <w:r w:rsidRPr="00247157">
        <w:t xml:space="preserve"> establish validity of contract, it has to be established that there is a valid offer followed by acceptance and an underlying sufficient consideration.</w:t>
      </w:r>
    </w:p>
    <w:p w14:paraId="4A2F69C7" w14:textId="77777777" w:rsidR="00B43483" w:rsidRPr="00BB5C4A" w:rsidRDefault="00B43483" w:rsidP="00237429">
      <w:pPr>
        <w:spacing w:line="480" w:lineRule="auto"/>
        <w:rPr>
          <w:b/>
          <w:bCs/>
        </w:rPr>
      </w:pPr>
      <w:r w:rsidRPr="00BB5C4A">
        <w:rPr>
          <w:b/>
          <w:bCs/>
        </w:rPr>
        <w:lastRenderedPageBreak/>
        <w:t>Valid Offer</w:t>
      </w:r>
    </w:p>
    <w:p w14:paraId="659F599C" w14:textId="75434D2C" w:rsidR="00B43483" w:rsidRPr="00BB5C4A" w:rsidRDefault="00B43483" w:rsidP="00237429">
      <w:pPr>
        <w:spacing w:line="480" w:lineRule="auto"/>
      </w:pPr>
      <w:r w:rsidRPr="00247157">
        <w:t xml:space="preserve">A valid offer is definitive promise by the offeror to be bound by the promise if the offeree agrees to the offer terms. </w:t>
      </w:r>
      <w:r w:rsidR="00BB5C4A" w:rsidRPr="00247157">
        <w:t>Whereas</w:t>
      </w:r>
      <w:r w:rsidRPr="00247157">
        <w:t xml:space="preserve"> a statement of one person soliciting or inviting others to make an offer is Invitation to treat and not an offer.</w:t>
      </w:r>
    </w:p>
    <w:p w14:paraId="2D3D94C2" w14:textId="77777777" w:rsidR="00B43483" w:rsidRPr="00247157" w:rsidRDefault="00B43483" w:rsidP="00237429">
      <w:pPr>
        <w:spacing w:line="480" w:lineRule="auto"/>
        <w:rPr>
          <w:b/>
        </w:rPr>
      </w:pPr>
      <w:r w:rsidRPr="00247157">
        <w:rPr>
          <w:b/>
        </w:rPr>
        <w:t>Relevant Case Laws:</w:t>
      </w:r>
    </w:p>
    <w:p w14:paraId="171BE614" w14:textId="31F4789D" w:rsidR="00B43483" w:rsidRPr="00247157" w:rsidRDefault="00B43483" w:rsidP="00237429">
      <w:pPr>
        <w:spacing w:line="480" w:lineRule="auto"/>
      </w:pPr>
      <w:r w:rsidRPr="00247157">
        <w:t xml:space="preserve">The case under discussion has certain similarities with the case; Fisher v Bell [1961]. In Fisher v Bell [1961], case was brought against defendant for engaging in an offer to sale knife which was a criminal offence. The court ruled that display of knife with a price tag on it by the defendant was an invitation to treat and not an offer. So, in absence of an offer to sell the knife, the defendant could not be held for criminal offence </w:t>
      </w:r>
      <w:proofErr w:type="gramStart"/>
      <w:r w:rsidRPr="00247157">
        <w:t>i.e.</w:t>
      </w:r>
      <w:proofErr w:type="gramEnd"/>
      <w:r w:rsidRPr="00247157">
        <w:t xml:space="preserve"> engaging in selling of a knife. Therefore, in accordance with the principles of Contract Law, court gave the verdict that display of knife was an invitation to treat and not an offer to sale which serves as a precedent for cases involving advert for invitation to treat. </w:t>
      </w:r>
    </w:p>
    <w:p w14:paraId="1E2F117B" w14:textId="0AC3DA9B" w:rsidR="00B43483" w:rsidRPr="00247157" w:rsidRDefault="00B43483" w:rsidP="00237429">
      <w:pPr>
        <w:spacing w:line="480" w:lineRule="auto"/>
        <w:rPr>
          <w:bCs/>
        </w:rPr>
      </w:pPr>
      <w:r w:rsidRPr="00247157">
        <w:t xml:space="preserve">Another case which can be compared and used as a precedent for deciding bout Arthur’s advert is </w:t>
      </w:r>
      <w:r w:rsidRPr="00247157">
        <w:rPr>
          <w:bCs/>
        </w:rPr>
        <w:t>Partridge v Crittenden [1968]. Partridge placed an advert in the magazine under a general heading “Classified Advertisement”. In the advert words “</w:t>
      </w:r>
      <w:r w:rsidRPr="00247157">
        <w:rPr>
          <w:color w:val="202122"/>
          <w:shd w:val="clear" w:color="auto" w:fill="FFFFFF"/>
        </w:rPr>
        <w:t xml:space="preserve">ABCR </w:t>
      </w:r>
      <w:proofErr w:type="spellStart"/>
      <w:r w:rsidRPr="00247157">
        <w:rPr>
          <w:color w:val="202122"/>
          <w:shd w:val="clear" w:color="auto" w:fill="FFFFFF"/>
        </w:rPr>
        <w:t>Bramblefinch</w:t>
      </w:r>
      <w:proofErr w:type="spellEnd"/>
      <w:r w:rsidRPr="00247157">
        <w:rPr>
          <w:color w:val="202122"/>
          <w:shd w:val="clear" w:color="auto" w:fill="FFFFFF"/>
        </w:rPr>
        <w:t xml:space="preserve"> cocks and ABCR </w:t>
      </w:r>
      <w:proofErr w:type="spellStart"/>
      <w:r w:rsidRPr="00247157">
        <w:rPr>
          <w:color w:val="202122"/>
          <w:shd w:val="clear" w:color="auto" w:fill="FFFFFF"/>
        </w:rPr>
        <w:t>Bramblefinch</w:t>
      </w:r>
      <w:proofErr w:type="spellEnd"/>
      <w:r w:rsidRPr="00247157">
        <w:rPr>
          <w:color w:val="202122"/>
          <w:shd w:val="clear" w:color="auto" w:fill="FFFFFF"/>
        </w:rPr>
        <w:t xml:space="preserve"> hen” were used but the words “offer for sale”</w:t>
      </w:r>
      <w:r w:rsidRPr="00247157">
        <w:rPr>
          <w:bCs/>
        </w:rPr>
        <w:t xml:space="preserve">. Initially, Partridge was charged for illegal offering to sale live wild bird under Protection of Birds Act 1954. The decision was contested by Partridge. The High Court citing </w:t>
      </w:r>
      <w:r w:rsidRPr="00247157">
        <w:t xml:space="preserve">Fisher v Bell [1961], ruled in favor of </w:t>
      </w:r>
      <w:r w:rsidRPr="00247157">
        <w:rPr>
          <w:bCs/>
        </w:rPr>
        <w:t xml:space="preserve">Partridge and ‘quashed’ the conviction. It was noted in the case that listing of birds along with their prices is an invitation to treat and not an offer. </w:t>
      </w:r>
    </w:p>
    <w:p w14:paraId="362C06DA" w14:textId="16A62F4C" w:rsidR="00B43483" w:rsidRPr="00247157" w:rsidRDefault="00B43483" w:rsidP="00237429">
      <w:pPr>
        <w:spacing w:line="480" w:lineRule="auto"/>
        <w:rPr>
          <w:bCs/>
        </w:rPr>
      </w:pPr>
      <w:r w:rsidRPr="00247157">
        <w:rPr>
          <w:bCs/>
        </w:rPr>
        <w:t>In view of the foregoing, adverts are invitation to treats and not an offer.</w:t>
      </w:r>
    </w:p>
    <w:p w14:paraId="3DCA63A9" w14:textId="007138ED" w:rsidR="00B43483" w:rsidRPr="00247157" w:rsidRDefault="00B43483" w:rsidP="00237429">
      <w:pPr>
        <w:spacing w:line="480" w:lineRule="auto"/>
      </w:pPr>
      <w:r w:rsidRPr="00247157">
        <w:rPr>
          <w:bCs/>
        </w:rPr>
        <w:t xml:space="preserve">The study of advert by Mr. Arthur shows that it is comparable to the cases, </w:t>
      </w:r>
      <w:r w:rsidRPr="00247157">
        <w:t xml:space="preserve">Fisher v Bell [1961] and </w:t>
      </w:r>
      <w:r w:rsidRPr="00247157">
        <w:rPr>
          <w:bCs/>
        </w:rPr>
        <w:t xml:space="preserve">Partridge v Crittenden [1968] cited above. Therefore, it can rationally be established that </w:t>
      </w:r>
      <w:r w:rsidRPr="00247157">
        <w:t xml:space="preserve">the statement </w:t>
      </w:r>
      <w:r w:rsidRPr="00247157">
        <w:lastRenderedPageBreak/>
        <w:t xml:space="preserve">by Arthur is an invitation for serious buyers to make offers for the antique watch. In other </w:t>
      </w:r>
      <w:proofErr w:type="gramStart"/>
      <w:r w:rsidRPr="00247157">
        <w:t>words</w:t>
      </w:r>
      <w:proofErr w:type="gramEnd"/>
      <w:r w:rsidRPr="00247157">
        <w:t xml:space="preserve"> the subject advert is an </w:t>
      </w:r>
      <w:r w:rsidRPr="00247157">
        <w:rPr>
          <w:b/>
          <w:i/>
        </w:rPr>
        <w:t>Invitation to Treat and not a valid offer</w:t>
      </w:r>
      <w:r w:rsidRPr="00247157">
        <w:t xml:space="preserve">. </w:t>
      </w:r>
    </w:p>
    <w:p w14:paraId="185E18EC" w14:textId="77777777" w:rsidR="00B43483" w:rsidRPr="00247157" w:rsidRDefault="00B43483" w:rsidP="00237429">
      <w:pPr>
        <w:spacing w:line="480" w:lineRule="auto"/>
      </w:pPr>
      <w:r w:rsidRPr="00247157">
        <w:t xml:space="preserve">Moreover, modes of correspondence are important while deciding if the acceptance of offer is in conformity to the modes prescribed and validity of acceptance is then to be decided </w:t>
      </w:r>
      <w:proofErr w:type="gramStart"/>
      <w:r w:rsidRPr="00247157">
        <w:t>in light of</w:t>
      </w:r>
      <w:proofErr w:type="gramEnd"/>
      <w:r w:rsidRPr="00247157">
        <w:t xml:space="preserve"> Contract Law. However, in this case there is no valid offer and so the advertised modes of correspondence have no significance for formation of contract. </w:t>
      </w:r>
    </w:p>
    <w:p w14:paraId="6CEED6FF" w14:textId="77777777" w:rsidR="00B43483" w:rsidRPr="00247157" w:rsidRDefault="00B43483" w:rsidP="00237429">
      <w:pPr>
        <w:spacing w:line="480" w:lineRule="auto"/>
      </w:pPr>
    </w:p>
    <w:p w14:paraId="17C3824F" w14:textId="12A18610" w:rsidR="00B43483" w:rsidRPr="00247157" w:rsidRDefault="00B43483" w:rsidP="00237429">
      <w:pPr>
        <w:spacing w:line="480" w:lineRule="auto"/>
      </w:pPr>
      <w:r w:rsidRPr="00247157">
        <w:t xml:space="preserve">After establishing that there was no valid offer by Arthur, each of the case wherein interest / willingness </w:t>
      </w:r>
      <w:proofErr w:type="gramStart"/>
      <w:r w:rsidRPr="00247157">
        <w:t>are</w:t>
      </w:r>
      <w:proofErr w:type="gramEnd"/>
      <w:r w:rsidRPr="00247157">
        <w:t xml:space="preserve"> shown by the individuals for watch are analyzed individually for ascertaining existence of a valid contract in following paragraphs:</w:t>
      </w:r>
    </w:p>
    <w:p w14:paraId="426ABEB5" w14:textId="77777777" w:rsidR="00B43483" w:rsidRPr="00247157" w:rsidRDefault="00B43483" w:rsidP="00237429">
      <w:pPr>
        <w:spacing w:line="480" w:lineRule="auto"/>
        <w:rPr>
          <w:b/>
          <w:i/>
        </w:rPr>
      </w:pPr>
      <w:r w:rsidRPr="00247157">
        <w:rPr>
          <w:b/>
          <w:i/>
        </w:rPr>
        <w:t xml:space="preserve">Ben’s Letter: </w:t>
      </w:r>
    </w:p>
    <w:p w14:paraId="1422ED77" w14:textId="77777777" w:rsidR="00B43483" w:rsidRPr="00247157" w:rsidRDefault="00B43483" w:rsidP="00237429">
      <w:pPr>
        <w:spacing w:line="480" w:lineRule="auto"/>
      </w:pPr>
      <w:r w:rsidRPr="00247157">
        <w:t xml:space="preserve">After establishing that advert by Mr. Arthur is an invitation to treat, it is Ben’s Letter cannot be treated as an acceptance of offer. Rather letter by Ben is an offer in response to Mr. Arthur’s invitation to treat. Mere posting of an offer by Ben cannot constitute a valid contract. Valid contract can only exist if a valid offer is accepted in the reasonable time by the offeree in the prescribed. The letter does not specify any manner however, if there is acceptance of offer this offer by Mr. Arthur, then a valid contract can exist. </w:t>
      </w:r>
    </w:p>
    <w:p w14:paraId="1AFC9B31" w14:textId="77777777" w:rsidR="00B43483" w:rsidRPr="00247157" w:rsidRDefault="00B43483" w:rsidP="00237429">
      <w:pPr>
        <w:spacing w:line="480" w:lineRule="auto"/>
      </w:pPr>
      <w:r w:rsidRPr="00247157">
        <w:t xml:space="preserve">Moreover, mode of communication by Ben </w:t>
      </w:r>
      <w:proofErr w:type="gramStart"/>
      <w:r w:rsidRPr="00247157">
        <w:t>i.e.</w:t>
      </w:r>
      <w:proofErr w:type="gramEnd"/>
      <w:r w:rsidRPr="00247157">
        <w:t xml:space="preserve"> writing is not that significant as it is not an acceptance and is merely an offer. </w:t>
      </w:r>
    </w:p>
    <w:p w14:paraId="67DA59AD" w14:textId="77777777" w:rsidR="00B43483" w:rsidRPr="00247157" w:rsidRDefault="00B43483" w:rsidP="00237429">
      <w:pPr>
        <w:spacing w:line="480" w:lineRule="auto"/>
      </w:pPr>
      <w:r w:rsidRPr="00247157">
        <w:t>Ben’s letter does not constitute any valid contract rather it is a valid offer. On 7</w:t>
      </w:r>
      <w:r w:rsidRPr="00247157">
        <w:rPr>
          <w:vertAlign w:val="superscript"/>
        </w:rPr>
        <w:t>th</w:t>
      </w:r>
      <w:r w:rsidRPr="00247157">
        <w:t xml:space="preserve"> May, on receipt of the letter, valid contract can only be formed if Mr. Arthur’s accepts the offer and communicates it to Ben.</w:t>
      </w:r>
    </w:p>
    <w:p w14:paraId="3EAF2880" w14:textId="77777777" w:rsidR="00B43483" w:rsidRPr="00247157" w:rsidRDefault="00B43483" w:rsidP="00237429">
      <w:pPr>
        <w:spacing w:line="480" w:lineRule="auto"/>
        <w:rPr>
          <w:b/>
        </w:rPr>
      </w:pPr>
      <w:r w:rsidRPr="00247157">
        <w:rPr>
          <w:b/>
        </w:rPr>
        <w:t>Christine’s Email:</w:t>
      </w:r>
    </w:p>
    <w:p w14:paraId="60B18A7E" w14:textId="77777777" w:rsidR="00B43483" w:rsidRPr="00247157" w:rsidRDefault="00B43483" w:rsidP="00237429">
      <w:pPr>
        <w:spacing w:line="480" w:lineRule="auto"/>
      </w:pPr>
      <w:r w:rsidRPr="00247157">
        <w:lastRenderedPageBreak/>
        <w:t>Again, after establishing that advert by Mr. Arthur is an invitation to treat, first email from Christine cannot be an acceptance. Rather, Christine’s first email offering</w:t>
      </w:r>
      <w:r w:rsidRPr="00247157">
        <w:rPr>
          <w:b/>
        </w:rPr>
        <w:t xml:space="preserve"> </w:t>
      </w:r>
      <w:r w:rsidRPr="00247157">
        <w:t xml:space="preserve">£11,000 is a valid offer. The same was not accepted by Mr. Arthur. Contract only exists if there is an acceptance of offer. So, no contract exists as to offer by Christine for £11,000. </w:t>
      </w:r>
    </w:p>
    <w:p w14:paraId="161AF55E" w14:textId="77777777" w:rsidR="00B43483" w:rsidRPr="00247157" w:rsidRDefault="00B43483" w:rsidP="00237429">
      <w:pPr>
        <w:spacing w:line="480" w:lineRule="auto"/>
      </w:pPr>
      <w:r w:rsidRPr="00247157">
        <w:t xml:space="preserve">Though initial advert was not an offer but Mr. Arthur’s reply that watch is still for sale and will accept £13,000 is now a </w:t>
      </w:r>
      <w:proofErr w:type="gramStart"/>
      <w:r w:rsidRPr="00247157">
        <w:t>counter offer</w:t>
      </w:r>
      <w:proofErr w:type="gramEnd"/>
      <w:r w:rsidRPr="00247157">
        <w:t xml:space="preserve"> and counter offer constitutes valid offer. If this offer was accepted in letter and spirit by Christine, it would have constituted valid contract. However, she annexed conditions to the payment which is a counter offer again and will only result in contract if there is an acceptance of the terms by Arthur. </w:t>
      </w:r>
    </w:p>
    <w:p w14:paraId="2343D8B6" w14:textId="77777777" w:rsidR="00B43483" w:rsidRPr="00247157" w:rsidRDefault="00B43483" w:rsidP="00237429">
      <w:pPr>
        <w:spacing w:line="480" w:lineRule="auto"/>
      </w:pPr>
      <w:r w:rsidRPr="00247157">
        <w:t xml:space="preserve">It is pertinent to cite </w:t>
      </w:r>
      <w:proofErr w:type="spellStart"/>
      <w:r w:rsidRPr="00247157">
        <w:rPr>
          <w:lang w:val="en-GB"/>
        </w:rPr>
        <w:t>Pickfords</w:t>
      </w:r>
      <w:proofErr w:type="spellEnd"/>
      <w:r w:rsidRPr="00247157">
        <w:rPr>
          <w:lang w:val="en-GB"/>
        </w:rPr>
        <w:t xml:space="preserve"> Ltd v Celestica Ltd [2003] wherein there were series of correspondence between the claimants and the defendants. It was noted in the case that first offer by the claimant was not valid as it was revoked by subsequent offer. Therefore, in light of </w:t>
      </w:r>
      <w:proofErr w:type="spellStart"/>
      <w:r w:rsidRPr="00247157">
        <w:rPr>
          <w:lang w:val="en-GB"/>
        </w:rPr>
        <w:t>Pickfords</w:t>
      </w:r>
      <w:proofErr w:type="spellEnd"/>
      <w:r w:rsidRPr="00247157">
        <w:rPr>
          <w:lang w:val="en-GB"/>
        </w:rPr>
        <w:t xml:space="preserve"> Ltd v Celestica Ltd [2003], </w:t>
      </w:r>
      <w:r w:rsidRPr="00247157">
        <w:t xml:space="preserve">Christine’s email regarding annexing of conditions for payment is basically a </w:t>
      </w:r>
      <w:proofErr w:type="gramStart"/>
      <w:r w:rsidRPr="00247157">
        <w:t>counter offer</w:t>
      </w:r>
      <w:proofErr w:type="gramEnd"/>
      <w:r w:rsidRPr="00247157">
        <w:t xml:space="preserve"> and it revokes the counter offer put forth by Arthur for selling the watch for £13,000. Therefore, offer as to </w:t>
      </w:r>
      <w:proofErr w:type="gramStart"/>
      <w:r w:rsidRPr="00247157">
        <w:t>selling</w:t>
      </w:r>
      <w:proofErr w:type="gramEnd"/>
      <w:r w:rsidRPr="00247157">
        <w:t xml:space="preserve"> of watch for £13,000 is no longer valid.</w:t>
      </w:r>
    </w:p>
    <w:p w14:paraId="7CDD957B" w14:textId="77777777" w:rsidR="00B43483" w:rsidRPr="00247157" w:rsidRDefault="00B43483" w:rsidP="00237429">
      <w:pPr>
        <w:spacing w:line="480" w:lineRule="auto"/>
      </w:pPr>
      <w:r w:rsidRPr="00247157">
        <w:t xml:space="preserve">It is established in light of </w:t>
      </w:r>
      <w:proofErr w:type="spellStart"/>
      <w:r w:rsidRPr="00247157">
        <w:rPr>
          <w:lang w:val="en-GB"/>
        </w:rPr>
        <w:t>Pickfords</w:t>
      </w:r>
      <w:proofErr w:type="spellEnd"/>
      <w:r w:rsidRPr="00247157">
        <w:rPr>
          <w:lang w:val="en-GB"/>
        </w:rPr>
        <w:t xml:space="preserve"> Ltd v Celestica Ltd [2003] </w:t>
      </w:r>
      <w:r w:rsidRPr="00247157">
        <w:t xml:space="preserve">that </w:t>
      </w:r>
      <w:proofErr w:type="gramStart"/>
      <w:r w:rsidRPr="00247157">
        <w:t>counter offer</w:t>
      </w:r>
      <w:proofErr w:type="gramEnd"/>
      <w:r w:rsidRPr="00247157">
        <w:t xml:space="preserve"> by Christine revoked original offer for £13,000. Therefore, her subsequent email regarding payment of £13,000 in full is again an offer. This offer </w:t>
      </w:r>
      <w:proofErr w:type="gramStart"/>
      <w:r w:rsidRPr="00247157">
        <w:t>has to</w:t>
      </w:r>
      <w:proofErr w:type="gramEnd"/>
      <w:r w:rsidRPr="00247157">
        <w:t xml:space="preserve"> be accepted by Mr. Arthur to create a valid contract. </w:t>
      </w:r>
    </w:p>
    <w:p w14:paraId="5BBC87F1" w14:textId="304AE121" w:rsidR="00B43483" w:rsidRPr="00247157" w:rsidRDefault="00B43483" w:rsidP="00237429">
      <w:pPr>
        <w:spacing w:line="480" w:lineRule="auto"/>
      </w:pPr>
      <w:r w:rsidRPr="00247157">
        <w:t xml:space="preserve">Now, the question is that if Mr. Arthur is bound to accept the offer of Christine for buying watch for £13,000 as he himself initially offered to accept £13,000 for the watch.  The question can better be answered </w:t>
      </w:r>
      <w:proofErr w:type="gramStart"/>
      <w:r w:rsidRPr="00247157">
        <w:t>in light of</w:t>
      </w:r>
      <w:proofErr w:type="gramEnd"/>
      <w:r w:rsidRPr="00247157">
        <w:t xml:space="preserve"> </w:t>
      </w:r>
      <w:r w:rsidRPr="00247157">
        <w:rPr>
          <w:lang w:val="en-GB"/>
        </w:rPr>
        <w:t>Hyde v Wrench [1840].</w:t>
      </w:r>
      <w:r w:rsidR="00BB5C4A">
        <w:rPr>
          <w:lang w:val="en-GB"/>
        </w:rPr>
        <w:t xml:space="preserve"> </w:t>
      </w:r>
      <w:proofErr w:type="gramStart"/>
      <w:r w:rsidRPr="00247157">
        <w:rPr>
          <w:lang w:val="en-GB"/>
        </w:rPr>
        <w:t>In</w:t>
      </w:r>
      <w:proofErr w:type="gramEnd"/>
      <w:r w:rsidRPr="00247157">
        <w:rPr>
          <w:lang w:val="en-GB"/>
        </w:rPr>
        <w:t xml:space="preserve"> Hyde v Wrench [1840], defendant offered to sell the farm to the claimant and the claimant made a counter offer. Defendant refused to accept claimant’s </w:t>
      </w:r>
      <w:proofErr w:type="gramStart"/>
      <w:r w:rsidRPr="00247157">
        <w:rPr>
          <w:lang w:val="en-GB"/>
        </w:rPr>
        <w:t>counter offer</w:t>
      </w:r>
      <w:proofErr w:type="gramEnd"/>
      <w:r w:rsidRPr="00247157">
        <w:rPr>
          <w:lang w:val="en-GB"/>
        </w:rPr>
        <w:t xml:space="preserve">. Thereafter, claimant agreed to pay the amount originally offered by the </w:t>
      </w:r>
      <w:r w:rsidR="00BB5C4A" w:rsidRPr="00247157">
        <w:rPr>
          <w:lang w:val="en-GB"/>
        </w:rPr>
        <w:t>defendant,</w:t>
      </w:r>
      <w:r w:rsidRPr="00247157">
        <w:rPr>
          <w:lang w:val="en-GB"/>
        </w:rPr>
        <w:t xml:space="preserve"> but defendant </w:t>
      </w:r>
      <w:r w:rsidRPr="00247157">
        <w:rPr>
          <w:lang w:val="en-GB"/>
        </w:rPr>
        <w:lastRenderedPageBreak/>
        <w:t xml:space="preserve">refused to make the sale. Claimant sued the defendant for specific performance. It was decided by the court that as </w:t>
      </w:r>
      <w:proofErr w:type="gramStart"/>
      <w:r w:rsidRPr="00247157">
        <w:rPr>
          <w:lang w:val="en-GB"/>
        </w:rPr>
        <w:t>counter offer</w:t>
      </w:r>
      <w:proofErr w:type="gramEnd"/>
      <w:r w:rsidRPr="00247157">
        <w:rPr>
          <w:lang w:val="en-GB"/>
        </w:rPr>
        <w:t xml:space="preserve"> revoked the original offer so, defendant was under no obligation to undertake the sale. Therefore, in light of this precedent, Christine’s </w:t>
      </w:r>
      <w:proofErr w:type="gramStart"/>
      <w:r w:rsidRPr="00247157">
        <w:rPr>
          <w:lang w:val="en-GB"/>
        </w:rPr>
        <w:t>counter offer</w:t>
      </w:r>
      <w:proofErr w:type="gramEnd"/>
      <w:r w:rsidRPr="00247157">
        <w:rPr>
          <w:lang w:val="en-GB"/>
        </w:rPr>
        <w:t xml:space="preserve"> revoked the offer by Mr. Arthur and </w:t>
      </w:r>
      <w:r w:rsidRPr="00247157">
        <w:t xml:space="preserve">Mr. Arthur is under no obligation to accept this offer only because he initially offered to sell the watch for £13,000. </w:t>
      </w:r>
    </w:p>
    <w:p w14:paraId="6AB816EB" w14:textId="77777777" w:rsidR="00B43483" w:rsidRPr="00247157" w:rsidRDefault="00B43483" w:rsidP="00237429">
      <w:pPr>
        <w:spacing w:line="480" w:lineRule="auto"/>
      </w:pPr>
      <w:r w:rsidRPr="00247157">
        <w:t>Summarily, email exchange and offers by Christine do not constitute any legal binding and there is no valid contract unless Mr. Arthur accepts the offer sent to him by Christine.</w:t>
      </w:r>
    </w:p>
    <w:p w14:paraId="33542491" w14:textId="77777777" w:rsidR="00B43483" w:rsidRPr="00247157" w:rsidRDefault="00B43483" w:rsidP="00237429">
      <w:pPr>
        <w:spacing w:line="480" w:lineRule="auto"/>
        <w:rPr>
          <w:b/>
          <w:i/>
        </w:rPr>
      </w:pPr>
      <w:r w:rsidRPr="00247157">
        <w:rPr>
          <w:b/>
          <w:i/>
        </w:rPr>
        <w:t xml:space="preserve">Dennis’ Email: </w:t>
      </w:r>
    </w:p>
    <w:p w14:paraId="3E0B976E" w14:textId="43AB8528" w:rsidR="00B43483" w:rsidRPr="00247157" w:rsidRDefault="00B43483" w:rsidP="00237429">
      <w:pPr>
        <w:spacing w:line="480" w:lineRule="auto"/>
      </w:pPr>
      <w:r w:rsidRPr="00247157">
        <w:t xml:space="preserve">It is re-iterated that advert from Mr. Arthur is an invitation to treat and any willingness to buy the product will be considered an offer and not an acceptance. Email from Dennis is not a valid offer as mere showing an interest without quoting terms or agreeing to any consideration in exchange is missing. However, even if it is treated as a valid offer, it does not constitute any legal binding. Mr. Arthur will only be bound legally to sale the watch to </w:t>
      </w:r>
      <w:r w:rsidRPr="00247157">
        <w:rPr>
          <w:i/>
        </w:rPr>
        <w:t xml:space="preserve">Dennis </w:t>
      </w:r>
      <w:r w:rsidRPr="00247157">
        <w:t xml:space="preserve">only if he agrees to </w:t>
      </w:r>
      <w:r w:rsidRPr="00247157">
        <w:rPr>
          <w:i/>
        </w:rPr>
        <w:t>Dennis’</w:t>
      </w:r>
      <w:r w:rsidRPr="00247157">
        <w:rPr>
          <w:b/>
          <w:i/>
        </w:rPr>
        <w:t xml:space="preserve"> </w:t>
      </w:r>
      <w:r w:rsidRPr="00247157">
        <w:t>proposals and send an acceptance to him for selling the watch at quoted price.</w:t>
      </w:r>
    </w:p>
    <w:p w14:paraId="5DBD3F1C" w14:textId="77777777" w:rsidR="00B43483" w:rsidRPr="00247157" w:rsidRDefault="00B43483" w:rsidP="00237429">
      <w:pPr>
        <w:spacing w:line="480" w:lineRule="auto"/>
      </w:pPr>
      <w:r w:rsidRPr="00247157">
        <w:t xml:space="preserve">In view of the foregoing, it is explicitly clear that there is no valid contract and Mr. Arthur is not bound to sale watch to any of the offers received. However, in case he intends to sale the watch to highest offer of £15,000 by Benn, he holds a valid offer from Benn and can accept the offer, communicate the same to Benn and create a valid contract for the transaction. </w:t>
      </w:r>
    </w:p>
    <w:p w14:paraId="402B0172" w14:textId="77777777" w:rsidR="00126FE1" w:rsidRPr="00247157" w:rsidRDefault="00126FE1" w:rsidP="00237429">
      <w:pPr>
        <w:spacing w:line="480" w:lineRule="auto"/>
      </w:pPr>
    </w:p>
    <w:p w14:paraId="43E62E55" w14:textId="26202507" w:rsidR="00247157" w:rsidRPr="00BB5C4A" w:rsidRDefault="00DA1E34" w:rsidP="00237429">
      <w:pPr>
        <w:spacing w:line="480" w:lineRule="auto"/>
      </w:pPr>
      <w:r w:rsidRPr="00247157">
        <w:t xml:space="preserve">.  </w:t>
      </w:r>
      <w:r w:rsidR="00D26D65" w:rsidRPr="00247157">
        <w:t xml:space="preserve">  </w:t>
      </w:r>
      <w:r w:rsidR="00A07425" w:rsidRPr="00247157">
        <w:t xml:space="preserve"> </w:t>
      </w:r>
      <w:r w:rsidR="00984BD5" w:rsidRPr="00247157">
        <w:br w:type="page"/>
      </w:r>
    </w:p>
    <w:p w14:paraId="708C5089" w14:textId="77777777" w:rsidR="00247157" w:rsidRPr="00247157" w:rsidRDefault="00247157" w:rsidP="00237429">
      <w:pPr>
        <w:spacing w:line="480" w:lineRule="auto"/>
        <w:rPr>
          <w:i/>
          <w:iCs/>
          <w:shd w:val="clear" w:color="auto" w:fill="FFFFFF"/>
        </w:rPr>
      </w:pPr>
    </w:p>
    <w:p w14:paraId="51FA99EB" w14:textId="77777777" w:rsidR="00247157" w:rsidRPr="009335C8" w:rsidRDefault="00247157" w:rsidP="00237429">
      <w:pPr>
        <w:spacing w:line="480" w:lineRule="auto"/>
        <w:rPr>
          <w:b/>
          <w:i/>
          <w:iCs/>
          <w:shd w:val="clear" w:color="auto" w:fill="FFFFFF"/>
        </w:rPr>
      </w:pPr>
      <w:r w:rsidRPr="009335C8">
        <w:rPr>
          <w:b/>
          <w:i/>
          <w:iCs/>
          <w:shd w:val="clear" w:color="auto" w:fill="FFFFFF"/>
        </w:rPr>
        <w:t>Bibliography</w:t>
      </w:r>
    </w:p>
    <w:p w14:paraId="15EFB9D8" w14:textId="77777777" w:rsidR="00247157" w:rsidRPr="00247157" w:rsidRDefault="00247157" w:rsidP="00237429">
      <w:pPr>
        <w:spacing w:line="480" w:lineRule="auto"/>
        <w:rPr>
          <w:i/>
          <w:iCs/>
          <w:shd w:val="clear" w:color="auto" w:fill="FFFFFF"/>
        </w:rPr>
      </w:pPr>
    </w:p>
    <w:p w14:paraId="28B95568" w14:textId="77777777" w:rsidR="00C74C47" w:rsidRPr="00247157" w:rsidRDefault="00C74C47" w:rsidP="00237429">
      <w:pPr>
        <w:spacing w:line="480" w:lineRule="auto"/>
        <w:rPr>
          <w:rFonts w:eastAsia="Times New Roman"/>
        </w:rPr>
      </w:pPr>
      <w:r w:rsidRPr="0020090D">
        <w:rPr>
          <w:rFonts w:eastAsia="Times New Roman"/>
          <w:i/>
        </w:rPr>
        <w:t>Collin, P.H. (2004)</w:t>
      </w:r>
      <w:r w:rsidRPr="00247157">
        <w:rPr>
          <w:rFonts w:eastAsia="Times New Roman"/>
        </w:rPr>
        <w:t>. Dictionary of Law, 4</w:t>
      </w:r>
      <w:r w:rsidRPr="00247157">
        <w:rPr>
          <w:rFonts w:eastAsia="Times New Roman"/>
          <w:vertAlign w:val="superscript"/>
        </w:rPr>
        <w:t>th</w:t>
      </w:r>
      <w:r w:rsidRPr="00247157">
        <w:rPr>
          <w:rFonts w:eastAsia="Times New Roman"/>
        </w:rPr>
        <w:t>ed.London: Bloomsbury.</w:t>
      </w:r>
    </w:p>
    <w:p w14:paraId="690E4AA0" w14:textId="77777777" w:rsidR="00C74C47" w:rsidRPr="00247157" w:rsidRDefault="00C74C47" w:rsidP="00237429">
      <w:pPr>
        <w:spacing w:line="480" w:lineRule="auto"/>
        <w:rPr>
          <w:rStyle w:val="Strong"/>
          <w:rFonts w:ascii="Arial" w:hAnsi="Arial" w:cs="Arial"/>
          <w:b w:val="0"/>
          <w:shd w:val="clear" w:color="auto" w:fill="FFFFFF"/>
        </w:rPr>
      </w:pPr>
      <w:r w:rsidRPr="0020090D">
        <w:rPr>
          <w:rStyle w:val="Emphasis"/>
          <w:rFonts w:ascii="Arial" w:hAnsi="Arial" w:cs="Arial"/>
          <w:bCs/>
          <w:shd w:val="clear" w:color="auto" w:fill="FFFFFF"/>
        </w:rPr>
        <w:t>Cutter v Powell</w:t>
      </w:r>
      <w:r w:rsidRPr="0020090D">
        <w:rPr>
          <w:rStyle w:val="Strong"/>
          <w:rFonts w:ascii="Arial" w:hAnsi="Arial" w:cs="Arial"/>
          <w:b w:val="0"/>
          <w:shd w:val="clear" w:color="auto" w:fill="FFFFFF"/>
        </w:rPr>
        <w:t xml:space="preserve"> [</w:t>
      </w:r>
      <w:r w:rsidRPr="00247157">
        <w:rPr>
          <w:rStyle w:val="Strong"/>
          <w:rFonts w:ascii="Arial" w:hAnsi="Arial" w:cs="Arial"/>
          <w:b w:val="0"/>
          <w:shd w:val="clear" w:color="auto" w:fill="FFFFFF"/>
        </w:rPr>
        <w:t>1795] EWHC KB J13</w:t>
      </w:r>
    </w:p>
    <w:p w14:paraId="6451BFC7" w14:textId="77777777" w:rsidR="00C74C47" w:rsidRPr="00247157" w:rsidRDefault="00C74C47" w:rsidP="00237429">
      <w:pPr>
        <w:spacing w:line="480" w:lineRule="auto"/>
        <w:rPr>
          <w:rStyle w:val="Strong"/>
          <w:rFonts w:ascii="Arial" w:hAnsi="Arial" w:cs="Arial"/>
          <w:b w:val="0"/>
          <w:shd w:val="clear" w:color="auto" w:fill="FFFFFF"/>
        </w:rPr>
      </w:pPr>
      <w:r w:rsidRPr="0020090D">
        <w:rPr>
          <w:rStyle w:val="Strong"/>
          <w:rFonts w:ascii="Arial" w:hAnsi="Arial" w:cs="Arial"/>
          <w:b w:val="0"/>
          <w:i/>
          <w:shd w:val="clear" w:color="auto" w:fill="FFFFFF"/>
        </w:rPr>
        <w:t>Fisher v Bell</w:t>
      </w:r>
      <w:r w:rsidRPr="00247157">
        <w:rPr>
          <w:rStyle w:val="Strong"/>
          <w:rFonts w:ascii="Arial" w:hAnsi="Arial" w:cs="Arial"/>
          <w:b w:val="0"/>
          <w:shd w:val="clear" w:color="auto" w:fill="FFFFFF"/>
        </w:rPr>
        <w:t xml:space="preserve"> [1961] QB 394</w:t>
      </w:r>
    </w:p>
    <w:p w14:paraId="2F372576" w14:textId="77777777" w:rsidR="00C74C47" w:rsidRPr="00247157" w:rsidRDefault="00C74C47" w:rsidP="00237429">
      <w:pPr>
        <w:spacing w:line="480" w:lineRule="auto"/>
        <w:rPr>
          <w:rStyle w:val="Strong"/>
          <w:rFonts w:ascii="Arial" w:hAnsi="Arial" w:cs="Arial"/>
          <w:b w:val="0"/>
          <w:shd w:val="clear" w:color="auto" w:fill="FFFFFF"/>
        </w:rPr>
      </w:pPr>
      <w:r w:rsidRPr="0020090D">
        <w:rPr>
          <w:rStyle w:val="Emphasis"/>
          <w:rFonts w:ascii="Arial" w:hAnsi="Arial" w:cs="Arial"/>
          <w:bCs/>
          <w:shd w:val="clear" w:color="auto" w:fill="FFFFFF"/>
        </w:rPr>
        <w:t>Hoenig v Isaacs</w:t>
      </w:r>
      <w:r>
        <w:rPr>
          <w:rStyle w:val="Strong"/>
          <w:rFonts w:ascii="Arial" w:hAnsi="Arial" w:cs="Arial"/>
          <w:b w:val="0"/>
          <w:shd w:val="clear" w:color="auto" w:fill="FFFFFF"/>
        </w:rPr>
        <w:t xml:space="preserve"> </w:t>
      </w:r>
      <w:r w:rsidRPr="00247157">
        <w:rPr>
          <w:rStyle w:val="Strong"/>
          <w:rFonts w:ascii="Arial" w:hAnsi="Arial" w:cs="Arial"/>
          <w:b w:val="0"/>
          <w:shd w:val="clear" w:color="auto" w:fill="FFFFFF"/>
        </w:rPr>
        <w:t>[1952] 2 All ER 176</w:t>
      </w:r>
    </w:p>
    <w:p w14:paraId="71A4F67B" w14:textId="77777777" w:rsidR="00C74C47" w:rsidRPr="00247157" w:rsidRDefault="00C74C47" w:rsidP="00237429">
      <w:pPr>
        <w:spacing w:line="480" w:lineRule="auto"/>
      </w:pPr>
      <w:r w:rsidRPr="0020090D">
        <w:rPr>
          <w:bCs/>
          <w:i/>
          <w:iCs/>
          <w:shd w:val="clear" w:color="auto" w:fill="FFFFFF"/>
        </w:rPr>
        <w:t>Hyde v Wrench</w:t>
      </w:r>
      <w:r w:rsidRPr="0020090D">
        <w:rPr>
          <w:i/>
          <w:shd w:val="clear" w:color="auto" w:fill="FFFFFF"/>
        </w:rPr>
        <w:t xml:space="preserve"> [1840]</w:t>
      </w:r>
      <w:r>
        <w:rPr>
          <w:shd w:val="clear" w:color="auto" w:fill="FFFFFF"/>
        </w:rPr>
        <w:t xml:space="preserve"> </w:t>
      </w:r>
      <w:hyperlink r:id="rId4" w:history="1">
        <w:r w:rsidRPr="0020090D">
          <w:rPr>
            <w:rStyle w:val="Hyperlink"/>
            <w:rFonts w:ascii="Arial" w:hAnsi="Arial" w:cs="Arial"/>
            <w:color w:val="auto"/>
            <w:u w:val="none"/>
            <w:shd w:val="clear" w:color="auto" w:fill="FFFFFF"/>
          </w:rPr>
          <w:t>EWHC Ch J90</w:t>
        </w:r>
      </w:hyperlink>
    </w:p>
    <w:p w14:paraId="6090CBFC" w14:textId="77777777" w:rsidR="00C74C47" w:rsidRPr="00247157" w:rsidRDefault="00C74C47" w:rsidP="00237429">
      <w:pPr>
        <w:spacing w:line="480" w:lineRule="auto"/>
        <w:rPr>
          <w:rStyle w:val="Strong"/>
          <w:rFonts w:ascii="Arial" w:hAnsi="Arial" w:cs="Arial"/>
          <w:b w:val="0"/>
          <w:shd w:val="clear" w:color="auto" w:fill="FFFFFF"/>
        </w:rPr>
      </w:pPr>
      <w:r w:rsidRPr="0020090D">
        <w:rPr>
          <w:rStyle w:val="Strong"/>
          <w:rFonts w:ascii="Arial" w:hAnsi="Arial" w:cs="Arial"/>
          <w:b w:val="0"/>
          <w:i/>
          <w:shd w:val="clear" w:color="auto" w:fill="FFFFFF"/>
        </w:rPr>
        <w:t>Partridge v Crittenden</w:t>
      </w:r>
      <w:r w:rsidRPr="00247157">
        <w:rPr>
          <w:rStyle w:val="Strong"/>
          <w:rFonts w:ascii="Arial" w:hAnsi="Arial" w:cs="Arial"/>
          <w:b w:val="0"/>
          <w:shd w:val="clear" w:color="auto" w:fill="FFFFFF"/>
        </w:rPr>
        <w:t xml:space="preserve"> [1968] 2 All ER 421</w:t>
      </w:r>
    </w:p>
    <w:p w14:paraId="2DEE73C4" w14:textId="77777777" w:rsidR="00C74C47" w:rsidRPr="00247157" w:rsidRDefault="00C74C47" w:rsidP="00237429">
      <w:pPr>
        <w:spacing w:line="480" w:lineRule="auto"/>
        <w:rPr>
          <w:shd w:val="clear" w:color="auto" w:fill="FFFFFF"/>
        </w:rPr>
      </w:pPr>
      <w:proofErr w:type="spellStart"/>
      <w:r w:rsidRPr="0020090D">
        <w:rPr>
          <w:i/>
          <w:shd w:val="clear" w:color="auto" w:fill="FFFFFF"/>
        </w:rPr>
        <w:t>Pickfords</w:t>
      </w:r>
      <w:proofErr w:type="spellEnd"/>
      <w:r w:rsidRPr="0020090D">
        <w:rPr>
          <w:i/>
          <w:shd w:val="clear" w:color="auto" w:fill="FFFFFF"/>
        </w:rPr>
        <w:t xml:space="preserve"> Ltd v Celestica Ltd</w:t>
      </w:r>
      <w:r w:rsidRPr="00247157">
        <w:rPr>
          <w:shd w:val="clear" w:color="auto" w:fill="FFFFFF"/>
        </w:rPr>
        <w:t xml:space="preserve"> [2003] All ER (D) 265</w:t>
      </w:r>
    </w:p>
    <w:p w14:paraId="2FDBEB4A" w14:textId="77777777" w:rsidR="00C74C47" w:rsidRPr="00247157" w:rsidRDefault="00C74C47" w:rsidP="00237429">
      <w:pPr>
        <w:spacing w:line="480" w:lineRule="auto"/>
        <w:rPr>
          <w:shd w:val="clear" w:color="auto" w:fill="FFFFFF"/>
        </w:rPr>
      </w:pPr>
      <w:proofErr w:type="spellStart"/>
      <w:r w:rsidRPr="00247157">
        <w:rPr>
          <w:rStyle w:val="Emphasis"/>
          <w:rFonts w:ascii="Arial" w:hAnsi="Arial" w:cs="Arial"/>
          <w:bCs/>
          <w:shd w:val="clear" w:color="auto" w:fill="FFFFFF"/>
        </w:rPr>
        <w:t>Planche</w:t>
      </w:r>
      <w:proofErr w:type="spellEnd"/>
      <w:r w:rsidRPr="00247157">
        <w:rPr>
          <w:rStyle w:val="Emphasis"/>
          <w:rFonts w:ascii="Arial" w:hAnsi="Arial" w:cs="Arial"/>
          <w:bCs/>
          <w:shd w:val="clear" w:color="auto" w:fill="FFFFFF"/>
        </w:rPr>
        <w:t xml:space="preserve"> v Colburn</w:t>
      </w:r>
      <w:r>
        <w:rPr>
          <w:rStyle w:val="Strong"/>
          <w:rFonts w:ascii="Arial" w:hAnsi="Arial" w:cs="Arial"/>
          <w:b w:val="0"/>
          <w:shd w:val="clear" w:color="auto" w:fill="FFFFFF"/>
        </w:rPr>
        <w:t xml:space="preserve"> </w:t>
      </w:r>
      <w:r w:rsidRPr="00247157">
        <w:rPr>
          <w:rStyle w:val="Strong"/>
          <w:rFonts w:ascii="Arial" w:hAnsi="Arial" w:cs="Arial"/>
          <w:b w:val="0"/>
          <w:shd w:val="clear" w:color="auto" w:fill="FFFFFF"/>
        </w:rPr>
        <w:t>[1831] EWHC KB J56</w:t>
      </w:r>
      <w:r>
        <w:rPr>
          <w:shd w:val="clear" w:color="auto" w:fill="FFFFFF"/>
        </w:rPr>
        <w:t xml:space="preserve"> </w:t>
      </w:r>
      <w:r w:rsidRPr="00247157">
        <w:rPr>
          <w:shd w:val="clear" w:color="auto" w:fill="FFFFFF"/>
        </w:rPr>
        <w:t>Kings Bench Division</w:t>
      </w:r>
    </w:p>
    <w:p w14:paraId="22DE3B7E" w14:textId="77777777" w:rsidR="00C74C47" w:rsidRPr="00247157" w:rsidRDefault="00C74C47" w:rsidP="00237429">
      <w:pPr>
        <w:spacing w:line="480" w:lineRule="auto"/>
        <w:rPr>
          <w:rStyle w:val="Strong"/>
          <w:rFonts w:ascii="Arial" w:hAnsi="Arial" w:cs="Arial"/>
          <w:b w:val="0"/>
          <w:shd w:val="clear" w:color="auto" w:fill="FFFFFF"/>
        </w:rPr>
      </w:pPr>
      <w:r w:rsidRPr="0020090D">
        <w:rPr>
          <w:rStyle w:val="Emphasis"/>
          <w:rFonts w:ascii="Arial" w:hAnsi="Arial" w:cs="Arial"/>
          <w:bCs/>
          <w:shd w:val="clear" w:color="auto" w:fill="FFFFFF"/>
        </w:rPr>
        <w:t xml:space="preserve">Ritchie v </w:t>
      </w:r>
      <w:proofErr w:type="gramStart"/>
      <w:r w:rsidRPr="0020090D">
        <w:rPr>
          <w:rStyle w:val="Emphasis"/>
          <w:rFonts w:ascii="Arial" w:hAnsi="Arial" w:cs="Arial"/>
          <w:bCs/>
          <w:shd w:val="clear" w:color="auto" w:fill="FFFFFF"/>
        </w:rPr>
        <w:t>Atkinson</w:t>
      </w:r>
      <w:r>
        <w:rPr>
          <w:rStyle w:val="Strong"/>
          <w:rFonts w:ascii="Arial" w:hAnsi="Arial" w:cs="Arial"/>
          <w:b w:val="0"/>
          <w:shd w:val="clear" w:color="auto" w:fill="FFFFFF"/>
        </w:rPr>
        <w:t>[</w:t>
      </w:r>
      <w:proofErr w:type="gramEnd"/>
      <w:r>
        <w:rPr>
          <w:rStyle w:val="Strong"/>
          <w:rFonts w:ascii="Arial" w:hAnsi="Arial" w:cs="Arial"/>
          <w:b w:val="0"/>
          <w:shd w:val="clear" w:color="auto" w:fill="FFFFFF"/>
        </w:rPr>
        <w:t xml:space="preserve">  </w:t>
      </w:r>
      <w:r w:rsidRPr="00247157">
        <w:rPr>
          <w:rStyle w:val="Strong"/>
          <w:rFonts w:ascii="Arial" w:hAnsi="Arial" w:cs="Arial"/>
          <w:b w:val="0"/>
          <w:shd w:val="clear" w:color="auto" w:fill="FFFFFF"/>
        </w:rPr>
        <w:t>1808</w:t>
      </w:r>
      <w:r>
        <w:rPr>
          <w:rStyle w:val="Strong"/>
          <w:rFonts w:ascii="Arial" w:hAnsi="Arial" w:cs="Arial"/>
          <w:b w:val="0"/>
          <w:shd w:val="clear" w:color="auto" w:fill="FFFFFF"/>
        </w:rPr>
        <w:t>]</w:t>
      </w:r>
      <w:r w:rsidRPr="00247157">
        <w:rPr>
          <w:rStyle w:val="Strong"/>
          <w:rFonts w:ascii="Arial" w:hAnsi="Arial" w:cs="Arial"/>
          <w:b w:val="0"/>
          <w:shd w:val="clear" w:color="auto" w:fill="FFFFFF"/>
        </w:rPr>
        <w:t xml:space="preserve"> 10 East 295</w:t>
      </w:r>
    </w:p>
    <w:p w14:paraId="429D20CC" w14:textId="77777777" w:rsidR="00C74C47" w:rsidRPr="00247157" w:rsidRDefault="00C74C47" w:rsidP="00237429">
      <w:pPr>
        <w:spacing w:line="480" w:lineRule="auto"/>
      </w:pPr>
      <w:proofErr w:type="spellStart"/>
      <w:r w:rsidRPr="0020090D">
        <w:rPr>
          <w:i/>
        </w:rPr>
        <w:t>Roscorla</w:t>
      </w:r>
      <w:proofErr w:type="spellEnd"/>
      <w:r w:rsidRPr="0020090D">
        <w:rPr>
          <w:i/>
        </w:rPr>
        <w:t xml:space="preserve"> v Thomas [1842] </w:t>
      </w:r>
      <w:r w:rsidRPr="00247157">
        <w:rPr>
          <w:shd w:val="clear" w:color="auto" w:fill="FFFFFF"/>
        </w:rPr>
        <w:t>3 QB 234</w:t>
      </w:r>
    </w:p>
    <w:p w14:paraId="21000BA7" w14:textId="77777777" w:rsidR="00C74C47" w:rsidRPr="00247157" w:rsidRDefault="00C74C47" w:rsidP="00237429">
      <w:pPr>
        <w:spacing w:line="480" w:lineRule="auto"/>
        <w:rPr>
          <w:rStyle w:val="Strong"/>
          <w:rFonts w:ascii="Arial" w:hAnsi="Arial" w:cs="Arial"/>
          <w:b w:val="0"/>
          <w:shd w:val="clear" w:color="auto" w:fill="FFFFFF"/>
        </w:rPr>
      </w:pPr>
      <w:r w:rsidRPr="0020090D">
        <w:rPr>
          <w:rStyle w:val="Emphasis"/>
          <w:rFonts w:ascii="Arial" w:hAnsi="Arial" w:cs="Arial"/>
          <w:bCs/>
          <w:shd w:val="clear" w:color="auto" w:fill="FFFFFF"/>
        </w:rPr>
        <w:t>Startup v MacDonald</w:t>
      </w:r>
      <w:r>
        <w:rPr>
          <w:rStyle w:val="Strong"/>
          <w:rFonts w:ascii="Arial" w:hAnsi="Arial" w:cs="Arial"/>
          <w:b w:val="0"/>
          <w:shd w:val="clear" w:color="auto" w:fill="FFFFFF"/>
        </w:rPr>
        <w:t xml:space="preserve"> [1843]</w:t>
      </w:r>
      <w:r w:rsidRPr="00247157">
        <w:rPr>
          <w:rStyle w:val="Strong"/>
          <w:rFonts w:ascii="Arial" w:hAnsi="Arial" w:cs="Arial"/>
          <w:b w:val="0"/>
          <w:shd w:val="clear" w:color="auto" w:fill="FFFFFF"/>
        </w:rPr>
        <w:t xml:space="preserve"> 6 Mann &amp; G 593</w:t>
      </w:r>
    </w:p>
    <w:p w14:paraId="19CBBB78" w14:textId="77777777" w:rsidR="00C74C47" w:rsidRPr="00247157" w:rsidRDefault="00C74C47" w:rsidP="00237429">
      <w:pPr>
        <w:spacing w:line="480" w:lineRule="auto"/>
      </w:pPr>
      <w:r w:rsidRPr="0020090D">
        <w:rPr>
          <w:iCs/>
          <w:shd w:val="clear" w:color="auto" w:fill="FFFFFF"/>
        </w:rPr>
        <w:t>Tweddle v Atkinson</w:t>
      </w:r>
      <w:r w:rsidRPr="0020090D">
        <w:rPr>
          <w:shd w:val="clear" w:color="auto" w:fill="FFFFFF"/>
        </w:rPr>
        <w:t xml:space="preserve"> [1861</w:t>
      </w:r>
      <w:r w:rsidRPr="00247157">
        <w:rPr>
          <w:shd w:val="clear" w:color="auto" w:fill="FFFFFF"/>
        </w:rPr>
        <w:t xml:space="preserve">]. </w:t>
      </w:r>
      <w:r w:rsidRPr="00247157">
        <w:rPr>
          <w:rStyle w:val="Emphasis"/>
          <w:rFonts w:ascii="Arial" w:hAnsi="Arial" w:cs="Arial"/>
          <w:bCs/>
          <w:i w:val="0"/>
          <w:iCs w:val="0"/>
          <w:shd w:val="clear" w:color="auto" w:fill="FFFFFF"/>
        </w:rPr>
        <w:t>1 B&amp;S 393</w:t>
      </w:r>
    </w:p>
    <w:sectPr w:rsidR="00C74C47" w:rsidRPr="002471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C1EA3"/>
    <w:rsid w:val="000B704E"/>
    <w:rsid w:val="000C3168"/>
    <w:rsid w:val="000D7FD1"/>
    <w:rsid w:val="001147D6"/>
    <w:rsid w:val="00126FE1"/>
    <w:rsid w:val="001A4393"/>
    <w:rsid w:val="0020090D"/>
    <w:rsid w:val="00237429"/>
    <w:rsid w:val="002401D0"/>
    <w:rsid w:val="00247157"/>
    <w:rsid w:val="002C6E55"/>
    <w:rsid w:val="002F4726"/>
    <w:rsid w:val="00391D96"/>
    <w:rsid w:val="003A7754"/>
    <w:rsid w:val="004C00A5"/>
    <w:rsid w:val="004C4FF7"/>
    <w:rsid w:val="004D3D1B"/>
    <w:rsid w:val="004E31A4"/>
    <w:rsid w:val="005061E5"/>
    <w:rsid w:val="006166D4"/>
    <w:rsid w:val="00623CF9"/>
    <w:rsid w:val="00647D80"/>
    <w:rsid w:val="00687CBD"/>
    <w:rsid w:val="006C3E19"/>
    <w:rsid w:val="00781EF6"/>
    <w:rsid w:val="00783A7D"/>
    <w:rsid w:val="00790696"/>
    <w:rsid w:val="007B1C63"/>
    <w:rsid w:val="0087390F"/>
    <w:rsid w:val="008D0110"/>
    <w:rsid w:val="008F1D2F"/>
    <w:rsid w:val="00916B27"/>
    <w:rsid w:val="009335C8"/>
    <w:rsid w:val="00941333"/>
    <w:rsid w:val="00984BD5"/>
    <w:rsid w:val="00A03C1D"/>
    <w:rsid w:val="00A07425"/>
    <w:rsid w:val="00AC1EA3"/>
    <w:rsid w:val="00B43483"/>
    <w:rsid w:val="00BB5C4A"/>
    <w:rsid w:val="00BC68F2"/>
    <w:rsid w:val="00BD7D71"/>
    <w:rsid w:val="00BF050D"/>
    <w:rsid w:val="00C74C47"/>
    <w:rsid w:val="00CF798D"/>
    <w:rsid w:val="00D26D65"/>
    <w:rsid w:val="00DA1E34"/>
    <w:rsid w:val="00E12253"/>
    <w:rsid w:val="00E875FB"/>
    <w:rsid w:val="00F77ADA"/>
    <w:rsid w:val="00FA5B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B0E89"/>
  <w15:docId w15:val="{78805A93-2F4D-48EF-9BD8-329FA6167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F050D"/>
    <w:rPr>
      <w:i/>
      <w:iCs/>
    </w:rPr>
  </w:style>
  <w:style w:type="character" w:styleId="Strong">
    <w:name w:val="Strong"/>
    <w:basedOn w:val="DefaultParagraphFont"/>
    <w:uiPriority w:val="22"/>
    <w:qFormat/>
    <w:rsid w:val="0087390F"/>
    <w:rPr>
      <w:b/>
      <w:bCs/>
    </w:rPr>
  </w:style>
  <w:style w:type="character" w:styleId="Hyperlink">
    <w:name w:val="Hyperlink"/>
    <w:basedOn w:val="DefaultParagraphFont"/>
    <w:uiPriority w:val="99"/>
    <w:semiHidden/>
    <w:unhideWhenUsed/>
    <w:rsid w:val="00A0742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47244">
      <w:bodyDiv w:val="1"/>
      <w:marLeft w:val="0"/>
      <w:marRight w:val="0"/>
      <w:marTop w:val="0"/>
      <w:marBottom w:val="0"/>
      <w:divBdr>
        <w:top w:val="none" w:sz="0" w:space="0" w:color="auto"/>
        <w:left w:val="none" w:sz="0" w:space="0" w:color="auto"/>
        <w:bottom w:val="none" w:sz="0" w:space="0" w:color="auto"/>
        <w:right w:val="none" w:sz="0" w:space="0" w:color="auto"/>
      </w:divBdr>
      <w:divsChild>
        <w:div w:id="1561206384">
          <w:marLeft w:val="0"/>
          <w:marRight w:val="0"/>
          <w:marTop w:val="0"/>
          <w:marBottom w:val="0"/>
          <w:divBdr>
            <w:top w:val="none" w:sz="0" w:space="0" w:color="auto"/>
            <w:left w:val="none" w:sz="0" w:space="0" w:color="auto"/>
            <w:bottom w:val="none" w:sz="0" w:space="0" w:color="auto"/>
            <w:right w:val="none" w:sz="0" w:space="0" w:color="auto"/>
          </w:divBdr>
        </w:div>
        <w:div w:id="1155292642">
          <w:marLeft w:val="0"/>
          <w:marRight w:val="0"/>
          <w:marTop w:val="0"/>
          <w:marBottom w:val="0"/>
          <w:divBdr>
            <w:top w:val="none" w:sz="0" w:space="0" w:color="auto"/>
            <w:left w:val="none" w:sz="0" w:space="0" w:color="auto"/>
            <w:bottom w:val="none" w:sz="0" w:space="0" w:color="auto"/>
            <w:right w:val="none" w:sz="0" w:space="0" w:color="auto"/>
          </w:divBdr>
        </w:div>
        <w:div w:id="1335255623">
          <w:marLeft w:val="0"/>
          <w:marRight w:val="0"/>
          <w:marTop w:val="0"/>
          <w:marBottom w:val="0"/>
          <w:divBdr>
            <w:top w:val="none" w:sz="0" w:space="0" w:color="auto"/>
            <w:left w:val="none" w:sz="0" w:space="0" w:color="auto"/>
            <w:bottom w:val="none" w:sz="0" w:space="0" w:color="auto"/>
            <w:right w:val="none" w:sz="0" w:space="0" w:color="auto"/>
          </w:divBdr>
        </w:div>
        <w:div w:id="18168720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bailii.org/ew/cases/EWHC/Ch/1840/J9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407</TotalTime>
  <Pages>8</Pages>
  <Words>1777</Words>
  <Characters>10134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Rehan Aftab</cp:lastModifiedBy>
  <cp:revision>32</cp:revision>
  <dcterms:created xsi:type="dcterms:W3CDTF">2022-02-28T05:52:00Z</dcterms:created>
  <dcterms:modified xsi:type="dcterms:W3CDTF">2022-03-02T17:11:00Z</dcterms:modified>
</cp:coreProperties>
</file>