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jc w:val="center"/>
        <w:rPr>
          <w:b/>
          <w:bCs/>
          <w:sz w:val="32"/>
          <w:szCs w:val="32"/>
        </w:rPr>
      </w:pPr>
      <w:bookmarkStart w:id="0" w:name="_Hlk227881390"/>
      <w:r>
        <w:rPr/>
        <w:drawing>
          <wp:inline distL="114300" distT="0" distB="0" distR="114300">
            <wp:extent cx="2857500" cy="1714500"/>
            <wp:effectExtent l="0" t="0" r="0" b="0"/>
            <wp:docPr id="1039"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3" name="Image"/>
                    <pic:cNvPicPr/>
                  </pic:nvPicPr>
                  <pic:blipFill>
                    <a:blip r:embed="rId2" cstate="print"/>
                    <a:srcRect l="0" t="0" r="0" b="0"/>
                    <a:stretch/>
                  </pic:blipFill>
                  <pic:spPr>
                    <a:xfrm rot="0">
                      <a:off x="0" y="0"/>
                      <a:ext cx="2857500" cy="1714500"/>
                    </a:xfrm>
                    <a:prstGeom prst="rect"/>
                  </pic:spPr>
                </pic:pic>
              </a:graphicData>
            </a:graphic>
          </wp:inline>
        </w:drawing>
      </w:r>
    </w:p>
    <w:p>
      <w:pPr>
        <w:pStyle w:val="style0"/>
        <w:jc w:val="center"/>
        <w:rPr>
          <w:b/>
          <w:bCs/>
          <w:sz w:val="32"/>
          <w:szCs w:val="32"/>
        </w:rPr>
      </w:pPr>
    </w:p>
    <w:p>
      <w:pPr>
        <w:pStyle w:val="style0"/>
        <w:jc w:val="center"/>
        <w:rPr>
          <w:b/>
          <w:bCs/>
          <w:sz w:val="32"/>
          <w:szCs w:val="32"/>
        </w:rPr>
      </w:pPr>
    </w:p>
    <w:p>
      <w:pPr>
        <w:pStyle w:val="style0"/>
        <w:jc w:val="left"/>
        <w:rPr>
          <w:b/>
          <w:bCs/>
          <w:sz w:val="32"/>
          <w:szCs w:val="32"/>
        </w:rPr>
      </w:pPr>
    </w:p>
    <w:p>
      <w:pPr>
        <w:pStyle w:val="style0"/>
        <w:jc w:val="left"/>
        <w:rPr>
          <w:b/>
          <w:bCs/>
          <w:sz w:val="32"/>
          <w:szCs w:val="32"/>
        </w:rPr>
      </w:pPr>
      <w:r>
        <w:rPr>
          <w:b/>
          <w:bCs/>
          <w:sz w:val="32"/>
          <w:szCs w:val="32"/>
          <w:lang w:val="en-US"/>
        </w:rPr>
        <w:t>Namr: Hari Barot</w:t>
      </w:r>
    </w:p>
    <w:p>
      <w:pPr>
        <w:pStyle w:val="style0"/>
        <w:jc w:val="left"/>
        <w:rPr>
          <w:b/>
          <w:bCs/>
        </w:rPr>
      </w:pPr>
      <w:r>
        <w:rPr>
          <w:b/>
          <w:bCs/>
          <w:sz w:val="32"/>
          <w:szCs w:val="32"/>
          <w:lang w:val="en-US"/>
        </w:rPr>
        <w:t>Subject Name:</w:t>
      </w:r>
      <w:r>
        <w:rPr>
          <w:b/>
          <w:bCs/>
          <w:sz w:val="32"/>
          <w:szCs w:val="32"/>
        </w:rPr>
        <w:t>CYBER THREAT ANALYSIS AND RED TEAM ASSESSMENT USING MITRE ATT&amp;CK</w:t>
      </w:r>
    </w:p>
    <w:p>
      <w:pPr>
        <w:pStyle w:val="style0"/>
        <w:jc w:val="left"/>
        <w:rPr>
          <w:b/>
          <w:bCs/>
          <w:sz w:val="32"/>
          <w:szCs w:val="32"/>
        </w:rPr>
      </w:pPr>
      <w:r>
        <w:rPr>
          <w:b/>
          <w:bCs/>
          <w:lang w:val="en-US"/>
        </w:rPr>
        <w:t>Student ID: 2520160</w:t>
      </w:r>
      <w:r>
        <w:rPr>
          <w:b/>
          <w:bCs/>
        </w:rPr>
        <w:br w:type="page"/>
      </w:r>
    </w:p>
    <w:p>
      <w:pPr>
        <w:pStyle w:val="style0"/>
        <w:jc w:val="left"/>
        <w:rPr>
          <w:b/>
          <w:bCs/>
          <w:sz w:val="32"/>
          <w:szCs w:val="32"/>
        </w:rPr>
      </w:pPr>
    </w:p>
    <w:p>
      <w:pPr>
        <w:pStyle w:val="style266"/>
        <w:spacing w:lineRule="auto" w:line="360"/>
        <w:jc w:val="center"/>
        <w:rPr>
          <w:rFonts w:ascii="Times New Roman" w:cs="Times New Roman" w:hAnsi="Times New Roman"/>
          <w:b/>
          <w:bCs/>
          <w:color w:val="000000"/>
          <w:sz w:val="28"/>
          <w:szCs w:val="28"/>
        </w:rPr>
      </w:pPr>
      <w:r>
        <w:rPr>
          <w:rFonts w:ascii="Times New Roman" w:cs="Times New Roman" w:hAnsi="Times New Roman"/>
          <w:b/>
          <w:bCs/>
          <w:color w:val="000000"/>
          <w:sz w:val="28"/>
          <w:szCs w:val="28"/>
        </w:rPr>
        <w:t>Table of Contents</w:t>
      </w:r>
    </w:p>
    <w:p>
      <w:pPr>
        <w:pStyle w:val="style19"/>
        <w:tabs>
          <w:tab w:val="right" w:leader="dot" w:pos="9016"/>
        </w:tabs>
        <w:rPr>
          <w:rFonts w:ascii="Aptos" w:eastAsia="宋体" w:hAnsi="Aptos"/>
          <w:noProof/>
          <w:lang w:eastAsia="en-IN"/>
        </w:rPr>
      </w:pPr>
      <w:r>
        <w:rPr/>
        <w:fldChar w:fldCharType="begin"/>
      </w:r>
      <w:r>
        <w:instrText xml:space="preserve"> TOC \o "1-3" \h \z \u </w:instrText>
      </w:r>
      <w:r>
        <w:rPr/>
        <w:fldChar w:fldCharType="separate"/>
      </w:r>
      <w:r>
        <w:rPr/>
        <w:fldChar w:fldCharType="begin"/>
      </w:r>
      <w:r>
        <w:instrText xml:space="preserve"> HYPERLINK \l "_Toc228221200" </w:instrText>
      </w:r>
      <w:r>
        <w:rPr/>
        <w:fldChar w:fldCharType="separate"/>
      </w:r>
      <w:r>
        <w:rPr>
          <w:rStyle w:val="style85"/>
          <w:noProof/>
        </w:rPr>
        <w:t>Task 1: Strategic Threat Analysis</w:t>
      </w:r>
      <w:r>
        <w:rPr>
          <w:noProof/>
          <w:webHidden/>
        </w:rPr>
        <w:tab/>
      </w:r>
      <w:r>
        <w:rPr>
          <w:noProof/>
          <w:webHidden/>
        </w:rPr>
        <w:fldChar w:fldCharType="begin"/>
      </w:r>
      <w:r>
        <w:rPr>
          <w:noProof/>
          <w:webHidden/>
        </w:rPr>
        <w:instrText xml:space="preserve"> PAGEREF _Toc228221200 \h </w:instrText>
      </w:r>
      <w:r>
        <w:rPr>
          <w:noProof/>
          <w:webHidden/>
        </w:rPr>
        <w:fldChar w:fldCharType="separate"/>
      </w:r>
      <w:r>
        <w:rPr>
          <w:noProof/>
          <w:webHidden/>
        </w:rPr>
        <w:t>4</w:t>
      </w:r>
      <w:r>
        <w:rPr>
          <w:noProof/>
          <w:webHidden/>
        </w:rPr>
        <w:fldChar w:fldCharType="end"/>
      </w:r>
      <w:r>
        <w:rPr/>
        <w:fldChar w:fldCharType="end"/>
      </w:r>
    </w:p>
    <w:p>
      <w:pPr>
        <w:pStyle w:val="style20"/>
        <w:tabs>
          <w:tab w:val="right" w:leader="dot" w:pos="9016"/>
        </w:tabs>
        <w:rPr>
          <w:noProof/>
        </w:rPr>
      </w:pPr>
      <w:r>
        <w:rPr/>
        <w:fldChar w:fldCharType="begin"/>
      </w:r>
      <w:r>
        <w:instrText xml:space="preserve"> HYPERLINK \l "_Toc228221201" </w:instrText>
      </w:r>
      <w:r>
        <w:rPr/>
        <w:fldChar w:fldCharType="separate"/>
      </w:r>
      <w:r>
        <w:rPr>
          <w:rStyle w:val="style85"/>
          <w:noProof/>
        </w:rPr>
        <w:t>1. Abstract</w:t>
      </w:r>
      <w:r>
        <w:rPr>
          <w:noProof/>
          <w:webHidden/>
        </w:rPr>
        <w:tab/>
      </w:r>
      <w:r>
        <w:rPr>
          <w:noProof/>
          <w:webHidden/>
        </w:rPr>
        <w:fldChar w:fldCharType="begin"/>
      </w:r>
      <w:r>
        <w:rPr>
          <w:noProof/>
          <w:webHidden/>
        </w:rPr>
        <w:instrText xml:space="preserve"> PAGEREF _Toc228221201 \h </w:instrText>
      </w:r>
      <w:r>
        <w:rPr>
          <w:noProof/>
          <w:webHidden/>
        </w:rPr>
        <w:fldChar w:fldCharType="separate"/>
      </w:r>
      <w:r>
        <w:rPr>
          <w:noProof/>
          <w:webHidden/>
        </w:rPr>
        <w:t>4</w:t>
      </w:r>
      <w:r>
        <w:rPr>
          <w:noProof/>
          <w:webHidden/>
        </w:rPr>
        <w:fldChar w:fldCharType="end"/>
      </w:r>
      <w:r>
        <w:rPr/>
        <w:fldChar w:fldCharType="end"/>
      </w:r>
    </w:p>
    <w:p>
      <w:pPr>
        <w:pStyle w:val="style20"/>
        <w:tabs>
          <w:tab w:val="right" w:leader="dot" w:pos="9016"/>
        </w:tabs>
        <w:rPr>
          <w:noProof/>
        </w:rPr>
      </w:pPr>
      <w:r>
        <w:rPr/>
        <w:fldChar w:fldCharType="begin"/>
      </w:r>
      <w:r>
        <w:instrText xml:space="preserve"> HYPERLINK \l "_Toc228221202" </w:instrText>
      </w:r>
      <w:r>
        <w:rPr/>
        <w:fldChar w:fldCharType="separate"/>
      </w:r>
      <w:r>
        <w:rPr>
          <w:rStyle w:val="style85"/>
          <w:noProof/>
        </w:rPr>
        <w:t>2. Introduction</w:t>
      </w:r>
      <w:r>
        <w:rPr>
          <w:noProof/>
          <w:webHidden/>
        </w:rPr>
        <w:tab/>
      </w:r>
      <w:r>
        <w:rPr>
          <w:noProof/>
          <w:webHidden/>
        </w:rPr>
        <w:fldChar w:fldCharType="begin"/>
      </w:r>
      <w:r>
        <w:rPr>
          <w:noProof/>
          <w:webHidden/>
        </w:rPr>
        <w:instrText xml:space="preserve"> PAGEREF _Toc228221202 \h </w:instrText>
      </w:r>
      <w:r>
        <w:rPr>
          <w:noProof/>
          <w:webHidden/>
        </w:rPr>
        <w:fldChar w:fldCharType="separate"/>
      </w:r>
      <w:r>
        <w:rPr>
          <w:noProof/>
          <w:webHidden/>
        </w:rPr>
        <w:t>4</w:t>
      </w:r>
      <w:r>
        <w:rPr>
          <w:noProof/>
          <w:webHidden/>
        </w:rPr>
        <w:fldChar w:fldCharType="end"/>
      </w:r>
      <w:r>
        <w:rPr/>
        <w:fldChar w:fldCharType="end"/>
      </w:r>
    </w:p>
    <w:p>
      <w:pPr>
        <w:pStyle w:val="style20"/>
        <w:tabs>
          <w:tab w:val="right" w:leader="dot" w:pos="9016"/>
        </w:tabs>
        <w:rPr>
          <w:noProof/>
        </w:rPr>
      </w:pPr>
      <w:r>
        <w:rPr/>
        <w:fldChar w:fldCharType="begin"/>
      </w:r>
      <w:r>
        <w:instrText xml:space="preserve"> HYPERLINK \l "_Toc228221203" </w:instrText>
      </w:r>
      <w:r>
        <w:rPr/>
        <w:fldChar w:fldCharType="separate"/>
      </w:r>
      <w:r>
        <w:rPr>
          <w:rStyle w:val="style85"/>
          <w:noProof/>
        </w:rPr>
        <w:t>3. Incident Summary &amp; Timeline</w:t>
      </w:r>
      <w:r>
        <w:rPr>
          <w:noProof/>
          <w:webHidden/>
        </w:rPr>
        <w:tab/>
      </w:r>
      <w:r>
        <w:rPr>
          <w:noProof/>
          <w:webHidden/>
        </w:rPr>
        <w:fldChar w:fldCharType="begin"/>
      </w:r>
      <w:r>
        <w:rPr>
          <w:noProof/>
          <w:webHidden/>
        </w:rPr>
        <w:instrText xml:space="preserve"> PAGEREF _Toc228221203 \h </w:instrText>
      </w:r>
      <w:r>
        <w:rPr>
          <w:noProof/>
          <w:webHidden/>
        </w:rPr>
        <w:fldChar w:fldCharType="separate"/>
      </w:r>
      <w:r>
        <w:rPr>
          <w:noProof/>
          <w:webHidden/>
        </w:rPr>
        <w:t>5</w:t>
      </w:r>
      <w:r>
        <w:rPr>
          <w:noProof/>
          <w:webHidden/>
        </w:rPr>
        <w:fldChar w:fldCharType="end"/>
      </w:r>
      <w:r>
        <w:rPr/>
        <w:fldChar w:fldCharType="end"/>
      </w:r>
    </w:p>
    <w:p>
      <w:pPr>
        <w:pStyle w:val="style20"/>
        <w:tabs>
          <w:tab w:val="right" w:leader="dot" w:pos="9016"/>
        </w:tabs>
        <w:rPr>
          <w:noProof/>
        </w:rPr>
      </w:pPr>
      <w:r>
        <w:rPr/>
        <w:fldChar w:fldCharType="begin"/>
      </w:r>
      <w:r>
        <w:instrText xml:space="preserve"> HYPERLINK \l "_Toc228221204" </w:instrText>
      </w:r>
      <w:r>
        <w:rPr/>
        <w:fldChar w:fldCharType="separate"/>
      </w:r>
      <w:r>
        <w:rPr>
          <w:rStyle w:val="style85"/>
          <w:noProof/>
        </w:rPr>
        <w:t>4. Adversary TTP Mapping (MITRE ATT&amp;CK)</w:t>
      </w:r>
      <w:r>
        <w:rPr>
          <w:noProof/>
          <w:webHidden/>
        </w:rPr>
        <w:tab/>
      </w:r>
      <w:r>
        <w:rPr>
          <w:noProof/>
          <w:webHidden/>
        </w:rPr>
        <w:fldChar w:fldCharType="begin"/>
      </w:r>
      <w:r>
        <w:rPr>
          <w:noProof/>
          <w:webHidden/>
        </w:rPr>
        <w:instrText xml:space="preserve"> PAGEREF _Toc228221204 \h </w:instrText>
      </w:r>
      <w:r>
        <w:rPr>
          <w:noProof/>
          <w:webHidden/>
        </w:rPr>
        <w:fldChar w:fldCharType="separate"/>
      </w:r>
      <w:r>
        <w:rPr>
          <w:noProof/>
          <w:webHidden/>
        </w:rPr>
        <w:t>6</w:t>
      </w:r>
      <w:r>
        <w:rPr>
          <w:noProof/>
          <w:webHidden/>
        </w:rPr>
        <w:fldChar w:fldCharType="end"/>
      </w:r>
      <w:r>
        <w:rPr/>
        <w:fldChar w:fldCharType="end"/>
      </w:r>
    </w:p>
    <w:p>
      <w:pPr>
        <w:pStyle w:val="style20"/>
        <w:tabs>
          <w:tab w:val="right" w:leader="dot" w:pos="9016"/>
        </w:tabs>
        <w:rPr>
          <w:noProof/>
        </w:rPr>
      </w:pPr>
      <w:r>
        <w:rPr/>
        <w:fldChar w:fldCharType="begin"/>
      </w:r>
      <w:r>
        <w:instrText xml:space="preserve"> HYPERLINK \l "_Toc228221205" </w:instrText>
      </w:r>
      <w:r>
        <w:rPr/>
        <w:fldChar w:fldCharType="separate"/>
      </w:r>
      <w:r>
        <w:rPr>
          <w:rStyle w:val="style85"/>
          <w:noProof/>
        </w:rPr>
        <w:t>5. Root Cause &amp; Security Control Failures</w:t>
      </w:r>
      <w:r>
        <w:rPr>
          <w:noProof/>
          <w:webHidden/>
        </w:rPr>
        <w:tab/>
      </w:r>
      <w:r>
        <w:rPr>
          <w:noProof/>
          <w:webHidden/>
        </w:rPr>
        <w:fldChar w:fldCharType="begin"/>
      </w:r>
      <w:r>
        <w:rPr>
          <w:noProof/>
          <w:webHidden/>
        </w:rPr>
        <w:instrText xml:space="preserve"> PAGEREF _Toc228221205 \h </w:instrText>
      </w:r>
      <w:r>
        <w:rPr>
          <w:noProof/>
          <w:webHidden/>
        </w:rPr>
        <w:fldChar w:fldCharType="separate"/>
      </w:r>
      <w:r>
        <w:rPr>
          <w:noProof/>
          <w:webHidden/>
        </w:rPr>
        <w:t>8</w:t>
      </w:r>
      <w:r>
        <w:rPr>
          <w:noProof/>
          <w:webHidden/>
        </w:rPr>
        <w:fldChar w:fldCharType="end"/>
      </w:r>
      <w:r>
        <w:rPr/>
        <w:fldChar w:fldCharType="end"/>
      </w:r>
    </w:p>
    <w:p>
      <w:pPr>
        <w:pStyle w:val="style20"/>
        <w:tabs>
          <w:tab w:val="right" w:leader="dot" w:pos="9016"/>
        </w:tabs>
        <w:rPr>
          <w:noProof/>
        </w:rPr>
      </w:pPr>
      <w:r>
        <w:rPr/>
        <w:fldChar w:fldCharType="begin"/>
      </w:r>
      <w:r>
        <w:instrText xml:space="preserve"> HYPERLINK \l "_Toc228221206" </w:instrText>
      </w:r>
      <w:r>
        <w:rPr/>
        <w:fldChar w:fldCharType="separate"/>
      </w:r>
      <w:r>
        <w:rPr>
          <w:rStyle w:val="style85"/>
          <w:noProof/>
        </w:rPr>
        <w:t>6. Threat Actor Profile &amp; Motive</w:t>
      </w:r>
      <w:r>
        <w:rPr>
          <w:noProof/>
          <w:webHidden/>
        </w:rPr>
        <w:tab/>
      </w:r>
      <w:r>
        <w:rPr>
          <w:noProof/>
          <w:webHidden/>
        </w:rPr>
        <w:fldChar w:fldCharType="begin"/>
      </w:r>
      <w:r>
        <w:rPr>
          <w:noProof/>
          <w:webHidden/>
        </w:rPr>
        <w:instrText xml:space="preserve"> PAGEREF _Toc228221206 \h </w:instrText>
      </w:r>
      <w:r>
        <w:rPr>
          <w:noProof/>
          <w:webHidden/>
        </w:rPr>
        <w:fldChar w:fldCharType="separate"/>
      </w:r>
      <w:r>
        <w:rPr>
          <w:noProof/>
          <w:webHidden/>
        </w:rPr>
        <w:t>9</w:t>
      </w:r>
      <w:r>
        <w:rPr>
          <w:noProof/>
          <w:webHidden/>
        </w:rPr>
        <w:fldChar w:fldCharType="end"/>
      </w:r>
      <w:r>
        <w:rPr/>
        <w:fldChar w:fldCharType="end"/>
      </w:r>
    </w:p>
    <w:p>
      <w:pPr>
        <w:pStyle w:val="style20"/>
        <w:tabs>
          <w:tab w:val="right" w:leader="dot" w:pos="9016"/>
        </w:tabs>
        <w:rPr>
          <w:noProof/>
        </w:rPr>
      </w:pPr>
      <w:r>
        <w:rPr/>
        <w:fldChar w:fldCharType="begin"/>
      </w:r>
      <w:r>
        <w:instrText xml:space="preserve"> HYPERLINK \l "_Toc228221207" </w:instrText>
      </w:r>
      <w:r>
        <w:rPr/>
        <w:fldChar w:fldCharType="separate"/>
      </w:r>
      <w:r>
        <w:rPr>
          <w:rStyle w:val="style85"/>
          <w:noProof/>
        </w:rPr>
        <w:t>7. Detection &amp; Response Analysis</w:t>
      </w:r>
      <w:r>
        <w:rPr>
          <w:noProof/>
          <w:webHidden/>
        </w:rPr>
        <w:tab/>
      </w:r>
      <w:r>
        <w:rPr>
          <w:noProof/>
          <w:webHidden/>
        </w:rPr>
        <w:fldChar w:fldCharType="begin"/>
      </w:r>
      <w:r>
        <w:rPr>
          <w:noProof/>
          <w:webHidden/>
        </w:rPr>
        <w:instrText xml:space="preserve"> PAGEREF _Toc228221207 \h </w:instrText>
      </w:r>
      <w:r>
        <w:rPr>
          <w:noProof/>
          <w:webHidden/>
        </w:rPr>
        <w:fldChar w:fldCharType="separate"/>
      </w:r>
      <w:r>
        <w:rPr>
          <w:noProof/>
          <w:webHidden/>
        </w:rPr>
        <w:t>10</w:t>
      </w:r>
      <w:r>
        <w:rPr>
          <w:noProof/>
          <w:webHidden/>
        </w:rPr>
        <w:fldChar w:fldCharType="end"/>
      </w:r>
      <w:r>
        <w:rPr/>
        <w:fldChar w:fldCharType="end"/>
      </w:r>
    </w:p>
    <w:p>
      <w:pPr>
        <w:pStyle w:val="style20"/>
        <w:tabs>
          <w:tab w:val="right" w:leader="dot" w:pos="9016"/>
        </w:tabs>
        <w:rPr>
          <w:noProof/>
        </w:rPr>
      </w:pPr>
      <w:r>
        <w:rPr/>
        <w:fldChar w:fldCharType="begin"/>
      </w:r>
      <w:r>
        <w:instrText xml:space="preserve"> HYPERLINK \l "_Toc228221208" </w:instrText>
      </w:r>
      <w:r>
        <w:rPr/>
        <w:fldChar w:fldCharType="separate"/>
      </w:r>
      <w:r>
        <w:rPr>
          <w:rStyle w:val="style85"/>
          <w:noProof/>
        </w:rPr>
        <w:t>8. Strategic Recommendations</w:t>
      </w:r>
      <w:r>
        <w:rPr>
          <w:noProof/>
          <w:webHidden/>
        </w:rPr>
        <w:tab/>
      </w:r>
      <w:r>
        <w:rPr>
          <w:noProof/>
          <w:webHidden/>
        </w:rPr>
        <w:fldChar w:fldCharType="begin"/>
      </w:r>
      <w:r>
        <w:rPr>
          <w:noProof/>
          <w:webHidden/>
        </w:rPr>
        <w:instrText xml:space="preserve"> PAGEREF _Toc228221208 \h </w:instrText>
      </w:r>
      <w:r>
        <w:rPr>
          <w:noProof/>
          <w:webHidden/>
        </w:rPr>
        <w:fldChar w:fldCharType="separate"/>
      </w:r>
      <w:r>
        <w:rPr>
          <w:noProof/>
          <w:webHidden/>
        </w:rPr>
        <w:t>10</w:t>
      </w:r>
      <w:r>
        <w:rPr>
          <w:noProof/>
          <w:webHidden/>
        </w:rPr>
        <w:fldChar w:fldCharType="end"/>
      </w:r>
      <w:r>
        <w:rPr/>
        <w:fldChar w:fldCharType="end"/>
      </w:r>
    </w:p>
    <w:p>
      <w:pPr>
        <w:pStyle w:val="style20"/>
        <w:tabs>
          <w:tab w:val="right" w:leader="dot" w:pos="9016"/>
        </w:tabs>
        <w:rPr>
          <w:noProof/>
        </w:rPr>
      </w:pPr>
      <w:r>
        <w:rPr/>
        <w:fldChar w:fldCharType="begin"/>
      </w:r>
      <w:r>
        <w:instrText xml:space="preserve"> HYPERLINK \l "_Toc228221209" </w:instrText>
      </w:r>
      <w:r>
        <w:rPr/>
        <w:fldChar w:fldCharType="separate"/>
      </w:r>
      <w:r>
        <w:rPr>
          <w:rStyle w:val="style85"/>
          <w:noProof/>
        </w:rPr>
        <w:t>9. Conclusion</w:t>
      </w:r>
      <w:r>
        <w:rPr>
          <w:noProof/>
          <w:webHidden/>
        </w:rPr>
        <w:tab/>
      </w:r>
      <w:r>
        <w:rPr>
          <w:noProof/>
          <w:webHidden/>
        </w:rPr>
        <w:fldChar w:fldCharType="begin"/>
      </w:r>
      <w:r>
        <w:rPr>
          <w:noProof/>
          <w:webHidden/>
        </w:rPr>
        <w:instrText xml:space="preserve"> PAGEREF _Toc228221209 \h </w:instrText>
      </w:r>
      <w:r>
        <w:rPr>
          <w:noProof/>
          <w:webHidden/>
        </w:rPr>
        <w:fldChar w:fldCharType="separate"/>
      </w:r>
      <w:r>
        <w:rPr>
          <w:noProof/>
          <w:webHidden/>
        </w:rPr>
        <w:t>11</w:t>
      </w:r>
      <w:r>
        <w:rPr>
          <w:noProof/>
          <w:webHidden/>
        </w:rPr>
        <w:fldChar w:fldCharType="end"/>
      </w:r>
      <w:r>
        <w:rPr/>
        <w:fldChar w:fldCharType="end"/>
      </w:r>
    </w:p>
    <w:p>
      <w:pPr>
        <w:pStyle w:val="style19"/>
        <w:tabs>
          <w:tab w:val="right" w:leader="dot" w:pos="9016"/>
        </w:tabs>
        <w:rPr>
          <w:rFonts w:ascii="Aptos" w:eastAsia="宋体" w:hAnsi="Aptos"/>
          <w:noProof/>
          <w:lang w:eastAsia="en-IN"/>
        </w:rPr>
      </w:pPr>
      <w:r>
        <w:rPr/>
        <w:fldChar w:fldCharType="begin"/>
      </w:r>
      <w:r>
        <w:instrText xml:space="preserve"> HYPERLINK \l "_Toc228221210" </w:instrText>
      </w:r>
      <w:r>
        <w:rPr/>
        <w:fldChar w:fldCharType="separate"/>
      </w:r>
      <w:r>
        <w:rPr>
          <w:rStyle w:val="style85"/>
          <w:noProof/>
        </w:rPr>
        <w:t>Task 2: Red Team Engagement</w:t>
      </w:r>
      <w:r>
        <w:rPr>
          <w:noProof/>
          <w:webHidden/>
        </w:rPr>
        <w:tab/>
      </w:r>
      <w:r>
        <w:rPr>
          <w:noProof/>
          <w:webHidden/>
        </w:rPr>
        <w:fldChar w:fldCharType="begin"/>
      </w:r>
      <w:r>
        <w:rPr>
          <w:noProof/>
          <w:webHidden/>
        </w:rPr>
        <w:instrText xml:space="preserve"> PAGEREF _Toc228221210 \h </w:instrText>
      </w:r>
      <w:r>
        <w:rPr>
          <w:noProof/>
          <w:webHidden/>
        </w:rPr>
        <w:fldChar w:fldCharType="separate"/>
      </w:r>
      <w:r>
        <w:rPr>
          <w:noProof/>
          <w:webHidden/>
        </w:rPr>
        <w:t>13</w:t>
      </w:r>
      <w:r>
        <w:rPr>
          <w:noProof/>
          <w:webHidden/>
        </w:rPr>
        <w:fldChar w:fldCharType="end"/>
      </w:r>
      <w:r>
        <w:rPr/>
        <w:fldChar w:fldCharType="end"/>
      </w:r>
    </w:p>
    <w:p>
      <w:pPr>
        <w:pStyle w:val="style20"/>
        <w:tabs>
          <w:tab w:val="right" w:leader="dot" w:pos="9016"/>
        </w:tabs>
        <w:rPr>
          <w:noProof/>
        </w:rPr>
      </w:pPr>
      <w:r>
        <w:rPr/>
        <w:fldChar w:fldCharType="begin"/>
      </w:r>
      <w:r>
        <w:instrText xml:space="preserve"> HYPERLINK \l "_Toc228221211" </w:instrText>
      </w:r>
      <w:r>
        <w:rPr/>
        <w:fldChar w:fldCharType="separate"/>
      </w:r>
      <w:r>
        <w:rPr>
          <w:rStyle w:val="style85"/>
          <w:noProof/>
        </w:rPr>
        <w:t>1. Abstract</w:t>
      </w:r>
      <w:r>
        <w:rPr>
          <w:noProof/>
          <w:webHidden/>
        </w:rPr>
        <w:tab/>
      </w:r>
      <w:r>
        <w:rPr>
          <w:noProof/>
          <w:webHidden/>
        </w:rPr>
        <w:fldChar w:fldCharType="begin"/>
      </w:r>
      <w:r>
        <w:rPr>
          <w:noProof/>
          <w:webHidden/>
        </w:rPr>
        <w:instrText xml:space="preserve"> PAGEREF _Toc228221211 \h </w:instrText>
      </w:r>
      <w:r>
        <w:rPr>
          <w:noProof/>
          <w:webHidden/>
        </w:rPr>
        <w:fldChar w:fldCharType="separate"/>
      </w:r>
      <w:r>
        <w:rPr>
          <w:noProof/>
          <w:webHidden/>
        </w:rPr>
        <w:t>13</w:t>
      </w:r>
      <w:r>
        <w:rPr>
          <w:noProof/>
          <w:webHidden/>
        </w:rPr>
        <w:fldChar w:fldCharType="end"/>
      </w:r>
      <w:r>
        <w:rPr/>
        <w:fldChar w:fldCharType="end"/>
      </w:r>
    </w:p>
    <w:p>
      <w:pPr>
        <w:pStyle w:val="style20"/>
        <w:tabs>
          <w:tab w:val="right" w:leader="dot" w:pos="9016"/>
        </w:tabs>
        <w:rPr>
          <w:noProof/>
        </w:rPr>
      </w:pPr>
      <w:r>
        <w:rPr/>
        <w:fldChar w:fldCharType="begin"/>
      </w:r>
      <w:r>
        <w:instrText xml:space="preserve"> HYPERLINK \l "_Toc228221212" </w:instrText>
      </w:r>
      <w:r>
        <w:rPr/>
        <w:fldChar w:fldCharType="separate"/>
      </w:r>
      <w:r>
        <w:rPr>
          <w:rStyle w:val="style85"/>
          <w:noProof/>
        </w:rPr>
        <w:t>2. Introduction</w:t>
      </w:r>
      <w:r>
        <w:rPr>
          <w:noProof/>
          <w:webHidden/>
        </w:rPr>
        <w:tab/>
      </w:r>
      <w:r>
        <w:rPr>
          <w:noProof/>
          <w:webHidden/>
        </w:rPr>
        <w:fldChar w:fldCharType="begin"/>
      </w:r>
      <w:r>
        <w:rPr>
          <w:noProof/>
          <w:webHidden/>
        </w:rPr>
        <w:instrText xml:space="preserve"> PAGEREF _Toc228221212 \h </w:instrText>
      </w:r>
      <w:r>
        <w:rPr>
          <w:noProof/>
          <w:webHidden/>
        </w:rPr>
        <w:fldChar w:fldCharType="separate"/>
      </w:r>
      <w:r>
        <w:rPr>
          <w:noProof/>
          <w:webHidden/>
        </w:rPr>
        <w:t>13</w:t>
      </w:r>
      <w:r>
        <w:rPr>
          <w:noProof/>
          <w:webHidden/>
        </w:rPr>
        <w:fldChar w:fldCharType="end"/>
      </w:r>
      <w:r>
        <w:rPr/>
        <w:fldChar w:fldCharType="end"/>
      </w:r>
    </w:p>
    <w:p>
      <w:pPr>
        <w:pStyle w:val="style20"/>
        <w:tabs>
          <w:tab w:val="right" w:leader="dot" w:pos="9016"/>
        </w:tabs>
        <w:rPr>
          <w:noProof/>
        </w:rPr>
      </w:pPr>
      <w:r>
        <w:rPr/>
        <w:fldChar w:fldCharType="begin"/>
      </w:r>
      <w:r>
        <w:instrText xml:space="preserve"> HYPERLINK \l "_Toc228221213" </w:instrText>
      </w:r>
      <w:r>
        <w:rPr/>
        <w:fldChar w:fldCharType="separate"/>
      </w:r>
      <w:r>
        <w:rPr>
          <w:rStyle w:val="style85"/>
          <w:noProof/>
        </w:rPr>
        <w:t>3. Rules of Engagement (RoE)</w:t>
      </w:r>
      <w:r>
        <w:rPr>
          <w:noProof/>
          <w:webHidden/>
        </w:rPr>
        <w:tab/>
      </w:r>
      <w:r>
        <w:rPr>
          <w:noProof/>
          <w:webHidden/>
        </w:rPr>
        <w:fldChar w:fldCharType="begin"/>
      </w:r>
      <w:r>
        <w:rPr>
          <w:noProof/>
          <w:webHidden/>
        </w:rPr>
        <w:instrText xml:space="preserve"> PAGEREF _Toc228221213 \h </w:instrText>
      </w:r>
      <w:r>
        <w:rPr>
          <w:noProof/>
          <w:webHidden/>
        </w:rPr>
        <w:fldChar w:fldCharType="separate"/>
      </w:r>
      <w:r>
        <w:rPr>
          <w:noProof/>
          <w:webHidden/>
        </w:rPr>
        <w:t>13</w:t>
      </w:r>
      <w:r>
        <w:rPr>
          <w:noProof/>
          <w:webHidden/>
        </w:rPr>
        <w:fldChar w:fldCharType="end"/>
      </w:r>
      <w:r>
        <w:rPr/>
        <w:fldChar w:fldCharType="end"/>
      </w:r>
    </w:p>
    <w:p>
      <w:pPr>
        <w:pStyle w:val="style20"/>
        <w:tabs>
          <w:tab w:val="right" w:leader="dot" w:pos="9016"/>
        </w:tabs>
        <w:rPr>
          <w:noProof/>
        </w:rPr>
      </w:pPr>
      <w:r>
        <w:rPr/>
        <w:fldChar w:fldCharType="begin"/>
      </w:r>
      <w:r>
        <w:instrText xml:space="preserve"> HYPERLINK \l "_Toc228221214" </w:instrText>
      </w:r>
      <w:r>
        <w:rPr/>
        <w:fldChar w:fldCharType="separate"/>
      </w:r>
      <w:r>
        <w:rPr>
          <w:rStyle w:val="style85"/>
          <w:noProof/>
        </w:rPr>
        <w:t>4. Lab Environment Design</w:t>
      </w:r>
      <w:r>
        <w:rPr>
          <w:noProof/>
          <w:webHidden/>
        </w:rPr>
        <w:tab/>
      </w:r>
      <w:r>
        <w:rPr>
          <w:noProof/>
          <w:webHidden/>
        </w:rPr>
        <w:fldChar w:fldCharType="begin"/>
      </w:r>
      <w:r>
        <w:rPr>
          <w:noProof/>
          <w:webHidden/>
        </w:rPr>
        <w:instrText xml:space="preserve"> PAGEREF _Toc228221214 \h </w:instrText>
      </w:r>
      <w:r>
        <w:rPr>
          <w:noProof/>
          <w:webHidden/>
        </w:rPr>
        <w:fldChar w:fldCharType="separate"/>
      </w:r>
      <w:r>
        <w:rPr>
          <w:noProof/>
          <w:webHidden/>
        </w:rPr>
        <w:t>14</w:t>
      </w:r>
      <w:r>
        <w:rPr>
          <w:noProof/>
          <w:webHidden/>
        </w:rPr>
        <w:fldChar w:fldCharType="end"/>
      </w:r>
      <w:r>
        <w:rPr/>
        <w:fldChar w:fldCharType="end"/>
      </w:r>
    </w:p>
    <w:p>
      <w:pPr>
        <w:pStyle w:val="style20"/>
        <w:tabs>
          <w:tab w:val="right" w:leader="dot" w:pos="9016"/>
        </w:tabs>
        <w:rPr>
          <w:noProof/>
        </w:rPr>
      </w:pPr>
      <w:r>
        <w:rPr/>
        <w:fldChar w:fldCharType="begin"/>
      </w:r>
      <w:r>
        <w:instrText xml:space="preserve"> HYPERLINK \l "_Toc228221215" </w:instrText>
      </w:r>
      <w:r>
        <w:rPr/>
        <w:fldChar w:fldCharType="separate"/>
      </w:r>
      <w:r>
        <w:rPr>
          <w:rStyle w:val="style85"/>
          <w:noProof/>
        </w:rPr>
        <w:t>5. Threat Emulation Plan</w:t>
      </w:r>
      <w:r>
        <w:rPr>
          <w:noProof/>
          <w:webHidden/>
        </w:rPr>
        <w:tab/>
      </w:r>
      <w:r>
        <w:rPr>
          <w:noProof/>
          <w:webHidden/>
        </w:rPr>
        <w:fldChar w:fldCharType="begin"/>
      </w:r>
      <w:r>
        <w:rPr>
          <w:noProof/>
          <w:webHidden/>
        </w:rPr>
        <w:instrText xml:space="preserve"> PAGEREF _Toc228221215 \h </w:instrText>
      </w:r>
      <w:r>
        <w:rPr>
          <w:noProof/>
          <w:webHidden/>
        </w:rPr>
        <w:fldChar w:fldCharType="separate"/>
      </w:r>
      <w:r>
        <w:rPr>
          <w:noProof/>
          <w:webHidden/>
        </w:rPr>
        <w:t>16</w:t>
      </w:r>
      <w:r>
        <w:rPr>
          <w:noProof/>
          <w:webHidden/>
        </w:rPr>
        <w:fldChar w:fldCharType="end"/>
      </w:r>
      <w:r>
        <w:rPr/>
        <w:fldChar w:fldCharType="end"/>
      </w:r>
    </w:p>
    <w:p>
      <w:pPr>
        <w:pStyle w:val="style20"/>
        <w:tabs>
          <w:tab w:val="right" w:leader="dot" w:pos="9016"/>
        </w:tabs>
        <w:rPr>
          <w:noProof/>
        </w:rPr>
      </w:pPr>
      <w:r>
        <w:rPr/>
        <w:fldChar w:fldCharType="begin"/>
      </w:r>
      <w:r>
        <w:instrText xml:space="preserve"> HYPERLINK \l "_Toc228221216" </w:instrText>
      </w:r>
      <w:r>
        <w:rPr/>
        <w:fldChar w:fldCharType="separate"/>
      </w:r>
      <w:r>
        <w:rPr>
          <w:rStyle w:val="style85"/>
          <w:noProof/>
        </w:rPr>
        <w:t>6. Tools &amp; Techniques</w:t>
      </w:r>
      <w:r>
        <w:rPr>
          <w:noProof/>
          <w:webHidden/>
        </w:rPr>
        <w:tab/>
      </w:r>
      <w:r>
        <w:rPr>
          <w:noProof/>
          <w:webHidden/>
        </w:rPr>
        <w:fldChar w:fldCharType="begin"/>
      </w:r>
      <w:r>
        <w:rPr>
          <w:noProof/>
          <w:webHidden/>
        </w:rPr>
        <w:instrText xml:space="preserve"> PAGEREF _Toc228221216 \h </w:instrText>
      </w:r>
      <w:r>
        <w:rPr>
          <w:noProof/>
          <w:webHidden/>
        </w:rPr>
        <w:fldChar w:fldCharType="separate"/>
      </w:r>
      <w:r>
        <w:rPr>
          <w:noProof/>
          <w:webHidden/>
        </w:rPr>
        <w:t>16</w:t>
      </w:r>
      <w:r>
        <w:rPr>
          <w:noProof/>
          <w:webHidden/>
        </w:rPr>
        <w:fldChar w:fldCharType="end"/>
      </w:r>
      <w:r>
        <w:rPr/>
        <w:fldChar w:fldCharType="end"/>
      </w:r>
    </w:p>
    <w:p>
      <w:pPr>
        <w:pStyle w:val="style20"/>
        <w:tabs>
          <w:tab w:val="right" w:leader="dot" w:pos="9016"/>
        </w:tabs>
        <w:rPr>
          <w:noProof/>
        </w:rPr>
      </w:pPr>
      <w:r>
        <w:rPr/>
        <w:fldChar w:fldCharType="begin"/>
      </w:r>
      <w:r>
        <w:instrText xml:space="preserve"> HYPERLINK \l "_Toc228221217" </w:instrText>
      </w:r>
      <w:r>
        <w:rPr/>
        <w:fldChar w:fldCharType="separate"/>
      </w:r>
      <w:r>
        <w:rPr>
          <w:rStyle w:val="style85"/>
          <w:noProof/>
        </w:rPr>
        <w:t>7. Attack Execution</w:t>
      </w:r>
      <w:r>
        <w:rPr>
          <w:noProof/>
          <w:webHidden/>
        </w:rPr>
        <w:tab/>
      </w:r>
      <w:r>
        <w:rPr>
          <w:noProof/>
          <w:webHidden/>
        </w:rPr>
        <w:fldChar w:fldCharType="begin"/>
      </w:r>
      <w:r>
        <w:rPr>
          <w:noProof/>
          <w:webHidden/>
        </w:rPr>
        <w:instrText xml:space="preserve"> PAGEREF _Toc228221217 \h </w:instrText>
      </w:r>
      <w:r>
        <w:rPr>
          <w:noProof/>
          <w:webHidden/>
        </w:rPr>
        <w:fldChar w:fldCharType="separate"/>
      </w:r>
      <w:r>
        <w:rPr>
          <w:noProof/>
          <w:webHidden/>
        </w:rPr>
        <w:t>17</w:t>
      </w:r>
      <w:r>
        <w:rPr>
          <w:noProof/>
          <w:webHidden/>
        </w:rPr>
        <w:fldChar w:fldCharType="end"/>
      </w:r>
      <w:r>
        <w:rPr/>
        <w:fldChar w:fldCharType="end"/>
      </w:r>
    </w:p>
    <w:p>
      <w:pPr>
        <w:pStyle w:val="style21"/>
        <w:tabs>
          <w:tab w:val="right" w:leader="dot" w:pos="9016"/>
        </w:tabs>
        <w:rPr>
          <w:noProof/>
        </w:rPr>
      </w:pPr>
      <w:r>
        <w:rPr/>
        <w:fldChar w:fldCharType="begin"/>
      </w:r>
      <w:r>
        <w:instrText xml:space="preserve"> HYPERLINK \l "_Toc228221218" </w:instrText>
      </w:r>
      <w:r>
        <w:rPr/>
        <w:fldChar w:fldCharType="separate"/>
      </w:r>
      <w:r>
        <w:rPr>
          <w:rStyle w:val="style85"/>
          <w:noProof/>
        </w:rPr>
        <w:t>7.1 Reconnaissance</w:t>
      </w:r>
      <w:r>
        <w:rPr>
          <w:noProof/>
          <w:webHidden/>
        </w:rPr>
        <w:tab/>
      </w:r>
      <w:r>
        <w:rPr>
          <w:noProof/>
          <w:webHidden/>
        </w:rPr>
        <w:fldChar w:fldCharType="begin"/>
      </w:r>
      <w:r>
        <w:rPr>
          <w:noProof/>
          <w:webHidden/>
        </w:rPr>
        <w:instrText xml:space="preserve"> PAGEREF _Toc228221218 \h </w:instrText>
      </w:r>
      <w:r>
        <w:rPr>
          <w:noProof/>
          <w:webHidden/>
        </w:rPr>
        <w:fldChar w:fldCharType="separate"/>
      </w:r>
      <w:r>
        <w:rPr>
          <w:noProof/>
          <w:webHidden/>
        </w:rPr>
        <w:t>17</w:t>
      </w:r>
      <w:r>
        <w:rPr>
          <w:noProof/>
          <w:webHidden/>
        </w:rPr>
        <w:fldChar w:fldCharType="end"/>
      </w:r>
      <w:r>
        <w:rPr/>
        <w:fldChar w:fldCharType="end"/>
      </w:r>
    </w:p>
    <w:p>
      <w:pPr>
        <w:pStyle w:val="style21"/>
        <w:tabs>
          <w:tab w:val="right" w:leader="dot" w:pos="9016"/>
        </w:tabs>
        <w:rPr>
          <w:noProof/>
        </w:rPr>
      </w:pPr>
      <w:r>
        <w:rPr/>
        <w:fldChar w:fldCharType="begin"/>
      </w:r>
      <w:r>
        <w:instrText xml:space="preserve"> HYPERLINK \l "_Toc228221219" </w:instrText>
      </w:r>
      <w:r>
        <w:rPr/>
        <w:fldChar w:fldCharType="separate"/>
      </w:r>
      <w:r>
        <w:rPr>
          <w:rStyle w:val="style85"/>
          <w:noProof/>
        </w:rPr>
        <w:t>7.2 Initial Exploitation</w:t>
      </w:r>
      <w:r>
        <w:rPr>
          <w:noProof/>
          <w:webHidden/>
        </w:rPr>
        <w:tab/>
      </w:r>
      <w:r>
        <w:rPr>
          <w:noProof/>
          <w:webHidden/>
        </w:rPr>
        <w:fldChar w:fldCharType="begin"/>
      </w:r>
      <w:r>
        <w:rPr>
          <w:noProof/>
          <w:webHidden/>
        </w:rPr>
        <w:instrText xml:space="preserve"> PAGEREF _Toc228221219 \h </w:instrText>
      </w:r>
      <w:r>
        <w:rPr>
          <w:noProof/>
          <w:webHidden/>
        </w:rPr>
        <w:fldChar w:fldCharType="separate"/>
      </w:r>
      <w:r>
        <w:rPr>
          <w:noProof/>
          <w:webHidden/>
        </w:rPr>
        <w:t>18</w:t>
      </w:r>
      <w:r>
        <w:rPr>
          <w:noProof/>
          <w:webHidden/>
        </w:rPr>
        <w:fldChar w:fldCharType="end"/>
      </w:r>
      <w:r>
        <w:rPr/>
        <w:fldChar w:fldCharType="end"/>
      </w:r>
    </w:p>
    <w:p>
      <w:pPr>
        <w:pStyle w:val="style21"/>
        <w:tabs>
          <w:tab w:val="right" w:leader="dot" w:pos="9016"/>
        </w:tabs>
        <w:rPr>
          <w:noProof/>
        </w:rPr>
      </w:pPr>
      <w:r>
        <w:rPr/>
        <w:fldChar w:fldCharType="begin"/>
      </w:r>
      <w:r>
        <w:instrText xml:space="preserve"> HYPERLINK \l "_Toc228221220" </w:instrText>
      </w:r>
      <w:r>
        <w:rPr/>
        <w:fldChar w:fldCharType="separate"/>
      </w:r>
      <w:r>
        <w:rPr>
          <w:rStyle w:val="style85"/>
          <w:noProof/>
        </w:rPr>
        <w:t>7.3 Reverse Shell</w:t>
      </w:r>
      <w:r>
        <w:rPr>
          <w:noProof/>
          <w:webHidden/>
        </w:rPr>
        <w:tab/>
      </w:r>
      <w:r>
        <w:rPr>
          <w:noProof/>
          <w:webHidden/>
        </w:rPr>
        <w:fldChar w:fldCharType="begin"/>
      </w:r>
      <w:r>
        <w:rPr>
          <w:noProof/>
          <w:webHidden/>
        </w:rPr>
        <w:instrText xml:space="preserve"> PAGEREF _Toc228221220 \h </w:instrText>
      </w:r>
      <w:r>
        <w:rPr>
          <w:noProof/>
          <w:webHidden/>
        </w:rPr>
        <w:fldChar w:fldCharType="separate"/>
      </w:r>
      <w:r>
        <w:rPr>
          <w:noProof/>
          <w:webHidden/>
        </w:rPr>
        <w:t>18</w:t>
      </w:r>
      <w:r>
        <w:rPr>
          <w:noProof/>
          <w:webHidden/>
        </w:rPr>
        <w:fldChar w:fldCharType="end"/>
      </w:r>
      <w:r>
        <w:rPr/>
        <w:fldChar w:fldCharType="end"/>
      </w:r>
    </w:p>
    <w:p>
      <w:pPr>
        <w:pStyle w:val="style21"/>
        <w:tabs>
          <w:tab w:val="right" w:leader="dot" w:pos="9016"/>
        </w:tabs>
        <w:rPr>
          <w:noProof/>
        </w:rPr>
      </w:pPr>
      <w:r>
        <w:rPr/>
        <w:fldChar w:fldCharType="begin"/>
      </w:r>
      <w:r>
        <w:instrText xml:space="preserve"> HYPERLINK \l "_Toc228221221" </w:instrText>
      </w:r>
      <w:r>
        <w:rPr/>
        <w:fldChar w:fldCharType="separate"/>
      </w:r>
      <w:r>
        <w:rPr>
          <w:rStyle w:val="style85"/>
          <w:noProof/>
        </w:rPr>
        <w:t>7.4 Credential Access</w:t>
      </w:r>
      <w:r>
        <w:rPr>
          <w:noProof/>
          <w:webHidden/>
        </w:rPr>
        <w:tab/>
      </w:r>
      <w:r>
        <w:rPr>
          <w:noProof/>
          <w:webHidden/>
        </w:rPr>
        <w:fldChar w:fldCharType="begin"/>
      </w:r>
      <w:r>
        <w:rPr>
          <w:noProof/>
          <w:webHidden/>
        </w:rPr>
        <w:instrText xml:space="preserve"> PAGEREF _Toc228221221 \h </w:instrText>
      </w:r>
      <w:r>
        <w:rPr>
          <w:noProof/>
          <w:webHidden/>
        </w:rPr>
        <w:fldChar w:fldCharType="separate"/>
      </w:r>
      <w:r>
        <w:rPr>
          <w:noProof/>
          <w:webHidden/>
        </w:rPr>
        <w:t>19</w:t>
      </w:r>
      <w:r>
        <w:rPr>
          <w:noProof/>
          <w:webHidden/>
        </w:rPr>
        <w:fldChar w:fldCharType="end"/>
      </w:r>
      <w:r>
        <w:rPr/>
        <w:fldChar w:fldCharType="end"/>
      </w:r>
    </w:p>
    <w:p>
      <w:pPr>
        <w:pStyle w:val="style21"/>
        <w:tabs>
          <w:tab w:val="right" w:leader="dot" w:pos="9016"/>
        </w:tabs>
        <w:rPr>
          <w:noProof/>
        </w:rPr>
      </w:pPr>
      <w:r>
        <w:rPr/>
        <w:fldChar w:fldCharType="begin"/>
      </w:r>
      <w:r>
        <w:instrText xml:space="preserve"> HYPERLINK \l "_Toc228221222" </w:instrText>
      </w:r>
      <w:r>
        <w:rPr/>
        <w:fldChar w:fldCharType="separate"/>
      </w:r>
      <w:r>
        <w:rPr>
          <w:rStyle w:val="style85"/>
          <w:noProof/>
        </w:rPr>
        <w:t>7.5 Lateral Movement</w:t>
      </w:r>
      <w:r>
        <w:rPr>
          <w:noProof/>
          <w:webHidden/>
        </w:rPr>
        <w:tab/>
      </w:r>
      <w:r>
        <w:rPr>
          <w:noProof/>
          <w:webHidden/>
        </w:rPr>
        <w:fldChar w:fldCharType="begin"/>
      </w:r>
      <w:r>
        <w:rPr>
          <w:noProof/>
          <w:webHidden/>
        </w:rPr>
        <w:instrText xml:space="preserve"> PAGEREF _Toc228221222 \h </w:instrText>
      </w:r>
      <w:r>
        <w:rPr>
          <w:noProof/>
          <w:webHidden/>
        </w:rPr>
        <w:fldChar w:fldCharType="separate"/>
      </w:r>
      <w:r>
        <w:rPr>
          <w:noProof/>
          <w:webHidden/>
        </w:rPr>
        <w:t>20</w:t>
      </w:r>
      <w:r>
        <w:rPr>
          <w:noProof/>
          <w:webHidden/>
        </w:rPr>
        <w:fldChar w:fldCharType="end"/>
      </w:r>
      <w:r>
        <w:rPr/>
        <w:fldChar w:fldCharType="end"/>
      </w:r>
    </w:p>
    <w:p>
      <w:pPr>
        <w:pStyle w:val="style21"/>
        <w:tabs>
          <w:tab w:val="right" w:leader="dot" w:pos="9016"/>
        </w:tabs>
        <w:rPr>
          <w:noProof/>
        </w:rPr>
      </w:pPr>
      <w:r>
        <w:rPr/>
        <w:fldChar w:fldCharType="begin"/>
      </w:r>
      <w:r>
        <w:instrText xml:space="preserve"> HYPERLINK \l "_Toc228221223" </w:instrText>
      </w:r>
      <w:r>
        <w:rPr/>
        <w:fldChar w:fldCharType="separate"/>
      </w:r>
      <w:r>
        <w:rPr>
          <w:rStyle w:val="style85"/>
          <w:noProof/>
        </w:rPr>
        <w:t>7.6 Data Exfiltration</w:t>
      </w:r>
      <w:r>
        <w:rPr>
          <w:noProof/>
          <w:webHidden/>
        </w:rPr>
        <w:tab/>
      </w:r>
      <w:r>
        <w:rPr>
          <w:noProof/>
          <w:webHidden/>
        </w:rPr>
        <w:fldChar w:fldCharType="begin"/>
      </w:r>
      <w:r>
        <w:rPr>
          <w:noProof/>
          <w:webHidden/>
        </w:rPr>
        <w:instrText xml:space="preserve"> PAGEREF _Toc228221223 \h </w:instrText>
      </w:r>
      <w:r>
        <w:rPr>
          <w:noProof/>
          <w:webHidden/>
        </w:rPr>
        <w:fldChar w:fldCharType="separate"/>
      </w:r>
      <w:r>
        <w:rPr>
          <w:noProof/>
          <w:webHidden/>
        </w:rPr>
        <w:t>21</w:t>
      </w:r>
      <w:r>
        <w:rPr>
          <w:noProof/>
          <w:webHidden/>
        </w:rPr>
        <w:fldChar w:fldCharType="end"/>
      </w:r>
      <w:r>
        <w:rPr/>
        <w:fldChar w:fldCharType="end"/>
      </w:r>
    </w:p>
    <w:p>
      <w:pPr>
        <w:pStyle w:val="style20"/>
        <w:tabs>
          <w:tab w:val="right" w:leader="dot" w:pos="9016"/>
        </w:tabs>
        <w:rPr>
          <w:noProof/>
        </w:rPr>
      </w:pPr>
      <w:r>
        <w:rPr/>
        <w:fldChar w:fldCharType="begin"/>
      </w:r>
      <w:r>
        <w:instrText xml:space="preserve"> HYPERLINK \l "_Toc228221224" </w:instrText>
      </w:r>
      <w:r>
        <w:rPr/>
        <w:fldChar w:fldCharType="separate"/>
      </w:r>
      <w:r>
        <w:rPr>
          <w:rStyle w:val="style85"/>
          <w:noProof/>
        </w:rPr>
        <w:t>8. Detection Gap Analysis</w:t>
      </w:r>
      <w:r>
        <w:rPr>
          <w:noProof/>
          <w:webHidden/>
        </w:rPr>
        <w:tab/>
      </w:r>
      <w:r>
        <w:rPr>
          <w:noProof/>
          <w:webHidden/>
        </w:rPr>
        <w:fldChar w:fldCharType="begin"/>
      </w:r>
      <w:r>
        <w:rPr>
          <w:noProof/>
          <w:webHidden/>
        </w:rPr>
        <w:instrText xml:space="preserve"> PAGEREF _Toc228221224 \h </w:instrText>
      </w:r>
      <w:r>
        <w:rPr>
          <w:noProof/>
          <w:webHidden/>
        </w:rPr>
        <w:fldChar w:fldCharType="separate"/>
      </w:r>
      <w:r>
        <w:rPr>
          <w:noProof/>
          <w:webHidden/>
        </w:rPr>
        <w:t>22</w:t>
      </w:r>
      <w:r>
        <w:rPr>
          <w:noProof/>
          <w:webHidden/>
        </w:rPr>
        <w:fldChar w:fldCharType="end"/>
      </w:r>
      <w:r>
        <w:rPr/>
        <w:fldChar w:fldCharType="end"/>
      </w:r>
    </w:p>
    <w:p>
      <w:pPr>
        <w:pStyle w:val="style20"/>
        <w:tabs>
          <w:tab w:val="right" w:leader="dot" w:pos="9016"/>
        </w:tabs>
        <w:rPr>
          <w:noProof/>
        </w:rPr>
      </w:pPr>
      <w:r>
        <w:rPr/>
        <w:fldChar w:fldCharType="begin"/>
      </w:r>
      <w:r>
        <w:instrText xml:space="preserve"> HYPERLINK \l "_Toc228221225" </w:instrText>
      </w:r>
      <w:r>
        <w:rPr/>
        <w:fldChar w:fldCharType="separate"/>
      </w:r>
      <w:r>
        <w:rPr>
          <w:rStyle w:val="style85"/>
          <w:noProof/>
        </w:rPr>
        <w:t>9. Recommendations</w:t>
      </w:r>
      <w:r>
        <w:rPr>
          <w:noProof/>
          <w:webHidden/>
        </w:rPr>
        <w:tab/>
      </w:r>
      <w:r>
        <w:rPr>
          <w:noProof/>
          <w:webHidden/>
        </w:rPr>
        <w:fldChar w:fldCharType="begin"/>
      </w:r>
      <w:r>
        <w:rPr>
          <w:noProof/>
          <w:webHidden/>
        </w:rPr>
        <w:instrText xml:space="preserve"> PAGEREF _Toc228221225 \h </w:instrText>
      </w:r>
      <w:r>
        <w:rPr>
          <w:noProof/>
          <w:webHidden/>
        </w:rPr>
        <w:fldChar w:fldCharType="separate"/>
      </w:r>
      <w:r>
        <w:rPr>
          <w:noProof/>
          <w:webHidden/>
        </w:rPr>
        <w:t>22</w:t>
      </w:r>
      <w:r>
        <w:rPr>
          <w:noProof/>
          <w:webHidden/>
        </w:rPr>
        <w:fldChar w:fldCharType="end"/>
      </w:r>
      <w:r>
        <w:rPr/>
        <w:fldChar w:fldCharType="end"/>
      </w:r>
    </w:p>
    <w:p>
      <w:pPr>
        <w:pStyle w:val="style20"/>
        <w:tabs>
          <w:tab w:val="right" w:leader="dot" w:pos="9016"/>
        </w:tabs>
        <w:rPr>
          <w:noProof/>
        </w:rPr>
      </w:pPr>
      <w:r>
        <w:rPr/>
        <w:fldChar w:fldCharType="begin"/>
      </w:r>
      <w:r>
        <w:instrText xml:space="preserve"> HYPERLINK \l "_Toc228221226" </w:instrText>
      </w:r>
      <w:r>
        <w:rPr/>
        <w:fldChar w:fldCharType="separate"/>
      </w:r>
      <w:r>
        <w:rPr>
          <w:rStyle w:val="style85"/>
          <w:noProof/>
        </w:rPr>
        <w:t>10. Conclusion</w:t>
      </w:r>
      <w:r>
        <w:rPr>
          <w:noProof/>
          <w:webHidden/>
        </w:rPr>
        <w:tab/>
      </w:r>
      <w:r>
        <w:rPr>
          <w:noProof/>
          <w:webHidden/>
        </w:rPr>
        <w:fldChar w:fldCharType="begin"/>
      </w:r>
      <w:r>
        <w:rPr>
          <w:noProof/>
          <w:webHidden/>
        </w:rPr>
        <w:instrText xml:space="preserve"> PAGEREF _Toc228221226 \h </w:instrText>
      </w:r>
      <w:r>
        <w:rPr>
          <w:noProof/>
          <w:webHidden/>
        </w:rPr>
        <w:fldChar w:fldCharType="separate"/>
      </w:r>
      <w:r>
        <w:rPr>
          <w:noProof/>
          <w:webHidden/>
        </w:rPr>
        <w:t>23</w:t>
      </w:r>
      <w:r>
        <w:rPr>
          <w:noProof/>
          <w:webHidden/>
        </w:rPr>
        <w:fldChar w:fldCharType="end"/>
      </w:r>
      <w:r>
        <w:rPr/>
        <w:fldChar w:fldCharType="end"/>
      </w:r>
    </w:p>
    <w:p>
      <w:pPr>
        <w:pStyle w:val="style19"/>
        <w:tabs>
          <w:tab w:val="right" w:leader="dot" w:pos="9016"/>
        </w:tabs>
        <w:rPr>
          <w:rFonts w:ascii="Aptos" w:eastAsia="宋体" w:hAnsi="Aptos"/>
          <w:noProof/>
          <w:lang w:eastAsia="en-IN"/>
        </w:rPr>
      </w:pPr>
      <w:r>
        <w:rPr/>
        <w:fldChar w:fldCharType="begin"/>
      </w:r>
      <w:r>
        <w:instrText xml:space="preserve"> HYPERLINK \l "_Toc228221227" </w:instrText>
      </w:r>
      <w:r>
        <w:rPr/>
        <w:fldChar w:fldCharType="separate"/>
      </w:r>
      <w:r>
        <w:rPr>
          <w:rStyle w:val="style85"/>
          <w:noProof/>
        </w:rPr>
        <w:t>References</w:t>
      </w:r>
      <w:r>
        <w:rPr>
          <w:noProof/>
          <w:webHidden/>
        </w:rPr>
        <w:tab/>
      </w:r>
      <w:r>
        <w:rPr>
          <w:noProof/>
          <w:webHidden/>
        </w:rPr>
        <w:fldChar w:fldCharType="begin"/>
      </w:r>
      <w:r>
        <w:rPr>
          <w:noProof/>
          <w:webHidden/>
        </w:rPr>
        <w:instrText xml:space="preserve"> PAGEREF _Toc228221227 \h </w:instrText>
      </w:r>
      <w:r>
        <w:rPr>
          <w:noProof/>
          <w:webHidden/>
        </w:rPr>
        <w:fldChar w:fldCharType="separate"/>
      </w:r>
      <w:r>
        <w:rPr>
          <w:noProof/>
          <w:webHidden/>
        </w:rPr>
        <w:t>25</w:t>
      </w:r>
      <w:r>
        <w:rPr>
          <w:noProof/>
          <w:webHidden/>
        </w:rPr>
        <w:fldChar w:fldCharType="end"/>
      </w:r>
      <w:r>
        <w:rPr/>
        <w:fldChar w:fldCharType="end"/>
      </w:r>
    </w:p>
    <w:p>
      <w:pPr>
        <w:pStyle w:val="style0"/>
        <w:rPr>
          <w:b/>
          <w:bCs/>
          <w:noProof/>
        </w:rPr>
      </w:pPr>
      <w:r>
        <w:rPr>
          <w:b/>
          <w:bCs/>
          <w:noProof/>
        </w:rPr>
        <w:fldChar w:fldCharType="end"/>
      </w:r>
    </w:p>
    <w:p>
      <w:pPr>
        <w:pStyle w:val="style0"/>
        <w:rPr/>
      </w:pPr>
      <w:r>
        <w:br w:type="page"/>
      </w:r>
    </w:p>
    <w:bookmarkStart w:id="1" w:name="_Toc228221200"/>
    <w:p>
      <w:pPr>
        <w:pStyle w:val="style1"/>
        <w:rPr/>
      </w:pPr>
      <w:r>
        <w:t xml:space="preserve">Task 1: </w:t>
      </w:r>
      <w:r>
        <w:t>Strategic Threat Analysis</w:t>
      </w:r>
      <w:bookmarkEnd w:id="1"/>
    </w:p>
    <w:bookmarkStart w:id="2" w:name="_Toc228221201"/>
    <w:p>
      <w:pPr>
        <w:pStyle w:val="style2"/>
        <w:rPr/>
      </w:pPr>
      <w:r>
        <w:t>1. Abstract</w:t>
      </w:r>
      <w:bookmarkEnd w:id="2"/>
    </w:p>
    <w:p>
      <w:pPr>
        <w:pStyle w:val="style0"/>
        <w:rPr/>
      </w:pPr>
      <w:r>
        <w:t xml:space="preserve">This report presents a strategic analysis of the </w:t>
      </w:r>
      <w:r>
        <w:t>cyber attacks</w:t>
      </w:r>
      <w:r>
        <w:t xml:space="preserve"> that hit Marks and Spencer and the Co-operative Group in the United Kingdom and discusses the attacks in a wider context of a threat environment that targets the retail industry. The discussion is based on the detection of the main phases of the attack lifecycle, such as initial access, exploitation, lateral movement, and response. The main results are that the events were facilitated by a mixture of technical vulnerabilities, lack of security controls, and human vulnerabilities, specifically the credential management and access control practices. The attacks indicate that contemporary threat agents take advantage of inter-dependence among systems and organisations to achieve the best effects. The report also indicates huge gaps in detection and response such as slow detection and insufficient monitoring systems. To increase the organisational resilience, strategic suggestions are made, such as adopting the principles of zero trust, better threat detection, more robust authentication, and better incident response plans </w:t>
      </w:r>
      <w:r>
        <w:t>in order to</w:t>
      </w:r>
      <w:r>
        <w:t xml:space="preserve"> reduce the occurrence of such threats in the future</w:t>
      </w:r>
      <w:r>
        <w:t>.</w:t>
      </w:r>
    </w:p>
    <w:bookmarkStart w:id="3" w:name="_Toc228221202"/>
    <w:p>
      <w:pPr>
        <w:pStyle w:val="style2"/>
        <w:rPr/>
      </w:pPr>
      <w:r>
        <w:t>2. Introduction</w:t>
      </w:r>
      <w:bookmarkEnd w:id="3"/>
    </w:p>
    <w:p>
      <w:pPr>
        <w:pStyle w:val="style0"/>
        <w:rPr/>
      </w:pPr>
      <w:r>
        <w:t xml:space="preserve">The cybersecurity risks in the retail industry have also escalated enormously with the rise in the use of digital platforms, interdependent supply chains and massive amounts of sensitive customer information. Cyber attackers are particularly interested in retail organisations </w:t>
      </w:r>
      <w:r>
        <w:t>due to the fact that</w:t>
      </w:r>
      <w:r>
        <w:t xml:space="preserve"> they handle financial transactions, personal details and operational systems that are vital to business continuity. Consequently, </w:t>
      </w:r>
      <w:r>
        <w:t>cyber attacks</w:t>
      </w:r>
      <w:r>
        <w:t xml:space="preserve"> targeting large retail organisations offer significant lessons on the novel attack strategies and organisational weaknesses. The Marks and Spencer and Co-operative Group </w:t>
      </w:r>
      <w:r>
        <w:t>cyber attacks</w:t>
      </w:r>
      <w:r>
        <w:t xml:space="preserve"> are important examples of the modern cyberattacks that target large-scale retail facilities. Such incidences underscore the vulnerability of both the technical infrastructure and the organisational processes to allow attackers to gain access, escalate privileges and disrupt operations. The study of such incidents is a good chance to study the behaviour of the attackers, determine the systematic vulnerabilities of the system, and test the efficiency of the current security measures.</w:t>
      </w:r>
      <w:r>
        <w:t xml:space="preserve"> </w:t>
      </w:r>
      <w:r>
        <w:t>This report aims to offer a detailed analysis of the incidents, analysing the timeline of the attacks, the techniques used by the attackers (mapped to known frameworks) and causes and impacts of the attacks. It includes technical, organisational and human aspects, and provides a holistic assessment of the incidents and their impact</w:t>
      </w:r>
      <w:r>
        <w:t>.</w:t>
      </w:r>
    </w:p>
    <w:bookmarkStart w:id="4" w:name="_Toc228221203"/>
    <w:p>
      <w:pPr>
        <w:pStyle w:val="style2"/>
        <w:rPr/>
      </w:pPr>
      <w:r>
        <w:t>3. Incident Summary &amp; Timeline</w:t>
      </w:r>
      <w:bookmarkEnd w:id="4"/>
    </w:p>
    <w:p>
      <w:pPr>
        <w:pStyle w:val="style0"/>
        <w:rPr/>
      </w:pPr>
      <w:r>
        <w:t xml:space="preserve">The </w:t>
      </w:r>
      <w:r>
        <w:t>cyber attacks</w:t>
      </w:r>
      <w:r>
        <w:t xml:space="preserve"> against Marks and Spencer and the Co-operative Group can be conceptualized as being multi-layered attacks on the critical retail infrastructure. Both organisations suffered disruption to their operations, which means attackers could access the initial access, lateral movement in networks, and affect fundamental business systems. The attacks are part of a wider pattern of organised campaigns against large retail organisations, where attackers take advantage of system dependencies and interconnected systems to cause as much disruption as possible and potentially financial benefit. The chronology of the incidents starts with the first compromise, which is assumed to have been done by exploiting external-facing systems or by compromised credentials.</w:t>
      </w:r>
      <w:r>
        <w:t xml:space="preserve"> </w:t>
      </w:r>
      <w:r>
        <w:t>The attackers likely conducted reconnaissance to identify valuable assets and systems on the network (</w:t>
      </w:r>
      <w:r>
        <w:t>Mugari</w:t>
      </w:r>
      <w:r>
        <w:t xml:space="preserve"> et al., 2025). This was followed by privilege escalation and lateral movement, enabling them to access multiple systems</w:t>
      </w:r>
      <w:r>
        <w:t>.</w:t>
      </w:r>
    </w:p>
    <w:p>
      <w:pPr>
        <w:pStyle w:val="style0"/>
        <w:jc w:val="center"/>
        <w:rPr/>
      </w:pPr>
      <w:r>
        <w:rPr>
          <w:noProof/>
        </w:rPr>
        <w:drawing>
          <wp:inline distL="0" distT="0" distB="0" distR="0">
            <wp:extent cx="5391150" cy="2052890"/>
            <wp:effectExtent l="76200" t="76200" r="133350" b="138430"/>
            <wp:docPr id="1026" name="Picture 2"/>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3" cstate="print"/>
                    <a:srcRect l="0" t="0" r="0" b="0"/>
                    <a:stretch/>
                  </pic:blipFill>
                  <pic:spPr>
                    <a:xfrm rot="0">
                      <a:off x="0" y="0"/>
                      <a:ext cx="5391150" cy="2052890"/>
                    </a:xfrm>
                    <a:prstGeom prst="rect"/>
                    <a:ln cmpd="sng" cap="sq" w="38100">
                      <a:solidFill>
                        <a:srgbClr val="000000"/>
                      </a:solidFill>
                      <a:prstDash val="solid"/>
                      <a:miter/>
                      <a:headEnd/>
                      <a:tailEnd/>
                    </a:ln>
                    <a:effectLst>
                      <a:outerShdw rotWithShape="false" sx="100000" sy="100000" dist="38100" dir="2700000" blurRad="50800" kx="0" ky="0" algn="tl">
                        <a:srgbClr val="000000">
                          <a:alpha val="43000"/>
                        </a:srgbClr>
                      </a:outerShdw>
                    </a:effectLst>
                  </pic:spPr>
                </pic:pic>
              </a:graphicData>
            </a:graphic>
          </wp:inline>
        </w:drawing>
      </w:r>
    </w:p>
    <w:p>
      <w:pPr>
        <w:pStyle w:val="style0"/>
        <w:jc w:val="center"/>
        <w:rPr>
          <w:b/>
          <w:bCs/>
        </w:rPr>
      </w:pPr>
      <w:r>
        <w:rPr>
          <w:b/>
          <w:bCs/>
        </w:rPr>
        <w:t>Figure 1: Timeline of cyber incident from initial compromise to recovery phase</w:t>
      </w:r>
    </w:p>
    <w:p>
      <w:pPr>
        <w:pStyle w:val="style0"/>
        <w:jc w:val="center"/>
        <w:rPr/>
      </w:pPr>
      <w:r>
        <w:t>(Source: Self-created)</w:t>
      </w:r>
    </w:p>
    <w:p>
      <w:pPr>
        <w:pStyle w:val="style0"/>
        <w:rPr/>
      </w:pPr>
      <w:r>
        <w:t xml:space="preserve">As the attack continued, critical systems were impacted causing service disruption and operational impact. At this point, the organisations identified some unusual activity and began incident response operations. Precautionary measures were also imposed to ensure that no more damage is caused such as isolating systems that are affected </w:t>
      </w:r>
      <w:r>
        <w:t>and also</w:t>
      </w:r>
      <w:r>
        <w:t xml:space="preserve"> restricting access. This was followed by public disclosure and both organisations admitted the incidents and started recuperation. </w:t>
      </w:r>
      <w:r>
        <w:t xml:space="preserve">The final stage was the recovery, which involved restoring systems, patching vulnerabilities and improving security. Despite these measures, the attacks make it clear that organisations are falling behind detecting and responding to advanced </w:t>
      </w:r>
      <w:r>
        <w:t>cyber attacks</w:t>
      </w:r>
      <w:r>
        <w:t xml:space="preserve"> timely </w:t>
      </w:r>
      <w:r>
        <w:t>(</w:t>
      </w:r>
      <w:r>
        <w:t>Lehto</w:t>
      </w:r>
      <w:r>
        <w:t>, 2022). The events reveal that threat actors can operate in multiple stages in the attack lifecycle before they are detected, and thus, it is important to take proactive security measures and monitor them. Also, these incidents show the evolution of threat actors that demonstrate the need for integrated threat intelligence, increased network visibility and proactive security measures to detect and respond to new threats</w:t>
      </w:r>
      <w:r>
        <w:t>.</w:t>
      </w:r>
    </w:p>
    <w:bookmarkStart w:id="5" w:name="_Toc228221204"/>
    <w:p>
      <w:pPr>
        <w:pStyle w:val="style2"/>
        <w:rPr/>
      </w:pPr>
      <w:r>
        <w:t>4. Adversary TTP Mapping (MITRE ATT&amp;CK)</w:t>
      </w:r>
      <w:bookmarkEnd w:id="5"/>
    </w:p>
    <w:tbl>
      <w:tblPr>
        <w:tblStyle w:val="style154"/>
        <w:tblW w:w="0" w:type="auto"/>
        <w:tblLook w:val="04A0" w:firstRow="1" w:lastRow="0" w:firstColumn="1" w:lastColumn="0" w:noHBand="0" w:noVBand="1"/>
      </w:tblPr>
      <w:tblGrid>
        <w:gridCol w:w="1580"/>
        <w:gridCol w:w="1363"/>
        <w:gridCol w:w="3381"/>
        <w:gridCol w:w="2701"/>
      </w:tblGrid>
      <w:tr>
        <w:trPr/>
        <w:tc>
          <w:tcPr>
            <w:tcW w:w="0" w:type="auto"/>
            <w:tcBorders/>
            <w:hideMark/>
          </w:tcPr>
          <w:p>
            <w:pPr>
              <w:pStyle w:val="style0"/>
              <w:spacing w:after="160"/>
              <w:rPr>
                <w:b/>
                <w:bCs/>
              </w:rPr>
            </w:pPr>
            <w:r>
              <w:rPr>
                <w:b/>
                <w:bCs/>
              </w:rPr>
              <w:t>Technique</w:t>
            </w:r>
          </w:p>
        </w:tc>
        <w:tc>
          <w:tcPr>
            <w:tcW w:w="0" w:type="auto"/>
            <w:tcBorders/>
            <w:hideMark/>
          </w:tcPr>
          <w:p>
            <w:pPr>
              <w:pStyle w:val="style0"/>
              <w:spacing w:after="160"/>
              <w:rPr>
                <w:b/>
                <w:bCs/>
              </w:rPr>
            </w:pPr>
            <w:r>
              <w:rPr>
                <w:b/>
                <w:bCs/>
              </w:rPr>
              <w:t>ID</w:t>
            </w:r>
          </w:p>
        </w:tc>
        <w:tc>
          <w:tcPr>
            <w:tcW w:w="0" w:type="auto"/>
            <w:tcBorders/>
            <w:hideMark/>
          </w:tcPr>
          <w:p>
            <w:pPr>
              <w:pStyle w:val="style0"/>
              <w:spacing w:after="160"/>
              <w:rPr>
                <w:b/>
                <w:bCs/>
              </w:rPr>
            </w:pPr>
            <w:r>
              <w:rPr>
                <w:b/>
                <w:bCs/>
              </w:rPr>
              <w:t>Explanation</w:t>
            </w:r>
          </w:p>
        </w:tc>
        <w:tc>
          <w:tcPr>
            <w:tcW w:w="0" w:type="auto"/>
            <w:tcBorders/>
            <w:hideMark/>
          </w:tcPr>
          <w:p>
            <w:pPr>
              <w:pStyle w:val="style0"/>
              <w:spacing w:after="160"/>
              <w:rPr>
                <w:b/>
                <w:bCs/>
              </w:rPr>
            </w:pPr>
            <w:r>
              <w:rPr>
                <w:b/>
                <w:bCs/>
              </w:rPr>
              <w:t>Evidence</w:t>
            </w:r>
          </w:p>
        </w:tc>
      </w:tr>
      <w:tr>
        <w:tblPrEx/>
        <w:trPr/>
        <w:tc>
          <w:tcPr>
            <w:tcW w:w="0" w:type="auto"/>
            <w:tcBorders/>
            <w:hideMark/>
          </w:tcPr>
          <w:p>
            <w:pPr>
              <w:pStyle w:val="style0"/>
              <w:spacing w:after="160"/>
              <w:rPr/>
            </w:pPr>
            <w:r>
              <w:t>Active Scanning</w:t>
            </w:r>
          </w:p>
        </w:tc>
        <w:tc>
          <w:tcPr>
            <w:tcW w:w="0" w:type="auto"/>
            <w:tcBorders/>
            <w:hideMark/>
          </w:tcPr>
          <w:p>
            <w:pPr>
              <w:pStyle w:val="style0"/>
              <w:spacing w:after="160"/>
              <w:rPr/>
            </w:pPr>
            <w:r>
              <w:t>T1595</w:t>
            </w:r>
          </w:p>
        </w:tc>
        <w:tc>
          <w:tcPr>
            <w:tcW w:w="0" w:type="auto"/>
            <w:tcBorders/>
            <w:hideMark/>
          </w:tcPr>
          <w:p>
            <w:pPr>
              <w:pStyle w:val="style0"/>
              <w:spacing w:after="160"/>
              <w:rPr/>
            </w:pPr>
            <w:r>
              <w:t>Network reconnaissance was conducted by attackers to reveal live systems, open ports and vulnerable services. This step allowed mapping the attack surface and finding where an attack could take place in externally available infrastructure.</w:t>
            </w:r>
          </w:p>
        </w:tc>
        <w:tc>
          <w:tcPr>
            <w:tcW w:w="0" w:type="auto"/>
            <w:tcBorders/>
            <w:hideMark/>
          </w:tcPr>
          <w:p>
            <w:pPr>
              <w:pStyle w:val="style0"/>
              <w:spacing w:after="160"/>
              <w:rPr/>
            </w:pPr>
            <w:r>
              <w:t>The presence of reconnaissance was signified by unusual scan patterns and probing of external facing services before exploitation</w:t>
            </w:r>
            <w:r>
              <w:t>.</w:t>
            </w:r>
          </w:p>
        </w:tc>
      </w:tr>
      <w:tr>
        <w:tblPrEx/>
        <w:trPr/>
        <w:tc>
          <w:tcPr>
            <w:tcW w:w="0" w:type="auto"/>
            <w:tcBorders/>
            <w:hideMark/>
          </w:tcPr>
          <w:p>
            <w:pPr>
              <w:pStyle w:val="style0"/>
              <w:spacing w:after="160"/>
              <w:rPr/>
            </w:pPr>
            <w:r>
              <w:t>Exploit Public-Facing Application</w:t>
            </w:r>
          </w:p>
        </w:tc>
        <w:tc>
          <w:tcPr>
            <w:tcW w:w="0" w:type="auto"/>
            <w:tcBorders/>
            <w:hideMark/>
          </w:tcPr>
          <w:p>
            <w:pPr>
              <w:pStyle w:val="style0"/>
              <w:spacing w:after="160"/>
              <w:rPr/>
            </w:pPr>
            <w:r>
              <w:t>T1190</w:t>
            </w:r>
          </w:p>
        </w:tc>
        <w:tc>
          <w:tcPr>
            <w:tcW w:w="0" w:type="auto"/>
            <w:tcBorders/>
            <w:hideMark/>
          </w:tcPr>
          <w:p>
            <w:pPr>
              <w:pStyle w:val="style0"/>
              <w:spacing w:after="160"/>
              <w:rPr/>
            </w:pPr>
            <w:r>
              <w:t>The first access may have been gained through vulnerabilities in applications facing the internet, wherein the attackers could circumvent the perimeter security and access internal systems</w:t>
            </w:r>
            <w:r>
              <w:t>.</w:t>
            </w:r>
          </w:p>
        </w:tc>
        <w:tc>
          <w:tcPr>
            <w:tcW w:w="0" w:type="auto"/>
            <w:tcBorders/>
            <w:hideMark/>
          </w:tcPr>
          <w:p>
            <w:pPr>
              <w:pStyle w:val="style0"/>
              <w:spacing w:after="160"/>
              <w:rPr/>
            </w:pPr>
            <w:r>
              <w:t>Web based services disruption implies vulnerability through external applications</w:t>
            </w:r>
            <w:r>
              <w:t>.</w:t>
            </w:r>
          </w:p>
        </w:tc>
      </w:tr>
      <w:tr>
        <w:tblPrEx/>
        <w:trPr/>
        <w:tc>
          <w:tcPr>
            <w:tcW w:w="0" w:type="auto"/>
            <w:tcBorders/>
            <w:hideMark/>
          </w:tcPr>
          <w:p>
            <w:pPr>
              <w:pStyle w:val="style0"/>
              <w:spacing w:after="160"/>
              <w:rPr/>
            </w:pPr>
            <w:r>
              <w:t>Command and Scripting Interpreter</w:t>
            </w:r>
          </w:p>
        </w:tc>
        <w:tc>
          <w:tcPr>
            <w:tcW w:w="0" w:type="auto"/>
            <w:tcBorders/>
            <w:hideMark/>
          </w:tcPr>
          <w:p>
            <w:pPr>
              <w:pStyle w:val="style0"/>
              <w:spacing w:after="160"/>
              <w:rPr/>
            </w:pPr>
            <w:r>
              <w:t>T1059</w:t>
            </w:r>
          </w:p>
        </w:tc>
        <w:tc>
          <w:tcPr>
            <w:tcW w:w="0" w:type="auto"/>
            <w:tcBorders/>
            <w:hideMark/>
          </w:tcPr>
          <w:p>
            <w:pPr>
              <w:pStyle w:val="style0"/>
              <w:spacing w:after="160"/>
              <w:rPr/>
            </w:pPr>
            <w:r>
              <w:t>The attackers issued commands on the compromised systems to dominate the operation, install tools, and manipulate system behaviour so that they could proceed further in the environment.</w:t>
            </w:r>
          </w:p>
        </w:tc>
        <w:tc>
          <w:tcPr>
            <w:tcW w:w="0" w:type="auto"/>
            <w:tcBorders/>
            <w:hideMark/>
          </w:tcPr>
          <w:p>
            <w:pPr>
              <w:pStyle w:val="style0"/>
              <w:spacing w:after="160"/>
              <w:rPr/>
            </w:pPr>
            <w:r>
              <w:t xml:space="preserve">The fact that there </w:t>
            </w:r>
            <w:r>
              <w:t>was</w:t>
            </w:r>
            <w:r>
              <w:t xml:space="preserve"> signs of unauthorized execution of commands was shown by abnormal systems processes and logs of activities.</w:t>
            </w:r>
          </w:p>
        </w:tc>
      </w:tr>
      <w:tr>
        <w:tblPrEx/>
        <w:trPr/>
        <w:tc>
          <w:tcPr>
            <w:tcW w:w="0" w:type="auto"/>
            <w:tcBorders/>
            <w:hideMark/>
          </w:tcPr>
          <w:p>
            <w:pPr>
              <w:pStyle w:val="style0"/>
              <w:spacing w:after="160"/>
              <w:rPr/>
            </w:pPr>
            <w:r>
              <w:t>Valid Accounts</w:t>
            </w:r>
          </w:p>
        </w:tc>
        <w:tc>
          <w:tcPr>
            <w:tcW w:w="0" w:type="auto"/>
            <w:tcBorders/>
            <w:hideMark/>
          </w:tcPr>
          <w:p>
            <w:pPr>
              <w:pStyle w:val="style0"/>
              <w:spacing w:after="160"/>
              <w:rPr/>
            </w:pPr>
            <w:r>
              <w:t>T1078</w:t>
            </w:r>
          </w:p>
        </w:tc>
        <w:tc>
          <w:tcPr>
            <w:tcW w:w="0" w:type="auto"/>
            <w:tcBorders/>
            <w:hideMark/>
          </w:tcPr>
          <w:p>
            <w:pPr>
              <w:pStyle w:val="style0"/>
              <w:spacing w:after="160"/>
              <w:rPr/>
            </w:pPr>
            <w:r>
              <w:t xml:space="preserve">Hacked or recycled credentials were used to obtain legitimate access to systems and enable </w:t>
            </w:r>
            <w:r>
              <w:t>attackers to move without causing immediate suspicion (Naik et al., 2022).</w:t>
            </w:r>
          </w:p>
        </w:tc>
        <w:tc>
          <w:tcPr>
            <w:tcW w:w="0" w:type="auto"/>
            <w:tcBorders/>
            <w:hideMark/>
          </w:tcPr>
          <w:p>
            <w:pPr>
              <w:pStyle w:val="style0"/>
              <w:spacing w:after="160"/>
              <w:rPr/>
            </w:pPr>
            <w:r>
              <w:t xml:space="preserve">Signs of the legitimate account misuse were </w:t>
            </w:r>
            <w:r>
              <w:t>identified in the cases of unauthorized access.</w:t>
            </w:r>
          </w:p>
        </w:tc>
      </w:tr>
      <w:tr>
        <w:tblPrEx/>
        <w:trPr/>
        <w:tc>
          <w:tcPr>
            <w:tcW w:w="0" w:type="auto"/>
            <w:tcBorders/>
            <w:hideMark/>
          </w:tcPr>
          <w:p>
            <w:pPr>
              <w:pStyle w:val="style0"/>
              <w:spacing w:after="160"/>
              <w:rPr/>
            </w:pPr>
            <w:r>
              <w:t>Credentials in Files</w:t>
            </w:r>
          </w:p>
        </w:tc>
        <w:tc>
          <w:tcPr>
            <w:tcW w:w="0" w:type="auto"/>
            <w:tcBorders/>
            <w:hideMark/>
          </w:tcPr>
          <w:p>
            <w:pPr>
              <w:pStyle w:val="style0"/>
              <w:spacing w:after="160"/>
              <w:rPr/>
            </w:pPr>
            <w:r>
              <w:t>T1552</w:t>
            </w:r>
          </w:p>
        </w:tc>
        <w:tc>
          <w:tcPr>
            <w:tcW w:w="0" w:type="auto"/>
            <w:tcBorders/>
            <w:hideMark/>
          </w:tcPr>
          <w:p>
            <w:pPr>
              <w:pStyle w:val="style0"/>
              <w:spacing w:after="160"/>
              <w:rPr/>
            </w:pPr>
            <w:r>
              <w:t>Configuration files or systems stored sensitive credentials that were accessed and extracted giving attackers more access capabilities across environments.</w:t>
            </w:r>
          </w:p>
        </w:tc>
        <w:tc>
          <w:tcPr>
            <w:tcW w:w="0" w:type="auto"/>
            <w:tcBorders/>
            <w:hideMark/>
          </w:tcPr>
          <w:p>
            <w:pPr>
              <w:pStyle w:val="style0"/>
              <w:spacing w:after="160"/>
              <w:rPr/>
            </w:pPr>
            <w:r>
              <w:t>Existence of unsecured credentials in application or system files allowed further compromise.</w:t>
            </w:r>
          </w:p>
        </w:tc>
      </w:tr>
      <w:tr>
        <w:tblPrEx/>
        <w:trPr/>
        <w:tc>
          <w:tcPr>
            <w:tcW w:w="0" w:type="auto"/>
            <w:tcBorders/>
            <w:hideMark/>
          </w:tcPr>
          <w:p>
            <w:pPr>
              <w:pStyle w:val="style0"/>
              <w:spacing w:after="160"/>
              <w:rPr/>
            </w:pPr>
            <w:r>
              <w:t>Remote Services (SMB)</w:t>
            </w:r>
          </w:p>
        </w:tc>
        <w:tc>
          <w:tcPr>
            <w:tcW w:w="0" w:type="auto"/>
            <w:tcBorders/>
            <w:hideMark/>
          </w:tcPr>
          <w:p>
            <w:pPr>
              <w:pStyle w:val="style0"/>
              <w:spacing w:after="160"/>
              <w:rPr/>
            </w:pPr>
            <w:r>
              <w:t>T1021.002</w:t>
            </w:r>
          </w:p>
        </w:tc>
        <w:tc>
          <w:tcPr>
            <w:tcW w:w="0" w:type="auto"/>
            <w:tcBorders/>
            <w:hideMark/>
          </w:tcPr>
          <w:p>
            <w:pPr>
              <w:pStyle w:val="style0"/>
              <w:spacing w:after="160"/>
              <w:rPr/>
            </w:pPr>
            <w:r>
              <w:t>Network services like SMB were used by attackers to traverse systems laterally, accessing shared resources and gaining more control over the network.</w:t>
            </w:r>
          </w:p>
        </w:tc>
        <w:tc>
          <w:tcPr>
            <w:tcW w:w="0" w:type="auto"/>
            <w:tcBorders/>
            <w:hideMark/>
          </w:tcPr>
          <w:p>
            <w:pPr>
              <w:pStyle w:val="style0"/>
              <w:spacing w:after="160"/>
              <w:rPr/>
            </w:pPr>
            <w:r>
              <w:t>Lateral movement was shown by access to shared directories and internal systems using SMB.</w:t>
            </w:r>
          </w:p>
        </w:tc>
      </w:tr>
      <w:tr>
        <w:tblPrEx/>
        <w:trPr/>
        <w:tc>
          <w:tcPr>
            <w:tcW w:w="0" w:type="auto"/>
            <w:tcBorders/>
            <w:hideMark/>
          </w:tcPr>
          <w:p>
            <w:pPr>
              <w:pStyle w:val="style0"/>
              <w:spacing w:after="160"/>
              <w:rPr/>
            </w:pPr>
            <w:r>
              <w:t>File and Directory Discovery</w:t>
            </w:r>
          </w:p>
        </w:tc>
        <w:tc>
          <w:tcPr>
            <w:tcW w:w="0" w:type="auto"/>
            <w:tcBorders/>
            <w:hideMark/>
          </w:tcPr>
          <w:p>
            <w:pPr>
              <w:pStyle w:val="style0"/>
              <w:spacing w:after="160"/>
              <w:rPr/>
            </w:pPr>
            <w:r>
              <w:t>T1083</w:t>
            </w:r>
          </w:p>
        </w:tc>
        <w:tc>
          <w:tcPr>
            <w:tcW w:w="0" w:type="auto"/>
            <w:tcBorders/>
            <w:hideMark/>
          </w:tcPr>
          <w:p>
            <w:pPr>
              <w:pStyle w:val="style0"/>
              <w:spacing w:after="160"/>
              <w:rPr/>
            </w:pPr>
            <w:r>
              <w:t>The internal reconnaissance was performed to determine valuable files, directories, and data sources that may be targeted to be exfiltrated or exploited further.</w:t>
            </w:r>
          </w:p>
        </w:tc>
        <w:tc>
          <w:tcPr>
            <w:tcW w:w="0" w:type="auto"/>
            <w:tcBorders/>
            <w:hideMark/>
          </w:tcPr>
          <w:p>
            <w:pPr>
              <w:pStyle w:val="style0"/>
              <w:spacing w:after="160"/>
              <w:rPr/>
            </w:pPr>
            <w:r>
              <w:t>Listing of system directory and sensitive data location were noticeable in the attack.</w:t>
            </w:r>
          </w:p>
        </w:tc>
      </w:tr>
      <w:tr>
        <w:tblPrEx/>
        <w:trPr/>
        <w:tc>
          <w:tcPr>
            <w:tcW w:w="0" w:type="auto"/>
            <w:tcBorders/>
            <w:hideMark/>
          </w:tcPr>
          <w:p>
            <w:pPr>
              <w:pStyle w:val="style0"/>
              <w:spacing w:after="160"/>
              <w:rPr/>
            </w:pPr>
            <w:r>
              <w:t>Data from Local System</w:t>
            </w:r>
          </w:p>
        </w:tc>
        <w:tc>
          <w:tcPr>
            <w:tcW w:w="0" w:type="auto"/>
            <w:tcBorders/>
            <w:hideMark/>
          </w:tcPr>
          <w:p>
            <w:pPr>
              <w:pStyle w:val="style0"/>
              <w:spacing w:after="160"/>
              <w:rPr/>
            </w:pPr>
            <w:r>
              <w:t>T1005</w:t>
            </w:r>
          </w:p>
        </w:tc>
        <w:tc>
          <w:tcPr>
            <w:tcW w:w="0" w:type="auto"/>
            <w:tcBorders/>
            <w:hideMark/>
          </w:tcPr>
          <w:p>
            <w:pPr>
              <w:pStyle w:val="style0"/>
              <w:spacing w:after="160"/>
              <w:rPr/>
            </w:pPr>
            <w:r>
              <w:t>Attackers accessed and harvested sensitive information on the breached systems as part of their mission to steal valuable information.</w:t>
            </w:r>
          </w:p>
        </w:tc>
        <w:tc>
          <w:tcPr>
            <w:tcW w:w="0" w:type="auto"/>
            <w:tcBorders/>
            <w:hideMark/>
          </w:tcPr>
          <w:p>
            <w:pPr>
              <w:pStyle w:val="style0"/>
              <w:spacing w:after="160"/>
              <w:rPr/>
            </w:pPr>
            <w:r>
              <w:t>Availability of customer and operational data is a sign of successful data-collection activities.</w:t>
            </w:r>
          </w:p>
        </w:tc>
      </w:tr>
      <w:tr>
        <w:tblPrEx/>
        <w:trPr/>
        <w:tc>
          <w:tcPr>
            <w:tcW w:w="0" w:type="auto"/>
            <w:tcBorders/>
            <w:hideMark/>
          </w:tcPr>
          <w:p>
            <w:pPr>
              <w:pStyle w:val="style0"/>
              <w:spacing w:after="160"/>
              <w:rPr/>
            </w:pPr>
            <w:r>
              <w:t>Exfiltration Over C2 Channel</w:t>
            </w:r>
          </w:p>
        </w:tc>
        <w:tc>
          <w:tcPr>
            <w:tcW w:w="0" w:type="auto"/>
            <w:tcBorders/>
            <w:hideMark/>
          </w:tcPr>
          <w:p>
            <w:pPr>
              <w:pStyle w:val="style0"/>
              <w:spacing w:after="160"/>
              <w:rPr/>
            </w:pPr>
            <w:r>
              <w:t>T1041</w:t>
            </w:r>
          </w:p>
        </w:tc>
        <w:tc>
          <w:tcPr>
            <w:tcW w:w="0" w:type="auto"/>
            <w:tcBorders/>
            <w:hideMark/>
          </w:tcPr>
          <w:p>
            <w:pPr>
              <w:pStyle w:val="style0"/>
              <w:spacing w:after="160"/>
              <w:rPr/>
            </w:pPr>
            <w:r>
              <w:t>The information on hacked systems was copied to an infrastructure controlled by attackers, which allowed retrieving sensitive data without being noticed on time (Al-Sada et al., 2024).</w:t>
            </w:r>
          </w:p>
        </w:tc>
        <w:tc>
          <w:tcPr>
            <w:tcW w:w="0" w:type="auto"/>
            <w:tcBorders/>
            <w:hideMark/>
          </w:tcPr>
          <w:p>
            <w:pPr>
              <w:pStyle w:val="style0"/>
              <w:spacing w:after="160"/>
              <w:rPr/>
            </w:pPr>
            <w:r>
              <w:t>Data exfiltration indicates success when it moves beyond the organisational boundaries.</w:t>
            </w:r>
          </w:p>
        </w:tc>
      </w:tr>
      <w:tr>
        <w:tblPrEx/>
        <w:trPr/>
        <w:tc>
          <w:tcPr>
            <w:tcW w:w="0" w:type="auto"/>
            <w:tcBorders/>
            <w:hideMark/>
          </w:tcPr>
          <w:p>
            <w:pPr>
              <w:pStyle w:val="style0"/>
              <w:spacing w:after="160"/>
              <w:rPr/>
            </w:pPr>
            <w:r>
              <w:t>Web Shell</w:t>
            </w:r>
          </w:p>
        </w:tc>
        <w:tc>
          <w:tcPr>
            <w:tcW w:w="0" w:type="auto"/>
            <w:tcBorders/>
            <w:hideMark/>
          </w:tcPr>
          <w:p>
            <w:pPr>
              <w:pStyle w:val="style0"/>
              <w:spacing w:after="160"/>
              <w:rPr/>
            </w:pPr>
            <w:r>
              <w:t>T1505.003</w:t>
            </w:r>
          </w:p>
        </w:tc>
        <w:tc>
          <w:tcPr>
            <w:tcW w:w="0" w:type="auto"/>
            <w:tcBorders/>
            <w:hideMark/>
          </w:tcPr>
          <w:p>
            <w:pPr>
              <w:pStyle w:val="style0"/>
              <w:spacing w:after="160"/>
              <w:rPr/>
            </w:pPr>
            <w:r>
              <w:t>Constant access was ensured by means of web-based execution mechanisms, which enabled attackers to execute commands repeatedly on compromised servers.</w:t>
            </w:r>
          </w:p>
        </w:tc>
        <w:tc>
          <w:tcPr>
            <w:tcW w:w="0" w:type="auto"/>
            <w:tcBorders/>
            <w:hideMark/>
          </w:tcPr>
          <w:p>
            <w:pPr>
              <w:pStyle w:val="style0"/>
              <w:spacing w:after="160"/>
              <w:rPr/>
            </w:pPr>
            <w:r>
              <w:t xml:space="preserve">Ability to continue exercising command on affected systems, demonstrates that it persists using </w:t>
            </w:r>
            <w:r>
              <w:t>web based</w:t>
            </w:r>
            <w:r>
              <w:t xml:space="preserve"> access systems.</w:t>
            </w:r>
          </w:p>
        </w:tc>
      </w:tr>
    </w:tbl>
    <w:p>
      <w:pPr>
        <w:pStyle w:val="style0"/>
        <w:jc w:val="center"/>
        <w:rPr/>
      </w:pPr>
    </w:p>
    <w:p>
      <w:pPr>
        <w:pStyle w:val="style0"/>
        <w:jc w:val="center"/>
        <w:rPr/>
      </w:pPr>
      <w:r>
        <w:rPr>
          <w:noProof/>
        </w:rPr>
        <w:drawing>
          <wp:inline distL="0" distT="0" distB="0" distR="0">
            <wp:extent cx="5286375" cy="3144532"/>
            <wp:effectExtent l="76200" t="76200" r="123825" b="132080"/>
            <wp:docPr id="1027" name="Picture 3"/>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3"/>
                    <pic:cNvPicPr/>
                  </pic:nvPicPr>
                  <pic:blipFill>
                    <a:blip r:embed="rId4" cstate="print"/>
                    <a:srcRect l="0" t="0" r="0" b="0"/>
                    <a:stretch/>
                  </pic:blipFill>
                  <pic:spPr>
                    <a:xfrm rot="0">
                      <a:off x="0" y="0"/>
                      <a:ext cx="5286375" cy="3144532"/>
                    </a:xfrm>
                    <a:prstGeom prst="rect"/>
                    <a:ln cmpd="sng" cap="sq" w="38100">
                      <a:solidFill>
                        <a:srgbClr val="000000"/>
                      </a:solidFill>
                      <a:prstDash val="solid"/>
                      <a:miter/>
                      <a:headEnd/>
                      <a:tailEnd/>
                    </a:ln>
                    <a:effectLst>
                      <a:outerShdw rotWithShape="false" sx="100000" sy="100000" dist="38100" dir="2700000" blurRad="50800" kx="0" ky="0" algn="tl">
                        <a:srgbClr val="000000">
                          <a:alpha val="43000"/>
                        </a:srgbClr>
                      </a:outerShdw>
                    </a:effectLst>
                  </pic:spPr>
                </pic:pic>
              </a:graphicData>
            </a:graphic>
          </wp:inline>
        </w:drawing>
      </w:r>
    </w:p>
    <w:p>
      <w:pPr>
        <w:pStyle w:val="style0"/>
        <w:jc w:val="center"/>
        <w:rPr>
          <w:b/>
          <w:bCs/>
        </w:rPr>
      </w:pPr>
      <w:r>
        <w:rPr>
          <w:b/>
          <w:bCs/>
        </w:rPr>
        <w:t xml:space="preserve">Figure </w:t>
      </w:r>
      <w:r>
        <w:rPr>
          <w:b/>
          <w:bCs/>
        </w:rPr>
        <w:t>2</w:t>
      </w:r>
      <w:r>
        <w:rPr>
          <w:b/>
          <w:bCs/>
        </w:rPr>
        <w:t xml:space="preserve">: </w:t>
      </w:r>
      <w:r>
        <w:rPr>
          <w:b/>
          <w:bCs/>
        </w:rPr>
        <w:t>Mapping of adversary techniques to MITRE ATT&amp;CK framework</w:t>
      </w:r>
    </w:p>
    <w:p>
      <w:pPr>
        <w:pStyle w:val="style0"/>
        <w:jc w:val="center"/>
        <w:rPr/>
      </w:pPr>
      <w:r>
        <w:t>(Source: Self-created)</w:t>
      </w:r>
    </w:p>
    <w:bookmarkStart w:id="6" w:name="_Toc228221205"/>
    <w:p>
      <w:pPr>
        <w:pStyle w:val="style2"/>
        <w:rPr/>
      </w:pPr>
      <w:r>
        <w:t>5. Root Cause &amp; Security Control Failures</w:t>
      </w:r>
      <w:bookmarkEnd w:id="6"/>
    </w:p>
    <w:p>
      <w:pPr>
        <w:pStyle w:val="style0"/>
        <w:rPr/>
      </w:pPr>
      <w:r>
        <w:t xml:space="preserve">The </w:t>
      </w:r>
      <w:r>
        <w:t>cyber attacks</w:t>
      </w:r>
      <w:r>
        <w:t xml:space="preserve"> on Marks and Spencer and the Co-operative Group may be referred to as a mixture of technical issues, organisational, and human factors that contributed to the success and development of the attacks. Technically, misconfigurations and unpatched systems contributed to initial access and further exploitation to a large degree. The availability of exposed services, lack of access controls, and insufficient hardening of the system provided attackers with the possibility to detect and exploit the vulnerabilities in the infrastructure (Abdi et al., 2024). Lack of timely patch management also contributed to the expansion of the attack surface whereby threat actors could exploit the known vulnerabilities to their advantage. Such </w:t>
      </w:r>
      <w:r>
        <w:t>technical weaknesses suggest that there is no active vulnerability management and that there is an insufficient compliance with secure configuration standards. The success of the attacks was also due to organisational failures. The lack of strong security policies, in particular access control and monitoring, restricted the organisations capacity to pick up and counter any suspicious activity. Poor network segmentation also enabled attackers to laterally cross systems without much opposition, augmenting the overall effects of the breach (</w:t>
      </w:r>
      <w:r>
        <w:t>Akinbogun</w:t>
      </w:r>
      <w:r>
        <w:t xml:space="preserve"> et al., 2024). Also, the lack of investment in security monitoring and incident response infrastructure delayed the </w:t>
      </w:r>
      <w:r>
        <w:t>detection, and</w:t>
      </w:r>
      <w:r>
        <w:t xml:space="preserve"> allowed attackers to spend a long time in the environment. These problems indicate that there is no strategic alignment between business operations and cybersecurity priorities. Human factors also contributed to the situation, especially with the vulnerability to phishing and social engineering attacks. Employees might have given out access credentials unknowingly or have engaged in malicious content, which aids in initial compromise. This vulnerability was compounded by limited awareness of the users and lack of training enabling attackers to use human behaviour as a point of entry. All these technical, organisational and human vulnerabilities resulted in a multi-layered failure of the security controls, proving that successful cybersecurity practice should be carried out on a multi-layered, integrated basis. Moreover, the absence of constant surveillance and real-time threat detection greatly decreased the possibility of the organisation to detect anomalies in the early phases. Poor logging and the lack of integrated security tools reduced the visibility between systems, and attackers could act unnoticed (</w:t>
      </w:r>
      <w:r>
        <w:t>Ilori</w:t>
      </w:r>
      <w:r>
        <w:t xml:space="preserve"> et al., 2024)</w:t>
      </w:r>
      <w:r>
        <w:t>.</w:t>
      </w:r>
    </w:p>
    <w:bookmarkStart w:id="7" w:name="_Toc228221206"/>
    <w:p>
      <w:pPr>
        <w:pStyle w:val="style2"/>
        <w:rPr/>
      </w:pPr>
      <w:r>
        <w:t>6. Threat Actor Profile &amp; Motive</w:t>
      </w:r>
      <w:bookmarkEnd w:id="7"/>
    </w:p>
    <w:p>
      <w:pPr>
        <w:pStyle w:val="style0"/>
        <w:rPr/>
      </w:pPr>
      <w:r>
        <w:t xml:space="preserve">The threat actors that have perpetrated the </w:t>
      </w:r>
      <w:r>
        <w:t>cyber attacks</w:t>
      </w:r>
      <w:r>
        <w:t xml:space="preserve"> against Marks and Spencer and the Co-operative Group would most probably be financially driven cybercriminal organisations that are highly organised and have high technical capacity. These actors usually target big retail organisations because they can find valuable data, such as customer data and financial records, and because they can cause a disruption in the operations, which can be monetised. The characteristics of the attacks, which include multi-stage intrusion, lateral movement, and access to data, indicate a systematic and orderly approach that is </w:t>
      </w:r>
      <w:r>
        <w:t>similar to</w:t>
      </w:r>
      <w:r>
        <w:t xml:space="preserve"> sophisticated cybercriminal activities. Financial gain is probably the main reason of the attacks, whether it is direct data exfiltration to sell the data or by disrupting the services to coerce organisations to comply. Moreover, the focus on essential retail infrastructure implies that the aim is to maximise the effects on business, which could also involve reputational harm and loss of customer confidence (Wu et al., 2026). Though the motive of financial gain seems to be prevailing, the </w:t>
      </w:r>
      <w:r>
        <w:t xml:space="preserve">magnitude and organization of the attacks also imply some elements of strategic disruption. The attackers have a medium to high level of skill in terms of capability. They </w:t>
      </w:r>
      <w:r>
        <w:t>are able to</w:t>
      </w:r>
      <w:r>
        <w:t xml:space="preserve"> detect vulnerabilities, compromise systems and </w:t>
      </w:r>
      <w:r>
        <w:t>maneuver</w:t>
      </w:r>
      <w:r>
        <w:t xml:space="preserve"> through advanced network setups without being detected immediately. The fact that they used valid credentials and regular network protocols means that they have knowledge of how to combine malicious behaviour with the normal system behaviour. In general, the threat actor profile is that of a well-endowed and versatile adversary, which can deploy advanced attacks against big organisations</w:t>
      </w:r>
      <w:r>
        <w:t>.</w:t>
      </w:r>
    </w:p>
    <w:bookmarkStart w:id="8" w:name="_Toc228221207"/>
    <w:p>
      <w:pPr>
        <w:pStyle w:val="style2"/>
        <w:rPr/>
      </w:pPr>
      <w:r>
        <w:t>7. Detection &amp; Response Analysis</w:t>
      </w:r>
      <w:bookmarkEnd w:id="8"/>
    </w:p>
    <w:p>
      <w:pPr>
        <w:pStyle w:val="style0"/>
        <w:rPr/>
      </w:pPr>
      <w:r>
        <w:t xml:space="preserve">The way the Marks and Spencer and the Co-operative Group </w:t>
      </w:r>
      <w:r>
        <w:t>cyber attacks</w:t>
      </w:r>
      <w:r>
        <w:t xml:space="preserve"> were detected and responded to reveals the low level of efficiency and substantial loopholes in the security processes. Regarding the things that worked, ultimately both organisations could spot abnormal system behaviour and begin to respond to the incident. Isolating affected systems and limiting access were containment measures to avoid further spread of the attack (</w:t>
      </w:r>
      <w:r>
        <w:t>Dunsin</w:t>
      </w:r>
      <w:r>
        <w:t xml:space="preserve"> et al., 2024). There was also public communication and recovery </w:t>
      </w:r>
      <w:r>
        <w:t>work</w:t>
      </w:r>
      <w:r>
        <w:t xml:space="preserve"> and it suggests the availability of minimal incident management capacity. </w:t>
      </w:r>
      <w:r>
        <w:t>But,</w:t>
      </w:r>
      <w:r>
        <w:t xml:space="preserve"> the detection and response processes had a number of critical failures. The attacks went through various phases before they were detected, which indicates that the current monitoring systems were inadequate to pick early signs of breach. Inability to see into networks and endpoints in real-time enabled the attackers to become unnoticed over a long time. Also, delayed response actions suggest that the incident response procedures were not properly defined, or they were not properly implemented. This lag made the attack even more effective, enabling attackers to gain access to sensitive systems and data. There were also notable gaps in detection especially in the logging, monitoring, and threat correlation domains (</w:t>
      </w:r>
      <w:r>
        <w:t>Zengy</w:t>
      </w:r>
      <w:r>
        <w:t xml:space="preserve"> et al., 2022). The lack of centralised logging and sophisticated detection tools hindered the potential of detecting suspicious patterns and responding effectively. Moreover, lack of seamless connectivity among security systems minimized the success of threat detection. In general, the incidents demonstrate the necessity of better detection tools and more active and organized response plan</w:t>
      </w:r>
      <w:r>
        <w:t>.</w:t>
      </w:r>
    </w:p>
    <w:bookmarkStart w:id="9" w:name="_Toc228221208"/>
    <w:p>
      <w:pPr>
        <w:pStyle w:val="style2"/>
        <w:rPr/>
      </w:pPr>
      <w:r>
        <w:t>8. Strategic Recommendations</w:t>
      </w:r>
      <w:bookmarkEnd w:id="9"/>
    </w:p>
    <w:p>
      <w:pPr>
        <w:pStyle w:val="style0"/>
        <w:rPr/>
      </w:pPr>
      <w:r>
        <w:t xml:space="preserve">To prevent such attacks in the future, organisations need to adopt a proactive security approach that includes prevention, attack scenarios and capabilities. In terms of prevention, it is important to have effective multi-factor authentication to prevent the possibility of credential-based attacks. This should include phishing-resistant authentication to prevent unauthorised </w:t>
      </w:r>
      <w:r>
        <w:t>access (</w:t>
      </w:r>
      <w:r>
        <w:t>Maddireddy</w:t>
      </w:r>
      <w:r>
        <w:t xml:space="preserve"> and </w:t>
      </w:r>
      <w:r>
        <w:t>Maddireddy</w:t>
      </w:r>
      <w:r>
        <w:t>, 2023). In addition, patch management processes should also be established to ensure that systems are continuously patched and protected against vulnerabilities</w:t>
      </w:r>
      <w:r>
        <w:t xml:space="preserve">. To reduce exposure to misconfigurations secure configuration practices must be implemented. Concerning detection, organisations are supposed to invest in centralised logging and monitoring systems </w:t>
      </w:r>
      <w:r>
        <w:t>in order to</w:t>
      </w:r>
      <w:r>
        <w:t xml:space="preserve"> enhance visibility in networks and endpoints. </w:t>
      </w:r>
    </w:p>
    <w:p>
      <w:pPr>
        <w:pStyle w:val="style0"/>
        <w:rPr/>
      </w:pPr>
      <w:r>
        <w:t xml:space="preserve">Deployment of a Security Information and Event Management system might be able to provide real-time analysis of security events and the detection of unusual patterns. Continual monitoring and integration of threat intelligence can help increase the </w:t>
      </w:r>
      <w:r>
        <w:t>organisations</w:t>
      </w:r>
      <w:r>
        <w:t xml:space="preserve"> ability to detect and respond to new threats</w:t>
      </w:r>
      <w:r>
        <w:t>. Based on the response aspect, the organisations need to make response plans of security incidents and test them frequently to be able to respond to the security incidents effectively.</w:t>
      </w:r>
      <w:r>
        <w:t xml:space="preserve"> </w:t>
      </w:r>
      <w:r>
        <w:t>Speedy response needs escalation processes and roles and responsibilities (</w:t>
      </w:r>
      <w:r>
        <w:t>Demirol</w:t>
      </w:r>
      <w:r>
        <w:t xml:space="preserve"> et al., 2025). Finally, people can be made more resistant to social engineering attacks by conducting regular training and awareness-raising initiatives. In conclusion, it is important to implement a multi-layered and interwoven security approach to increase organisational resilience against cyber-attacks</w:t>
      </w:r>
      <w:r>
        <w:t>.</w:t>
      </w:r>
    </w:p>
    <w:bookmarkStart w:id="10" w:name="_Toc228221209"/>
    <w:p>
      <w:pPr>
        <w:pStyle w:val="style2"/>
        <w:rPr/>
      </w:pPr>
      <w:r>
        <w:t>9. Conclusion</w:t>
      </w:r>
      <w:bookmarkEnd w:id="10"/>
    </w:p>
    <w:p>
      <w:pPr>
        <w:pStyle w:val="style0"/>
        <w:rPr/>
      </w:pPr>
      <w:r>
        <w:t xml:space="preserve">The discussion of the </w:t>
      </w:r>
      <w:r>
        <w:t>cyber attacks</w:t>
      </w:r>
      <w:r>
        <w:t xml:space="preserve"> on Marks and Spencer and the Co-operative Group indicates the dynamic and diverse character of contemporary </w:t>
      </w:r>
      <w:r>
        <w:t>cyber attacks</w:t>
      </w:r>
      <w:r>
        <w:t xml:space="preserve">. The attacks illustrate how technical vulnerabilities, organisational weaknesses, and human factors can be combined to be effective in creating a substantial impact. </w:t>
      </w:r>
    </w:p>
    <w:p>
      <w:pPr>
        <w:pStyle w:val="style0"/>
        <w:rPr/>
      </w:pPr>
      <w:r>
        <w:t>The importance of early detection, effective access control, and strong security governance are the key insights. The incidents underscore the importance of active security controls, such as round-the-clock monitoring, effective authentication schemes, and a clear incident response plan. These areas need to be reinforced to minimize risk and improve overall security posture of organisations</w:t>
      </w:r>
      <w:r>
        <w:t>.</w:t>
      </w:r>
      <w:r>
        <w:t xml:space="preserve"> </w:t>
      </w:r>
    </w:p>
    <w:p>
      <w:pPr>
        <w:pStyle w:val="style0"/>
        <w:rPr/>
      </w:pPr>
      <w:r>
        <w:t>The growing nature of cyber threats necessitates organisations to be active in their risk management and employ an intelligence-based approach. It is imperative to continuously evaluate, threat model, and ensure that security practices are aligned with the changing methods of attacks. Incorporating security into the strategic and operational decision-making, organisations will be able to anticipate threats better, minimise vulnerabilities and be resilient to the future cyber incident</w:t>
      </w:r>
      <w:r>
        <w:t>.</w:t>
      </w:r>
    </w:p>
    <w:p>
      <w:pPr>
        <w:pStyle w:val="style0"/>
        <w:spacing w:lineRule="auto" w:line="278"/>
        <w:jc w:val="left"/>
        <w:rPr/>
      </w:pPr>
      <w:r>
        <w:br w:type="page"/>
      </w:r>
    </w:p>
    <w:bookmarkStart w:id="11" w:name="_Toc228221210"/>
    <w:p>
      <w:pPr>
        <w:pStyle w:val="style1"/>
        <w:rPr/>
      </w:pPr>
      <w:r>
        <w:t xml:space="preserve">Task 2: </w:t>
      </w:r>
      <w:r>
        <w:t>Red Team Engagement</w:t>
      </w:r>
      <w:bookmarkEnd w:id="11"/>
    </w:p>
    <w:bookmarkStart w:id="12" w:name="_Toc227957274"/>
    <w:bookmarkStart w:id="13" w:name="_Toc228221211"/>
    <w:p>
      <w:pPr>
        <w:pStyle w:val="style2"/>
        <w:rPr/>
      </w:pPr>
      <w:r>
        <w:t>1. Abstract</w:t>
      </w:r>
      <w:bookmarkEnd w:id="12"/>
      <w:bookmarkEnd w:id="13"/>
    </w:p>
    <w:p>
      <w:pPr>
        <w:pStyle w:val="style0"/>
        <w:rPr/>
      </w:pPr>
      <w:r>
        <w:t xml:space="preserve">This report provides an overview of the findings of a recent red team assessment against a mock environment of ABCD Ltd. </w:t>
      </w:r>
      <w:r>
        <w:t>The aim of the engagement was to determine the overall security of the company, i.e. to identify the security vulnerabilities, exploit the vulnerability and achieve the real-world attack scenario. The test involved a multi-phase attack scenario which involves reconnaissance, vulnerability use through exploiting a weak web application, development of a reverse shell, harvesting of credentials, lateral movement and exfiltration. As noted in the assessment, improper access control, misconfigurations and absence of monitoring allowed the successful progression through various phases. The effective exploitation of both the web and client systems highlights the vulnerabilities in the prevention, detection and response systems</w:t>
      </w:r>
      <w:r>
        <w:t>.</w:t>
      </w:r>
    </w:p>
    <w:bookmarkStart w:id="14" w:name="_Toc227957275"/>
    <w:bookmarkStart w:id="15" w:name="_Toc228221212"/>
    <w:p>
      <w:pPr>
        <w:pStyle w:val="style2"/>
        <w:rPr/>
      </w:pPr>
      <w:r>
        <w:t>2. Introduction</w:t>
      </w:r>
      <w:bookmarkEnd w:id="14"/>
      <w:bookmarkEnd w:id="15"/>
    </w:p>
    <w:p>
      <w:pPr>
        <w:pStyle w:val="style0"/>
        <w:rPr/>
      </w:pPr>
      <w:r>
        <w:t xml:space="preserve">Red team exercises are designed to simulate real life attacks </w:t>
      </w:r>
      <w:r>
        <w:t>in order to</w:t>
      </w:r>
      <w:r>
        <w:t xml:space="preserve"> test prevention, detection and response capabilities of an organisation. The difference between red teaming and traditional vulnerability scanning is that red teaming takes the adversarial approach, simulating the </w:t>
      </w:r>
      <w:r>
        <w:t>behavior</w:t>
      </w:r>
      <w:r>
        <w:t xml:space="preserve"> of threat actors </w:t>
      </w:r>
      <w:r>
        <w:t>in order to</w:t>
      </w:r>
      <w:r>
        <w:t xml:space="preserve"> find the vulnerabilities that might not be identified by automated vulnerability scans. This method provides a global perspective of the way in which several vulnerabilities can be linked with one another to achieve attack objectives.</w:t>
      </w:r>
      <w:r>
        <w:t xml:space="preserve"> </w:t>
      </w:r>
      <w:r>
        <w:t>This engagement will demonstrate the security readiness of ABCD Ltd through a simulated penetration test in a virtualised lab environment. The assessment will include three systems that represent various elements of a typical corporate network: an attacker system, a vulnerable web server system and a client system with sensitive data. The purpose of the assessment is to showcase the entire attack cycle, including reconnaissance, privilege escalation and data exfiltration</w:t>
      </w:r>
      <w:r>
        <w:t>.</w:t>
      </w:r>
    </w:p>
    <w:bookmarkStart w:id="16" w:name="_Toc227957276"/>
    <w:bookmarkStart w:id="17" w:name="_Toc228221213"/>
    <w:p>
      <w:pPr>
        <w:pStyle w:val="style2"/>
        <w:rPr/>
      </w:pPr>
      <w:r>
        <w:t>3. Rules of Engagement (</w:t>
      </w:r>
      <w:r>
        <w:t>RoE</w:t>
      </w:r>
      <w:r>
        <w:t>)</w:t>
      </w:r>
      <w:bookmarkEnd w:id="16"/>
      <w:bookmarkEnd w:id="17"/>
    </w:p>
    <w:p>
      <w:pPr>
        <w:pStyle w:val="style0"/>
        <w:rPr/>
      </w:pPr>
      <w:r>
        <w:t>Rules of Engagement (</w:t>
      </w:r>
      <w:r>
        <w:t>RoE</w:t>
      </w:r>
      <w:r>
        <w:t xml:space="preserve">) provide information about the scope, limits and permissible activities in the red team assessment to ensure testing is carried out safely and ethically. The scope of the engagement is confined to the virtual lab environment (ABCD Ltd) that comprises the attacker box, vulnerable web server and the client. The scope excludes any external systems or networks, thus ensuring isolation of testing. Network scanning, vulnerability exploitation, </w:t>
      </w:r>
      <w:r>
        <w:t>credentials discovery, lateral movement and data exfiltration are permitted within the scope of the lab environment (Singh et al., 2025). Common penetration testing tools and manual exploitation techniques are allowed to simulate real-world attacks. Ethical and legal constraints are adhered to. Access and actions are authorised, and no real systems are targeted. Safe operating procedures, such as safe execution and system rollback are adhered to</w:t>
      </w:r>
      <w:r>
        <w:t>.</w:t>
      </w:r>
    </w:p>
    <w:bookmarkStart w:id="18" w:name="_Toc227957277"/>
    <w:bookmarkStart w:id="19" w:name="_Toc228221214"/>
    <w:p>
      <w:pPr>
        <w:pStyle w:val="style2"/>
        <w:rPr/>
      </w:pPr>
      <w:r>
        <w:t>4. Lab Environment Design</w:t>
      </w:r>
      <w:bookmarkEnd w:id="18"/>
      <w:bookmarkEnd w:id="19"/>
    </w:p>
    <w:p>
      <w:pPr>
        <w:pStyle w:val="style0"/>
        <w:rPr/>
      </w:pPr>
      <w:r>
        <w:t xml:space="preserve">The lab environment was set up to mimic a small enterprise network, allowing the red team engagement to be carried out. </w:t>
      </w:r>
      <w:r>
        <w:t>they installed three virtual machines to reflect the various sections of the organisation. The attack system had Linux (Kali) running to avail the tools necessary in information collection, exploitation and post exploitation</w:t>
      </w:r>
      <w:r>
        <w:t>. The web server was set up with Ubuntu and ran a vulnerable web application (DVWA) to represent a web attack vector. The client machine was based on Windows 11 and was set up with shared drives containing confidential data, to simulate a standard client machine in an organisational environment</w:t>
      </w:r>
      <w:r>
        <w:t>.</w:t>
      </w:r>
    </w:p>
    <w:tbl>
      <w:tblPr>
        <w:tblStyle w:val="style154"/>
        <w:tblW w:w="5000" w:type="pct"/>
        <w:tblLook w:val="04A0" w:firstRow="1" w:lastRow="0" w:firstColumn="1" w:lastColumn="0" w:noHBand="0" w:noVBand="1"/>
      </w:tblPr>
      <w:tblGrid>
        <w:gridCol w:w="9016"/>
      </w:tblGrid>
      <w:tr>
        <w:trPr/>
        <w:tc>
          <w:tcPr>
            <w:tcW w:w="5000" w:type="pct"/>
            <w:tcBorders/>
          </w:tcPr>
          <w:p>
            <w:pPr>
              <w:pStyle w:val="style0"/>
              <w:jc w:val="center"/>
              <w:rPr/>
            </w:pPr>
            <w:r>
              <w:rPr>
                <w:noProof/>
              </w:rPr>
              <w:drawing>
                <wp:inline distL="0" distT="0" distB="0" distR="0">
                  <wp:extent cx="5417572" cy="2209800"/>
                  <wp:effectExtent l="76200" t="76200" r="126365" b="133350"/>
                  <wp:docPr id="1028"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5" cstate="print"/>
                          <a:srcRect l="0" t="0" r="0" b="0"/>
                          <a:stretch/>
                        </pic:blipFill>
                        <pic:spPr>
                          <a:xfrm rot="0">
                            <a:off x="0" y="0"/>
                            <a:ext cx="5417572" cy="2209800"/>
                          </a:xfrm>
                          <a:prstGeom prst="rect"/>
                          <a:ln cmpd="sng" cap="sq" w="38100">
                            <a:solidFill>
                              <a:srgbClr val="000000"/>
                            </a:solidFill>
                            <a:prstDash val="solid"/>
                            <a:miter/>
                            <a:headEnd/>
                            <a:tailEnd/>
                          </a:ln>
                          <a:effectLst>
                            <a:outerShdw rotWithShape="false" sx="100000" sy="100000" dist="38100" dir="2700000" blurRad="50800" kx="0" ky="0" algn="tl">
                              <a:srgbClr val="000000">
                                <a:alpha val="43000"/>
                              </a:srgbClr>
                            </a:outerShdw>
                          </a:effectLst>
                        </pic:spPr>
                      </pic:pic>
                    </a:graphicData>
                  </a:graphic>
                </wp:inline>
              </w:drawing>
            </w:r>
          </w:p>
        </w:tc>
      </w:tr>
      <w:tr>
        <w:tblPrEx/>
        <w:trPr/>
        <w:tc>
          <w:tcPr>
            <w:tcW w:w="5000" w:type="pct"/>
            <w:tcBorders/>
          </w:tcPr>
          <w:p>
            <w:pPr>
              <w:pStyle w:val="style0"/>
              <w:jc w:val="center"/>
              <w:rPr/>
            </w:pPr>
            <w:r>
              <w:rPr>
                <w:noProof/>
              </w:rPr>
              <w:drawing>
                <wp:inline distL="0" distT="0" distB="0" distR="0">
                  <wp:extent cx="5429250" cy="1560323"/>
                  <wp:effectExtent l="76200" t="76200" r="133350" b="135255"/>
                  <wp:docPr id="1029" name="Picture 1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Picture 11"/>
                          <pic:cNvPicPr/>
                        </pic:nvPicPr>
                        <pic:blipFill>
                          <a:blip r:embed="rId6" cstate="print"/>
                          <a:srcRect l="0" t="0" r="0" b="0"/>
                          <a:stretch/>
                        </pic:blipFill>
                        <pic:spPr>
                          <a:xfrm rot="0">
                            <a:off x="0" y="0"/>
                            <a:ext cx="5429250" cy="1560323"/>
                          </a:xfrm>
                          <a:prstGeom prst="rect"/>
                          <a:ln cmpd="sng" cap="sq" w="38100">
                            <a:solidFill>
                              <a:srgbClr val="000000"/>
                            </a:solidFill>
                            <a:prstDash val="solid"/>
                            <a:miter/>
                            <a:headEnd/>
                            <a:tailEnd/>
                          </a:ln>
                          <a:effectLst>
                            <a:outerShdw rotWithShape="false" sx="100000" sy="100000" dist="38100" dir="2700000" blurRad="50800" kx="0" ky="0" algn="tl">
                              <a:srgbClr val="000000">
                                <a:alpha val="43000"/>
                              </a:srgbClr>
                            </a:outerShdw>
                          </a:effectLst>
                        </pic:spPr>
                      </pic:pic>
                    </a:graphicData>
                  </a:graphic>
                </wp:inline>
              </w:drawing>
            </w:r>
          </w:p>
        </w:tc>
      </w:tr>
      <w:tr>
        <w:tblPrEx/>
        <w:trPr/>
        <w:tc>
          <w:tcPr>
            <w:tcW w:w="5000" w:type="pct"/>
            <w:tcBorders/>
          </w:tcPr>
          <w:p>
            <w:pPr>
              <w:pStyle w:val="style0"/>
              <w:jc w:val="center"/>
              <w:rPr/>
            </w:pPr>
            <w:r>
              <w:rPr>
                <w:noProof/>
              </w:rPr>
              <w:drawing>
                <wp:inline distL="0" distT="0" distB="0" distR="0">
                  <wp:extent cx="5429250" cy="2181685"/>
                  <wp:effectExtent l="76200" t="76200" r="133350" b="142875"/>
                  <wp:docPr id="1030" name="Picture 13"/>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Picture 13"/>
                          <pic:cNvPicPr/>
                        </pic:nvPicPr>
                        <pic:blipFill>
                          <a:blip r:embed="rId7" cstate="print"/>
                          <a:srcRect l="0" t="0" r="0" b="0"/>
                          <a:stretch/>
                        </pic:blipFill>
                        <pic:spPr>
                          <a:xfrm rot="0">
                            <a:off x="0" y="0"/>
                            <a:ext cx="5429250" cy="2181685"/>
                          </a:xfrm>
                          <a:prstGeom prst="rect"/>
                          <a:ln cmpd="sng" cap="sq" w="38100">
                            <a:solidFill>
                              <a:srgbClr val="000000"/>
                            </a:solidFill>
                            <a:prstDash val="solid"/>
                            <a:miter/>
                            <a:headEnd/>
                            <a:tailEnd/>
                          </a:ln>
                          <a:effectLst>
                            <a:outerShdw rotWithShape="false" sx="100000" sy="100000" dist="38100" dir="2700000" blurRad="50800" kx="0" ky="0" algn="tl">
                              <a:srgbClr val="000000">
                                <a:alpha val="43000"/>
                              </a:srgbClr>
                            </a:outerShdw>
                          </a:effectLst>
                        </pic:spPr>
                      </pic:pic>
                    </a:graphicData>
                  </a:graphic>
                </wp:inline>
              </w:drawing>
            </w:r>
          </w:p>
        </w:tc>
      </w:tr>
    </w:tbl>
    <w:p>
      <w:pPr>
        <w:pStyle w:val="style0"/>
        <w:jc w:val="center"/>
        <w:rPr>
          <w:b/>
          <w:bCs/>
        </w:rPr>
      </w:pPr>
      <w:r>
        <w:rPr>
          <w:b/>
          <w:bCs/>
        </w:rPr>
        <w:t>Figure 1: Virtual lab network configuration</w:t>
      </w:r>
    </w:p>
    <w:p>
      <w:pPr>
        <w:pStyle w:val="style0"/>
        <w:jc w:val="center"/>
        <w:rPr/>
      </w:pPr>
      <w:r>
        <w:t>(Source: Obtained from VMware)</w:t>
      </w:r>
    </w:p>
    <w:p>
      <w:pPr>
        <w:pStyle w:val="style0"/>
        <w:rPr/>
      </w:pPr>
      <w:r>
        <w:t xml:space="preserve">The systems were linked via a host-only network to provide a safe and isolated network for the virtual machines. </w:t>
      </w:r>
      <w:r>
        <w:t>The IP addresses of the systems were selected on the same subnet, and it allowed the attacker system to communicate with the web server and client system (</w:t>
      </w:r>
      <w:r>
        <w:t>Altulaihan</w:t>
      </w:r>
      <w:r>
        <w:t xml:space="preserve"> et al., 2023). This configuration enabled the attack to be enclosed in the laboratory setting, without any effects on the real world</w:t>
      </w:r>
      <w:r>
        <w:t>.</w:t>
      </w:r>
    </w:p>
    <w:p>
      <w:pPr>
        <w:pStyle w:val="style0"/>
        <w:jc w:val="center"/>
        <w:rPr/>
      </w:pPr>
      <w:r>
        <w:rPr>
          <w:noProof/>
        </w:rPr>
        <w:drawing>
          <wp:inline distL="0" distT="0" distB="0" distR="0">
            <wp:extent cx="4686300" cy="3245665"/>
            <wp:effectExtent l="76200" t="76200" r="133350" b="126365"/>
            <wp:docPr id="1031" name="Picture 10"/>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Picture 10"/>
                    <pic:cNvPicPr/>
                  </pic:nvPicPr>
                  <pic:blipFill>
                    <a:blip r:embed="rId8" cstate="print"/>
                    <a:srcRect l="0" t="0" r="0" b="0"/>
                    <a:stretch/>
                  </pic:blipFill>
                  <pic:spPr>
                    <a:xfrm rot="0">
                      <a:off x="0" y="0"/>
                      <a:ext cx="4686300" cy="3245665"/>
                    </a:xfrm>
                    <a:prstGeom prst="rect"/>
                    <a:ln cmpd="sng" cap="sq" w="38100">
                      <a:solidFill>
                        <a:srgbClr val="000000"/>
                      </a:solidFill>
                      <a:prstDash val="solid"/>
                      <a:miter/>
                      <a:headEnd/>
                      <a:tailEnd/>
                    </a:ln>
                    <a:effectLst>
                      <a:outerShdw rotWithShape="false" sx="100000" sy="100000" dist="38100" dir="2700000" blurRad="50800" kx="0" ky="0" algn="tl">
                        <a:srgbClr val="000000">
                          <a:alpha val="43000"/>
                        </a:srgbClr>
                      </a:outerShdw>
                    </a:effectLst>
                  </pic:spPr>
                </pic:pic>
              </a:graphicData>
            </a:graphic>
          </wp:inline>
        </w:drawing>
      </w:r>
    </w:p>
    <w:p>
      <w:pPr>
        <w:pStyle w:val="style0"/>
        <w:jc w:val="center"/>
        <w:rPr>
          <w:b/>
          <w:bCs/>
        </w:rPr>
      </w:pPr>
      <w:r>
        <w:rPr>
          <w:b/>
          <w:bCs/>
        </w:rPr>
        <w:t xml:space="preserve">Figure </w:t>
      </w:r>
      <w:r>
        <w:rPr>
          <w:b/>
          <w:bCs/>
        </w:rPr>
        <w:t>2</w:t>
      </w:r>
      <w:r>
        <w:rPr>
          <w:b/>
          <w:bCs/>
        </w:rPr>
        <w:t xml:space="preserve">: </w:t>
      </w:r>
      <w:r>
        <w:rPr>
          <w:b/>
          <w:bCs/>
        </w:rPr>
        <w:t>Network Diagram</w:t>
      </w:r>
    </w:p>
    <w:p>
      <w:pPr>
        <w:pStyle w:val="style0"/>
        <w:jc w:val="center"/>
        <w:rPr/>
      </w:pPr>
      <w:r>
        <w:t>(Source: Self-created)</w:t>
      </w:r>
    </w:p>
    <w:p>
      <w:pPr>
        <w:pStyle w:val="style0"/>
        <w:rPr/>
      </w:pPr>
      <w:r>
        <w:t xml:space="preserve">We set up the environment with security vulnerabilities </w:t>
      </w:r>
      <w:r>
        <w:t>in order to</w:t>
      </w:r>
      <w:r>
        <w:t xml:space="preserve"> simulate real-world scenarios. This involved weak passwords, file sharing enabled, and minimal security measures on the client computer. The web server was also set up to have low security. A network diagram is also provided to show the interaction between the attacker, web server and client system in the lab environment</w:t>
      </w:r>
      <w:r>
        <w:t>.</w:t>
      </w:r>
    </w:p>
    <w:bookmarkStart w:id="20" w:name="_Toc227957278"/>
    <w:bookmarkStart w:id="21" w:name="_Toc228221215"/>
    <w:p>
      <w:pPr>
        <w:pStyle w:val="style2"/>
        <w:rPr/>
      </w:pPr>
      <w:r>
        <w:t>5. Threat Emulation Plan</w:t>
      </w:r>
      <w:bookmarkEnd w:id="20"/>
      <w:bookmarkEnd w:id="21"/>
    </w:p>
    <w:p>
      <w:pPr>
        <w:pStyle w:val="style0"/>
        <w:rPr/>
      </w:pPr>
      <w:r>
        <w:t xml:space="preserve">The threat emulation plan aimed to simulate a typical cyberattack against ABCD </w:t>
      </w:r>
      <w:r>
        <w:t>Ltd's</w:t>
      </w:r>
      <w:r>
        <w:t xml:space="preserve"> simulated environment. The goal of the engagement was to showcase a complete attack chain that would lead to unauthorised access to confidential information on the client's infrastructure. The strategy involved vulnerability identification, exploitation, and advancement through various stages of the attack process in a controlled manner</w:t>
      </w:r>
      <w:r>
        <w:t>.</w:t>
      </w:r>
    </w:p>
    <w:p>
      <w:pPr>
        <w:pStyle w:val="style0"/>
        <w:jc w:val="center"/>
        <w:rPr/>
      </w:pPr>
      <w:r>
        <w:rPr>
          <w:noProof/>
        </w:rPr>
        <w:drawing>
          <wp:inline distL="0" distT="0" distB="0" distR="0">
            <wp:extent cx="5534025" cy="1766399"/>
            <wp:effectExtent l="76200" t="76200" r="123825" b="139065"/>
            <wp:docPr id="1032" name="Picture 12"/>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6" name="Picture 12"/>
                    <pic:cNvPicPr/>
                  </pic:nvPicPr>
                  <pic:blipFill>
                    <a:blip r:embed="rId9" cstate="print"/>
                    <a:srcRect l="0" t="0" r="0" b="0"/>
                    <a:stretch/>
                  </pic:blipFill>
                  <pic:spPr>
                    <a:xfrm rot="0">
                      <a:off x="0" y="0"/>
                      <a:ext cx="5534025" cy="1766399"/>
                    </a:xfrm>
                    <a:prstGeom prst="rect"/>
                    <a:ln cmpd="sng" cap="sq" w="38100">
                      <a:solidFill>
                        <a:srgbClr val="000000"/>
                      </a:solidFill>
                      <a:prstDash val="solid"/>
                      <a:miter/>
                      <a:headEnd/>
                      <a:tailEnd/>
                    </a:ln>
                    <a:effectLst>
                      <a:outerShdw rotWithShape="false" sx="100000" sy="100000" dist="38100" dir="2700000" blurRad="50800" kx="0" ky="0" algn="tl">
                        <a:srgbClr val="000000">
                          <a:alpha val="43000"/>
                        </a:srgbClr>
                      </a:outerShdw>
                    </a:effectLst>
                  </pic:spPr>
                </pic:pic>
              </a:graphicData>
            </a:graphic>
          </wp:inline>
        </w:drawing>
      </w:r>
    </w:p>
    <w:p>
      <w:pPr>
        <w:pStyle w:val="style0"/>
        <w:jc w:val="center"/>
        <w:rPr>
          <w:b/>
          <w:bCs/>
        </w:rPr>
      </w:pPr>
      <w:r>
        <w:rPr>
          <w:b/>
          <w:bCs/>
        </w:rPr>
        <w:t xml:space="preserve">Figure </w:t>
      </w:r>
      <w:r>
        <w:rPr>
          <w:b/>
          <w:bCs/>
        </w:rPr>
        <w:t>3</w:t>
      </w:r>
      <w:r>
        <w:rPr>
          <w:b/>
          <w:bCs/>
        </w:rPr>
        <w:t xml:space="preserve">: </w:t>
      </w:r>
      <w:r>
        <w:rPr>
          <w:b/>
          <w:bCs/>
        </w:rPr>
        <w:t>Attack Flow Diagram</w:t>
      </w:r>
    </w:p>
    <w:p>
      <w:pPr>
        <w:pStyle w:val="style0"/>
        <w:jc w:val="center"/>
        <w:rPr/>
      </w:pPr>
      <w:r>
        <w:t>(Source: Self-created)</w:t>
      </w:r>
    </w:p>
    <w:p>
      <w:pPr>
        <w:pStyle w:val="style0"/>
        <w:rPr/>
      </w:pPr>
      <w:r>
        <w:t>The attack started with scanning to detect live hosts, open ports and services. This was then followed by the initial exploitation of the vulnerable web application on the Ubuntu server, providing access to the system. Next, a reverse shell was set up to gain interactive access to the system and for further investigation (</w:t>
      </w:r>
      <w:r>
        <w:t>Feffer</w:t>
      </w:r>
      <w:r>
        <w:t xml:space="preserve"> et al., 2024). Password cracking was achieved by reviewing application configuration files to find re-usable passwords. The attacker then performed lateral movement to the Windows system using the credentials. The last step was accessing shared resources and stealing confidential data</w:t>
      </w:r>
      <w:r>
        <w:t>.</w:t>
      </w:r>
    </w:p>
    <w:bookmarkStart w:id="22" w:name="_Toc227957279"/>
    <w:bookmarkStart w:id="23" w:name="_Toc228221216"/>
    <w:p>
      <w:pPr>
        <w:pStyle w:val="style2"/>
        <w:rPr/>
      </w:pPr>
      <w:r>
        <w:t>6. Tools &amp; Techniques</w:t>
      </w:r>
      <w:bookmarkEnd w:id="22"/>
      <w:bookmarkEnd w:id="23"/>
    </w:p>
    <w:p>
      <w:pPr>
        <w:pStyle w:val="style0"/>
        <w:rPr/>
      </w:pPr>
      <w:r>
        <w:t>Various techniques and tools were used to replicate realistic attacker activities and meet the objectives during the red team engagement. Nmap was leveraged in the reconnaissance stage to discover live hosts, open ports and services. The tool's capacity to gather information about network configurations made it a critical tool in mapping the attack surface and finding potential vulnerabilities (</w:t>
      </w:r>
      <w:r>
        <w:t>Zineddine</w:t>
      </w:r>
      <w:r>
        <w:t xml:space="preserve"> et al., 2024). </w:t>
      </w:r>
      <w:r>
        <w:t>Netcat</w:t>
      </w:r>
      <w:r>
        <w:t xml:space="preserve"> was used to create a reverse shell connection from the web server to the local machine. </w:t>
      </w:r>
      <w:r>
        <w:t>This tool enabled the user to perform interactive operations on the target system and was utilized in post-exploitation activities, including navigating the system and finding credentials. This is a powerful but a very simple tool that is used in penetration testing</w:t>
      </w:r>
      <w:r>
        <w:t>.</w:t>
      </w:r>
    </w:p>
    <w:bookmarkStart w:id="24" w:name="_Toc227957280"/>
    <w:bookmarkStart w:id="25" w:name="_Toc228221217"/>
    <w:p>
      <w:pPr>
        <w:pStyle w:val="style2"/>
        <w:rPr/>
      </w:pPr>
      <w:r>
        <w:t>7. Attack Execution</w:t>
      </w:r>
      <w:bookmarkEnd w:id="24"/>
      <w:bookmarkEnd w:id="25"/>
    </w:p>
    <w:bookmarkStart w:id="26" w:name="_Toc227957281"/>
    <w:bookmarkStart w:id="27" w:name="_Toc228221218"/>
    <w:p>
      <w:pPr>
        <w:pStyle w:val="style3"/>
        <w:rPr/>
      </w:pPr>
      <w:r>
        <w:t>7.1 Reconnaissance</w:t>
      </w:r>
      <w:bookmarkEnd w:id="26"/>
      <w:bookmarkEnd w:id="27"/>
    </w:p>
    <w:p>
      <w:pPr>
        <w:pStyle w:val="style0"/>
        <w:rPr/>
      </w:pPr>
      <w:r>
        <w:t>Reconnaissance was conducted to detect hosts and services in the target network via Nmap. A version scan was performed on the Ubuntu web server and the Windows client PC to identify potential attack vectors. This showed that the Ubuntu server had an HTTP service listening on port 80, which may indicate a web application</w:t>
      </w:r>
      <w:r>
        <w:t xml:space="preserve">. </w:t>
      </w:r>
    </w:p>
    <w:p>
      <w:pPr>
        <w:pStyle w:val="style0"/>
        <w:jc w:val="center"/>
        <w:rPr/>
      </w:pPr>
      <w:r>
        <w:rPr>
          <w:noProof/>
        </w:rPr>
        <w:drawing>
          <wp:inline distL="0" distT="0" distB="0" distR="0">
            <wp:extent cx="5343525" cy="2746356"/>
            <wp:effectExtent l="76200" t="76200" r="123825" b="130810"/>
            <wp:docPr id="1033" name="Picture 4"/>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7" name="Picture 4"/>
                    <pic:cNvPicPr/>
                  </pic:nvPicPr>
                  <pic:blipFill>
                    <a:blip r:embed="rId10" cstate="print"/>
                    <a:srcRect l="0" t="0" r="0" b="0"/>
                    <a:stretch/>
                  </pic:blipFill>
                  <pic:spPr>
                    <a:xfrm rot="0">
                      <a:off x="0" y="0"/>
                      <a:ext cx="5343525" cy="2746356"/>
                    </a:xfrm>
                    <a:prstGeom prst="rect"/>
                    <a:ln cmpd="sng" cap="sq" w="38100">
                      <a:solidFill>
                        <a:srgbClr val="000000"/>
                      </a:solidFill>
                      <a:prstDash val="solid"/>
                      <a:miter/>
                      <a:headEnd/>
                      <a:tailEnd/>
                    </a:ln>
                    <a:effectLst>
                      <a:outerShdw rotWithShape="false" sx="100000" sy="100000" dist="38100" dir="2700000" blurRad="50800" kx="0" ky="0" algn="tl">
                        <a:srgbClr val="000000">
                          <a:alpha val="43000"/>
                        </a:srgbClr>
                      </a:outerShdw>
                    </a:effectLst>
                  </pic:spPr>
                </pic:pic>
              </a:graphicData>
            </a:graphic>
          </wp:inline>
        </w:drawing>
      </w:r>
    </w:p>
    <w:p>
      <w:pPr>
        <w:pStyle w:val="style0"/>
        <w:jc w:val="center"/>
        <w:rPr>
          <w:b/>
          <w:bCs/>
        </w:rPr>
      </w:pPr>
      <w:r>
        <w:rPr>
          <w:b/>
          <w:bCs/>
        </w:rPr>
        <w:t xml:space="preserve">Figure </w:t>
      </w:r>
      <w:r>
        <w:rPr>
          <w:b/>
          <w:bCs/>
        </w:rPr>
        <w:t>4</w:t>
      </w:r>
      <w:r>
        <w:rPr>
          <w:b/>
          <w:bCs/>
        </w:rPr>
        <w:t>: Nmap scan results</w:t>
      </w:r>
    </w:p>
    <w:p>
      <w:pPr>
        <w:pStyle w:val="style0"/>
        <w:jc w:val="center"/>
        <w:rPr/>
      </w:pPr>
      <w:r>
        <w:t>(Source: Obtained from Kali Linux)</w:t>
      </w:r>
    </w:p>
    <w:p>
      <w:pPr>
        <w:pStyle w:val="style0"/>
        <w:rPr/>
      </w:pPr>
      <w:r>
        <w:t>The Windows system had several ports open, such as 445 (SMB) and 3389 (remote desktop) (Turk et al., 2022). This gave valuable information about the network, and services that could be exploited in future attack phases</w:t>
      </w:r>
      <w:r>
        <w:t>.</w:t>
      </w:r>
    </w:p>
    <w:bookmarkStart w:id="28" w:name="_Toc227957282"/>
    <w:bookmarkStart w:id="29" w:name="_Toc228221219"/>
    <w:p>
      <w:pPr>
        <w:pStyle w:val="style3"/>
        <w:rPr/>
      </w:pPr>
      <w:r>
        <w:t>7.2 Initial Exploitation</w:t>
      </w:r>
      <w:bookmarkEnd w:id="28"/>
      <w:bookmarkEnd w:id="29"/>
    </w:p>
    <w:p>
      <w:pPr>
        <w:pStyle w:val="style0"/>
        <w:rPr/>
      </w:pPr>
      <w:r>
        <w:t>The initial exploitation involved the vulnerable web application on the Ubuntu server. The DVWA was set to low security level, allowing a command injection. Through the injection of commands into the web application, the shell on the server could be accessed</w:t>
      </w:r>
      <w:r>
        <w:t xml:space="preserve">. </w:t>
      </w:r>
    </w:p>
    <w:p>
      <w:pPr>
        <w:pStyle w:val="style0"/>
        <w:jc w:val="center"/>
        <w:rPr/>
      </w:pPr>
      <w:r>
        <w:rPr>
          <w:noProof/>
        </w:rPr>
        <w:drawing>
          <wp:inline distL="0" distT="0" distB="0" distR="0">
            <wp:extent cx="5381625" cy="2361690"/>
            <wp:effectExtent l="76200" t="76200" r="123825" b="133985"/>
            <wp:docPr id="1034" name="Picture 5"/>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8" name="Picture 5"/>
                    <pic:cNvPicPr/>
                  </pic:nvPicPr>
                  <pic:blipFill>
                    <a:blip r:embed="rId11" cstate="print"/>
                    <a:srcRect l="0" t="0" r="0" b="0"/>
                    <a:stretch/>
                  </pic:blipFill>
                  <pic:spPr>
                    <a:xfrm rot="0">
                      <a:off x="0" y="0"/>
                      <a:ext cx="5381625" cy="2361690"/>
                    </a:xfrm>
                    <a:prstGeom prst="rect"/>
                    <a:ln cmpd="sng" cap="sq" w="38100">
                      <a:solidFill>
                        <a:srgbClr val="000000"/>
                      </a:solidFill>
                      <a:prstDash val="solid"/>
                      <a:miter/>
                      <a:headEnd/>
                      <a:tailEnd/>
                    </a:ln>
                    <a:effectLst>
                      <a:outerShdw rotWithShape="false" sx="100000" sy="100000" dist="38100" dir="2700000" blurRad="50800" kx="0" ky="0" algn="tl">
                        <a:srgbClr val="000000">
                          <a:alpha val="43000"/>
                        </a:srgbClr>
                      </a:outerShdw>
                    </a:effectLst>
                  </pic:spPr>
                </pic:pic>
              </a:graphicData>
            </a:graphic>
          </wp:inline>
        </w:drawing>
      </w:r>
    </w:p>
    <w:p>
      <w:pPr>
        <w:pStyle w:val="style0"/>
        <w:jc w:val="center"/>
        <w:rPr>
          <w:b/>
          <w:bCs/>
        </w:rPr>
      </w:pPr>
      <w:r>
        <w:rPr>
          <w:b/>
          <w:bCs/>
        </w:rPr>
        <w:t xml:space="preserve">Figure </w:t>
      </w:r>
      <w:r>
        <w:rPr>
          <w:b/>
          <w:bCs/>
        </w:rPr>
        <w:t>5</w:t>
      </w:r>
      <w:r>
        <w:rPr>
          <w:b/>
          <w:bCs/>
        </w:rPr>
        <w:t>: Successful command injection</w:t>
      </w:r>
    </w:p>
    <w:p>
      <w:pPr>
        <w:pStyle w:val="style0"/>
        <w:jc w:val="center"/>
        <w:rPr/>
      </w:pPr>
      <w:r>
        <w:t>(Source: Obtained from Kali Linux)</w:t>
      </w:r>
    </w:p>
    <w:p>
      <w:pPr>
        <w:pStyle w:val="style0"/>
        <w:rPr/>
      </w:pPr>
      <w:r>
        <w:t>This enabled the attacker to circumvent input sanitisation and to gain access to the web server operating system (</w:t>
      </w:r>
      <w:r>
        <w:t>Brilhante</w:t>
      </w:r>
      <w:r>
        <w:t xml:space="preserve"> et al., 2023). The vulnerability illustrated poor input sanitisation and secure coding in the application. The ability to execute commands indicated initial access to the system under the privileges of the web server user</w:t>
      </w:r>
      <w:r>
        <w:t>.</w:t>
      </w:r>
    </w:p>
    <w:bookmarkStart w:id="30" w:name="_Toc227957283"/>
    <w:bookmarkStart w:id="31" w:name="_Toc228221220"/>
    <w:p>
      <w:pPr>
        <w:pStyle w:val="style3"/>
        <w:rPr/>
      </w:pPr>
      <w:r>
        <w:t>7.3 Reverse Shell</w:t>
      </w:r>
      <w:bookmarkEnd w:id="30"/>
      <w:bookmarkEnd w:id="31"/>
    </w:p>
    <w:p>
      <w:pPr>
        <w:pStyle w:val="style0"/>
        <w:rPr/>
      </w:pPr>
      <w:r>
        <w:t xml:space="preserve">After gaining initial access, a reverse shell was set up to interact with the server. </w:t>
      </w:r>
      <w:r>
        <w:t xml:space="preserve">A reverse connection was made between the Ubuntu server and the attacker with the help of </w:t>
      </w:r>
      <w:r>
        <w:t>netcat</w:t>
      </w:r>
      <w:r>
        <w:t>. A reverse shell was injected into the system using an application vulnerability and this connected back to a listening port on the hacker computer</w:t>
      </w:r>
      <w:r>
        <w:t xml:space="preserve">. </w:t>
      </w:r>
    </w:p>
    <w:p>
      <w:pPr>
        <w:pStyle w:val="style0"/>
        <w:jc w:val="center"/>
        <w:rPr/>
      </w:pPr>
      <w:r>
        <w:rPr>
          <w:noProof/>
        </w:rPr>
        <w:drawing>
          <wp:inline distL="0" distT="0" distB="0" distR="0">
            <wp:extent cx="5246313" cy="1162050"/>
            <wp:effectExtent l="76200" t="76200" r="126365" b="133350"/>
            <wp:docPr id="1035" name="Picture 6"/>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9" name="Picture 6"/>
                    <pic:cNvPicPr/>
                  </pic:nvPicPr>
                  <pic:blipFill>
                    <a:blip r:embed="rId12" cstate="print"/>
                    <a:srcRect l="0" t="0" r="0" b="0"/>
                    <a:stretch/>
                  </pic:blipFill>
                  <pic:spPr>
                    <a:xfrm rot="0">
                      <a:off x="0" y="0"/>
                      <a:ext cx="5246313" cy="1162050"/>
                    </a:xfrm>
                    <a:prstGeom prst="rect"/>
                    <a:ln cmpd="sng" cap="sq" w="38100">
                      <a:solidFill>
                        <a:srgbClr val="000000"/>
                      </a:solidFill>
                      <a:prstDash val="solid"/>
                      <a:miter/>
                      <a:headEnd/>
                      <a:tailEnd/>
                    </a:ln>
                    <a:effectLst>
                      <a:outerShdw rotWithShape="false" sx="100000" sy="100000" dist="38100" dir="2700000" blurRad="50800" kx="0" ky="0" algn="tl">
                        <a:srgbClr val="000000">
                          <a:alpha val="43000"/>
                        </a:srgbClr>
                      </a:outerShdw>
                    </a:effectLst>
                  </pic:spPr>
                </pic:pic>
              </a:graphicData>
            </a:graphic>
          </wp:inline>
        </w:drawing>
      </w:r>
    </w:p>
    <w:p>
      <w:pPr>
        <w:pStyle w:val="style0"/>
        <w:jc w:val="center"/>
        <w:rPr>
          <w:b/>
          <w:bCs/>
        </w:rPr>
      </w:pPr>
      <w:r>
        <w:rPr>
          <w:b/>
          <w:bCs/>
        </w:rPr>
        <w:t xml:space="preserve">Figure </w:t>
      </w:r>
      <w:r>
        <w:rPr>
          <w:b/>
          <w:bCs/>
        </w:rPr>
        <w:t>6</w:t>
      </w:r>
      <w:r>
        <w:rPr>
          <w:b/>
          <w:bCs/>
        </w:rPr>
        <w:t xml:space="preserve">: </w:t>
      </w:r>
      <w:r>
        <w:rPr>
          <w:b/>
          <w:bCs/>
        </w:rPr>
        <w:t>Reverse shell established</w:t>
      </w:r>
    </w:p>
    <w:p>
      <w:pPr>
        <w:pStyle w:val="style0"/>
        <w:jc w:val="center"/>
        <w:rPr/>
      </w:pPr>
      <w:r>
        <w:t>(Source: Obtained from Kali Linux)</w:t>
      </w:r>
    </w:p>
    <w:p>
      <w:pPr>
        <w:pStyle w:val="style0"/>
        <w:rPr/>
      </w:pPr>
      <w:r>
        <w:t>This allowed the attacker to interact with the target system interactively and execute commands (</w:t>
      </w:r>
      <w:r>
        <w:t>Happe</w:t>
      </w:r>
      <w:r>
        <w:t xml:space="preserve"> and Cito, 2023). The reverse shell offered a more reliable and interactive way of communication than simple execution of commands on the web interface. This facilitated quick exploration of the file system and additional actions needed for the attack</w:t>
      </w:r>
      <w:r>
        <w:t>.</w:t>
      </w:r>
    </w:p>
    <w:bookmarkStart w:id="32" w:name="_Toc227957284"/>
    <w:bookmarkStart w:id="33" w:name="_Toc228221221"/>
    <w:p>
      <w:pPr>
        <w:pStyle w:val="style3"/>
        <w:rPr/>
      </w:pPr>
      <w:r>
        <w:t>7.4 Credential Access</w:t>
      </w:r>
      <w:bookmarkEnd w:id="32"/>
      <w:bookmarkEnd w:id="33"/>
    </w:p>
    <w:p>
      <w:pPr>
        <w:pStyle w:val="style0"/>
        <w:rPr/>
      </w:pPr>
      <w:r>
        <w:t>Access to credentials was gained by searching for files within the server. The web application configuration folder was accessed and a file with database credentials was discovered</w:t>
      </w:r>
      <w:r>
        <w:t xml:space="preserve">. </w:t>
      </w:r>
    </w:p>
    <w:p>
      <w:pPr>
        <w:pStyle w:val="style0"/>
        <w:jc w:val="center"/>
        <w:rPr/>
      </w:pPr>
      <w:r>
        <w:rPr>
          <w:noProof/>
        </w:rPr>
        <w:drawing>
          <wp:inline distL="0" distT="0" distB="0" distR="0">
            <wp:extent cx="5229225" cy="4229844"/>
            <wp:effectExtent l="76200" t="76200" r="123825" b="132715"/>
            <wp:docPr id="1036" name="Picture 7"/>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0" name="Picture 7"/>
                    <pic:cNvPicPr/>
                  </pic:nvPicPr>
                  <pic:blipFill>
                    <a:blip r:embed="rId13" cstate="print"/>
                    <a:srcRect l="0" t="0" r="0" b="0"/>
                    <a:stretch/>
                  </pic:blipFill>
                  <pic:spPr>
                    <a:xfrm rot="0">
                      <a:off x="0" y="0"/>
                      <a:ext cx="5229225" cy="4229844"/>
                    </a:xfrm>
                    <a:prstGeom prst="rect"/>
                    <a:ln cmpd="sng" cap="sq" w="38100">
                      <a:solidFill>
                        <a:srgbClr val="000000"/>
                      </a:solidFill>
                      <a:prstDash val="solid"/>
                      <a:miter/>
                      <a:headEnd/>
                      <a:tailEnd/>
                    </a:ln>
                    <a:effectLst>
                      <a:outerShdw rotWithShape="false" sx="100000" sy="100000" dist="38100" dir="2700000" blurRad="50800" kx="0" ky="0" algn="tl">
                        <a:srgbClr val="000000">
                          <a:alpha val="43000"/>
                        </a:srgbClr>
                      </a:outerShdw>
                    </a:effectLst>
                  </pic:spPr>
                </pic:pic>
              </a:graphicData>
            </a:graphic>
          </wp:inline>
        </w:drawing>
      </w:r>
    </w:p>
    <w:p>
      <w:pPr>
        <w:pStyle w:val="style0"/>
        <w:jc w:val="center"/>
        <w:rPr>
          <w:b/>
          <w:bCs/>
        </w:rPr>
      </w:pPr>
      <w:r>
        <w:rPr>
          <w:b/>
          <w:bCs/>
        </w:rPr>
        <w:t xml:space="preserve">Figure </w:t>
      </w:r>
      <w:r>
        <w:rPr>
          <w:b/>
          <w:bCs/>
        </w:rPr>
        <w:t>7</w:t>
      </w:r>
      <w:r>
        <w:rPr>
          <w:b/>
          <w:bCs/>
        </w:rPr>
        <w:t xml:space="preserve">: </w:t>
      </w:r>
      <w:r>
        <w:rPr>
          <w:b/>
          <w:bCs/>
        </w:rPr>
        <w:t>Hardcoded credentials discovered</w:t>
      </w:r>
    </w:p>
    <w:p>
      <w:pPr>
        <w:pStyle w:val="style0"/>
        <w:jc w:val="center"/>
        <w:rPr/>
      </w:pPr>
      <w:r>
        <w:t>(Source: Obtained from Kali Linux)</w:t>
      </w:r>
    </w:p>
    <w:p>
      <w:pPr>
        <w:pStyle w:val="style0"/>
        <w:rPr/>
      </w:pPr>
      <w:r>
        <w:t>The credential information was kept in plain text, suggesting a lack of secure credential management practices. The credentials obtained from the system were a username and password that could potentially be used for other systems</w:t>
      </w:r>
      <w:r>
        <w:t>.</w:t>
      </w:r>
    </w:p>
    <w:bookmarkStart w:id="34" w:name="_Toc227957285"/>
    <w:bookmarkStart w:id="35" w:name="_Toc228221222"/>
    <w:p>
      <w:pPr>
        <w:pStyle w:val="style3"/>
        <w:rPr/>
      </w:pPr>
      <w:r>
        <w:t>7.5 Lateral Movement</w:t>
      </w:r>
      <w:bookmarkEnd w:id="34"/>
      <w:bookmarkEnd w:id="35"/>
    </w:p>
    <w:p>
      <w:pPr>
        <w:pStyle w:val="style0"/>
        <w:rPr/>
      </w:pPr>
      <w:r>
        <w:t xml:space="preserve">Lateral movement was by using the server credentials to gain access to the Windows client computer. Server Message Block (SMB) protocol was selected as the tool to use in accessing shared resources. The </w:t>
      </w:r>
      <w:r>
        <w:t>smbclient</w:t>
      </w:r>
      <w:r>
        <w:t xml:space="preserve"> was used to log into the Windows system and was able to view a shared folder</w:t>
      </w:r>
      <w:r>
        <w:t>. This showed the success of password reuse and poor password security within the network</w:t>
      </w:r>
      <w:r>
        <w:t xml:space="preserve">. </w:t>
      </w:r>
    </w:p>
    <w:p>
      <w:pPr>
        <w:pStyle w:val="style0"/>
        <w:jc w:val="center"/>
        <w:rPr/>
      </w:pPr>
      <w:r>
        <w:rPr>
          <w:noProof/>
        </w:rPr>
        <w:drawing>
          <wp:inline distL="0" distT="0" distB="0" distR="0">
            <wp:extent cx="5209947" cy="2486025"/>
            <wp:effectExtent l="76200" t="76200" r="124460" b="123825"/>
            <wp:docPr id="1037" name="Picture 8"/>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1" name="Picture 8"/>
                    <pic:cNvPicPr/>
                  </pic:nvPicPr>
                  <pic:blipFill>
                    <a:blip r:embed="rId14" cstate="print"/>
                    <a:srcRect l="0" t="0" r="0" b="0"/>
                    <a:stretch/>
                  </pic:blipFill>
                  <pic:spPr>
                    <a:xfrm rot="0">
                      <a:off x="0" y="0"/>
                      <a:ext cx="5209947" cy="2486025"/>
                    </a:xfrm>
                    <a:prstGeom prst="rect"/>
                    <a:ln cmpd="sng" cap="sq" w="38100">
                      <a:solidFill>
                        <a:srgbClr val="000000"/>
                      </a:solidFill>
                      <a:prstDash val="solid"/>
                      <a:miter/>
                      <a:headEnd/>
                      <a:tailEnd/>
                    </a:ln>
                    <a:effectLst>
                      <a:outerShdw rotWithShape="false" sx="100000" sy="100000" dist="38100" dir="2700000" blurRad="50800" kx="0" ky="0" algn="tl">
                        <a:srgbClr val="000000">
                          <a:alpha val="43000"/>
                        </a:srgbClr>
                      </a:outerShdw>
                    </a:effectLst>
                  </pic:spPr>
                </pic:pic>
              </a:graphicData>
            </a:graphic>
          </wp:inline>
        </w:drawing>
      </w:r>
    </w:p>
    <w:p>
      <w:pPr>
        <w:pStyle w:val="style0"/>
        <w:jc w:val="center"/>
        <w:rPr>
          <w:b/>
          <w:bCs/>
        </w:rPr>
      </w:pPr>
      <w:r>
        <w:rPr>
          <w:b/>
          <w:bCs/>
        </w:rPr>
        <w:t xml:space="preserve">Figure </w:t>
      </w:r>
      <w:r>
        <w:rPr>
          <w:b/>
          <w:bCs/>
        </w:rPr>
        <w:t>8</w:t>
      </w:r>
      <w:r>
        <w:rPr>
          <w:b/>
          <w:bCs/>
        </w:rPr>
        <w:t xml:space="preserve">: </w:t>
      </w:r>
      <w:r>
        <w:rPr>
          <w:b/>
          <w:bCs/>
        </w:rPr>
        <w:t>Successful SMB authentication</w:t>
      </w:r>
    </w:p>
    <w:p>
      <w:pPr>
        <w:pStyle w:val="style0"/>
        <w:jc w:val="center"/>
        <w:rPr/>
      </w:pPr>
      <w:r>
        <w:t>(Source: Obtained from Kali Linux)</w:t>
      </w:r>
    </w:p>
    <w:p>
      <w:pPr>
        <w:pStyle w:val="style0"/>
        <w:rPr/>
      </w:pPr>
      <w:r>
        <w:t xml:space="preserve">Once authenticated, the attacker had the chance to navigate through the file system to locate the resources available. The stage indicates the capacity of an attacker to </w:t>
      </w:r>
      <w:r>
        <w:t>maneuver</w:t>
      </w:r>
      <w:r>
        <w:t xml:space="preserve"> around a network after they have accessed a system (King and Huang, 2023). Poor passwords and absence of network segregation were important during this phase of attack as it allowed the attacker to go beyond the initial point of access</w:t>
      </w:r>
      <w:r>
        <w:t>.</w:t>
      </w:r>
    </w:p>
    <w:bookmarkStart w:id="36" w:name="_Toc227957286"/>
    <w:bookmarkStart w:id="37" w:name="_Toc228221223"/>
    <w:p>
      <w:pPr>
        <w:pStyle w:val="style3"/>
        <w:rPr/>
      </w:pPr>
      <w:r>
        <w:t>7.6 Data Exfiltration</w:t>
      </w:r>
      <w:bookmarkEnd w:id="36"/>
      <w:bookmarkEnd w:id="37"/>
    </w:p>
    <w:p>
      <w:pPr>
        <w:pStyle w:val="style0"/>
        <w:rPr/>
      </w:pPr>
      <w:r>
        <w:t xml:space="preserve">The final step in the attack was the data extraction of the compromised windows system. After the attacker had gained access to the shared folder, he/she enumerated the files in the directory and found files that were interesting like customer information and password files. The attacker then copied these files back to the attacker machine using </w:t>
      </w:r>
      <w:r>
        <w:t>smbclient</w:t>
      </w:r>
      <w:r>
        <w:t xml:space="preserve"> tool</w:t>
      </w:r>
      <w:r>
        <w:t>. This action showed how data of value to the organisation was able to be stolen without detection</w:t>
      </w:r>
      <w:r>
        <w:t xml:space="preserve">. </w:t>
      </w:r>
    </w:p>
    <w:p>
      <w:pPr>
        <w:pStyle w:val="style0"/>
        <w:jc w:val="center"/>
        <w:rPr/>
      </w:pPr>
      <w:r>
        <w:rPr>
          <w:noProof/>
        </w:rPr>
        <w:drawing>
          <wp:inline distL="0" distT="0" distB="0" distR="0">
            <wp:extent cx="5343525" cy="1454581"/>
            <wp:effectExtent l="76200" t="76200" r="123825" b="127000"/>
            <wp:docPr id="1038" name="Picture 9"/>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2" name="Picture 9"/>
                    <pic:cNvPicPr/>
                  </pic:nvPicPr>
                  <pic:blipFill>
                    <a:blip r:embed="rId15" cstate="print"/>
                    <a:srcRect l="0" t="0" r="0" b="0"/>
                    <a:stretch/>
                  </pic:blipFill>
                  <pic:spPr>
                    <a:xfrm rot="0">
                      <a:off x="0" y="0"/>
                      <a:ext cx="5343525" cy="1454581"/>
                    </a:xfrm>
                    <a:prstGeom prst="rect"/>
                    <a:ln cmpd="sng" cap="sq" w="38100">
                      <a:solidFill>
                        <a:srgbClr val="000000"/>
                      </a:solidFill>
                      <a:prstDash val="solid"/>
                      <a:miter/>
                      <a:headEnd/>
                      <a:tailEnd/>
                    </a:ln>
                    <a:effectLst>
                      <a:outerShdw rotWithShape="false" sx="100000" sy="100000" dist="38100" dir="2700000" blurRad="50800" kx="0" ky="0" algn="tl">
                        <a:srgbClr val="000000">
                          <a:alpha val="43000"/>
                        </a:srgbClr>
                      </a:outerShdw>
                    </a:effectLst>
                  </pic:spPr>
                </pic:pic>
              </a:graphicData>
            </a:graphic>
          </wp:inline>
        </w:drawing>
      </w:r>
    </w:p>
    <w:p>
      <w:pPr>
        <w:pStyle w:val="style0"/>
        <w:jc w:val="center"/>
        <w:rPr>
          <w:b/>
          <w:bCs/>
        </w:rPr>
      </w:pPr>
      <w:r>
        <w:rPr>
          <w:b/>
          <w:bCs/>
        </w:rPr>
        <w:t xml:space="preserve">Figure </w:t>
      </w:r>
      <w:r>
        <w:rPr>
          <w:b/>
          <w:bCs/>
        </w:rPr>
        <w:t>9</w:t>
      </w:r>
      <w:r>
        <w:rPr>
          <w:b/>
          <w:bCs/>
        </w:rPr>
        <w:t xml:space="preserve">: </w:t>
      </w:r>
      <w:r>
        <w:rPr>
          <w:b/>
          <w:bCs/>
        </w:rPr>
        <w:t>Exfiltration of sensitive files</w:t>
      </w:r>
    </w:p>
    <w:p>
      <w:pPr>
        <w:pStyle w:val="style0"/>
        <w:jc w:val="center"/>
        <w:rPr/>
      </w:pPr>
      <w:r>
        <w:t>(Source: Obtained from Kali Linux)</w:t>
      </w:r>
    </w:p>
    <w:p>
      <w:pPr>
        <w:pStyle w:val="style0"/>
        <w:rPr/>
      </w:pPr>
      <w:r>
        <w:t>This phase was made possible due to the lack of monitoring and the absence of access controls over the shared resources (McIntosh et al., 2024). The threat actor was able to network share files, demonstrating the absence of data security controls such as encryption or access controls. This stage marks the successful completion of the attack goals, with data being accessed and exfiltrated from the system</w:t>
      </w:r>
      <w:r>
        <w:t>.</w:t>
      </w:r>
    </w:p>
    <w:bookmarkStart w:id="38" w:name="_Toc227957287"/>
    <w:bookmarkStart w:id="39" w:name="_Toc228221224"/>
    <w:p>
      <w:pPr>
        <w:pStyle w:val="style2"/>
        <w:rPr/>
      </w:pPr>
      <w:r>
        <w:t>8. Detection Gap Analysis</w:t>
      </w:r>
      <w:bookmarkEnd w:id="38"/>
      <w:bookmarkEnd w:id="39"/>
    </w:p>
    <w:p>
      <w:pPr>
        <w:pStyle w:val="style0"/>
        <w:rPr/>
      </w:pPr>
      <w:r>
        <w:t>The red team attack was not detected because of several weaknesses in the organisation's security controls, including in the areas of firewalling, monitoring and logging. Lack of effective firewall rules was a major factor in the failure to detect the attack. The Windows host permitted inbound connections on key ports like SMB without adequate filtering, allowing unauthorised connections from the attacker system (</w:t>
      </w:r>
      <w:r>
        <w:t>Aljaidi</w:t>
      </w:r>
      <w:r>
        <w:t xml:space="preserve"> et al., 2022).</w:t>
      </w:r>
      <w:r>
        <w:t xml:space="preserve"> </w:t>
      </w:r>
      <w:r>
        <w:t xml:space="preserve">Similarly, the web server failed to conduct strict input validation and network filtering so that the efforts to exploit it could still proceed. The lack of 24-hour surveillance was also another reason why the attack was successful. No instruments were in place to check their network traffic or identify abnormal practices like repeated scanning, commands being run or unauthorised access attempts. This enabled the reconnaissance, web application exploitation and subsequent lateral movement to be unnoticed. This is a good pointer that there was no real time visibility of systems and anomalous behaviour detection. Moreover, ineffective logging undermined the ability of the organisation to identify and track suspicious </w:t>
      </w:r>
      <w:r>
        <w:t>activities.Similarly</w:t>
      </w:r>
      <w:r>
        <w:t xml:space="preserve">, the web server failed to do strict input checking and network filtering which allowed the exploitation efforts to go on unhindered. Monitoring was also not in </w:t>
      </w:r>
      <w:r>
        <w:t>place</w:t>
      </w:r>
      <w:r>
        <w:t xml:space="preserve"> and this was another factor that contributed to the success of the attack. They did not have any tools that would monitor their network traffic or identify unusual activity like constant scanning, commands being issued or even an effort to gain unauthorized access. This enabled the reconnaissance, web application exploitation and subsequent lateral movement to remain unnoticed. This shows clearly that there was lack of real time visibility of systems and lack of detection of anomalous behaviour. In addition, ineffective logging procedures undermined the effectiveness of the organisation to identify and track suspicious activities</w:t>
      </w:r>
      <w:r>
        <w:t xml:space="preserve">. </w:t>
      </w:r>
      <w:r>
        <w:t>The logs were not being centrally collected or analysed, so suspicious activities such as command injection and access to files could not be detected. A lack of event correlation also diminished the value of any logging that was taking place</w:t>
      </w:r>
      <w:r>
        <w:t>.</w:t>
      </w:r>
    </w:p>
    <w:bookmarkStart w:id="40" w:name="_Toc227957288"/>
    <w:bookmarkStart w:id="41" w:name="_Toc228221225"/>
    <w:p>
      <w:pPr>
        <w:pStyle w:val="style2"/>
        <w:rPr/>
      </w:pPr>
      <w:r>
        <w:t>9. Recommendations</w:t>
      </w:r>
      <w:bookmarkEnd w:id="40"/>
      <w:bookmarkEnd w:id="41"/>
    </w:p>
    <w:p>
      <w:pPr>
        <w:pStyle w:val="style0"/>
        <w:rPr/>
      </w:pPr>
      <w:r>
        <w:t xml:space="preserve">To overcome the observed security challenges, a multifaceted approach, including technical, monitoring and policy improvements is needed. Technically, organisations should ensure that tight controls are in place to control inbound and outbound traffic through firewalls, allowing only services that are necessary. </w:t>
      </w:r>
      <w:r>
        <w:t xml:space="preserve">Isolation of networks should be established to isolate critical systems and avoid contagion of attacks between environments. To minimize the possibility of password-based attacks, effective authentication, including multi-factor authentication, must be used. Cases of passwords and password changes should be put in place </w:t>
      </w:r>
      <w:r>
        <w:t>in order to</w:t>
      </w:r>
      <w:r>
        <w:t xml:space="preserve"> reduce cases of unauthorised access. In addition, strong patch management should be implemented to have the software maintained and vulnerabilities eliminated. There should also be secure configuration guidelines which all systems follow to avoid misconfigurations</w:t>
      </w:r>
      <w:r>
        <w:t xml:space="preserve">. In terms of monitoring, organisations need to ensure centralised logging and monitoring are in place to provide visibility into the network. The deployment of a Security Information and Event Management tool will facilitate the collection and correlation of security events and alarms from different sources, which will help to identify anomalous behaviours and attacks (Chung et al., 2023). Real-time monitoring of user actions, network traffic and system activities should be performed to detect potential threats. Intrusion detection and prevention systems should also be implemented to help safeguard against threats. From an administrative standpoint, policies and procedures should be implemented. Security training should be provided to raise awareness of phishing and other social engineering attacks. Security incident response plans should be developed, tested and refined for incident management. </w:t>
      </w:r>
      <w:r>
        <w:t>Timely response is essential to roles and escalation processes. Also, organisations ought to conduct security audits and penetration testing frequently to actively identify and address security vulnerabilities and improve security. Through these practices, organisations are likely to enhance their mitigation, detection and response to the cyber threats.</w:t>
      </w:r>
    </w:p>
    <w:bookmarkStart w:id="42" w:name="_Toc227957289"/>
    <w:bookmarkStart w:id="43" w:name="_Toc228221226"/>
    <w:p>
      <w:pPr>
        <w:pStyle w:val="style2"/>
        <w:rPr/>
      </w:pPr>
      <w:r>
        <w:t>10. Conclusion</w:t>
      </w:r>
      <w:bookmarkEnd w:id="42"/>
      <w:bookmarkEnd w:id="43"/>
    </w:p>
    <w:p>
      <w:pPr>
        <w:pStyle w:val="style0"/>
        <w:rPr/>
      </w:pPr>
      <w:r>
        <w:t xml:space="preserve">The red team exercise on the simulated environment of ABCD Ltd highlights the vulnerabilities and attack vectors that can be used to compromise an organisation's systems. The sequence of steps taken by the attacker - reconnaissance, exploitation of a vulnerable web application, setting up a reverse shell, discovering credentials, lateral movement within the network, and finally exfiltration of data - is a typical scenario encountered in real cyberattacks. The results reveal key vulnerabilities in web application development, access control and network architecture, which all played a role in the attack's success. The environment is rated as high risk, given the ease of movement through each step of the attack. Lack of monitoring, logging </w:t>
      </w:r>
      <w:r>
        <w:t>and weak security measures enabled the attacker to go undetected, highlighting the importance of strengthening detection and response mechanisms. Further, the absence of robust authentication and network segmentation compounded the damage of the attack by allowing lateral movement and access to sensitive information. The attack highlights the need for a multi-layered and proactive security strategy. Organisations should adopt a multi-faceted approach of prevention, detection and response to counter cyber threats. Improving technical security measures, monitoring and organisational security measures can help mitigate risks and make organisations more resilient to future threats. Regular review and enhancement of security practices is crucial for a strong cybersecurity stance</w:t>
      </w:r>
      <w:r>
        <w:t>.</w:t>
      </w:r>
      <w:r>
        <w:br w:type="page"/>
      </w:r>
    </w:p>
    <w:bookmarkStart w:id="44" w:name="_Toc228221227"/>
    <w:p>
      <w:pPr>
        <w:pStyle w:val="style1"/>
        <w:rPr/>
      </w:pPr>
      <w:r>
        <w:t>References</w:t>
      </w:r>
      <w:bookmarkEnd w:id="0"/>
      <w:bookmarkEnd w:id="44"/>
    </w:p>
    <w:p>
      <w:pPr>
        <w:pStyle w:val="style0"/>
        <w:rPr>
          <w:b/>
          <w:bCs/>
        </w:rPr>
      </w:pPr>
      <w:r>
        <w:rPr>
          <w:b/>
          <w:bCs/>
        </w:rPr>
        <w:t>Task 1</w:t>
      </w:r>
    </w:p>
    <w:p>
      <w:pPr>
        <w:pStyle w:val="style0"/>
        <w:rPr/>
      </w:pPr>
      <w:r>
        <w:t xml:space="preserve">Abdi, A.H., </w:t>
      </w:r>
      <w:r>
        <w:t>Audah</w:t>
      </w:r>
      <w:r>
        <w:t xml:space="preserve">, L., </w:t>
      </w:r>
      <w:r>
        <w:t>Salh</w:t>
      </w:r>
      <w:r>
        <w:t xml:space="preserve">, A., </w:t>
      </w:r>
      <w:r>
        <w:t>Alhartomi</w:t>
      </w:r>
      <w:r>
        <w:t>, M.A., Rasheed, H., Ahmed, S. and Tahir, A., 2024. Security control and data planes of SDN: A comprehensive review of traditional, AI, and MTD approaches to security solutions. </w:t>
      </w:r>
      <w:r>
        <w:rPr>
          <w:i/>
          <w:iCs/>
        </w:rPr>
        <w:t>IEEE Access</w:t>
      </w:r>
      <w:r>
        <w:t>, </w:t>
      </w:r>
      <w:r>
        <w:rPr>
          <w:i/>
          <w:iCs/>
        </w:rPr>
        <w:t>12</w:t>
      </w:r>
      <w:r>
        <w:t>, pp.69941-69980.</w:t>
      </w:r>
    </w:p>
    <w:p>
      <w:pPr>
        <w:pStyle w:val="style0"/>
        <w:rPr/>
      </w:pPr>
      <w:r>
        <w:t>Akinbogun</w:t>
      </w:r>
      <w:r>
        <w:t xml:space="preserve">, S.P., Kayode, O.F. and </w:t>
      </w:r>
      <w:r>
        <w:t>Oyedokun</w:t>
      </w:r>
      <w:r>
        <w:t>, T.B., 2024. Security practices in retail properties in a developing economy: a logistic analysis of impacts on customers’ satisfaction and patronage. </w:t>
      </w:r>
      <w:r>
        <w:rPr>
          <w:i/>
          <w:iCs/>
        </w:rPr>
        <w:t>Journal of Facilities Management</w:t>
      </w:r>
      <w:r>
        <w:t>, </w:t>
      </w:r>
      <w:r>
        <w:rPr>
          <w:i/>
          <w:iCs/>
        </w:rPr>
        <w:t>22</w:t>
      </w:r>
      <w:r>
        <w:t>(3), pp.416-431.</w:t>
      </w:r>
    </w:p>
    <w:p>
      <w:pPr>
        <w:pStyle w:val="style0"/>
        <w:rPr/>
      </w:pPr>
      <w:r>
        <w:t xml:space="preserve">Al-Sada, B., </w:t>
      </w:r>
      <w:r>
        <w:t>Sadighian</w:t>
      </w:r>
      <w:r>
        <w:t xml:space="preserve">, A. and </w:t>
      </w:r>
      <w:r>
        <w:t>Oligeri</w:t>
      </w:r>
      <w:r>
        <w:t>, G., 2024. MITRE ATT&amp;CK: State of the art and way forward. </w:t>
      </w:r>
      <w:r>
        <w:rPr>
          <w:i/>
          <w:iCs/>
        </w:rPr>
        <w:t>ACM Computing Surveys</w:t>
      </w:r>
      <w:r>
        <w:t>, </w:t>
      </w:r>
      <w:r>
        <w:rPr>
          <w:i/>
          <w:iCs/>
        </w:rPr>
        <w:t>57</w:t>
      </w:r>
      <w:r>
        <w:t>(1), pp.1-37.</w:t>
      </w:r>
    </w:p>
    <w:p>
      <w:pPr>
        <w:pStyle w:val="style0"/>
        <w:rPr/>
      </w:pPr>
      <w:r>
        <w:t>Demirol</w:t>
      </w:r>
      <w:r>
        <w:t xml:space="preserve">, D., Das, R. and </w:t>
      </w:r>
      <w:r>
        <w:t>Hanbay</w:t>
      </w:r>
      <w:r>
        <w:t xml:space="preserve">, D., 2025. A novel approach for cyber threat analysis systems using </w:t>
      </w:r>
      <w:r>
        <w:t>bert</w:t>
      </w:r>
      <w:r>
        <w:t xml:space="preserve"> model from cyber threat intelligence data. </w:t>
      </w:r>
      <w:r>
        <w:rPr>
          <w:i/>
          <w:iCs/>
        </w:rPr>
        <w:t>Symmetry</w:t>
      </w:r>
      <w:r>
        <w:t>, </w:t>
      </w:r>
      <w:r>
        <w:rPr>
          <w:i/>
          <w:iCs/>
        </w:rPr>
        <w:t>17</w:t>
      </w:r>
      <w:r>
        <w:t>(4), p.587.</w:t>
      </w:r>
    </w:p>
    <w:p>
      <w:pPr>
        <w:pStyle w:val="style0"/>
        <w:rPr/>
      </w:pPr>
      <w:r>
        <w:t>Dunsin</w:t>
      </w:r>
      <w:r>
        <w:t xml:space="preserve">, D., Ghanem, M.C., </w:t>
      </w:r>
      <w:r>
        <w:t>Ouazzane</w:t>
      </w:r>
      <w:r>
        <w:t>, K. and Vassilev, V., 2024. A comprehensive analysis of the role of artificial intelligence and machine learning in modern digital forensics and incident response. </w:t>
      </w:r>
      <w:r>
        <w:rPr>
          <w:i/>
          <w:iCs/>
        </w:rPr>
        <w:t>Forensic Science International: Digital Investigation</w:t>
      </w:r>
      <w:r>
        <w:t>, </w:t>
      </w:r>
      <w:r>
        <w:rPr>
          <w:i/>
          <w:iCs/>
        </w:rPr>
        <w:t>48</w:t>
      </w:r>
      <w:r>
        <w:t>, p.301675.</w:t>
      </w:r>
    </w:p>
    <w:p>
      <w:pPr>
        <w:pStyle w:val="style0"/>
        <w:rPr/>
      </w:pPr>
      <w:r>
        <w:t>Ilori</w:t>
      </w:r>
      <w:r>
        <w:t xml:space="preserve">, O., Nwosu, N.T. and </w:t>
      </w:r>
      <w:r>
        <w:t>Naiho</w:t>
      </w:r>
      <w:r>
        <w:t>, H.N.N., 2024. Third-party vendor risks in IT security: A comprehensive audit review and mitigation strategies. </w:t>
      </w:r>
      <w:r>
        <w:rPr>
          <w:i/>
          <w:iCs/>
        </w:rPr>
        <w:t>World Journal of Advanced Research and Reviews</w:t>
      </w:r>
      <w:r>
        <w:t>, </w:t>
      </w:r>
      <w:r>
        <w:rPr>
          <w:i/>
          <w:iCs/>
        </w:rPr>
        <w:t>22</w:t>
      </w:r>
      <w:r>
        <w:t>(3), pp.213-224.</w:t>
      </w:r>
    </w:p>
    <w:p>
      <w:pPr>
        <w:pStyle w:val="style0"/>
        <w:rPr/>
      </w:pPr>
      <w:r>
        <w:t>Lehto</w:t>
      </w:r>
      <w:r>
        <w:t>, M., 2022, March. APT cyber-attack modelling: Building a general model. In </w:t>
      </w:r>
      <w:r>
        <w:rPr>
          <w:i/>
          <w:iCs/>
        </w:rPr>
        <w:t>International Conference on Cyber Warfare and Security</w:t>
      </w:r>
      <w:r>
        <w:t> (Vol. 17, No. 1, pp. 121-129). Academic Conferences International Limited.</w:t>
      </w:r>
    </w:p>
    <w:p>
      <w:pPr>
        <w:pStyle w:val="style0"/>
        <w:rPr/>
      </w:pPr>
      <w:r>
        <w:t>Maddireddy</w:t>
      </w:r>
      <w:r>
        <w:t xml:space="preserve">, B.R. and </w:t>
      </w:r>
      <w:r>
        <w:t>Maddireddy</w:t>
      </w:r>
      <w:r>
        <w:t>, B.R., 2023. Enhancing Network Security through AI-Powered Automated Incident Response Systems. </w:t>
      </w:r>
      <w:r>
        <w:rPr>
          <w:i/>
          <w:iCs/>
        </w:rPr>
        <w:t>International Journal of Advanced Engineering Technologies and Innovations</w:t>
      </w:r>
      <w:r>
        <w:t>, </w:t>
      </w:r>
      <w:r>
        <w:rPr>
          <w:i/>
          <w:iCs/>
        </w:rPr>
        <w:t>1</w:t>
      </w:r>
      <w:r>
        <w:t>(02), pp.282-304.</w:t>
      </w:r>
    </w:p>
    <w:p>
      <w:pPr>
        <w:pStyle w:val="style0"/>
        <w:rPr/>
      </w:pPr>
      <w:r>
        <w:t>Mugari</w:t>
      </w:r>
      <w:r>
        <w:t xml:space="preserve">, I., </w:t>
      </w:r>
      <w:r>
        <w:t>Chiduku</w:t>
      </w:r>
      <w:r>
        <w:t>, T. and Obioha, E.E., 2025. An Exploration of the Retail Sector Crime and Prevention Strategies in Zimbabwe. </w:t>
      </w:r>
      <w:r>
        <w:rPr>
          <w:i/>
          <w:iCs/>
        </w:rPr>
        <w:t>African Journal of Business and Economic Research</w:t>
      </w:r>
      <w:r>
        <w:t>, </w:t>
      </w:r>
      <w:r>
        <w:rPr>
          <w:i/>
          <w:iCs/>
        </w:rPr>
        <w:t>20</w:t>
      </w:r>
      <w:r>
        <w:t>(3), p.321.</w:t>
      </w:r>
    </w:p>
    <w:p>
      <w:pPr>
        <w:pStyle w:val="style0"/>
        <w:rPr/>
      </w:pPr>
      <w:r>
        <w:t xml:space="preserve">Naik, N., Jenkins, P., Grace, P. and Song, J., 2022, October. Comparing attack models for </w:t>
      </w:r>
      <w:r>
        <w:t>it</w:t>
      </w:r>
      <w:r>
        <w:t xml:space="preserve"> systems: Lockheed martin’s cyber kill chain, mitre </w:t>
      </w:r>
      <w:r>
        <w:t>att&amp;ck</w:t>
      </w:r>
      <w:r>
        <w:t xml:space="preserve"> framework and diamond model. In </w:t>
      </w:r>
      <w:r>
        <w:rPr>
          <w:i/>
          <w:iCs/>
        </w:rPr>
        <w:t>2022 IEEE International Symposium on Systems Engineering (ISSE)</w:t>
      </w:r>
      <w:r>
        <w:t> (pp. 1-7). IEEE.</w:t>
      </w:r>
    </w:p>
    <w:p>
      <w:pPr>
        <w:pStyle w:val="style0"/>
        <w:rPr/>
      </w:pPr>
      <w:r>
        <w:t>Wu, B., Zhu, Z., Liu, L., Liu, Q., He, Z. and Lyu, S., 2026. Attacks in adversarial machine learning: A systematic survey from the lifecycle perspective. </w:t>
      </w:r>
      <w:r>
        <w:rPr>
          <w:i/>
          <w:iCs/>
        </w:rPr>
        <w:t>International Journal of Computer Vision</w:t>
      </w:r>
      <w:r>
        <w:t>, </w:t>
      </w:r>
      <w:r>
        <w:rPr>
          <w:i/>
          <w:iCs/>
        </w:rPr>
        <w:t>134</w:t>
      </w:r>
      <w:r>
        <w:t>(5), p.197.</w:t>
      </w:r>
    </w:p>
    <w:p>
      <w:pPr>
        <w:pStyle w:val="style0"/>
        <w:rPr/>
      </w:pPr>
      <w:r>
        <w:t>Zengy</w:t>
      </w:r>
      <w:r>
        <w:t xml:space="preserve">, J., Wang, X., Liu, J., Chen, Y., Liang, Z., Chua, T.S. and Chua, Z.L., 2022, May. </w:t>
      </w:r>
      <w:r>
        <w:t>Shadewatcher</w:t>
      </w:r>
      <w:r>
        <w:t>: Recommendation-guided cyber threat analysis using system audit records. In </w:t>
      </w:r>
      <w:r>
        <w:rPr>
          <w:i/>
          <w:iCs/>
        </w:rPr>
        <w:t>2022 IEEE symposium on security and privacy (SP)</w:t>
      </w:r>
      <w:r>
        <w:t> (pp. 489-506). IEEE.</w:t>
      </w:r>
    </w:p>
    <w:p>
      <w:pPr>
        <w:pStyle w:val="style0"/>
        <w:rPr>
          <w:b/>
          <w:bCs/>
        </w:rPr>
      </w:pPr>
      <w:r>
        <w:rPr>
          <w:b/>
          <w:bCs/>
        </w:rPr>
        <w:t>Task 2</w:t>
      </w:r>
    </w:p>
    <w:p>
      <w:pPr>
        <w:pStyle w:val="style0"/>
        <w:rPr/>
      </w:pPr>
      <w:r>
        <w:t>Aljaidi</w:t>
      </w:r>
      <w:r>
        <w:t xml:space="preserve">, M., </w:t>
      </w:r>
      <w:r>
        <w:t>Alsarhan</w:t>
      </w:r>
      <w:r>
        <w:t xml:space="preserve">, A., Samara, G., </w:t>
      </w:r>
      <w:r>
        <w:t>Alazaidah</w:t>
      </w:r>
      <w:r>
        <w:t xml:space="preserve">, R., </w:t>
      </w:r>
      <w:r>
        <w:t>Almatarneh</w:t>
      </w:r>
      <w:r>
        <w:t>, S., Khalid, M. and Al-</w:t>
      </w:r>
      <w:r>
        <w:t>Gumaei</w:t>
      </w:r>
      <w:r>
        <w:t xml:space="preserve">, Y.A., 2022, November. </w:t>
      </w:r>
      <w:r>
        <w:t>Nhs</w:t>
      </w:r>
      <w:r>
        <w:t xml:space="preserve"> </w:t>
      </w:r>
      <w:r>
        <w:t>wannacry</w:t>
      </w:r>
      <w:r>
        <w:t xml:space="preserve"> ransomware attack: Technical explanation of the vulnerability, exploitation, and countermeasures. In </w:t>
      </w:r>
      <w:r>
        <w:rPr>
          <w:i/>
          <w:iCs/>
        </w:rPr>
        <w:t>2022 International Engineering Conference on Electrical, Energy, and Artificial Intelligence (EICEEAI)</w:t>
      </w:r>
      <w:r>
        <w:t> (pp. 1-6). IEEE.</w:t>
      </w:r>
    </w:p>
    <w:p>
      <w:pPr>
        <w:pStyle w:val="style0"/>
        <w:rPr/>
      </w:pPr>
      <w:r>
        <w:t>Altulaihan</w:t>
      </w:r>
      <w:r>
        <w:t xml:space="preserve">, E.A., </w:t>
      </w:r>
      <w:r>
        <w:t>Alismail</w:t>
      </w:r>
      <w:r>
        <w:t xml:space="preserve">, A. and </w:t>
      </w:r>
      <w:r>
        <w:t>Frikha</w:t>
      </w:r>
      <w:r>
        <w:t>, M., 2023. A survey on web application penetration testing. </w:t>
      </w:r>
      <w:r>
        <w:rPr>
          <w:i/>
          <w:iCs/>
        </w:rPr>
        <w:t>Electronics</w:t>
      </w:r>
      <w:r>
        <w:t>, </w:t>
      </w:r>
      <w:r>
        <w:rPr>
          <w:i/>
          <w:iCs/>
        </w:rPr>
        <w:t>12</w:t>
      </w:r>
      <w:r>
        <w:t>(5), p.1229.</w:t>
      </w:r>
    </w:p>
    <w:p>
      <w:pPr>
        <w:pStyle w:val="style0"/>
        <w:rPr/>
      </w:pPr>
      <w:r>
        <w:t>Brilhante</w:t>
      </w:r>
      <w:r>
        <w:t xml:space="preserve">, M.D.F., </w:t>
      </w:r>
      <w:r>
        <w:t>Pestana</w:t>
      </w:r>
      <w:r>
        <w:t xml:space="preserve">, D., </w:t>
      </w:r>
      <w:r>
        <w:t>Pestana</w:t>
      </w:r>
      <w:r>
        <w:t>, P. and Rocha, M.L., 2023. Measuring the risk of vulnerabilities exploitation. </w:t>
      </w:r>
      <w:r>
        <w:rPr>
          <w:i/>
          <w:iCs/>
        </w:rPr>
        <w:t>AppliedMath</w:t>
      </w:r>
      <w:r>
        <w:t>, </w:t>
      </w:r>
      <w:r>
        <w:rPr>
          <w:i/>
          <w:iCs/>
        </w:rPr>
        <w:t>4</w:t>
      </w:r>
      <w:r>
        <w:t>(1), pp.20-54.</w:t>
      </w:r>
    </w:p>
    <w:p>
      <w:pPr>
        <w:pStyle w:val="style0"/>
        <w:rPr/>
      </w:pPr>
      <w:r>
        <w:t xml:space="preserve">Chung, M.H., Yang, Y., Wang, L., Cento, G., Jerath, K., Raman, A., Lie, D. and Chignell, M.H., 2023. Implementing data exfiltration </w:t>
      </w:r>
      <w:r>
        <w:t>defense</w:t>
      </w:r>
      <w:r>
        <w:t xml:space="preserve"> in situ: a survey of countermeasures and human involvement. </w:t>
      </w:r>
      <w:r>
        <w:rPr>
          <w:i/>
          <w:iCs/>
        </w:rPr>
        <w:t>acm</w:t>
      </w:r>
      <w:r>
        <w:rPr>
          <w:i/>
          <w:iCs/>
        </w:rPr>
        <w:t xml:space="preserve"> computing surveys</w:t>
      </w:r>
      <w:r>
        <w:t>, </w:t>
      </w:r>
      <w:r>
        <w:rPr>
          <w:i/>
          <w:iCs/>
        </w:rPr>
        <w:t>55</w:t>
      </w:r>
      <w:r>
        <w:t>(14s), pp.1-37.</w:t>
      </w:r>
    </w:p>
    <w:p>
      <w:pPr>
        <w:pStyle w:val="style0"/>
        <w:rPr/>
      </w:pPr>
      <w:r>
        <w:t>Feffer</w:t>
      </w:r>
      <w:r>
        <w:t xml:space="preserve">, M., Sinha, A., Deng, W.H., Lipton, Z.C. and </w:t>
      </w:r>
      <w:r>
        <w:t>Heidari</w:t>
      </w:r>
      <w:r>
        <w:t xml:space="preserve">, H., 2024, October. Red-teaming for generative AI: Silver bullet or security </w:t>
      </w:r>
      <w:r>
        <w:t>theater</w:t>
      </w:r>
      <w:r>
        <w:t>?.</w:t>
      </w:r>
      <w:r>
        <w:t xml:space="preserve"> In </w:t>
      </w:r>
      <w:r>
        <w:rPr>
          <w:i/>
          <w:iCs/>
        </w:rPr>
        <w:t>Proceedings of the AAAI/ACM Conference on AI, Ethics, and Society</w:t>
      </w:r>
      <w:r>
        <w:t> (Vol. 7, No. 1, pp. 421-437).</w:t>
      </w:r>
    </w:p>
    <w:p>
      <w:pPr>
        <w:pStyle w:val="style0"/>
        <w:rPr/>
      </w:pPr>
      <w:r>
        <w:t>Happe</w:t>
      </w:r>
      <w:r>
        <w:t xml:space="preserve">, A. and Cito, J., 2023, November. Getting </w:t>
      </w:r>
      <w:r>
        <w:t>pwn’d</w:t>
      </w:r>
      <w:r>
        <w:t xml:space="preserve"> by ai: Penetration testing with large language models. In </w:t>
      </w:r>
      <w:r>
        <w:rPr>
          <w:i/>
          <w:iCs/>
        </w:rPr>
        <w:t xml:space="preserve">Proceedings of the 31st ACM joint </w:t>
      </w:r>
      <w:r>
        <w:rPr>
          <w:i/>
          <w:iCs/>
        </w:rPr>
        <w:t>european</w:t>
      </w:r>
      <w:r>
        <w:rPr>
          <w:i/>
          <w:iCs/>
        </w:rPr>
        <w:t xml:space="preserve"> software engineering conference and symposium on the foundations of software engineering</w:t>
      </w:r>
      <w:r>
        <w:t> (pp. 2082-2086).</w:t>
      </w:r>
    </w:p>
    <w:p>
      <w:pPr>
        <w:pStyle w:val="style0"/>
        <w:rPr/>
      </w:pPr>
      <w:r>
        <w:t>King, I.J. and Huang, H.H., 2023. Euler: Detecting network lateral movement via scalable temporal link prediction. </w:t>
      </w:r>
      <w:r>
        <w:rPr>
          <w:i/>
          <w:iCs/>
        </w:rPr>
        <w:t>ACM Transactions on Privacy and Security</w:t>
      </w:r>
      <w:r>
        <w:t>, </w:t>
      </w:r>
      <w:r>
        <w:rPr>
          <w:i/>
          <w:iCs/>
        </w:rPr>
        <w:t>26</w:t>
      </w:r>
      <w:r>
        <w:t>(3), pp.1-36.</w:t>
      </w:r>
    </w:p>
    <w:p>
      <w:pPr>
        <w:pStyle w:val="style0"/>
        <w:rPr/>
      </w:pPr>
      <w:r>
        <w:t xml:space="preserve">McIntosh, T., </w:t>
      </w:r>
      <w:r>
        <w:t>Susnjak</w:t>
      </w:r>
      <w:r>
        <w:t xml:space="preserve">, T., Liu, T., Xu, D., Watters, P., Liu, D., Hao, Y., Ng, A. and </w:t>
      </w:r>
      <w:r>
        <w:t>Halgamuge</w:t>
      </w:r>
      <w:r>
        <w:t>, M., 2024. Ransomware reloaded: Re-examining its trend, research and mitigation in the era of data exfiltration. </w:t>
      </w:r>
      <w:r>
        <w:rPr>
          <w:i/>
          <w:iCs/>
        </w:rPr>
        <w:t>ACM Computing Surveys</w:t>
      </w:r>
      <w:r>
        <w:t>, </w:t>
      </w:r>
      <w:r>
        <w:rPr>
          <w:i/>
          <w:iCs/>
        </w:rPr>
        <w:t>57</w:t>
      </w:r>
      <w:r>
        <w:t>(1), pp.1-40.</w:t>
      </w:r>
    </w:p>
    <w:p>
      <w:pPr>
        <w:pStyle w:val="style0"/>
        <w:rPr/>
      </w:pPr>
      <w:r>
        <w:t xml:space="preserve">Parada, L.A., Bona, R.L. and </w:t>
      </w:r>
      <w:r>
        <w:t>Biancardi</w:t>
      </w:r>
      <w:r>
        <w:t>, C.M., 2024. Biomechanics of lateral movements: A review. </w:t>
      </w:r>
      <w:r>
        <w:rPr>
          <w:i/>
          <w:iCs/>
        </w:rPr>
        <w:t>Scientific Journal of Sport and Performance</w:t>
      </w:r>
      <w:r>
        <w:t>, </w:t>
      </w:r>
      <w:r>
        <w:rPr>
          <w:i/>
          <w:iCs/>
        </w:rPr>
        <w:t>3</w:t>
      </w:r>
      <w:r>
        <w:t>(4), pp.443-456.</w:t>
      </w:r>
    </w:p>
    <w:p>
      <w:pPr>
        <w:pStyle w:val="style0"/>
        <w:rPr/>
      </w:pPr>
      <w:r>
        <w:t xml:space="preserve">Singh, R., </w:t>
      </w:r>
      <w:r>
        <w:t>Blili</w:t>
      </w:r>
      <w:r>
        <w:t xml:space="preserve">-Hamelin, B., Anderson, C., </w:t>
      </w:r>
      <w:r>
        <w:t>Tafesse</w:t>
      </w:r>
      <w:r>
        <w:t xml:space="preserve">, E., </w:t>
      </w:r>
      <w:r>
        <w:t>Vecchione</w:t>
      </w:r>
      <w:r>
        <w:t xml:space="preserve">, B., Duckles, B. and Metcalf, J., 2025. </w:t>
      </w:r>
      <w:r>
        <w:t>Red-teaming</w:t>
      </w:r>
      <w:r>
        <w:t xml:space="preserve"> in the public interest. </w:t>
      </w:r>
      <w:r>
        <w:rPr>
          <w:i/>
          <w:iCs/>
        </w:rPr>
        <w:t>New York: Data &amp; Society Research Institute</w:t>
      </w:r>
      <w:r>
        <w:t>.</w:t>
      </w:r>
    </w:p>
    <w:p>
      <w:pPr>
        <w:pStyle w:val="style0"/>
        <w:rPr/>
      </w:pPr>
      <w:r>
        <w:t xml:space="preserve">Turk, Ž., </w:t>
      </w:r>
      <w:r>
        <w:t>Sonkor</w:t>
      </w:r>
      <w:r>
        <w:t xml:space="preserve">, M.S. and </w:t>
      </w:r>
      <w:r>
        <w:t>Klinc</w:t>
      </w:r>
      <w:r>
        <w:t>, R., 2022. Cybersecurity assessment of BIM/CDE design environment using cyber assessment framework. </w:t>
      </w:r>
      <w:r>
        <w:rPr>
          <w:i/>
          <w:iCs/>
        </w:rPr>
        <w:t>Journal of Civil Engineering and Management</w:t>
      </w:r>
      <w:r>
        <w:t>, </w:t>
      </w:r>
      <w:r>
        <w:rPr>
          <w:i/>
          <w:iCs/>
        </w:rPr>
        <w:t>28</w:t>
      </w:r>
      <w:r>
        <w:t>(5), pp.349-364.</w:t>
      </w:r>
    </w:p>
    <w:p>
      <w:pPr>
        <w:pStyle w:val="style0"/>
        <w:rPr/>
      </w:pPr>
      <w:r>
        <w:t>Zineddine</w:t>
      </w:r>
      <w:r>
        <w:t xml:space="preserve">, A., </w:t>
      </w:r>
      <w:r>
        <w:t>Chakir</w:t>
      </w:r>
      <w:r>
        <w:t xml:space="preserve">, O., </w:t>
      </w:r>
      <w:r>
        <w:t>Sadqi</w:t>
      </w:r>
      <w:r>
        <w:t xml:space="preserve">, Y., </w:t>
      </w:r>
      <w:r>
        <w:t>Maleh</w:t>
      </w:r>
      <w:r>
        <w:t xml:space="preserve">, Y., Gaba, G.S., </w:t>
      </w:r>
      <w:r>
        <w:t>Gurtov</w:t>
      </w:r>
      <w:r>
        <w:t>, A. and Dev, K., 2024. A systematic review of cybersecurity assessment methods for HTTPS. </w:t>
      </w:r>
      <w:r>
        <w:rPr>
          <w:i/>
          <w:iCs/>
        </w:rPr>
        <w:t>Computers and Electrical Engineering</w:t>
      </w:r>
      <w:r>
        <w:t>, </w:t>
      </w:r>
      <w:r>
        <w:rPr>
          <w:i/>
          <w:iCs/>
        </w:rPr>
        <w:t>115</w:t>
      </w:r>
      <w:r>
        <w:t>, p.109137.</w:t>
      </w:r>
    </w:p>
    <w:sectPr>
      <w:footerReference w:type="default" r:id="rId16"/>
      <w:pgSz w:w="11906" w:h="16838" w:orient="portrait"/>
      <w:pgMar w:top="1440" w:right="1440" w:bottom="1440" w:left="1440" w:header="708" w:footer="708" w:gutter="0"/>
      <w:pgBorders w:zOrder="front" w:display="allPage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7020507"/>
    <w:charset w:val="02"/>
    <w:family w:val="roman"/>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Aptos">
    <w:altName w:val="Aptos"/>
    <w:panose1 w:val="00000000000000000000"/>
    <w:charset w:val="00"/>
    <w:family w:val="swiss"/>
    <w:pitch w:val="variable"/>
    <w:sig w:usb0="20000287" w:usb1="00000003" w:usb2="00000000" w:usb3="00000000" w:csb0="0000019F" w:csb1="00000000"/>
  </w:font>
  <w:font w:name="Arial">
    <w:altName w:val="Arial"/>
    <w:panose1 w:val="020b0604020002020204"/>
    <w:charset w:val="00"/>
    <w:family w:val="swiss"/>
    <w:pitch w:val="variable"/>
    <w:sig w:usb0="E0002EFF" w:usb1="C000785B" w:usb2="00000009" w:usb3="00000000" w:csb0="000001FF" w:csb1="00000000"/>
  </w:font>
  <w:font w:name="Aptos Display">
    <w:altName w:val="Aptos Display"/>
    <w:panose1 w:val="00000000000000000000"/>
    <w:charset w:val="00"/>
    <w:family w:val="swiss"/>
    <w:pitch w:val="variable"/>
    <w:sig w:usb0="20000287" w:usb1="00000003" w:usb2="00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right"/>
      <w:rPr>
        <w:sz w:val="20"/>
        <w:szCs w:val="20"/>
      </w:rPr>
    </w:pPr>
    <w:r>
      <w:rPr>
        <w:sz w:val="20"/>
        <w:szCs w:val="20"/>
      </w:rPr>
      <w:fldChar w:fldCharType="begin"/>
    </w:r>
    <w:r>
      <w:rPr>
        <w:sz w:val="20"/>
        <w:szCs w:val="20"/>
      </w:rPr>
      <w:instrText xml:space="preserve"> PAGE   \* MERGEFORMAT </w:instrText>
    </w:r>
    <w:r>
      <w:rPr>
        <w:sz w:val="20"/>
        <w:szCs w:val="20"/>
      </w:rPr>
      <w:fldChar w:fldCharType="separate"/>
    </w:r>
    <w:r>
      <w:rPr>
        <w:noProof/>
        <w:sz w:val="20"/>
        <w:szCs w:val="20"/>
      </w:rPr>
      <w:t>2</w:t>
    </w:r>
    <w:r>
      <w:rPr>
        <w:noProof/>
        <w:sz w:val="20"/>
        <w:szCs w:val="20"/>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C92C5A16"/>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
    <w:nsid w:val="00000001"/>
    <w:multiLevelType w:val="multilevel"/>
    <w:tmpl w:val="EBF826DE"/>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2">
    <w:nsid w:val="00000002"/>
    <w:multiLevelType w:val="multilevel"/>
    <w:tmpl w:val="1EB2E68C"/>
    <w:lvl w:ilvl="0">
      <w:start w:val="1"/>
      <w:numFmt w:val="bullet"/>
      <w:lvlText w:val=""/>
      <w:lvlJc w:val="left"/>
      <w:pPr>
        <w:tabs>
          <w:tab w:val="left" w:leader="none" w:pos="720"/>
        </w:tabs>
        <w:ind w:left="720" w:hanging="360"/>
      </w:pPr>
      <w:rPr>
        <w:rFonts w:ascii="Symbol" w:hAnsi="Symbol" w:hint="default"/>
        <w:sz w:val="20"/>
      </w:rPr>
    </w:lvl>
    <w:lvl w:ilvl="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3">
    <w:nsid w:val="00000003"/>
    <w:multiLevelType w:val="multilevel"/>
    <w:tmpl w:val="9ABE0592"/>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4">
    <w:nsid w:val="00000004"/>
    <w:multiLevelType w:val="multilevel"/>
    <w:tmpl w:val="568E03D0"/>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5">
    <w:nsid w:val="00000005"/>
    <w:multiLevelType w:val="multilevel"/>
    <w:tmpl w:val="799E39BE"/>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6">
    <w:nsid w:val="00000006"/>
    <w:multiLevelType w:val="multilevel"/>
    <w:tmpl w:val="0F72CFBC"/>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7">
    <w:nsid w:val="00000007"/>
    <w:multiLevelType w:val="multilevel"/>
    <w:tmpl w:val="8B98CA7E"/>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8">
    <w:nsid w:val="00000008"/>
    <w:multiLevelType w:val="multilevel"/>
    <w:tmpl w:val="C9FC6972"/>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9">
    <w:nsid w:val="00000009"/>
    <w:multiLevelType w:val="multilevel"/>
    <w:tmpl w:val="3DEE38F2"/>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0">
    <w:nsid w:val="0000000A"/>
    <w:multiLevelType w:val="hybridMultilevel"/>
    <w:tmpl w:val="427AD2B2"/>
    <w:lvl w:ilvl="0" w:tplc="58A8B968">
      <w:start w:val="1"/>
      <w:numFmt w:val="bullet"/>
      <w:lvlText w:val=""/>
      <w:lvlJc w:val="left"/>
      <w:pPr>
        <w:ind w:left="720" w:hanging="360"/>
      </w:pPr>
      <w:rPr>
        <w:rFonts w:ascii="Times New Roman" w:cs="Times New Roman" w:eastAsia="Aptos" w:hAnsi="Times New Roman" w:hint="default"/>
      </w:rPr>
    </w:lvl>
    <w:lvl w:ilvl="1" w:tplc="40090003" w:tentative="1">
      <w:start w:val="1"/>
      <w:numFmt w:val="bullet"/>
      <w:lvlText w:val="o"/>
      <w:lvlJc w:val="left"/>
      <w:pPr>
        <w:ind w:left="1440" w:hanging="360"/>
      </w:pPr>
      <w:rPr>
        <w:rFonts w:ascii="Courier New" w:cs="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cs="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cs="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nsid w:val="0000000B"/>
    <w:multiLevelType w:val="multilevel"/>
    <w:tmpl w:val="673258B0"/>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2">
    <w:nsid w:val="0000000C"/>
    <w:multiLevelType w:val="multilevel"/>
    <w:tmpl w:val="C9B23BD2"/>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3">
    <w:nsid w:val="0000000D"/>
    <w:multiLevelType w:val="multilevel"/>
    <w:tmpl w:val="A0D484CA"/>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4">
    <w:nsid w:val="0000000E"/>
    <w:multiLevelType w:val="multilevel"/>
    <w:tmpl w:val="AE544012"/>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5">
    <w:nsid w:val="0000000F"/>
    <w:multiLevelType w:val="multilevel"/>
    <w:tmpl w:val="AA0C26A6"/>
    <w:lvl w:ilvl="0">
      <w:start w:val="1"/>
      <w:numFmt w:val="bullet"/>
      <w:lvlText w:val=""/>
      <w:lvlJc w:val="left"/>
      <w:pPr>
        <w:tabs>
          <w:tab w:val="left" w:leader="none" w:pos="720"/>
        </w:tabs>
        <w:ind w:left="720" w:hanging="360"/>
      </w:pPr>
      <w:rPr>
        <w:rFonts w:ascii="Symbol" w:hAnsi="Symbol" w:hint="default"/>
        <w:sz w:val="20"/>
      </w:rPr>
    </w:lvl>
    <w:lvl w:ilvl="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6">
    <w:nsid w:val="00000010"/>
    <w:multiLevelType w:val="multilevel"/>
    <w:tmpl w:val="34DA0000"/>
    <w:lvl w:ilvl="0">
      <w:start w:val="1"/>
      <w:numFmt w:val="bullet"/>
      <w:lvlText w:val=""/>
      <w:lvlJc w:val="left"/>
      <w:pPr>
        <w:tabs>
          <w:tab w:val="left" w:leader="none" w:pos="720"/>
        </w:tabs>
        <w:ind w:left="720" w:hanging="360"/>
      </w:pPr>
      <w:rPr>
        <w:rFonts w:ascii="Symbol" w:hAnsi="Symbol" w:hint="default"/>
        <w:sz w:val="20"/>
      </w:rPr>
    </w:lvl>
    <w:lvl w:ilvl="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7">
    <w:nsid w:val="00000011"/>
    <w:multiLevelType w:val="multilevel"/>
    <w:tmpl w:val="17AEBB40"/>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8">
    <w:nsid w:val="00000012"/>
    <w:multiLevelType w:val="multilevel"/>
    <w:tmpl w:val="D0C8FF34"/>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9">
    <w:nsid w:val="00000013"/>
    <w:multiLevelType w:val="hybridMultilevel"/>
    <w:tmpl w:val="F4CCCA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cs="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cs="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cs="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nsid w:val="00000014"/>
    <w:multiLevelType w:val="multilevel"/>
    <w:tmpl w:val="CC2432E6"/>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21">
    <w:nsid w:val="00000015"/>
    <w:multiLevelType w:val="multilevel"/>
    <w:tmpl w:val="852A1DBA"/>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22">
    <w:nsid w:val="00000016"/>
    <w:multiLevelType w:val="multilevel"/>
    <w:tmpl w:val="85EA0CB2"/>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23">
    <w:nsid w:val="00000017"/>
    <w:multiLevelType w:val="multilevel"/>
    <w:tmpl w:val="C038A3DC"/>
    <w:lvl w:ilvl="0">
      <w:start w:val="1"/>
      <w:numFmt w:val="bullet"/>
      <w:lvlText w:val=""/>
      <w:lvlJc w:val="left"/>
      <w:pPr>
        <w:tabs>
          <w:tab w:val="left" w:leader="none" w:pos="720"/>
        </w:tabs>
        <w:ind w:left="720" w:hanging="360"/>
      </w:pPr>
      <w:rPr>
        <w:rFonts w:ascii="Symbol" w:hAnsi="Symbol" w:hint="default"/>
        <w:sz w:val="20"/>
      </w:rPr>
    </w:lvl>
    <w:lvl w:ilvl="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24">
    <w:nsid w:val="00000018"/>
    <w:multiLevelType w:val="multilevel"/>
    <w:tmpl w:val="2AAC93D0"/>
    <w:lvl w:ilvl="0">
      <w:start w:val="1"/>
      <w:numFmt w:val="bullet"/>
      <w:lvlText w:val=""/>
      <w:lvlJc w:val="left"/>
      <w:pPr>
        <w:tabs>
          <w:tab w:val="left" w:leader="none" w:pos="720"/>
        </w:tabs>
        <w:ind w:left="720" w:hanging="360"/>
      </w:pPr>
      <w:rPr>
        <w:rFonts w:ascii="Symbol" w:hAnsi="Symbol" w:hint="default"/>
        <w:sz w:val="20"/>
      </w:rPr>
    </w:lvl>
    <w:lvl w:ilvl="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25">
    <w:nsid w:val="00000019"/>
    <w:multiLevelType w:val="multilevel"/>
    <w:tmpl w:val="D2489500"/>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26">
    <w:nsid w:val="0000001A"/>
    <w:multiLevelType w:val="multilevel"/>
    <w:tmpl w:val="7B20091A"/>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27">
    <w:nsid w:val="0000001B"/>
    <w:multiLevelType w:val="multilevel"/>
    <w:tmpl w:val="CB7CCC42"/>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num w:numId="1">
    <w:abstractNumId w:val="22"/>
  </w:num>
  <w:num w:numId="2">
    <w:abstractNumId w:val="5"/>
  </w:num>
  <w:num w:numId="3">
    <w:abstractNumId w:val="18"/>
  </w:num>
  <w:num w:numId="4">
    <w:abstractNumId w:val="16"/>
  </w:num>
  <w:num w:numId="5">
    <w:abstractNumId w:val="2"/>
  </w:num>
  <w:num w:numId="6">
    <w:abstractNumId w:val="0"/>
  </w:num>
  <w:num w:numId="7">
    <w:abstractNumId w:val="26"/>
  </w:num>
  <w:num w:numId="8">
    <w:abstractNumId w:val="15"/>
  </w:num>
  <w:num w:numId="9">
    <w:abstractNumId w:val="1"/>
  </w:num>
  <w:num w:numId="10">
    <w:abstractNumId w:val="13"/>
  </w:num>
  <w:num w:numId="11">
    <w:abstractNumId w:val="3"/>
  </w:num>
  <w:num w:numId="12">
    <w:abstractNumId w:val="27"/>
  </w:num>
  <w:num w:numId="13">
    <w:abstractNumId w:val="25"/>
  </w:num>
  <w:num w:numId="14">
    <w:abstractNumId w:val="23"/>
  </w:num>
  <w:num w:numId="15">
    <w:abstractNumId w:val="21"/>
  </w:num>
  <w:num w:numId="16">
    <w:abstractNumId w:val="17"/>
  </w:num>
  <w:num w:numId="17">
    <w:abstractNumId w:val="7"/>
  </w:num>
  <w:num w:numId="18">
    <w:abstractNumId w:val="20"/>
  </w:num>
  <w:num w:numId="19">
    <w:abstractNumId w:val="9"/>
  </w:num>
  <w:num w:numId="20">
    <w:abstractNumId w:val="8"/>
  </w:num>
  <w:num w:numId="21">
    <w:abstractNumId w:val="12"/>
  </w:num>
  <w:num w:numId="22">
    <w:abstractNumId w:val="11"/>
  </w:num>
  <w:num w:numId="23">
    <w:abstractNumId w:val="14"/>
  </w:num>
  <w:num w:numId="24">
    <w:abstractNumId w:val="24"/>
  </w:num>
  <w:num w:numId="25">
    <w:abstractNumId w:val="6"/>
  </w:num>
  <w:num w:numId="26">
    <w:abstractNumId w:val="4"/>
  </w:num>
  <w:num w:numId="27">
    <w:abstractNumId w:val="19"/>
  </w:num>
  <w:num w:numId="28">
    <w:abstractNumId w:val="10"/>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ptos" w:cs="宋体" w:eastAsia="Aptos" w:hAnsi="Aptos"/>
        <w:kern w:val="2"/>
        <w:sz w:val="24"/>
        <w:szCs w:val="24"/>
        <w:lang w:val="en-IN" w:bidi="ar-SA" w:eastAsia="en-US"/>
        <w14:ligatures xmlns:w14="http://schemas.microsoft.com/office/word/2010/wordml" w14:val="standardContextual"/>
      </w:rPr>
    </w:rPrDefault>
    <w:pPrDefault>
      <w:pPr>
        <w:spacing w:after="160" w:lineRule="auto" w:line="278"/>
      </w:pPr>
    </w:pPrDefault>
  </w:docDefaults>
  <w:style w:type="paragraph" w:default="1" w:styleId="style0">
    <w:name w:val="Normal"/>
    <w:next w:val="style0"/>
    <w:qFormat/>
    <w:pPr>
      <w:spacing w:lineRule="auto" w:line="360"/>
      <w:jc w:val="both"/>
    </w:pPr>
    <w:rPr>
      <w:rFonts w:ascii="Times New Roman" w:hAnsi="Times New Roman"/>
    </w:rPr>
  </w:style>
  <w:style w:type="paragraph" w:styleId="style1">
    <w:name w:val="heading 1"/>
    <w:basedOn w:val="style0"/>
    <w:next w:val="style0"/>
    <w:link w:val="style4097"/>
    <w:qFormat/>
    <w:uiPriority w:val="9"/>
    <w:pPr>
      <w:outlineLvl w:val="0"/>
    </w:pPr>
    <w:rPr>
      <w:b/>
      <w:sz w:val="28"/>
    </w:rPr>
  </w:style>
  <w:style w:type="paragraph" w:styleId="style2">
    <w:name w:val="heading 2"/>
    <w:basedOn w:val="style1"/>
    <w:next w:val="style0"/>
    <w:link w:val="style4098"/>
    <w:qFormat/>
    <w:uiPriority w:val="9"/>
    <w:pPr>
      <w:outlineLvl w:val="1"/>
    </w:pPr>
    <w:rPr>
      <w:sz w:val="26"/>
    </w:rPr>
  </w:style>
  <w:style w:type="paragraph" w:styleId="style3">
    <w:name w:val="heading 3"/>
    <w:basedOn w:val="style0"/>
    <w:next w:val="style0"/>
    <w:link w:val="style4099"/>
    <w:qFormat/>
    <w:uiPriority w:val="9"/>
    <w:pPr>
      <w:outlineLvl w:val="2"/>
    </w:pPr>
    <w:rPr>
      <w:b/>
      <w:bCs/>
    </w:rPr>
  </w:style>
  <w:style w:type="paragraph" w:styleId="style4">
    <w:name w:val="heading 4"/>
    <w:basedOn w:val="style0"/>
    <w:next w:val="style0"/>
    <w:link w:val="style4100"/>
    <w:qFormat/>
    <w:uiPriority w:val="9"/>
    <w:pPr>
      <w:keepNext/>
      <w:keepLines/>
      <w:spacing w:before="80" w:after="40"/>
      <w:outlineLvl w:val="3"/>
    </w:pPr>
    <w:rPr>
      <w:rFonts w:ascii="Aptos" w:cs="宋体" w:eastAsia="宋体" w:hAnsi="Aptos"/>
      <w:i/>
      <w:iCs/>
      <w:color w:val="0f4761"/>
    </w:rPr>
  </w:style>
  <w:style w:type="paragraph" w:styleId="style5">
    <w:name w:val="heading 5"/>
    <w:basedOn w:val="style0"/>
    <w:next w:val="style0"/>
    <w:link w:val="style4101"/>
    <w:qFormat/>
    <w:uiPriority w:val="9"/>
    <w:pPr>
      <w:keepNext/>
      <w:keepLines/>
      <w:spacing w:before="80" w:after="40"/>
      <w:outlineLvl w:val="4"/>
    </w:pPr>
    <w:rPr>
      <w:rFonts w:ascii="Aptos" w:cs="宋体" w:eastAsia="宋体" w:hAnsi="Aptos"/>
      <w:color w:val="0f4761"/>
    </w:rPr>
  </w:style>
  <w:style w:type="paragraph" w:styleId="style6">
    <w:name w:val="heading 6"/>
    <w:basedOn w:val="style0"/>
    <w:next w:val="style0"/>
    <w:link w:val="style4102"/>
    <w:qFormat/>
    <w:uiPriority w:val="9"/>
    <w:pPr>
      <w:keepNext/>
      <w:keepLines/>
      <w:spacing w:before="40" w:after="0"/>
      <w:outlineLvl w:val="5"/>
    </w:pPr>
    <w:rPr>
      <w:rFonts w:ascii="Aptos" w:cs="宋体" w:eastAsia="宋体" w:hAnsi="Aptos"/>
      <w:i/>
      <w:iCs/>
      <w:color w:val="595959"/>
    </w:rPr>
  </w:style>
  <w:style w:type="paragraph" w:styleId="style7">
    <w:name w:val="heading 7"/>
    <w:basedOn w:val="style0"/>
    <w:next w:val="style0"/>
    <w:link w:val="style4103"/>
    <w:qFormat/>
    <w:uiPriority w:val="9"/>
    <w:pPr>
      <w:keepNext/>
      <w:keepLines/>
      <w:spacing w:before="40" w:after="0"/>
      <w:outlineLvl w:val="6"/>
    </w:pPr>
    <w:rPr>
      <w:rFonts w:ascii="Aptos" w:cs="宋体" w:eastAsia="宋体" w:hAnsi="Aptos"/>
      <w:color w:val="595959"/>
    </w:rPr>
  </w:style>
  <w:style w:type="paragraph" w:styleId="style8">
    <w:name w:val="heading 8"/>
    <w:basedOn w:val="style0"/>
    <w:next w:val="style0"/>
    <w:link w:val="style4104"/>
    <w:qFormat/>
    <w:uiPriority w:val="9"/>
    <w:pPr>
      <w:keepNext/>
      <w:keepLines/>
      <w:spacing w:after="0"/>
      <w:outlineLvl w:val="7"/>
    </w:pPr>
    <w:rPr>
      <w:rFonts w:ascii="Aptos" w:cs="宋体" w:eastAsia="宋体" w:hAnsi="Aptos"/>
      <w:i/>
      <w:iCs/>
      <w:color w:val="272727"/>
    </w:rPr>
  </w:style>
  <w:style w:type="paragraph" w:styleId="style9">
    <w:name w:val="heading 9"/>
    <w:basedOn w:val="style0"/>
    <w:next w:val="style0"/>
    <w:link w:val="style4105"/>
    <w:qFormat/>
    <w:uiPriority w:val="9"/>
    <w:pPr>
      <w:keepNext/>
      <w:keepLines/>
      <w:spacing w:after="0"/>
      <w:outlineLvl w:val="8"/>
    </w:pPr>
    <w:rPr>
      <w:rFonts w:ascii="Aptos" w:cs="宋体" w:eastAsia="宋体" w:hAnsi="Aptos"/>
      <w:color w:val="272727"/>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43061205-b0ba-40ad-b0f2-f1ef990d2090"/>
    <w:basedOn w:val="style65"/>
    <w:next w:val="style4097"/>
    <w:link w:val="style1"/>
    <w:uiPriority w:val="9"/>
    <w:rPr>
      <w:rFonts w:ascii="Times New Roman" w:hAnsi="Times New Roman"/>
      <w:b/>
      <w:sz w:val="28"/>
    </w:rPr>
  </w:style>
  <w:style w:type="character" w:customStyle="1" w:styleId="style4098">
    <w:name w:val="Heading 2 Char_c4677b27-1838-4872-a105-2494e93b00a0"/>
    <w:basedOn w:val="style65"/>
    <w:next w:val="style4098"/>
    <w:link w:val="style2"/>
    <w:uiPriority w:val="9"/>
    <w:rPr>
      <w:rFonts w:ascii="Times New Roman" w:hAnsi="Times New Roman"/>
      <w:b/>
      <w:sz w:val="26"/>
    </w:rPr>
  </w:style>
  <w:style w:type="character" w:customStyle="1" w:styleId="style4099">
    <w:name w:val="Heading 3 Char_ea2ba936-0363-46cc-935c-6b13da68277c"/>
    <w:basedOn w:val="style65"/>
    <w:next w:val="style4099"/>
    <w:link w:val="style3"/>
    <w:uiPriority w:val="9"/>
    <w:rPr>
      <w:rFonts w:ascii="Arial" w:hAnsi="Arial"/>
      <w:b/>
      <w:bCs/>
    </w:rPr>
  </w:style>
  <w:style w:type="character" w:customStyle="1" w:styleId="style4100">
    <w:name w:val="Heading 4 Char_4dd939d4-9195-44b1-bdae-6ed79ada63f7"/>
    <w:basedOn w:val="style65"/>
    <w:next w:val="style4100"/>
    <w:link w:val="style4"/>
    <w:uiPriority w:val="9"/>
    <w:rPr>
      <w:rFonts w:cs="宋体" w:eastAsia="宋体"/>
      <w:i/>
      <w:iCs/>
      <w:color w:val="0f4761"/>
    </w:rPr>
  </w:style>
  <w:style w:type="character" w:customStyle="1" w:styleId="style4101">
    <w:name w:val="Heading 5 Char_eb107ad7-f3bb-44f1-b686-0f966074f294"/>
    <w:basedOn w:val="style65"/>
    <w:next w:val="style4101"/>
    <w:link w:val="style5"/>
    <w:uiPriority w:val="9"/>
    <w:rPr>
      <w:rFonts w:cs="宋体" w:eastAsia="宋体"/>
      <w:color w:val="0f4761"/>
    </w:rPr>
  </w:style>
  <w:style w:type="character" w:customStyle="1" w:styleId="style4102">
    <w:name w:val="Heading 6 Char_f92493a0-6837-4aeb-8871-657e299803b8"/>
    <w:basedOn w:val="style65"/>
    <w:next w:val="style4102"/>
    <w:link w:val="style6"/>
    <w:uiPriority w:val="9"/>
    <w:rPr>
      <w:rFonts w:cs="宋体" w:eastAsia="宋体"/>
      <w:i/>
      <w:iCs/>
      <w:color w:val="595959"/>
    </w:rPr>
  </w:style>
  <w:style w:type="character" w:customStyle="1" w:styleId="style4103">
    <w:name w:val="Heading 7 Char_45515a62-3267-4bc4-8703-87697b21a7b3"/>
    <w:basedOn w:val="style65"/>
    <w:next w:val="style4103"/>
    <w:link w:val="style7"/>
    <w:uiPriority w:val="9"/>
    <w:rPr>
      <w:rFonts w:cs="宋体" w:eastAsia="宋体"/>
      <w:color w:val="595959"/>
    </w:rPr>
  </w:style>
  <w:style w:type="character" w:customStyle="1" w:styleId="style4104">
    <w:name w:val="Heading 8 Char_2804d198-046a-4dd4-91a5-bea197edf304"/>
    <w:basedOn w:val="style65"/>
    <w:next w:val="style4104"/>
    <w:link w:val="style8"/>
    <w:uiPriority w:val="9"/>
    <w:rPr>
      <w:rFonts w:cs="宋体" w:eastAsia="宋体"/>
      <w:i/>
      <w:iCs/>
      <w:color w:val="272727"/>
    </w:rPr>
  </w:style>
  <w:style w:type="character" w:customStyle="1" w:styleId="style4105">
    <w:name w:val="Heading 9 Char_0b2ebc73-e4ae-4e6c-b8aa-b6820d245058"/>
    <w:basedOn w:val="style65"/>
    <w:next w:val="style4105"/>
    <w:link w:val="style9"/>
    <w:uiPriority w:val="9"/>
    <w:rPr>
      <w:rFonts w:cs="宋体" w:eastAsia="宋体"/>
      <w:color w:val="272727"/>
    </w:rPr>
  </w:style>
  <w:style w:type="paragraph" w:styleId="style62">
    <w:name w:val="Title"/>
    <w:basedOn w:val="style0"/>
    <w:next w:val="style0"/>
    <w:link w:val="style4106"/>
    <w:qFormat/>
    <w:uiPriority w:val="10"/>
    <w:pPr>
      <w:spacing w:after="80" w:lineRule="auto" w:line="240"/>
      <w:contextualSpacing/>
    </w:pPr>
    <w:rPr>
      <w:rFonts w:ascii="Aptos Display" w:cs="宋体" w:eastAsia="宋体" w:hAnsi="Aptos Display"/>
      <w:spacing w:val="-10"/>
      <w:kern w:val="28"/>
      <w:sz w:val="56"/>
      <w:szCs w:val="56"/>
    </w:rPr>
  </w:style>
  <w:style w:type="character" w:customStyle="1" w:styleId="style4106">
    <w:name w:val="Title Char_9d71cb13-a179-477c-850e-5faa50034793"/>
    <w:basedOn w:val="style65"/>
    <w:next w:val="style4106"/>
    <w:link w:val="style62"/>
    <w:uiPriority w:val="10"/>
    <w:rPr>
      <w:rFonts w:ascii="Aptos Display" w:cs="宋体" w:eastAsia="宋体" w:hAnsi="Aptos Display"/>
      <w:spacing w:val="-10"/>
      <w:kern w:val="28"/>
      <w:sz w:val="56"/>
      <w:szCs w:val="56"/>
    </w:rPr>
  </w:style>
  <w:style w:type="paragraph" w:styleId="style74">
    <w:name w:val="Subtitle"/>
    <w:basedOn w:val="style0"/>
    <w:next w:val="style0"/>
    <w:link w:val="style4107"/>
    <w:qFormat/>
    <w:uiPriority w:val="11"/>
    <w:pPr>
      <w:numPr>
        <w:ilvl w:val="1"/>
        <w:numId w:val="0"/>
      </w:numPr>
    </w:pPr>
    <w:rPr>
      <w:rFonts w:ascii="Aptos" w:cs="宋体" w:eastAsia="宋体" w:hAnsi="Aptos"/>
      <w:color w:val="595959"/>
      <w:spacing w:val="15"/>
      <w:sz w:val="28"/>
      <w:szCs w:val="28"/>
    </w:rPr>
  </w:style>
  <w:style w:type="character" w:customStyle="1" w:styleId="style4107">
    <w:name w:val="Subtitle Char"/>
    <w:basedOn w:val="style65"/>
    <w:next w:val="style4107"/>
    <w:link w:val="style74"/>
    <w:uiPriority w:val="11"/>
    <w:rPr>
      <w:rFonts w:cs="宋体" w:eastAsia="宋体"/>
      <w:color w:val="595959"/>
      <w:spacing w:val="15"/>
      <w:sz w:val="28"/>
      <w:szCs w:val="28"/>
    </w:rPr>
  </w:style>
  <w:style w:type="paragraph" w:styleId="style180">
    <w:name w:val="Quote"/>
    <w:basedOn w:val="style0"/>
    <w:next w:val="style0"/>
    <w:link w:val="style4108"/>
    <w:qFormat/>
    <w:uiPriority w:val="29"/>
    <w:pPr>
      <w:spacing w:before="160"/>
      <w:jc w:val="center"/>
    </w:pPr>
    <w:rPr>
      <w:i/>
      <w:iCs/>
      <w:color w:val="404040"/>
    </w:rPr>
  </w:style>
  <w:style w:type="character" w:customStyle="1" w:styleId="style4108">
    <w:name w:val="Quote Char_23de0d31-ffd8-49fc-875a-d1aa098f0164"/>
    <w:basedOn w:val="style65"/>
    <w:next w:val="style4108"/>
    <w:link w:val="style180"/>
    <w:uiPriority w:val="29"/>
    <w:rPr>
      <w:rFonts w:ascii="Arial" w:hAnsi="Arial"/>
      <w:i/>
      <w:iCs/>
      <w:color w:val="404040"/>
    </w:rPr>
  </w:style>
  <w:style w:type="paragraph" w:styleId="style179">
    <w:name w:val="List Paragraph"/>
    <w:basedOn w:val="style0"/>
    <w:next w:val="style179"/>
    <w:qFormat/>
    <w:uiPriority w:val="34"/>
    <w:pPr>
      <w:ind w:left="720"/>
      <w:contextualSpacing/>
    </w:pPr>
    <w:rPr/>
  </w:style>
  <w:style w:type="character" w:styleId="style261">
    <w:name w:val="Intense Emphasis"/>
    <w:basedOn w:val="style65"/>
    <w:next w:val="style261"/>
    <w:qFormat/>
    <w:uiPriority w:val="21"/>
    <w:rPr>
      <w:i/>
      <w:iCs/>
      <w:color w:val="0f4761"/>
    </w:rPr>
  </w:style>
  <w:style w:type="paragraph" w:styleId="style181">
    <w:name w:val="Intense Quote"/>
    <w:basedOn w:val="style0"/>
    <w:next w:val="style0"/>
    <w:link w:val="style4109"/>
    <w:qFormat/>
    <w:uiPriority w:val="30"/>
    <w:pPr>
      <w:pBdr>
        <w:top w:val="single" w:sz="4" w:space="10" w:color="0f4761"/>
        <w:bottom w:val="single" w:sz="4" w:space="10" w:color="0f4761"/>
      </w:pBdr>
      <w:spacing w:before="360" w:after="360"/>
      <w:ind w:left="864" w:right="864"/>
      <w:jc w:val="center"/>
    </w:pPr>
    <w:rPr>
      <w:i/>
      <w:iCs/>
      <w:color w:val="0f4761"/>
    </w:rPr>
  </w:style>
  <w:style w:type="character" w:customStyle="1" w:styleId="style4109">
    <w:name w:val="Intense Quote Char_0a8588cc-124b-45cd-89f8-cef97dc0239a"/>
    <w:basedOn w:val="style65"/>
    <w:next w:val="style4109"/>
    <w:link w:val="style181"/>
    <w:uiPriority w:val="30"/>
    <w:rPr>
      <w:rFonts w:ascii="Arial" w:hAnsi="Arial"/>
      <w:i/>
      <w:iCs/>
      <w:color w:val="0f4761"/>
    </w:rPr>
  </w:style>
  <w:style w:type="character" w:styleId="style263">
    <w:name w:val="Intense Reference"/>
    <w:basedOn w:val="style65"/>
    <w:next w:val="style263"/>
    <w:qFormat/>
    <w:uiPriority w:val="32"/>
    <w:rPr>
      <w:b/>
      <w:bCs/>
      <w:smallCaps/>
      <w:color w:val="0f4761"/>
      <w:spacing w:val="5"/>
    </w:rPr>
  </w:style>
  <w:style w:type="paragraph" w:styleId="style31">
    <w:name w:val="header"/>
    <w:basedOn w:val="style0"/>
    <w:next w:val="style31"/>
    <w:link w:val="style4110"/>
    <w:uiPriority w:val="99"/>
    <w:pPr>
      <w:tabs>
        <w:tab w:val="center" w:leader="none" w:pos="4513"/>
        <w:tab w:val="right" w:leader="none" w:pos="9026"/>
      </w:tabs>
      <w:spacing w:after="0" w:lineRule="auto" w:line="240"/>
    </w:pPr>
    <w:rPr/>
  </w:style>
  <w:style w:type="character" w:customStyle="1" w:styleId="style4110">
    <w:name w:val="Header Char_6ca9bf6e-8d92-4f82-ba91-67386393a72a"/>
    <w:basedOn w:val="style65"/>
    <w:next w:val="style4110"/>
    <w:link w:val="style31"/>
    <w:uiPriority w:val="99"/>
    <w:rPr>
      <w:rFonts w:ascii="Times New Roman" w:hAnsi="Times New Roman"/>
    </w:rPr>
  </w:style>
  <w:style w:type="paragraph" w:styleId="style32">
    <w:name w:val="footer"/>
    <w:basedOn w:val="style0"/>
    <w:next w:val="style32"/>
    <w:link w:val="style4111"/>
    <w:uiPriority w:val="99"/>
    <w:pPr>
      <w:tabs>
        <w:tab w:val="center" w:leader="none" w:pos="4513"/>
        <w:tab w:val="right" w:leader="none" w:pos="9026"/>
      </w:tabs>
      <w:spacing w:after="0" w:lineRule="auto" w:line="240"/>
    </w:pPr>
    <w:rPr/>
  </w:style>
  <w:style w:type="character" w:customStyle="1" w:styleId="style4111">
    <w:name w:val="Footer Char_a7e867b2-65f1-4952-b9da-541852a074cc"/>
    <w:basedOn w:val="style65"/>
    <w:next w:val="style4111"/>
    <w:link w:val="style32"/>
    <w:uiPriority w:val="99"/>
    <w:rPr>
      <w:rFonts w:ascii="Times New Roman" w:hAnsi="Times New Roman"/>
    </w:rPr>
  </w:style>
  <w:style w:type="table" w:styleId="style154">
    <w:name w:val="Table Grid"/>
    <w:basedOn w:val="style105"/>
    <w:next w:val="style154"/>
    <w:uiPriority w:val="39"/>
    <w:pPr>
      <w:spacing w:after="0" w:lineRule="auto" w:line="240"/>
    </w:pP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 w:type="paragraph" w:styleId="style266">
    <w:name w:val="TOC Heading"/>
    <w:basedOn w:val="style1"/>
    <w:next w:val="style0"/>
    <w:qFormat/>
    <w:uiPriority w:val="39"/>
    <w:pPr>
      <w:keepNext/>
      <w:keepLines/>
      <w:spacing w:before="240" w:after="0" w:lineRule="auto" w:line="259"/>
      <w:jc w:val="left"/>
      <w:outlineLvl w:val="9"/>
    </w:pPr>
    <w:rPr>
      <w:rFonts w:ascii="Aptos Display" w:cs="宋体" w:eastAsia="宋体" w:hAnsi="Aptos Display"/>
      <w:b w:val="false"/>
      <w:color w:val="0f4761"/>
      <w:kern w:val="0"/>
      <w:sz w:val="32"/>
      <w:szCs w:val="32"/>
      <w:lang w:val="en-US"/>
      <w14:ligatures xmlns:w14="http://schemas.microsoft.com/office/word/2010/wordml" w14:val="none"/>
    </w:rPr>
  </w:style>
  <w:style w:type="paragraph" w:styleId="style19">
    <w:name w:val="toc 1"/>
    <w:basedOn w:val="style0"/>
    <w:next w:val="style0"/>
    <w:uiPriority w:val="39"/>
    <w:pPr>
      <w:spacing w:after="100"/>
    </w:pPr>
    <w:rPr/>
  </w:style>
  <w:style w:type="character" w:styleId="style85">
    <w:name w:val="Hyperlink"/>
    <w:basedOn w:val="style65"/>
    <w:next w:val="style85"/>
    <w:uiPriority w:val="99"/>
    <w:rPr>
      <w:color w:val="467886"/>
      <w:u w:val="single"/>
    </w:rPr>
  </w:style>
  <w:style w:type="character" w:customStyle="1" w:styleId="style4112">
    <w:name w:val="cursor-pointer"/>
    <w:basedOn w:val="style65"/>
    <w:next w:val="style4112"/>
  </w:style>
  <w:style w:type="paragraph" w:styleId="style20">
    <w:name w:val="toc 2"/>
    <w:basedOn w:val="style0"/>
    <w:next w:val="style0"/>
    <w:uiPriority w:val="39"/>
    <w:pPr>
      <w:spacing w:after="100"/>
      <w:ind w:left="240"/>
    </w:pPr>
    <w:rPr/>
  </w:style>
  <w:style w:type="paragraph" w:styleId="style21">
    <w:name w:val="toc 3"/>
    <w:basedOn w:val="style0"/>
    <w:next w:val="style0"/>
    <w:uiPriority w:val="39"/>
    <w:pPr>
      <w:spacing w:after="100"/>
      <w:ind w:left="480"/>
    </w:pPr>
    <w:rPr/>
  </w:style>
</w:styles>
</file>

<file path=word/_rels/document.xml.rels><?xml version="1.0" encoding="UTF-8"?>
<Relationships xmlns="http://schemas.openxmlformats.org/package/2006/relationships"><Relationship Id="rId20" Type="http://schemas.openxmlformats.org/officeDocument/2006/relationships/theme" Target="theme/theme1.xml"/><Relationship Id="rId11" Type="http://schemas.openxmlformats.org/officeDocument/2006/relationships/image" Target="media/image10.png"/><Relationship Id="rId10" Type="http://schemas.openxmlformats.org/officeDocument/2006/relationships/image" Target="media/image9.png"/><Relationship Id="rId21" Type="http://schemas.openxmlformats.org/officeDocument/2006/relationships/customXml" Target="../customXml/item1.xml"/><Relationship Id="rId13" Type="http://schemas.openxmlformats.org/officeDocument/2006/relationships/image" Target="media/image12.png"/><Relationship Id="rId12" Type="http://schemas.openxmlformats.org/officeDocument/2006/relationships/image" Target="media/image11.png"/><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9" Type="http://schemas.openxmlformats.org/officeDocument/2006/relationships/image" Target="media/image8.png"/><Relationship Id="rId15" Type="http://schemas.openxmlformats.org/officeDocument/2006/relationships/image" Target="media/image14.png"/><Relationship Id="rId14" Type="http://schemas.openxmlformats.org/officeDocument/2006/relationships/image" Target="media/image13.png"/><Relationship Id="rId17" Type="http://schemas.openxmlformats.org/officeDocument/2006/relationships/styles" Target="styles.xml"/><Relationship Id="rId16" Type="http://schemas.openxmlformats.org/officeDocument/2006/relationships/footer" Target="footer1.xml"/><Relationship Id="rId5" Type="http://schemas.openxmlformats.org/officeDocument/2006/relationships/image" Target="media/image4.png"/><Relationship Id="rId19" Type="http://schemas.openxmlformats.org/officeDocument/2006/relationships/settings" Target="settings.xml"/><Relationship Id="rId6" Type="http://schemas.openxmlformats.org/officeDocument/2006/relationships/image" Target="media/image5.png"/><Relationship Id="rId18" Type="http://schemas.openxmlformats.org/officeDocument/2006/relationships/fontTable" Target="fontTable.xml"/><Relationship Id="rId7" Type="http://schemas.openxmlformats.org/officeDocument/2006/relationships/image" Target="media/image6.png"/><Relationship Id="rId8"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016B37-F7D6-4C8A-B807-D1342A11E6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Words>5894</Words>
  <Pages>27</Pages>
  <Characters>34442</Characters>
  <Application>WPS Office</Application>
  <DocSecurity>0</DocSecurity>
  <Paragraphs>227</Paragraphs>
  <ScaleCrop>false</ScaleCrop>
  <LinksUpToDate>false</LinksUpToDate>
  <CharactersWithSpaces>40156</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2026-04-23T18:30:00Z</dcterms:created>
  <dc:creator>WPS Office</dc:creator>
  <lastModifiedBy>IV2201</lastModifiedBy>
  <dcterms:modified xsi:type="dcterms:W3CDTF">2026-04-28T13:37:59Z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072ac2d5b56a4f4fb9ea432ced2bb477</vt:lpwstr>
  </property>
</Properties>
</file>