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F00C5" w:rsidRPr="00847711" w:rsidRDefault="003B6F5F" w:rsidP="00D64F1A">
      <w:pPr>
        <w:spacing w:line="480" w:lineRule="auto"/>
        <w:rPr>
          <w:b/>
          <w:sz w:val="28"/>
          <w:szCs w:val="28"/>
        </w:rPr>
      </w:pPr>
      <w:bookmarkStart w:id="0" w:name="_Hlk506322727"/>
      <w:bookmarkEnd w:id="0"/>
      <w:proofErr w:type="gramStart"/>
      <w:r w:rsidRPr="00847711">
        <w:rPr>
          <w:b/>
          <w:sz w:val="28"/>
          <w:szCs w:val="28"/>
        </w:rPr>
        <w:t>‘ Islam</w:t>
      </w:r>
      <w:proofErr w:type="gramEnd"/>
      <w:r w:rsidRPr="00847711">
        <w:rPr>
          <w:b/>
          <w:sz w:val="28"/>
          <w:szCs w:val="28"/>
        </w:rPr>
        <w:t xml:space="preserve"> does not permit the representation of human figures’ is this statement true? Discuss the follo</w:t>
      </w:r>
      <w:r w:rsidR="0083487F" w:rsidRPr="00847711">
        <w:rPr>
          <w:b/>
          <w:sz w:val="28"/>
          <w:szCs w:val="28"/>
        </w:rPr>
        <w:t xml:space="preserve">wing statement </w:t>
      </w:r>
      <w:proofErr w:type="gramStart"/>
      <w:r w:rsidR="0083487F" w:rsidRPr="00847711">
        <w:rPr>
          <w:b/>
          <w:sz w:val="28"/>
          <w:szCs w:val="28"/>
        </w:rPr>
        <w:t>in reference to</w:t>
      </w:r>
      <w:proofErr w:type="gramEnd"/>
      <w:r w:rsidR="0083487F" w:rsidRPr="00847711">
        <w:rPr>
          <w:b/>
          <w:sz w:val="28"/>
          <w:szCs w:val="28"/>
        </w:rPr>
        <w:t> </w:t>
      </w:r>
      <w:r w:rsidRPr="00847711">
        <w:rPr>
          <w:b/>
          <w:sz w:val="28"/>
          <w:szCs w:val="28"/>
        </w:rPr>
        <w:t>examples of Islamic art you have studied.</w:t>
      </w:r>
    </w:p>
    <w:p w:rsidR="00E71005" w:rsidRPr="009B2725" w:rsidRDefault="00E71005" w:rsidP="00D64F1A">
      <w:pPr>
        <w:spacing w:line="480" w:lineRule="auto"/>
        <w:rPr>
          <w:b/>
        </w:rPr>
      </w:pPr>
    </w:p>
    <w:p w:rsidR="0083487F" w:rsidRDefault="008B2A83" w:rsidP="00D64F1A">
      <w:pPr>
        <w:spacing w:line="480" w:lineRule="auto"/>
        <w:rPr>
          <w:b/>
        </w:rPr>
      </w:pPr>
      <w:r w:rsidRPr="009B2725">
        <w:rPr>
          <w:b/>
        </w:rPr>
        <w:t>Introduction</w:t>
      </w:r>
    </w:p>
    <w:p w:rsidR="00E71005" w:rsidRPr="009B2725" w:rsidRDefault="00E71005" w:rsidP="00D64F1A">
      <w:pPr>
        <w:spacing w:line="480" w:lineRule="auto"/>
        <w:rPr>
          <w:b/>
        </w:rPr>
      </w:pPr>
      <w:bookmarkStart w:id="1" w:name="_GoBack"/>
      <w:bookmarkEnd w:id="1"/>
    </w:p>
    <w:p w:rsidR="008B2A83" w:rsidRDefault="008B2A83" w:rsidP="00D64F1A">
      <w:pPr>
        <w:spacing w:line="480" w:lineRule="auto"/>
      </w:pPr>
      <w:r>
        <w:t xml:space="preserve">The representation of the human figure in Islam is a problematic topic, one which can be engaged with in numerous ways. A theological issue, with roots in the foundation of the religion, the extent to which the human form was depicted has changed over time, and very much depends on the form Islam takes in the area in which an artistic example originates. The representation of the human form is also a political issue, and has been to varying degrees throughout the history of the Islamic world. This essay shall primarily engage with the topic from the perspective of the history of art, by examining a variety of examples of medieval Islamic art sourced from numerous areas within the Medieval Islamic world. </w:t>
      </w:r>
      <w:r w:rsidR="00F53A06">
        <w:t>Late medieval Islamic Art originating in Persia will be the primary focus of this essay.</w:t>
      </w:r>
    </w:p>
    <w:p w:rsidR="00E71005" w:rsidRDefault="00E71005" w:rsidP="00D64F1A">
      <w:pPr>
        <w:spacing w:line="480" w:lineRule="auto"/>
      </w:pPr>
    </w:p>
    <w:p w:rsidR="008B2A83" w:rsidRDefault="008B2A83" w:rsidP="00D64F1A">
      <w:pPr>
        <w:spacing w:line="480" w:lineRule="auto"/>
        <w:rPr>
          <w:b/>
        </w:rPr>
      </w:pPr>
      <w:r w:rsidRPr="009B2725">
        <w:rPr>
          <w:b/>
        </w:rPr>
        <w:t>Iconoclasm &amp; Aniconism</w:t>
      </w:r>
    </w:p>
    <w:p w:rsidR="00E71005" w:rsidRDefault="00E71005" w:rsidP="00D64F1A">
      <w:pPr>
        <w:spacing w:line="480" w:lineRule="auto"/>
        <w:rPr>
          <w:b/>
        </w:rPr>
      </w:pPr>
    </w:p>
    <w:p w:rsidR="00853C97" w:rsidRDefault="00E63628" w:rsidP="00D64F1A">
      <w:pPr>
        <w:spacing w:line="480" w:lineRule="auto"/>
      </w:pPr>
      <w:r>
        <w:t>It should first be noted that the Qur</w:t>
      </w:r>
      <w:r w:rsidR="00853C97">
        <w:t>’</w:t>
      </w:r>
      <w:r>
        <w:t xml:space="preserve">an does not explicitly </w:t>
      </w:r>
      <w:r w:rsidR="004D189A">
        <w:t xml:space="preserve">prohibit the depiction of the human form – it instead prohibits idolatry. </w:t>
      </w:r>
      <w:r w:rsidR="00853C97">
        <w:t xml:space="preserve">The strongest </w:t>
      </w:r>
      <w:r w:rsidR="000D75A8">
        <w:t>challenges to the representations of living creatures can be found in the Hadith (Traditions of the Prophet).</w:t>
      </w:r>
      <w:r w:rsidR="000D75A8">
        <w:rPr>
          <w:rStyle w:val="FootnoteReference"/>
        </w:rPr>
        <w:footnoteReference w:id="1"/>
      </w:r>
      <w:r w:rsidR="000D75A8">
        <w:t xml:space="preserve"> </w:t>
      </w:r>
      <w:r w:rsidR="004D189A">
        <w:t>Yet, l</w:t>
      </w:r>
      <w:r w:rsidR="008B2A83">
        <w:t xml:space="preserve">ike many of the Abrahamic religions, </w:t>
      </w:r>
      <w:r w:rsidR="004D189A">
        <w:t xml:space="preserve">Islam </w:t>
      </w:r>
      <w:r w:rsidR="004D189A">
        <w:lastRenderedPageBreak/>
        <w:t xml:space="preserve">has become an </w:t>
      </w:r>
      <w:proofErr w:type="spellStart"/>
      <w:r w:rsidR="004D189A">
        <w:t>Aniconistic</w:t>
      </w:r>
      <w:proofErr w:type="spellEnd"/>
      <w:r w:rsidR="004D189A">
        <w:t xml:space="preserve"> faith. Aniconism signifies an opposition to the use of idols or images. It is only when said images of the human form are </w:t>
      </w:r>
      <w:proofErr w:type="gramStart"/>
      <w:r w:rsidR="004D189A">
        <w:t>actually destroyed</w:t>
      </w:r>
      <w:proofErr w:type="gramEnd"/>
      <w:r w:rsidR="004D189A">
        <w:t xml:space="preserve"> that Aniconism becomes Iconoclasm. Some forms of modern Islam have moved this way, as seen with the destruction of artefacts and sculpture within</w:t>
      </w:r>
      <w:r w:rsidR="00B839A4">
        <w:t xml:space="preserve"> the present-day Islamic world – from the destruction of ancient Buddhist monuments in 2001 to the destruction of artefacts throughout Iraq and Syria in the recent civil wars.</w:t>
      </w:r>
      <w:r w:rsidR="000D75A8">
        <w:rPr>
          <w:rStyle w:val="FootnoteReference"/>
        </w:rPr>
        <w:footnoteReference w:id="2"/>
      </w:r>
      <w:r w:rsidR="004D189A">
        <w:t xml:space="preserve"> </w:t>
      </w:r>
      <w:r w:rsidR="00853C97">
        <w:t>It appears that there has been an undercurrent of controversy regarding the human form throughout the history of Islamic Art: dependent on the political and social situation at the time of the creation of a piece of art, at times the representations of living beings have flourished, whilst at other times they appear somewhat more rare.</w:t>
      </w:r>
    </w:p>
    <w:p w:rsidR="00E71005" w:rsidRDefault="00E71005" w:rsidP="00D64F1A">
      <w:pPr>
        <w:spacing w:line="480" w:lineRule="auto"/>
      </w:pPr>
    </w:p>
    <w:p w:rsidR="008B2A83" w:rsidRDefault="00853C97" w:rsidP="00D64F1A">
      <w:pPr>
        <w:spacing w:line="480" w:lineRule="auto"/>
      </w:pPr>
      <w:r>
        <w:t xml:space="preserve">The threads of Aniconism and Iconoclasm in the fabric of diverse Islamic cultures are evident in numerous aspects. For example, whilst sculpture in the medieval Islamic world is arguably not comparable to sculptural trends in neighbouring </w:t>
      </w:r>
      <w:r w:rsidR="00847711">
        <w:t>countries</w:t>
      </w:r>
      <w:r>
        <w:t xml:space="preserve"> of differing faiths, Islamic calligraphy, embroidery </w:t>
      </w:r>
      <w:r w:rsidR="000D75A8">
        <w:t>and ceramics are strong examples of Islamic artistic expression.</w:t>
      </w:r>
      <w:r w:rsidR="00940B9F">
        <w:t xml:space="preserve"> </w:t>
      </w:r>
      <w:proofErr w:type="gramStart"/>
      <w:r w:rsidR="00940B9F">
        <w:t>In particular, Aniconism</w:t>
      </w:r>
      <w:proofErr w:type="gramEnd"/>
      <w:r w:rsidR="00940B9F">
        <w:t xml:space="preserve"> in the Islamic faith ultimately encouraged artforms that were non-representative of living forms and by extension the human form. Consider the rich pattern-work found in even the oldest mosques such as the Mosque of </w:t>
      </w:r>
      <w:proofErr w:type="gramStart"/>
      <w:r w:rsidR="00940B9F">
        <w:t>Ibn</w:t>
      </w:r>
      <w:proofErr w:type="gramEnd"/>
      <w:r w:rsidR="00940B9F">
        <w:t xml:space="preserve"> </w:t>
      </w:r>
      <w:proofErr w:type="spellStart"/>
      <w:r w:rsidR="00940B9F">
        <w:t>Tulun</w:t>
      </w:r>
      <w:proofErr w:type="spellEnd"/>
      <w:r w:rsidR="00940B9F">
        <w:rPr>
          <w:rStyle w:val="FootnoteReference"/>
        </w:rPr>
        <w:footnoteReference w:id="3"/>
      </w:r>
      <w:r w:rsidR="00940B9F">
        <w:t xml:space="preserve"> (</w:t>
      </w:r>
      <w:r w:rsidR="00940B9F" w:rsidRPr="00981C9F">
        <w:rPr>
          <w:i/>
        </w:rPr>
        <w:t>fig.</w:t>
      </w:r>
      <w:r w:rsidR="00940B9F">
        <w:t xml:space="preserve"> 1), or the oddly empty cityscapes of the mosque of Damascus (</w:t>
      </w:r>
      <w:r w:rsidR="00940B9F" w:rsidRPr="00981C9F">
        <w:rPr>
          <w:i/>
        </w:rPr>
        <w:t>fig.</w:t>
      </w:r>
      <w:r w:rsidR="00940B9F">
        <w:t xml:space="preserve"> 2</w:t>
      </w:r>
      <w:r w:rsidR="00F53A06">
        <w:t xml:space="preserve">).  Yet even in architectural art, there was variation in the level of which the human form was depicted.  Various palaces contain examples of statuary explicitly depicting human figures, </w:t>
      </w:r>
    </w:p>
    <w:p w:rsidR="00E71005" w:rsidRDefault="00E71005" w:rsidP="00D64F1A">
      <w:pPr>
        <w:spacing w:line="480" w:lineRule="auto"/>
      </w:pPr>
    </w:p>
    <w:p w:rsidR="004D5BE3" w:rsidRDefault="00940B9F" w:rsidP="00D64F1A">
      <w:pPr>
        <w:spacing w:line="480" w:lineRule="auto"/>
      </w:pPr>
      <w:r>
        <w:t xml:space="preserve">Historically, Islam had the gift of adapting to the cultures that it grew to encompass. In Umayyad Iberia, for instance, the sculptural tradition of Islamic art was encouraged by an already present </w:t>
      </w:r>
      <w:r>
        <w:lastRenderedPageBreak/>
        <w:t xml:space="preserve">tradition of sculpture. In Persia, however, the combined cultural influences brought to the area along the Silk Route from China and Mongol conquests are extremely prominent in the art </w:t>
      </w:r>
      <w:r w:rsidR="004D5BE3">
        <w:t>originating in the region.</w:t>
      </w:r>
    </w:p>
    <w:p w:rsidR="004D5BE3" w:rsidRDefault="004D5BE3" w:rsidP="00D64F1A">
      <w:pPr>
        <w:spacing w:line="480" w:lineRule="auto"/>
      </w:pPr>
    </w:p>
    <w:p w:rsidR="004D5BE3" w:rsidRDefault="004D5BE3" w:rsidP="00D64F1A">
      <w:pPr>
        <w:spacing w:line="480" w:lineRule="auto"/>
        <w:rPr>
          <w:b/>
        </w:rPr>
      </w:pPr>
      <w:r w:rsidRPr="009B2725">
        <w:rPr>
          <w:b/>
        </w:rPr>
        <w:t>Eras and Areas: Artistic Examples from around the Medieval Islamic World</w:t>
      </w:r>
    </w:p>
    <w:p w:rsidR="002E64DD" w:rsidRDefault="002E64DD" w:rsidP="00D64F1A">
      <w:pPr>
        <w:spacing w:line="480" w:lineRule="auto"/>
      </w:pPr>
      <w:r>
        <w:t>Illustrations in various medieval Islamic manuscripts are excellent sources for the consideration of the repr</w:t>
      </w:r>
      <w:r w:rsidR="0088693C">
        <w:t>esentation of the human figure.</w:t>
      </w:r>
      <w:r w:rsidR="00F53A06">
        <w:t xml:space="preserve"> Depictions of the human form </w:t>
      </w:r>
      <w:r w:rsidR="00CB7C2B">
        <w:t xml:space="preserve">flourished in such works, perhaps through necessity: whilst a strikingly literate society, a mixture of patronage and the growing nature of illuminated manuscripts as status symbols encouraged the development of depictions of the human form in illustrations on the page. </w:t>
      </w:r>
      <w:r w:rsidR="000525B8">
        <w:t>Furthermore</w:t>
      </w:r>
      <w:r w:rsidR="00CB7C2B">
        <w:t xml:space="preserve">, </w:t>
      </w:r>
      <w:proofErr w:type="gramStart"/>
      <w:r w:rsidR="00CB7C2B">
        <w:t>in reference to</w:t>
      </w:r>
      <w:proofErr w:type="gramEnd"/>
      <w:r w:rsidR="00CB7C2B">
        <w:t xml:space="preserve"> the many academic works originating in the Levant at the time – such as medical treatises, etc., reference images were useful additions to a piece in order to better convey concepts which the book was attempting to pass on. Examples of this can be seen in Abbasid works (</w:t>
      </w:r>
      <w:r w:rsidR="00CB7C2B" w:rsidRPr="00B838B8">
        <w:rPr>
          <w:i/>
        </w:rPr>
        <w:t xml:space="preserve">fig. </w:t>
      </w:r>
      <w:r w:rsidR="00B838B8" w:rsidRPr="00B838B8">
        <w:rPr>
          <w:i/>
        </w:rPr>
        <w:t>3</w:t>
      </w:r>
      <w:r w:rsidR="00B838B8">
        <w:t>)</w:t>
      </w:r>
    </w:p>
    <w:p w:rsidR="00B838B8" w:rsidRPr="002E64DD" w:rsidRDefault="00B838B8" w:rsidP="00D64F1A">
      <w:pPr>
        <w:spacing w:line="480" w:lineRule="auto"/>
      </w:pPr>
    </w:p>
    <w:p w:rsidR="00EE7DEA" w:rsidRDefault="00B839A4" w:rsidP="00D64F1A">
      <w:pPr>
        <w:spacing w:line="480" w:lineRule="auto"/>
      </w:pPr>
      <w:r>
        <w:t>15</w:t>
      </w:r>
      <w:r w:rsidRPr="00DB3DF5">
        <w:rPr>
          <w:vertAlign w:val="superscript"/>
        </w:rPr>
        <w:t>th</w:t>
      </w:r>
      <w:r>
        <w:t xml:space="preserve"> century Persian examples of illuminated albums are examples of Islamic art in which the human figure can be regularly seen. Due to the influence of the Mongol invasions in the mid-1200’s and extensive land and sea trade along the length of Persia on the silk and spice routes, many examples of art from this period are host to a fusion of cultural influences. Some of the examples of these influences can be seen in numerous examples (</w:t>
      </w:r>
      <w:r w:rsidRPr="00B838B8">
        <w:rPr>
          <w:i/>
        </w:rPr>
        <w:t>fig</w:t>
      </w:r>
      <w:r>
        <w:t xml:space="preserve"> </w:t>
      </w:r>
      <w:r w:rsidR="00B838B8">
        <w:t>4</w:t>
      </w:r>
      <w:r>
        <w:t>). For instance, ‘linear’ representations of drapery, showing the folds in fabric with clear lines as opposed to the shading visible in comparable European</w:t>
      </w:r>
      <w:r w:rsidR="004D5BE3">
        <w:t xml:space="preserve"> work. Persian depictions of elemental subjects such as clouds, fire, or plants are closely related to examples from Chinese artwork.  Also, notable in works found in Persian albums of art are, of course, the human representations.  Somewhat more static in nature than their earlier </w:t>
      </w:r>
      <w:r w:rsidR="00001C96">
        <w:t xml:space="preserve">Syrian </w:t>
      </w:r>
      <w:r w:rsidR="00001C96">
        <w:lastRenderedPageBreak/>
        <w:t>counterparts, evidence of the changing fashions of attractiveness are present – whilst garments are Islamic, the people are depicted as being more Eastern Asian.</w:t>
      </w:r>
    </w:p>
    <w:p w:rsidR="00486385" w:rsidRDefault="00C95D57" w:rsidP="00D64F1A">
      <w:pPr>
        <w:spacing w:line="480" w:lineRule="auto"/>
      </w:pPr>
      <w:r>
        <w:t xml:space="preserve">Despite the supposed taboo on the depiction of the human form, both supernatural and mundane, there are </w:t>
      </w:r>
      <w:proofErr w:type="gramStart"/>
      <w:r>
        <w:t>a number of</w:t>
      </w:r>
      <w:proofErr w:type="gramEnd"/>
      <w:r>
        <w:t xml:space="preserve"> examples evident throughout the Islamic Medieval world of artists stretching boundaries. </w:t>
      </w:r>
      <w:proofErr w:type="gramStart"/>
      <w:r>
        <w:t>Similar to</w:t>
      </w:r>
      <w:proofErr w:type="gramEnd"/>
      <w:r>
        <w:t xml:space="preserve"> the religious art of </w:t>
      </w:r>
      <w:r w:rsidR="004E0504">
        <w:t>other religions wit</w:t>
      </w:r>
      <w:r w:rsidR="008F1F3E">
        <w:t>h roots in the Middle East, a form of halo is present on figures with religious significance. Even the Prophet Mohammad is depicted, although it is notable that depictions of him rarely include his face – it is often obscured by a veil (</w:t>
      </w:r>
      <w:r w:rsidR="008F1F3E" w:rsidRPr="00B838B8">
        <w:rPr>
          <w:i/>
        </w:rPr>
        <w:t>Fig.</w:t>
      </w:r>
      <w:r w:rsidR="008F1F3E">
        <w:t xml:space="preserve"> 4).</w:t>
      </w:r>
      <w:r w:rsidR="00F53A06">
        <w:t xml:space="preserve"> Yet it is interesting to note that even in art from the same era, depictions of Mohammad even went as far as to depict the Prophet, as seen in the example in </w:t>
      </w:r>
      <w:r w:rsidR="00F53A06">
        <w:rPr>
          <w:i/>
        </w:rPr>
        <w:t>figure 5.</w:t>
      </w:r>
      <w:r w:rsidR="00F53A06">
        <w:t xml:space="preserve"> </w:t>
      </w:r>
    </w:p>
    <w:p w:rsidR="003C2CD2" w:rsidRPr="00DB3DF5" w:rsidRDefault="003C2CD2" w:rsidP="00D64F1A">
      <w:pPr>
        <w:spacing w:line="480" w:lineRule="auto"/>
      </w:pPr>
    </w:p>
    <w:p w:rsidR="00DB3DF5" w:rsidRDefault="002E64DD" w:rsidP="00D64F1A">
      <w:pPr>
        <w:spacing w:line="480" w:lineRule="auto"/>
        <w:rPr>
          <w:b/>
        </w:rPr>
      </w:pPr>
      <w:r>
        <w:rPr>
          <w:b/>
        </w:rPr>
        <w:t>Calligraphy and Art</w:t>
      </w:r>
    </w:p>
    <w:p w:rsidR="003C2CD2" w:rsidRDefault="002E64DD" w:rsidP="00D64F1A">
      <w:pPr>
        <w:spacing w:line="480" w:lineRule="auto"/>
      </w:pPr>
      <w:r>
        <w:t xml:space="preserve">The calligraphic artistic format that characterizes </w:t>
      </w:r>
      <w:r w:rsidR="003C2CD2">
        <w:t xml:space="preserve">so much of Islamic art can itself be argued to be resultant of the aniconic nature of the Islamic faith.  A general lack of comfort with the depiction of the human form, or indeed of any living beings at all encouraged the development of other art forms.  Calligraphy is but one area in which this can be seen.  The development of numerous scripts and their transition to an art form themselves is somewhat replicated in various examples of Islamic art. The flow of lines and sense of curved movement in the work is one area in which this is evident, so too is this visible in </w:t>
      </w:r>
      <w:r w:rsidR="00292588">
        <w:t>tendency towards block colour and individual lines.</w:t>
      </w:r>
    </w:p>
    <w:p w:rsidR="00292588" w:rsidRDefault="0083487F" w:rsidP="00D64F1A">
      <w:pPr>
        <w:spacing w:line="480" w:lineRule="auto"/>
        <w:rPr>
          <w:b/>
        </w:rPr>
      </w:pPr>
      <w:r w:rsidRPr="009B2725">
        <w:rPr>
          <w:b/>
        </w:rPr>
        <w:t>Conclusion</w:t>
      </w:r>
    </w:p>
    <w:p w:rsidR="002E64DD" w:rsidRPr="00D64F1A" w:rsidRDefault="002C5EF5" w:rsidP="00D64F1A">
      <w:pPr>
        <w:spacing w:line="480" w:lineRule="auto"/>
      </w:pPr>
      <w:r>
        <w:t xml:space="preserve">The representation of the human figure is by no means forbidden in Islam, but it has historically been a contentious issue. This is due less to overt prohibition in the Qur’an than it is to interpretations of </w:t>
      </w:r>
      <w:r w:rsidR="00CB7C2B">
        <w:t xml:space="preserve">the Hadith. Depictions of the human form have ebbed and flowed throughout Islamic history, from the removal of images </w:t>
      </w:r>
      <w:r w:rsidR="0054252C">
        <w:t>from coinage to outright depictions of religious figures</w:t>
      </w:r>
      <w:r w:rsidR="00D64F1A">
        <w:t>, to modern day Iconoclastic issues.</w:t>
      </w:r>
    </w:p>
    <w:p w:rsidR="003B6F5F" w:rsidRPr="009B2725" w:rsidRDefault="003B6F5F" w:rsidP="00D64F1A">
      <w:pPr>
        <w:spacing w:line="480" w:lineRule="auto"/>
        <w:rPr>
          <w:b/>
        </w:rPr>
      </w:pPr>
      <w:r w:rsidRPr="009B2725">
        <w:rPr>
          <w:b/>
        </w:rPr>
        <w:lastRenderedPageBreak/>
        <w:t>Bibliography</w:t>
      </w:r>
    </w:p>
    <w:p w:rsidR="002E64DD" w:rsidRPr="00D97B5B" w:rsidRDefault="002E64DD" w:rsidP="00D64F1A">
      <w:pPr>
        <w:spacing w:line="480" w:lineRule="auto"/>
      </w:pPr>
      <w:r>
        <w:t xml:space="preserve">Asher, C. B., </w:t>
      </w:r>
      <w:r>
        <w:rPr>
          <w:i/>
        </w:rPr>
        <w:t>Uneasy Bedfellows: Islamic Art and the Politics of Indian Nationalism</w:t>
      </w:r>
      <w:r>
        <w:t xml:space="preserve"> (2005).</w:t>
      </w:r>
    </w:p>
    <w:p w:rsidR="002E64DD" w:rsidRPr="00981C9F" w:rsidRDefault="002E64DD" w:rsidP="00D64F1A">
      <w:pPr>
        <w:spacing w:line="480" w:lineRule="auto"/>
      </w:pPr>
      <w:proofErr w:type="spellStart"/>
      <w:r>
        <w:t>Behzad</w:t>
      </w:r>
      <w:proofErr w:type="spellEnd"/>
      <w:r>
        <w:t xml:space="preserve">, N., and </w:t>
      </w:r>
      <w:proofErr w:type="spellStart"/>
      <w:r>
        <w:t>Qarizadah</w:t>
      </w:r>
      <w:proofErr w:type="spellEnd"/>
      <w:r>
        <w:t>, D.,</w:t>
      </w:r>
      <w:r>
        <w:rPr>
          <w:i/>
        </w:rPr>
        <w:t xml:space="preserve"> </w:t>
      </w:r>
      <w:r>
        <w:t xml:space="preserve">BBC News, </w:t>
      </w:r>
      <w:r>
        <w:rPr>
          <w:i/>
        </w:rPr>
        <w:t xml:space="preserve">The Man Who Helped Blow up the </w:t>
      </w:r>
      <w:proofErr w:type="spellStart"/>
      <w:r>
        <w:rPr>
          <w:i/>
        </w:rPr>
        <w:t>Bamiyan</w:t>
      </w:r>
      <w:proofErr w:type="spellEnd"/>
      <w:r>
        <w:rPr>
          <w:i/>
        </w:rPr>
        <w:t xml:space="preserve"> Buddhas </w:t>
      </w:r>
      <w:r>
        <w:t xml:space="preserve">(2015) [online]. Available at: </w:t>
      </w:r>
      <w:hyperlink r:id="rId8" w:history="1">
        <w:r w:rsidRPr="00011597">
          <w:rPr>
            <w:rStyle w:val="Hyperlink"/>
          </w:rPr>
          <w:t>http://www.bbc.co.uk/news/world-asia-31813681</w:t>
        </w:r>
      </w:hyperlink>
      <w:r>
        <w:t xml:space="preserve"> (Accessed: 13/02/18).</w:t>
      </w:r>
    </w:p>
    <w:p w:rsidR="002E64DD" w:rsidRPr="00520821" w:rsidRDefault="002E64DD" w:rsidP="00D64F1A">
      <w:pPr>
        <w:spacing w:line="480" w:lineRule="auto"/>
        <w:rPr>
          <w:rFonts w:cstheme="minorHAnsi"/>
        </w:rPr>
      </w:pPr>
      <w:r w:rsidRPr="00520821">
        <w:rPr>
          <w:rFonts w:cstheme="minorHAnsi"/>
          <w:i/>
        </w:rPr>
        <w:t>Cambridge Illustrated History of the Islamic World</w:t>
      </w:r>
      <w:r w:rsidRPr="00520821">
        <w:rPr>
          <w:rFonts w:cstheme="minorHAnsi"/>
        </w:rPr>
        <w:t>, ed. Francis Robinson (Cambridge: Cambridge University Press, 1996).</w:t>
      </w:r>
    </w:p>
    <w:p w:rsidR="002E64DD" w:rsidRPr="00520821" w:rsidRDefault="002E64DD" w:rsidP="00D64F1A">
      <w:pPr>
        <w:spacing w:line="480" w:lineRule="auto"/>
        <w:rPr>
          <w:rFonts w:cstheme="minorHAnsi"/>
        </w:rPr>
      </w:pPr>
      <w:bookmarkStart w:id="2" w:name="_Hlk504512563"/>
      <w:r w:rsidRPr="00520821">
        <w:rPr>
          <w:rFonts w:cstheme="minorHAnsi"/>
        </w:rPr>
        <w:t xml:space="preserve">Creswell, K. A. C., Allan, J. W., </w:t>
      </w:r>
      <w:r w:rsidRPr="00520821">
        <w:rPr>
          <w:rFonts w:cstheme="minorHAnsi"/>
          <w:i/>
        </w:rPr>
        <w:t>A Short Account of Early Muslim Architecture</w:t>
      </w:r>
      <w:r w:rsidRPr="00520821">
        <w:rPr>
          <w:rFonts w:cstheme="minorHAnsi"/>
        </w:rPr>
        <w:t xml:space="preserve"> (Aldershot: </w:t>
      </w:r>
      <w:proofErr w:type="spellStart"/>
      <w:r w:rsidRPr="00520821">
        <w:rPr>
          <w:rFonts w:cstheme="minorHAnsi"/>
        </w:rPr>
        <w:t>Scolar</w:t>
      </w:r>
      <w:proofErr w:type="spellEnd"/>
      <w:r w:rsidRPr="00520821">
        <w:rPr>
          <w:rFonts w:cstheme="minorHAnsi"/>
        </w:rPr>
        <w:t xml:space="preserve"> Press, 1989).</w:t>
      </w:r>
    </w:p>
    <w:bookmarkEnd w:id="2"/>
    <w:p w:rsidR="002E64DD" w:rsidRPr="00520821" w:rsidRDefault="002E64DD" w:rsidP="00D64F1A">
      <w:pPr>
        <w:spacing w:line="480" w:lineRule="auto"/>
        <w:rPr>
          <w:rFonts w:cstheme="minorHAnsi"/>
        </w:rPr>
      </w:pPr>
      <w:r w:rsidRPr="00520821">
        <w:rPr>
          <w:rFonts w:cstheme="minorHAnsi"/>
        </w:rPr>
        <w:t xml:space="preserve">Engineer, A. A., </w:t>
      </w:r>
      <w:r w:rsidRPr="00520821">
        <w:rPr>
          <w:rFonts w:cstheme="minorHAnsi"/>
          <w:i/>
        </w:rPr>
        <w:t xml:space="preserve">The Origin and Development of Islam: An essay on its socio-economic growth </w:t>
      </w:r>
      <w:r w:rsidRPr="00520821">
        <w:rPr>
          <w:rFonts w:cstheme="minorHAnsi"/>
        </w:rPr>
        <w:t>(New Delhi: Orient Longman Limited, 1980).</w:t>
      </w:r>
    </w:p>
    <w:p w:rsidR="002E64DD" w:rsidRDefault="002E64DD" w:rsidP="00D64F1A">
      <w:pPr>
        <w:spacing w:line="480" w:lineRule="auto"/>
      </w:pPr>
      <w:r>
        <w:t xml:space="preserve">Hoffman, E. R., </w:t>
      </w:r>
      <w:r>
        <w:rPr>
          <w:i/>
        </w:rPr>
        <w:t>Between East and West: The Wall Paintings of Samarra and the Construction of Abbasid Princely Culture</w:t>
      </w:r>
      <w:r>
        <w:t>.</w:t>
      </w:r>
    </w:p>
    <w:p w:rsidR="002E64DD" w:rsidRDefault="002E64DD" w:rsidP="00D64F1A">
      <w:pPr>
        <w:spacing w:line="480" w:lineRule="auto"/>
      </w:pPr>
      <w:r>
        <w:t>King, G. R. D., ‘Islam, Iconoclasm and the Declaration of Doctrine,’</w:t>
      </w:r>
      <w:r>
        <w:rPr>
          <w:i/>
        </w:rPr>
        <w:t xml:space="preserve"> Bulletin of the School of Oriental and African Studies, University of London,</w:t>
      </w:r>
      <w:r>
        <w:t xml:space="preserve"> Vol. 48, No. 2 (1985).</w:t>
      </w:r>
    </w:p>
    <w:p w:rsidR="002E64DD" w:rsidRPr="00520821" w:rsidRDefault="002E64DD" w:rsidP="00D64F1A">
      <w:pPr>
        <w:spacing w:line="480" w:lineRule="auto"/>
        <w:rPr>
          <w:rFonts w:cstheme="minorHAnsi"/>
        </w:rPr>
      </w:pPr>
      <w:proofErr w:type="spellStart"/>
      <w:r w:rsidRPr="00520821">
        <w:rPr>
          <w:rFonts w:cstheme="minorHAnsi"/>
        </w:rPr>
        <w:t>Lapidus</w:t>
      </w:r>
      <w:proofErr w:type="spellEnd"/>
      <w:r w:rsidRPr="00520821">
        <w:rPr>
          <w:rFonts w:cstheme="minorHAnsi"/>
        </w:rPr>
        <w:t>, I. M.,</w:t>
      </w:r>
      <w:r w:rsidRPr="00520821">
        <w:rPr>
          <w:rFonts w:cstheme="minorHAnsi"/>
          <w:i/>
        </w:rPr>
        <w:t xml:space="preserve"> A History of Islamic Societies</w:t>
      </w:r>
      <w:r w:rsidRPr="00520821">
        <w:rPr>
          <w:rFonts w:cstheme="minorHAnsi"/>
        </w:rPr>
        <w:t>, 2</w:t>
      </w:r>
      <w:r w:rsidRPr="00520821">
        <w:rPr>
          <w:rFonts w:cstheme="minorHAnsi"/>
          <w:vertAlign w:val="superscript"/>
        </w:rPr>
        <w:t>nd</w:t>
      </w:r>
      <w:r w:rsidRPr="00520821">
        <w:rPr>
          <w:rFonts w:cstheme="minorHAnsi"/>
        </w:rPr>
        <w:t xml:space="preserve"> edition (Cambridge: Cambridge University Press, 2002).</w:t>
      </w:r>
    </w:p>
    <w:p w:rsidR="002E64DD" w:rsidRDefault="002E64DD" w:rsidP="00D64F1A">
      <w:pPr>
        <w:spacing w:line="480" w:lineRule="auto"/>
      </w:pPr>
      <w:r>
        <w:t xml:space="preserve">Omer, S., ‘Towards Understanding Islamic Architecture,’ </w:t>
      </w:r>
      <w:r>
        <w:rPr>
          <w:i/>
        </w:rPr>
        <w:t>Islamic Studies</w:t>
      </w:r>
      <w:r>
        <w:t xml:space="preserve"> 47:4 (2008).</w:t>
      </w:r>
    </w:p>
    <w:p w:rsidR="002E64DD" w:rsidRDefault="002E64DD" w:rsidP="00D64F1A">
      <w:pPr>
        <w:spacing w:line="480" w:lineRule="auto"/>
      </w:pPr>
      <w:r>
        <w:rPr>
          <w:i/>
        </w:rPr>
        <w:t xml:space="preserve">Striking Images, Iconoclasms Past and Present, </w:t>
      </w:r>
      <w:r>
        <w:t xml:space="preserve">ed. S. </w:t>
      </w:r>
      <w:proofErr w:type="spellStart"/>
      <w:r>
        <w:t>Boldrik</w:t>
      </w:r>
      <w:proofErr w:type="spellEnd"/>
      <w:r>
        <w:t>, L. Brubaker, R. Clay (Oxford: Routledge, 2013).</w:t>
      </w:r>
    </w:p>
    <w:p w:rsidR="002E64DD" w:rsidRDefault="002E64DD" w:rsidP="00D64F1A">
      <w:pPr>
        <w:spacing w:line="480" w:lineRule="auto"/>
      </w:pPr>
      <w:proofErr w:type="spellStart"/>
      <w:r w:rsidRPr="00BF5F96">
        <w:t>Swelim</w:t>
      </w:r>
      <w:proofErr w:type="spellEnd"/>
      <w:r w:rsidRPr="00BF5F96">
        <w:t xml:space="preserve">, T., </w:t>
      </w:r>
      <w:r w:rsidRPr="00F1500A">
        <w:rPr>
          <w:i/>
        </w:rPr>
        <w:t xml:space="preserve">Ibn </w:t>
      </w:r>
      <w:proofErr w:type="spellStart"/>
      <w:r w:rsidRPr="00F1500A">
        <w:rPr>
          <w:i/>
        </w:rPr>
        <w:t>Tulun</w:t>
      </w:r>
      <w:proofErr w:type="spellEnd"/>
      <w:r w:rsidRPr="00F1500A">
        <w:rPr>
          <w:i/>
        </w:rPr>
        <w:t>: His Lost City and Great Mosque</w:t>
      </w:r>
      <w:r w:rsidRPr="00BF5F96">
        <w:t xml:space="preserve"> (Cairo: The American University in Cairo Press, 2015).</w:t>
      </w:r>
    </w:p>
    <w:p w:rsidR="002E64DD" w:rsidRDefault="002E64DD" w:rsidP="00D64F1A">
      <w:pPr>
        <w:spacing w:line="480" w:lineRule="auto"/>
      </w:pPr>
      <w:r>
        <w:lastRenderedPageBreak/>
        <w:t xml:space="preserve">The Met, Timeline of Art History, </w:t>
      </w:r>
      <w:r>
        <w:rPr>
          <w:i/>
        </w:rPr>
        <w:t>Figural Representation in Islamic Art</w:t>
      </w:r>
      <w:r>
        <w:t xml:space="preserve"> [online]. Available at: </w:t>
      </w:r>
      <w:hyperlink r:id="rId9" w:history="1">
        <w:r w:rsidRPr="00011597">
          <w:rPr>
            <w:rStyle w:val="Hyperlink"/>
          </w:rPr>
          <w:t>https://www.metmuseum.org/toah/hd/figs/hd_figs.html</w:t>
        </w:r>
      </w:hyperlink>
      <w:r>
        <w:t xml:space="preserve"> (Accessed: 13/02/2018).</w:t>
      </w:r>
    </w:p>
    <w:p w:rsidR="002E64DD" w:rsidRDefault="002E64DD" w:rsidP="00D64F1A">
      <w:pPr>
        <w:spacing w:line="480" w:lineRule="auto"/>
      </w:pPr>
      <w:proofErr w:type="spellStart"/>
      <w:r>
        <w:t>Wijdan</w:t>
      </w:r>
      <w:proofErr w:type="spellEnd"/>
      <w:r>
        <w:t>, A., ‘From the Literal to the Spiritual: The development of the Prophet Muhammad’s Portrayal from 13</w:t>
      </w:r>
      <w:r w:rsidRPr="009B2725">
        <w:rPr>
          <w:vertAlign w:val="superscript"/>
        </w:rPr>
        <w:t>th</w:t>
      </w:r>
      <w:r>
        <w:t xml:space="preserve"> </w:t>
      </w:r>
      <w:proofErr w:type="gramStart"/>
      <w:r>
        <w:t xml:space="preserve">Century  </w:t>
      </w:r>
      <w:proofErr w:type="spellStart"/>
      <w:r>
        <w:t>Ilkhanid</w:t>
      </w:r>
      <w:proofErr w:type="spellEnd"/>
      <w:proofErr w:type="gramEnd"/>
      <w:r>
        <w:t xml:space="preserve"> Miniatures to 17</w:t>
      </w:r>
      <w:r w:rsidRPr="009B2725">
        <w:rPr>
          <w:vertAlign w:val="superscript"/>
        </w:rPr>
        <w:t>th</w:t>
      </w:r>
      <w:r>
        <w:t xml:space="preserve"> Century Ottoman Art’, </w:t>
      </w:r>
      <w:r>
        <w:rPr>
          <w:i/>
        </w:rPr>
        <w:t xml:space="preserve">EJOS, </w:t>
      </w:r>
      <w:r>
        <w:t xml:space="preserve">IV (2001), M. Kiel, N. Landman &amp; H. </w:t>
      </w:r>
      <w:proofErr w:type="spellStart"/>
      <w:r>
        <w:t>Theunissen</w:t>
      </w:r>
      <w:proofErr w:type="spellEnd"/>
      <w:r>
        <w:t xml:space="preserve"> (eds.), </w:t>
      </w:r>
      <w:r>
        <w:rPr>
          <w:i/>
        </w:rPr>
        <w:t>Proceedings of the 11</w:t>
      </w:r>
      <w:r w:rsidRPr="009B2725">
        <w:rPr>
          <w:i/>
          <w:vertAlign w:val="superscript"/>
        </w:rPr>
        <w:t>th</w:t>
      </w:r>
      <w:r>
        <w:rPr>
          <w:i/>
        </w:rPr>
        <w:t xml:space="preserve"> International Congress of Turkish Art, </w:t>
      </w:r>
      <w:r>
        <w:t>No. 7, 1-24 (Utrecht, The Netherlands, 1999).</w:t>
      </w:r>
    </w:p>
    <w:p w:rsidR="008B2A83" w:rsidRDefault="008B2A83" w:rsidP="00D64F1A">
      <w:pPr>
        <w:spacing w:line="480" w:lineRule="auto"/>
        <w:rPr>
          <w:b/>
        </w:rPr>
      </w:pPr>
      <w:proofErr w:type="spellStart"/>
      <w:r w:rsidRPr="009B2725">
        <w:rPr>
          <w:b/>
        </w:rPr>
        <w:t>Imageography</w:t>
      </w:r>
      <w:proofErr w:type="spellEnd"/>
    </w:p>
    <w:p w:rsidR="002E64DD" w:rsidRPr="00295FFE" w:rsidRDefault="00134EE7" w:rsidP="00D64F1A">
      <w:pPr>
        <w:spacing w:line="480" w:lineRule="auto"/>
      </w:pPr>
      <w:r>
        <w:rPr>
          <w:b/>
        </w:rPr>
        <w:t>Figure 1</w:t>
      </w:r>
      <w:r w:rsidR="00847711">
        <w:rPr>
          <w:b/>
        </w:rPr>
        <w:t>:</w:t>
      </w:r>
      <w:r>
        <w:rPr>
          <w:b/>
        </w:rPr>
        <w:t xml:space="preserve"> </w:t>
      </w:r>
      <w:r w:rsidR="00295FFE">
        <w:t>The Met</w:t>
      </w:r>
      <w:r w:rsidR="00295FFE">
        <w:t>, Byzantium World and Islam [Online] Available at:</w:t>
      </w:r>
      <w:r w:rsidR="00295FFE">
        <w:rPr>
          <w:b/>
        </w:rPr>
        <w:t xml:space="preserve"> </w:t>
      </w:r>
      <w:hyperlink r:id="rId10" w:history="1">
        <w:r w:rsidR="002E64DD" w:rsidRPr="00011597">
          <w:rPr>
            <w:rStyle w:val="Hyperlink"/>
          </w:rPr>
          <w:t>https://www.</w:t>
        </w:r>
        <w:r w:rsidR="002E64DD" w:rsidRPr="00011597">
          <w:rPr>
            <w:rStyle w:val="Hyperlink"/>
          </w:rPr>
          <w:t>m</w:t>
        </w:r>
        <w:r w:rsidR="002E64DD" w:rsidRPr="00011597">
          <w:rPr>
            <w:rStyle w:val="Hyperlink"/>
          </w:rPr>
          <w:t>etmus</w:t>
        </w:r>
        <w:r w:rsidR="002E64DD" w:rsidRPr="00011597">
          <w:rPr>
            <w:rStyle w:val="Hyperlink"/>
          </w:rPr>
          <w:t>e</w:t>
        </w:r>
        <w:r w:rsidR="002E64DD" w:rsidRPr="00011597">
          <w:rPr>
            <w:rStyle w:val="Hyperlink"/>
          </w:rPr>
          <w:t>um.org/exhibitions/listings/2012/byzantium-and-islam/blog/where-in-the-world/posts/damascus</w:t>
        </w:r>
      </w:hyperlink>
      <w:r w:rsidR="00295FFE">
        <w:t>(Accessed: 13/02/2018).</w:t>
      </w:r>
    </w:p>
    <w:p w:rsidR="00B838B8" w:rsidRPr="00B838B8" w:rsidRDefault="00B838B8" w:rsidP="00D64F1A">
      <w:pPr>
        <w:spacing w:line="480" w:lineRule="auto"/>
        <w:rPr>
          <w:b/>
        </w:rPr>
      </w:pPr>
      <w:r w:rsidRPr="00B838B8">
        <w:rPr>
          <w:b/>
        </w:rPr>
        <w:t xml:space="preserve">Figure 2: </w:t>
      </w:r>
      <w:hyperlink r:id="rId11" w:history="1">
        <w:r w:rsidR="00295FFE" w:rsidRPr="00CE03DC">
          <w:rPr>
            <w:rStyle w:val="Hyperlink"/>
          </w:rPr>
          <w:t>https://www.metmuseum.org/toah/works-of-art/57.51.21/</w:t>
        </w:r>
      </w:hyperlink>
      <w:r w:rsidR="00295FFE">
        <w:t xml:space="preserve"> </w:t>
      </w:r>
      <w:r w:rsidR="00295FFE">
        <w:t>(Accessed: 13/02/2018).</w:t>
      </w:r>
    </w:p>
    <w:p w:rsidR="002E64DD" w:rsidRDefault="00134EE7" w:rsidP="00D64F1A">
      <w:pPr>
        <w:spacing w:line="480" w:lineRule="auto"/>
        <w:rPr>
          <w:b/>
        </w:rPr>
      </w:pPr>
      <w:r>
        <w:rPr>
          <w:b/>
        </w:rPr>
        <w:t xml:space="preserve">Figure </w:t>
      </w:r>
      <w:r w:rsidR="00B838B8">
        <w:rPr>
          <w:b/>
        </w:rPr>
        <w:t>3</w:t>
      </w:r>
      <w:r w:rsidR="00847711">
        <w:rPr>
          <w:b/>
        </w:rPr>
        <w:t xml:space="preserve">: </w:t>
      </w:r>
      <w:hyperlink r:id="rId12" w:history="1">
        <w:r w:rsidR="00295FFE" w:rsidRPr="00CE03DC">
          <w:rPr>
            <w:rStyle w:val="Hyperlink"/>
          </w:rPr>
          <w:t>http://www.museumwnf.o</w:t>
        </w:r>
        <w:r w:rsidR="00295FFE" w:rsidRPr="00CE03DC">
          <w:rPr>
            <w:rStyle w:val="Hyperlink"/>
          </w:rPr>
          <w:t>r</w:t>
        </w:r>
        <w:r w:rsidR="00295FFE" w:rsidRPr="00CE03DC">
          <w:rPr>
            <w:rStyle w:val="Hyperlink"/>
          </w:rPr>
          <w:t>g/imag</w:t>
        </w:r>
        <w:r w:rsidR="00295FFE" w:rsidRPr="00CE03DC">
          <w:rPr>
            <w:rStyle w:val="Hyperlink"/>
          </w:rPr>
          <w:t>e</w:t>
        </w:r>
        <w:r w:rsidR="00295FFE" w:rsidRPr="00CE03DC">
          <w:rPr>
            <w:rStyle w:val="Hyperlink"/>
          </w:rPr>
          <w:t>s/zoom/monuments/isl/eg/1/2/6.jpg</w:t>
        </w:r>
      </w:hyperlink>
      <w:r w:rsidR="00295FFE">
        <w:t xml:space="preserve"> </w:t>
      </w:r>
      <w:r w:rsidR="00295FFE">
        <w:t>(Accessed: 13/02/2018).</w:t>
      </w:r>
    </w:p>
    <w:p w:rsidR="002E64DD" w:rsidRPr="002E64DD" w:rsidRDefault="00847711" w:rsidP="00D64F1A">
      <w:pPr>
        <w:spacing w:line="480" w:lineRule="auto"/>
      </w:pPr>
      <w:r>
        <w:rPr>
          <w:b/>
        </w:rPr>
        <w:t xml:space="preserve">Figure </w:t>
      </w:r>
      <w:r w:rsidR="00B838B8">
        <w:rPr>
          <w:b/>
        </w:rPr>
        <w:t>4</w:t>
      </w:r>
      <w:r>
        <w:rPr>
          <w:b/>
        </w:rPr>
        <w:t>:</w:t>
      </w:r>
      <w:r w:rsidR="002E64DD">
        <w:rPr>
          <w:b/>
        </w:rPr>
        <w:t xml:space="preserve"> </w:t>
      </w:r>
      <w:r w:rsidR="002E64DD">
        <w:t xml:space="preserve">The Met, Timeline of Art History, </w:t>
      </w:r>
      <w:r w:rsidR="002E64DD">
        <w:rPr>
          <w:i/>
        </w:rPr>
        <w:t>Figural Representation in Islamic Art</w:t>
      </w:r>
      <w:r w:rsidR="002E64DD">
        <w:t xml:space="preserve"> [online]. Available at: </w:t>
      </w:r>
      <w:hyperlink r:id="rId13" w:history="1">
        <w:r w:rsidR="002E64DD" w:rsidRPr="00011597">
          <w:rPr>
            <w:rStyle w:val="Hyperlink"/>
          </w:rPr>
          <w:t>https://www.metmuseum.org/toah/hd/figs/hd</w:t>
        </w:r>
        <w:r w:rsidR="002E64DD" w:rsidRPr="00011597">
          <w:rPr>
            <w:rStyle w:val="Hyperlink"/>
          </w:rPr>
          <w:t>_</w:t>
        </w:r>
        <w:r w:rsidR="002E64DD" w:rsidRPr="00011597">
          <w:rPr>
            <w:rStyle w:val="Hyperlink"/>
          </w:rPr>
          <w:t>figs.</w:t>
        </w:r>
        <w:r w:rsidR="002E64DD" w:rsidRPr="00011597">
          <w:rPr>
            <w:rStyle w:val="Hyperlink"/>
          </w:rPr>
          <w:t>h</w:t>
        </w:r>
        <w:r w:rsidR="002E64DD" w:rsidRPr="00011597">
          <w:rPr>
            <w:rStyle w:val="Hyperlink"/>
          </w:rPr>
          <w:t>tml</w:t>
        </w:r>
      </w:hyperlink>
      <w:r w:rsidR="002E64DD">
        <w:t xml:space="preserve"> (Accessed: 13/02/2018).</w:t>
      </w:r>
    </w:p>
    <w:p w:rsidR="000C2A88" w:rsidRDefault="000C2A88" w:rsidP="00D64F1A">
      <w:pPr>
        <w:spacing w:line="480" w:lineRule="auto"/>
      </w:pPr>
      <w:r w:rsidRPr="000C2A88">
        <w:rPr>
          <w:b/>
        </w:rPr>
        <w:t xml:space="preserve">Figure </w:t>
      </w:r>
      <w:r w:rsidR="00B838B8">
        <w:rPr>
          <w:b/>
        </w:rPr>
        <w:t>5:</w:t>
      </w:r>
      <w:r>
        <w:t xml:space="preserve"> </w:t>
      </w:r>
      <w:hyperlink r:id="rId14" w:history="1">
        <w:r w:rsidRPr="00CE03DC">
          <w:rPr>
            <w:rStyle w:val="Hyperlink"/>
          </w:rPr>
          <w:t>https://upload.wikimedia.org/wikipedia/commons/b/b5/Miraj_by_Sultan_Muhammad.jpg</w:t>
        </w:r>
      </w:hyperlink>
      <w:r>
        <w:t xml:space="preserve"> </w:t>
      </w:r>
      <w:r w:rsidR="00295FFE">
        <w:t>(Accessed: 13/02/2018).</w:t>
      </w:r>
    </w:p>
    <w:p w:rsidR="00F53A06" w:rsidRDefault="000C2A88" w:rsidP="00D64F1A">
      <w:pPr>
        <w:spacing w:line="480" w:lineRule="auto"/>
      </w:pPr>
      <w:r w:rsidRPr="000C2A88">
        <w:rPr>
          <w:b/>
        </w:rPr>
        <w:t xml:space="preserve">Figure </w:t>
      </w:r>
      <w:r w:rsidR="00B838B8">
        <w:rPr>
          <w:b/>
        </w:rPr>
        <w:t>6</w:t>
      </w:r>
      <w:r w:rsidRPr="000C2A88">
        <w:rPr>
          <w:b/>
        </w:rPr>
        <w:t>:</w:t>
      </w:r>
      <w:r w:rsidR="00F53A06" w:rsidRPr="00F53A06">
        <w:t xml:space="preserve"> </w:t>
      </w:r>
      <w:hyperlink r:id="rId15" w:history="1">
        <w:r w:rsidR="00F53A06" w:rsidRPr="00CE03DC">
          <w:rPr>
            <w:rStyle w:val="Hyperlink"/>
          </w:rPr>
          <w:t>https://www.metmuseum.org/toah/works-of-art/1974.294.2/</w:t>
        </w:r>
      </w:hyperlink>
      <w:r w:rsidR="00295FFE">
        <w:t xml:space="preserve"> </w:t>
      </w:r>
      <w:r w:rsidR="00295FFE">
        <w:t>(Accessed: 13/02/2018).</w:t>
      </w:r>
    </w:p>
    <w:p w:rsidR="00847711" w:rsidRDefault="002E64DD" w:rsidP="00D64F1A">
      <w:pPr>
        <w:spacing w:line="480" w:lineRule="auto"/>
        <w:rPr>
          <w:b/>
        </w:rPr>
      </w:pPr>
      <w:r>
        <w:rPr>
          <w:b/>
        </w:rPr>
        <w:br w:type="page"/>
      </w:r>
    </w:p>
    <w:p w:rsidR="0083487F" w:rsidRPr="002E64DD" w:rsidRDefault="0083487F" w:rsidP="00D64F1A">
      <w:pPr>
        <w:spacing w:line="480" w:lineRule="auto"/>
        <w:rPr>
          <w:b/>
          <w:sz w:val="24"/>
          <w:szCs w:val="24"/>
        </w:rPr>
      </w:pPr>
      <w:r w:rsidRPr="002E64DD">
        <w:rPr>
          <w:b/>
          <w:sz w:val="24"/>
          <w:szCs w:val="24"/>
        </w:rPr>
        <w:lastRenderedPageBreak/>
        <w:t>Appendix: Images</w:t>
      </w:r>
    </w:p>
    <w:p w:rsidR="00DD57C2" w:rsidRDefault="00847711" w:rsidP="00D64F1A">
      <w:pPr>
        <w:keepNext/>
        <w:spacing w:line="480" w:lineRule="auto"/>
      </w:pPr>
      <w:r>
        <w:rPr>
          <w:noProof/>
        </w:rPr>
        <w:drawing>
          <wp:inline distT="0" distB="0" distL="0" distR="0">
            <wp:extent cx="2381250" cy="3581400"/>
            <wp:effectExtent l="0" t="0" r="0" b="0"/>
            <wp:docPr id="3" name="Picture 3" descr="https://www.metmuseum.org/exhibitions/listings/2012/byzantium-and-islam/blog/where-in-the-world/posts/~/media/Images/Exhibitions/2012/Byzantium%20and%20Islam/blog/iconoclasm4.ash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metmuseum.org/exhibitions/listings/2012/byzantium-and-islam/blog/where-in-the-world/posts/~/media/Images/Exhibitions/2012/Byzantium%20and%20Islam/blog/iconoclasm4.ashx"/>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381250" cy="3581400"/>
                    </a:xfrm>
                    <a:prstGeom prst="rect">
                      <a:avLst/>
                    </a:prstGeom>
                    <a:noFill/>
                    <a:ln>
                      <a:noFill/>
                    </a:ln>
                  </pic:spPr>
                </pic:pic>
              </a:graphicData>
            </a:graphic>
          </wp:inline>
        </w:drawing>
      </w:r>
    </w:p>
    <w:p w:rsidR="002E64DD" w:rsidRDefault="00DD57C2" w:rsidP="00D64F1A">
      <w:pPr>
        <w:pStyle w:val="Caption"/>
        <w:spacing w:line="480" w:lineRule="auto"/>
      </w:pPr>
      <w:r>
        <w:t xml:space="preserve">Figure </w:t>
      </w:r>
      <w:r>
        <w:fldChar w:fldCharType="begin"/>
      </w:r>
      <w:r>
        <w:instrText xml:space="preserve"> SEQ Figure \* ARABIC </w:instrText>
      </w:r>
      <w:r>
        <w:fldChar w:fldCharType="separate"/>
      </w:r>
      <w:r w:rsidR="000720E4">
        <w:rPr>
          <w:noProof/>
        </w:rPr>
        <w:t>1</w:t>
      </w:r>
      <w:r>
        <w:fldChar w:fldCharType="end"/>
      </w:r>
      <w:r>
        <w:t>: Mosaics found in the Great Mosque of Damascus</w:t>
      </w:r>
    </w:p>
    <w:p w:rsidR="00DD57C2" w:rsidRPr="002E64DD" w:rsidRDefault="002E64DD" w:rsidP="00D64F1A">
      <w:pPr>
        <w:pStyle w:val="Caption"/>
        <w:spacing w:line="480" w:lineRule="auto"/>
        <w:rPr>
          <w:b/>
        </w:rPr>
      </w:pPr>
      <w:r>
        <w:rPr>
          <w:noProof/>
        </w:rPr>
        <w:drawing>
          <wp:inline distT="0" distB="0" distL="0" distR="0" wp14:anchorId="356A27DD" wp14:editId="448825BF">
            <wp:extent cx="4929809" cy="4003539"/>
            <wp:effectExtent l="0" t="0" r="4445" b="0"/>
            <wp:docPr id="2" name="Picture 2" descr="http://www.museumwnf.org/images/zoom/monuments/isl/eg/1/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museumwnf.org/images/zoom/monuments/isl/eg/1/2/6.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934969" cy="4007730"/>
                    </a:xfrm>
                    <a:prstGeom prst="rect">
                      <a:avLst/>
                    </a:prstGeom>
                    <a:noFill/>
                    <a:ln>
                      <a:noFill/>
                    </a:ln>
                  </pic:spPr>
                </pic:pic>
              </a:graphicData>
            </a:graphic>
          </wp:inline>
        </w:drawing>
      </w:r>
      <w:hyperlink r:id="rId18" w:history="1"/>
    </w:p>
    <w:p w:rsidR="00B839A4" w:rsidRDefault="00DD57C2" w:rsidP="00D64F1A">
      <w:pPr>
        <w:pStyle w:val="Caption"/>
        <w:spacing w:line="480" w:lineRule="auto"/>
      </w:pPr>
      <w:r>
        <w:lastRenderedPageBreak/>
        <w:t xml:space="preserve">Figure </w:t>
      </w:r>
      <w:r>
        <w:fldChar w:fldCharType="begin"/>
      </w:r>
      <w:r>
        <w:instrText xml:space="preserve"> SEQ Figure \* ARABIC </w:instrText>
      </w:r>
      <w:r>
        <w:fldChar w:fldCharType="separate"/>
      </w:r>
      <w:r w:rsidR="000720E4">
        <w:rPr>
          <w:noProof/>
        </w:rPr>
        <w:t>2</w:t>
      </w:r>
      <w:r>
        <w:fldChar w:fldCharType="end"/>
      </w:r>
      <w:r>
        <w:t xml:space="preserve">: Examples of plant-inspired pattern detailing and </w:t>
      </w:r>
      <w:r w:rsidR="002E64DD">
        <w:t>Kufic</w:t>
      </w:r>
      <w:r>
        <w:t xml:space="preserve"> script on </w:t>
      </w:r>
      <w:r w:rsidR="002E64DD">
        <w:t>mihrab</w:t>
      </w:r>
      <w:r>
        <w:t xml:space="preserve"> at Ibn </w:t>
      </w:r>
      <w:proofErr w:type="spellStart"/>
      <w:r>
        <w:t>Tulun</w:t>
      </w:r>
      <w:proofErr w:type="spellEnd"/>
      <w:r>
        <w:t xml:space="preserve"> Mosque in Cairo.</w:t>
      </w:r>
    </w:p>
    <w:p w:rsidR="000720E4" w:rsidRDefault="000720E4" w:rsidP="00D64F1A">
      <w:pPr>
        <w:keepNext/>
        <w:spacing w:line="480" w:lineRule="auto"/>
      </w:pPr>
      <w:r>
        <w:rPr>
          <w:noProof/>
        </w:rPr>
        <w:drawing>
          <wp:inline distT="0" distB="0" distL="0" distR="0">
            <wp:extent cx="5731510" cy="7651222"/>
            <wp:effectExtent l="0" t="0" r="2540" b="6985"/>
            <wp:docPr id="6" name="Picture 6" descr="https://www.metmuseum.org/toah/images/hb/hb_57.51.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www.metmuseum.org/toah/images/hb/hb_57.51.21.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7651222"/>
                    </a:xfrm>
                    <a:prstGeom prst="rect">
                      <a:avLst/>
                    </a:prstGeom>
                    <a:noFill/>
                    <a:ln>
                      <a:noFill/>
                    </a:ln>
                  </pic:spPr>
                </pic:pic>
              </a:graphicData>
            </a:graphic>
          </wp:inline>
        </w:drawing>
      </w:r>
    </w:p>
    <w:p w:rsidR="000720E4" w:rsidRPr="000720E4" w:rsidRDefault="000720E4" w:rsidP="00D64F1A">
      <w:pPr>
        <w:pStyle w:val="Caption"/>
        <w:spacing w:line="480" w:lineRule="auto"/>
      </w:pPr>
      <w:r>
        <w:t xml:space="preserve">Figure </w:t>
      </w:r>
      <w:r>
        <w:fldChar w:fldCharType="begin"/>
      </w:r>
      <w:r>
        <w:instrText xml:space="preserve"> SEQ Figure \* ARABIC </w:instrText>
      </w:r>
      <w:r>
        <w:fldChar w:fldCharType="separate"/>
      </w:r>
      <w:r>
        <w:rPr>
          <w:noProof/>
        </w:rPr>
        <w:t>3</w:t>
      </w:r>
      <w:r>
        <w:fldChar w:fldCharType="end"/>
      </w:r>
      <w:r>
        <w:t>: Abbasid Medical Text</w:t>
      </w:r>
      <w:r w:rsidR="00633EA4">
        <w:t>, depicting the creation of medicine from honey.</w:t>
      </w:r>
    </w:p>
    <w:p w:rsidR="002E64DD" w:rsidRDefault="00DB3DF5" w:rsidP="00D64F1A">
      <w:pPr>
        <w:keepNext/>
        <w:spacing w:line="480" w:lineRule="auto"/>
      </w:pPr>
      <w:r>
        <w:rPr>
          <w:noProof/>
        </w:rPr>
        <w:lastRenderedPageBreak/>
        <w:drawing>
          <wp:inline distT="0" distB="0" distL="0" distR="0">
            <wp:extent cx="5731510" cy="4166808"/>
            <wp:effectExtent l="0" t="0" r="2540" b="5715"/>
            <wp:docPr id="1" name="Picture 1" descr="Wine Drinking in a Spring Gard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ine Drinking in a Spring Garden"/>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4166808"/>
                    </a:xfrm>
                    <a:prstGeom prst="rect">
                      <a:avLst/>
                    </a:prstGeom>
                    <a:noFill/>
                    <a:ln>
                      <a:noFill/>
                    </a:ln>
                  </pic:spPr>
                </pic:pic>
              </a:graphicData>
            </a:graphic>
          </wp:inline>
        </w:drawing>
      </w:r>
    </w:p>
    <w:p w:rsidR="002E64DD" w:rsidRDefault="002E64DD" w:rsidP="00D64F1A">
      <w:pPr>
        <w:pStyle w:val="Caption"/>
        <w:spacing w:line="480" w:lineRule="auto"/>
        <w:rPr>
          <w:b/>
        </w:rPr>
      </w:pPr>
      <w:r>
        <w:t xml:space="preserve">Figure </w:t>
      </w:r>
      <w:r>
        <w:fldChar w:fldCharType="begin"/>
      </w:r>
      <w:r>
        <w:instrText xml:space="preserve"> SEQ Figure \* ARABIC </w:instrText>
      </w:r>
      <w:r>
        <w:fldChar w:fldCharType="separate"/>
      </w:r>
      <w:r w:rsidR="000720E4">
        <w:rPr>
          <w:noProof/>
        </w:rPr>
        <w:t>4</w:t>
      </w:r>
      <w:r>
        <w:fldChar w:fldCharType="end"/>
      </w:r>
      <w:r>
        <w:t>:  Persian 16th century artwork with clear inspiration from Eastern Asia in artistic methods.</w:t>
      </w:r>
    </w:p>
    <w:p w:rsidR="002E64DD" w:rsidRDefault="000C2A88" w:rsidP="00D64F1A">
      <w:pPr>
        <w:keepNext/>
        <w:spacing w:line="480" w:lineRule="auto"/>
      </w:pPr>
      <w:r>
        <w:rPr>
          <w:noProof/>
        </w:rPr>
        <w:lastRenderedPageBreak/>
        <w:drawing>
          <wp:inline distT="0" distB="0" distL="0" distR="0">
            <wp:extent cx="5616269" cy="8301162"/>
            <wp:effectExtent l="0" t="0" r="3810" b="5080"/>
            <wp:docPr id="5" name="Picture 5" descr="https://upload.wikimedia.org/wikipedia/commons/b/b5/Miraj_by_Sultan_Muhamm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upload.wikimedia.org/wikipedia/commons/b/b5/Miraj_by_Sultan_Muhammad.jp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618108" cy="8303880"/>
                    </a:xfrm>
                    <a:prstGeom prst="rect">
                      <a:avLst/>
                    </a:prstGeom>
                    <a:noFill/>
                    <a:ln>
                      <a:noFill/>
                    </a:ln>
                  </pic:spPr>
                </pic:pic>
              </a:graphicData>
            </a:graphic>
          </wp:inline>
        </w:drawing>
      </w:r>
    </w:p>
    <w:p w:rsidR="003B6F5F" w:rsidRPr="0088693C" w:rsidRDefault="002E64DD" w:rsidP="00D64F1A">
      <w:pPr>
        <w:pStyle w:val="Caption"/>
        <w:spacing w:line="480" w:lineRule="auto"/>
        <w:rPr>
          <w:b/>
        </w:rPr>
      </w:pPr>
      <w:r>
        <w:t xml:space="preserve">Figure </w:t>
      </w:r>
      <w:r>
        <w:fldChar w:fldCharType="begin"/>
      </w:r>
      <w:r>
        <w:instrText xml:space="preserve"> SEQ Figure \* ARABIC </w:instrText>
      </w:r>
      <w:r>
        <w:fldChar w:fldCharType="separate"/>
      </w:r>
      <w:r w:rsidR="000720E4">
        <w:rPr>
          <w:noProof/>
        </w:rPr>
        <w:t>5</w:t>
      </w:r>
      <w:r>
        <w:fldChar w:fldCharType="end"/>
      </w:r>
      <w:r>
        <w:t xml:space="preserve">: </w:t>
      </w:r>
      <w:proofErr w:type="spellStart"/>
      <w:r>
        <w:t>Miraj</w:t>
      </w:r>
      <w:proofErr w:type="spellEnd"/>
      <w:r>
        <w:t>, 16th century Persian depiction of Mohammed.</w:t>
      </w:r>
    </w:p>
    <w:sectPr w:rsidR="003B6F5F" w:rsidRPr="0088693C">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465F0" w:rsidRDefault="007465F0" w:rsidP="000D75A8">
      <w:pPr>
        <w:spacing w:after="0" w:line="240" w:lineRule="auto"/>
      </w:pPr>
      <w:r>
        <w:separator/>
      </w:r>
    </w:p>
  </w:endnote>
  <w:endnote w:type="continuationSeparator" w:id="0">
    <w:p w:rsidR="007465F0" w:rsidRDefault="007465F0" w:rsidP="000D75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9326918"/>
      <w:docPartObj>
        <w:docPartGallery w:val="Page Numbers (Bottom of Page)"/>
        <w:docPartUnique/>
      </w:docPartObj>
    </w:sdtPr>
    <w:sdtEndPr>
      <w:rPr>
        <w:noProof/>
      </w:rPr>
    </w:sdtEndPr>
    <w:sdtContent>
      <w:p w:rsidR="00F53A06" w:rsidRDefault="00F53A06">
        <w:pPr>
          <w:pStyle w:val="Footer"/>
          <w:jc w:val="right"/>
        </w:pPr>
        <w:r>
          <w:fldChar w:fldCharType="begin"/>
        </w:r>
        <w:r>
          <w:instrText xml:space="preserve"> PAGE   \* MERGEFORMAT </w:instrText>
        </w:r>
        <w:r>
          <w:fldChar w:fldCharType="separate"/>
        </w:r>
        <w:r w:rsidR="00D64F1A">
          <w:rPr>
            <w:noProof/>
          </w:rPr>
          <w:t>1</w:t>
        </w:r>
        <w:r>
          <w:rPr>
            <w:noProof/>
          </w:rPr>
          <w:fldChar w:fldCharType="end"/>
        </w:r>
      </w:p>
    </w:sdtContent>
  </w:sdt>
  <w:p w:rsidR="00F53A06" w:rsidRDefault="00F53A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465F0" w:rsidRDefault="007465F0" w:rsidP="000D75A8">
      <w:pPr>
        <w:spacing w:after="0" w:line="240" w:lineRule="auto"/>
      </w:pPr>
      <w:r>
        <w:separator/>
      </w:r>
    </w:p>
  </w:footnote>
  <w:footnote w:type="continuationSeparator" w:id="0">
    <w:p w:rsidR="007465F0" w:rsidRDefault="007465F0" w:rsidP="000D75A8">
      <w:pPr>
        <w:spacing w:after="0" w:line="240" w:lineRule="auto"/>
      </w:pPr>
      <w:r>
        <w:continuationSeparator/>
      </w:r>
    </w:p>
  </w:footnote>
  <w:footnote w:id="1">
    <w:p w:rsidR="00F53A06" w:rsidRDefault="00F53A06">
      <w:pPr>
        <w:pStyle w:val="FootnoteText"/>
      </w:pPr>
      <w:r>
        <w:rPr>
          <w:rStyle w:val="FootnoteReference"/>
        </w:rPr>
        <w:footnoteRef/>
      </w:r>
      <w:r>
        <w:t xml:space="preserve"> </w:t>
      </w:r>
      <w:r w:rsidRPr="00847711">
        <w:t>The Met, Timeline of Art History, Figural Representation in Islamic Art [online]. Available at: https://www.metmuseum.org/toah/hd/figs/hd_figs.html (Accessed: 13/02/2018).</w:t>
      </w:r>
    </w:p>
  </w:footnote>
  <w:footnote w:id="2">
    <w:p w:rsidR="00F53A06" w:rsidRDefault="00F53A06">
      <w:pPr>
        <w:pStyle w:val="FootnoteText"/>
      </w:pPr>
      <w:r>
        <w:rPr>
          <w:rStyle w:val="FootnoteReference"/>
        </w:rPr>
        <w:footnoteRef/>
      </w:r>
      <w:r>
        <w:t xml:space="preserve"> </w:t>
      </w:r>
      <w:proofErr w:type="spellStart"/>
      <w:r w:rsidRPr="004D5BE3">
        <w:t>Behzad</w:t>
      </w:r>
      <w:proofErr w:type="spellEnd"/>
      <w:r w:rsidRPr="004D5BE3">
        <w:t xml:space="preserve">, N., and </w:t>
      </w:r>
      <w:proofErr w:type="spellStart"/>
      <w:r w:rsidRPr="004D5BE3">
        <w:t>Qarizadah</w:t>
      </w:r>
      <w:proofErr w:type="spellEnd"/>
      <w:r w:rsidRPr="004D5BE3">
        <w:t xml:space="preserve">, D., BBC News, The Man Who Helped Blow up the </w:t>
      </w:r>
      <w:proofErr w:type="spellStart"/>
      <w:r w:rsidRPr="004D5BE3">
        <w:t>Bamiyan</w:t>
      </w:r>
      <w:proofErr w:type="spellEnd"/>
      <w:r w:rsidRPr="004D5BE3">
        <w:t xml:space="preserve"> Buddhas (2015) [online]. Available at: http://www.bbc.co.uk/news/world-asia-31813681 (Accessed: 13/02/18).</w:t>
      </w:r>
    </w:p>
  </w:footnote>
  <w:footnote w:id="3">
    <w:p w:rsidR="00F53A06" w:rsidRDefault="00F53A06" w:rsidP="004D5BE3">
      <w:r>
        <w:rPr>
          <w:rStyle w:val="FootnoteReference"/>
        </w:rPr>
        <w:footnoteRef/>
      </w:r>
      <w:r>
        <w:t xml:space="preserve"> T. </w:t>
      </w:r>
      <w:proofErr w:type="spellStart"/>
      <w:r>
        <w:t>Swelim</w:t>
      </w:r>
      <w:proofErr w:type="spellEnd"/>
      <w:r>
        <w:t>,</w:t>
      </w:r>
      <w:r w:rsidRPr="00BF5F96">
        <w:t xml:space="preserve"> </w:t>
      </w:r>
      <w:r w:rsidRPr="00F1500A">
        <w:rPr>
          <w:i/>
        </w:rPr>
        <w:t xml:space="preserve">Ibn </w:t>
      </w:r>
      <w:proofErr w:type="spellStart"/>
      <w:r w:rsidRPr="00F1500A">
        <w:rPr>
          <w:i/>
        </w:rPr>
        <w:t>Tulun</w:t>
      </w:r>
      <w:proofErr w:type="spellEnd"/>
      <w:r w:rsidRPr="00F1500A">
        <w:rPr>
          <w:i/>
        </w:rPr>
        <w:t>: His Lost City and Great Mosque</w:t>
      </w:r>
      <w:r w:rsidRPr="00BF5F96">
        <w:t xml:space="preserve"> (Cairo: The American University in Cairo Press, 2015).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53A06" w:rsidRDefault="00F53A06">
    <w:pPr>
      <w:pStyle w:val="Header"/>
    </w:pPr>
    <w:r>
      <w:t>Benjamin Dale</w:t>
    </w:r>
    <w:r>
      <w:ptab w:relativeTo="margin" w:alignment="center" w:leader="none"/>
    </w:r>
    <w:r>
      <w:ptab w:relativeTo="margin" w:alignment="right" w:leader="none"/>
    </w:r>
    <w:r>
      <w:t>1502041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DF54611"/>
    <w:multiLevelType w:val="hybridMultilevel"/>
    <w:tmpl w:val="95763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6F5F"/>
    <w:rsid w:val="00001C96"/>
    <w:rsid w:val="000525B8"/>
    <w:rsid w:val="000720E4"/>
    <w:rsid w:val="000C2A88"/>
    <w:rsid w:val="000D75A8"/>
    <w:rsid w:val="000F4AE0"/>
    <w:rsid w:val="00134EE7"/>
    <w:rsid w:val="0013537A"/>
    <w:rsid w:val="0024405B"/>
    <w:rsid w:val="00292588"/>
    <w:rsid w:val="00295FFE"/>
    <w:rsid w:val="002C5EF5"/>
    <w:rsid w:val="002E64DD"/>
    <w:rsid w:val="003B6F5F"/>
    <w:rsid w:val="003C2CD2"/>
    <w:rsid w:val="00486385"/>
    <w:rsid w:val="004D189A"/>
    <w:rsid w:val="004D5BE3"/>
    <w:rsid w:val="004E0504"/>
    <w:rsid w:val="00524F5B"/>
    <w:rsid w:val="0054252C"/>
    <w:rsid w:val="00546145"/>
    <w:rsid w:val="00551A34"/>
    <w:rsid w:val="00633EA4"/>
    <w:rsid w:val="00661A7C"/>
    <w:rsid w:val="006D206B"/>
    <w:rsid w:val="007465F0"/>
    <w:rsid w:val="007E6A52"/>
    <w:rsid w:val="00802064"/>
    <w:rsid w:val="00834607"/>
    <w:rsid w:val="0083487F"/>
    <w:rsid w:val="00847711"/>
    <w:rsid w:val="00853C97"/>
    <w:rsid w:val="0085770F"/>
    <w:rsid w:val="0088693C"/>
    <w:rsid w:val="008B2A83"/>
    <w:rsid w:val="008F1F3E"/>
    <w:rsid w:val="00913A73"/>
    <w:rsid w:val="00923044"/>
    <w:rsid w:val="00940B9F"/>
    <w:rsid w:val="00981C9F"/>
    <w:rsid w:val="009B2725"/>
    <w:rsid w:val="00A02D36"/>
    <w:rsid w:val="00B838B8"/>
    <w:rsid w:val="00B839A4"/>
    <w:rsid w:val="00BF4CEA"/>
    <w:rsid w:val="00BF5F96"/>
    <w:rsid w:val="00C95D57"/>
    <w:rsid w:val="00CB7C2B"/>
    <w:rsid w:val="00D30E7F"/>
    <w:rsid w:val="00D64F1A"/>
    <w:rsid w:val="00D665C7"/>
    <w:rsid w:val="00D97B5B"/>
    <w:rsid w:val="00DB3DF5"/>
    <w:rsid w:val="00DD57C2"/>
    <w:rsid w:val="00DF00C5"/>
    <w:rsid w:val="00E63628"/>
    <w:rsid w:val="00E71005"/>
    <w:rsid w:val="00ED59CB"/>
    <w:rsid w:val="00EE7DEA"/>
    <w:rsid w:val="00F1500A"/>
    <w:rsid w:val="00F53A06"/>
    <w:rsid w:val="00F626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7C2A1"/>
  <w15:chartTrackingRefBased/>
  <w15:docId w15:val="{58FA197E-A161-469E-9447-992DF902A5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62602"/>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00C5"/>
    <w:pPr>
      <w:ind w:left="720"/>
      <w:contextualSpacing/>
    </w:pPr>
  </w:style>
  <w:style w:type="paragraph" w:styleId="FootnoteText">
    <w:name w:val="footnote text"/>
    <w:basedOn w:val="Normal"/>
    <w:link w:val="FootnoteTextChar"/>
    <w:uiPriority w:val="99"/>
    <w:semiHidden/>
    <w:unhideWhenUsed/>
    <w:rsid w:val="000D75A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D75A8"/>
    <w:rPr>
      <w:sz w:val="20"/>
      <w:szCs w:val="20"/>
    </w:rPr>
  </w:style>
  <w:style w:type="character" w:styleId="FootnoteReference">
    <w:name w:val="footnote reference"/>
    <w:basedOn w:val="DefaultParagraphFont"/>
    <w:uiPriority w:val="99"/>
    <w:semiHidden/>
    <w:unhideWhenUsed/>
    <w:rsid w:val="000D75A8"/>
    <w:rPr>
      <w:vertAlign w:val="superscript"/>
    </w:rPr>
  </w:style>
  <w:style w:type="character" w:styleId="Hyperlink">
    <w:name w:val="Hyperlink"/>
    <w:basedOn w:val="DefaultParagraphFont"/>
    <w:uiPriority w:val="99"/>
    <w:unhideWhenUsed/>
    <w:rsid w:val="00BF5F96"/>
    <w:rPr>
      <w:color w:val="0563C1" w:themeColor="hyperlink"/>
      <w:u w:val="single"/>
    </w:rPr>
  </w:style>
  <w:style w:type="character" w:styleId="UnresolvedMention">
    <w:name w:val="Unresolved Mention"/>
    <w:basedOn w:val="DefaultParagraphFont"/>
    <w:uiPriority w:val="99"/>
    <w:semiHidden/>
    <w:unhideWhenUsed/>
    <w:rsid w:val="00BF5F96"/>
    <w:rPr>
      <w:color w:val="808080"/>
      <w:shd w:val="clear" w:color="auto" w:fill="E6E6E6"/>
    </w:rPr>
  </w:style>
  <w:style w:type="character" w:styleId="FollowedHyperlink">
    <w:name w:val="FollowedHyperlink"/>
    <w:basedOn w:val="DefaultParagraphFont"/>
    <w:uiPriority w:val="99"/>
    <w:semiHidden/>
    <w:unhideWhenUsed/>
    <w:rsid w:val="00B839A4"/>
    <w:rPr>
      <w:color w:val="954F72" w:themeColor="followedHyperlink"/>
      <w:u w:val="single"/>
    </w:rPr>
  </w:style>
  <w:style w:type="paragraph" w:styleId="Header">
    <w:name w:val="header"/>
    <w:basedOn w:val="Normal"/>
    <w:link w:val="HeaderChar"/>
    <w:uiPriority w:val="99"/>
    <w:unhideWhenUsed/>
    <w:rsid w:val="000C2A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2A88"/>
  </w:style>
  <w:style w:type="paragraph" w:styleId="Footer">
    <w:name w:val="footer"/>
    <w:basedOn w:val="Normal"/>
    <w:link w:val="FooterChar"/>
    <w:uiPriority w:val="99"/>
    <w:unhideWhenUsed/>
    <w:rsid w:val="000C2A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2A88"/>
  </w:style>
  <w:style w:type="paragraph" w:styleId="Caption">
    <w:name w:val="caption"/>
    <w:basedOn w:val="Normal"/>
    <w:next w:val="Normal"/>
    <w:uiPriority w:val="35"/>
    <w:unhideWhenUsed/>
    <w:qFormat/>
    <w:rsid w:val="00DD57C2"/>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world-asia-31813681" TargetMode="External"/><Relationship Id="rId13" Type="http://schemas.openxmlformats.org/officeDocument/2006/relationships/hyperlink" Target="https://www.metmuseum.org/toah/hd/figs/hd_figs.html" TargetMode="External"/><Relationship Id="rId18" Type="http://schemas.openxmlformats.org/officeDocument/2006/relationships/hyperlink" Target="https://www.metmuseum.org/exhibitions/listings/2012/byzantium-and-islam/blog/where-in-the-world/posts/~/media/Images/Exhibitions/2012/Byzantium%20and%20Islam/blog/iconoclasm4.ashx"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5.jpeg"/><Relationship Id="rId7" Type="http://schemas.openxmlformats.org/officeDocument/2006/relationships/endnotes" Target="endnotes.xml"/><Relationship Id="rId12" Type="http://schemas.openxmlformats.org/officeDocument/2006/relationships/hyperlink" Target="http://www.museumwnf.org/images/zoom/monuments/isl/eg/1/2/6.jpg" TargetMode="External"/><Relationship Id="rId17" Type="http://schemas.openxmlformats.org/officeDocument/2006/relationships/image" Target="media/image2.jpeg"/><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1.jpeg"/><Relationship Id="rId20"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etmuseum.org/toah/works-of-art/57.51.21/"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metmuseum.org/toah/works-of-art/1974.294.2/" TargetMode="External"/><Relationship Id="rId23" Type="http://schemas.openxmlformats.org/officeDocument/2006/relationships/footer" Target="footer1.xml"/><Relationship Id="rId10" Type="http://schemas.openxmlformats.org/officeDocument/2006/relationships/hyperlink" Target="https://www.metmuseum.org/exhibitions/listings/2012/byzantium-and-islam/blog/where-in-the-world/posts/damascus" TargetMode="External"/><Relationship Id="rId19"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hyperlink" Target="https://www.metmuseum.org/toah/hd/figs/hd_figs.html" TargetMode="External"/><Relationship Id="rId14" Type="http://schemas.openxmlformats.org/officeDocument/2006/relationships/hyperlink" Target="https://upload.wikimedia.org/wikipedia/commons/b/b5/Miraj_by_Sultan_Muhammad.jpg" TargetMode="External"/><Relationship Id="rId2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3697"/>
    <w:rsid w:val="004436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BF59AFEE12642C8ADD15045FBB8C8EF">
    <w:name w:val="1BF59AFEE12642C8ADD15045FBB8C8EF"/>
    <w:rsid w:val="0044369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4E8FEC-447D-4BEB-A5C0-0CF253F6C8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10</Pages>
  <Words>1669</Words>
  <Characters>9517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dc:creator>
  <cp:keywords/>
  <dc:description/>
  <cp:lastModifiedBy>Ben</cp:lastModifiedBy>
  <cp:revision>4</cp:revision>
  <dcterms:created xsi:type="dcterms:W3CDTF">2018-02-13T22:59:00Z</dcterms:created>
  <dcterms:modified xsi:type="dcterms:W3CDTF">2018-02-13T23:06:00Z</dcterms:modified>
</cp:coreProperties>
</file>