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B44B8" w14:textId="77777777" w:rsidR="009E3B1A" w:rsidRDefault="009E3B1A" w:rsidP="00B86375">
      <w:pPr>
        <w:spacing w:line="360" w:lineRule="auto"/>
        <w:jc w:val="both"/>
        <w:rPr>
          <w:rFonts w:ascii="Times New Roman" w:hAnsi="Times New Roman" w:cs="Times New Roman"/>
          <w:sz w:val="36"/>
          <w:szCs w:val="36"/>
        </w:rPr>
      </w:pPr>
    </w:p>
    <w:p w14:paraId="0CB8409B" w14:textId="77777777" w:rsidR="009E3B1A" w:rsidRDefault="009E3B1A" w:rsidP="00B86375">
      <w:pPr>
        <w:spacing w:line="360" w:lineRule="auto"/>
        <w:jc w:val="both"/>
        <w:rPr>
          <w:rFonts w:ascii="Times New Roman" w:hAnsi="Times New Roman" w:cs="Times New Roman"/>
          <w:sz w:val="36"/>
          <w:szCs w:val="36"/>
        </w:rPr>
      </w:pPr>
    </w:p>
    <w:p w14:paraId="1393343B" w14:textId="77777777" w:rsidR="009E3B1A" w:rsidRDefault="009E3B1A" w:rsidP="00B86375">
      <w:pPr>
        <w:spacing w:line="360" w:lineRule="auto"/>
        <w:jc w:val="both"/>
        <w:rPr>
          <w:rFonts w:ascii="Times New Roman" w:hAnsi="Times New Roman" w:cs="Times New Roman"/>
          <w:sz w:val="36"/>
          <w:szCs w:val="36"/>
        </w:rPr>
      </w:pPr>
    </w:p>
    <w:p w14:paraId="11477E93" w14:textId="7A03CE6F" w:rsidR="05D36843" w:rsidRDefault="05D36843" w:rsidP="00C92E66">
      <w:pPr>
        <w:spacing w:line="360" w:lineRule="auto"/>
        <w:jc w:val="center"/>
        <w:rPr>
          <w:rFonts w:ascii="Times New Roman" w:hAnsi="Times New Roman" w:cs="Times New Roman"/>
          <w:b/>
          <w:sz w:val="36"/>
          <w:szCs w:val="36"/>
        </w:rPr>
      </w:pPr>
      <w:r w:rsidRPr="009E3B1A">
        <w:rPr>
          <w:rFonts w:ascii="Times New Roman" w:hAnsi="Times New Roman" w:cs="Times New Roman"/>
          <w:b/>
          <w:sz w:val="36"/>
          <w:szCs w:val="36"/>
        </w:rPr>
        <w:t>COMMUNITY ENGAGEMENT</w:t>
      </w:r>
    </w:p>
    <w:p w14:paraId="7F137022" w14:textId="5ED79009" w:rsidR="00661017" w:rsidRDefault="00661017" w:rsidP="00C92E66">
      <w:pPr>
        <w:spacing w:line="360" w:lineRule="auto"/>
        <w:jc w:val="center"/>
        <w:rPr>
          <w:rFonts w:ascii="Times New Roman" w:hAnsi="Times New Roman" w:cs="Times New Roman"/>
          <w:b/>
          <w:sz w:val="36"/>
          <w:szCs w:val="36"/>
        </w:rPr>
      </w:pPr>
      <w:r>
        <w:rPr>
          <w:rFonts w:ascii="Times New Roman" w:hAnsi="Times New Roman" w:cs="Times New Roman"/>
          <w:b/>
          <w:sz w:val="36"/>
          <w:szCs w:val="36"/>
        </w:rPr>
        <w:t>ESSAY</w:t>
      </w:r>
    </w:p>
    <w:p w14:paraId="39076279" w14:textId="77777777" w:rsidR="00661017" w:rsidRPr="009E3B1A" w:rsidRDefault="00661017" w:rsidP="00C92E66">
      <w:pPr>
        <w:spacing w:line="360" w:lineRule="auto"/>
        <w:jc w:val="center"/>
        <w:rPr>
          <w:rFonts w:ascii="Times New Roman" w:hAnsi="Times New Roman" w:cs="Times New Roman"/>
          <w:b/>
          <w:sz w:val="36"/>
          <w:szCs w:val="36"/>
        </w:rPr>
      </w:pPr>
    </w:p>
    <w:p w14:paraId="7D1173DC" w14:textId="77777777" w:rsidR="00661017" w:rsidRPr="00661017" w:rsidRDefault="00661017" w:rsidP="00661017">
      <w:pPr>
        <w:jc w:val="center"/>
        <w:rPr>
          <w:b/>
          <w:bCs/>
          <w:sz w:val="28"/>
          <w:szCs w:val="28"/>
        </w:rPr>
      </w:pPr>
      <w:r w:rsidRPr="00661017">
        <w:rPr>
          <w:b/>
          <w:bCs/>
          <w:sz w:val="28"/>
          <w:szCs w:val="28"/>
        </w:rPr>
        <w:t xml:space="preserve">Student Name: Diana Gabriela </w:t>
      </w:r>
      <w:proofErr w:type="spellStart"/>
      <w:r w:rsidRPr="00661017">
        <w:rPr>
          <w:b/>
          <w:bCs/>
          <w:sz w:val="28"/>
          <w:szCs w:val="28"/>
        </w:rPr>
        <w:t>Bucataru</w:t>
      </w:r>
      <w:proofErr w:type="spellEnd"/>
    </w:p>
    <w:p w14:paraId="30CA0DF4" w14:textId="2B586500" w:rsidR="00661017" w:rsidRPr="00661017" w:rsidRDefault="00661017" w:rsidP="00661017">
      <w:pPr>
        <w:jc w:val="center"/>
        <w:rPr>
          <w:b/>
          <w:bCs/>
          <w:sz w:val="28"/>
          <w:szCs w:val="28"/>
        </w:rPr>
      </w:pPr>
      <w:r w:rsidRPr="00661017">
        <w:rPr>
          <w:b/>
          <w:bCs/>
          <w:sz w:val="28"/>
          <w:szCs w:val="28"/>
        </w:rPr>
        <w:t>Student ID:  2122807</w:t>
      </w:r>
    </w:p>
    <w:p w14:paraId="5286231B" w14:textId="77777777" w:rsidR="00661017" w:rsidRDefault="00661017" w:rsidP="00661017">
      <w:pPr>
        <w:rPr>
          <w:b/>
          <w:bCs/>
        </w:rPr>
        <w:sectPr w:rsidR="00661017">
          <w:pgSz w:w="11900" w:h="16840"/>
          <w:pgMar w:top="1500" w:right="1320" w:bottom="280" w:left="1340" w:header="720" w:footer="720" w:gutter="0"/>
          <w:cols w:space="720"/>
        </w:sectPr>
      </w:pPr>
    </w:p>
    <w:p w14:paraId="21C72E93" w14:textId="0EBD8669" w:rsidR="009E3B1A" w:rsidRDefault="0077708B" w:rsidP="0077708B">
      <w:pPr>
        <w:pStyle w:val="Heading1"/>
        <w:spacing w:before="0"/>
        <w:rPr>
          <w:rFonts w:ascii="Times New Roman" w:hAnsi="Times New Roman" w:cs="Times New Roman"/>
          <w:b/>
          <w:bCs/>
          <w:color w:val="auto"/>
          <w:sz w:val="24"/>
          <w:szCs w:val="24"/>
        </w:rPr>
      </w:pPr>
      <w:r w:rsidRPr="0077708B">
        <w:rPr>
          <w:rFonts w:ascii="Times New Roman" w:hAnsi="Times New Roman" w:cs="Times New Roman"/>
          <w:b/>
          <w:bCs/>
          <w:color w:val="auto"/>
          <w:sz w:val="24"/>
          <w:szCs w:val="24"/>
        </w:rPr>
        <w:lastRenderedPageBreak/>
        <w:t>Community Engagement</w:t>
      </w:r>
    </w:p>
    <w:p w14:paraId="17DA1528" w14:textId="77777777" w:rsidR="00661017" w:rsidRPr="00661017" w:rsidRDefault="00661017" w:rsidP="00661017"/>
    <w:p w14:paraId="715275AC" w14:textId="77777777" w:rsidR="05D36843" w:rsidRPr="00A51C01" w:rsidRDefault="05D36843" w:rsidP="00B86375">
      <w:pPr>
        <w:spacing w:line="360" w:lineRule="auto"/>
        <w:jc w:val="both"/>
        <w:rPr>
          <w:rFonts w:ascii="Times New Roman" w:hAnsi="Times New Roman" w:cs="Times New Roman"/>
          <w:sz w:val="24"/>
          <w:szCs w:val="24"/>
        </w:rPr>
      </w:pPr>
      <w:r w:rsidRPr="00A51C01">
        <w:rPr>
          <w:rFonts w:ascii="Times New Roman" w:hAnsi="Times New Roman" w:cs="Times New Roman"/>
          <w:sz w:val="24"/>
          <w:szCs w:val="24"/>
        </w:rPr>
        <w:t>Community engagement is one of the successful actions in the recent past because of the way it has contributed to an organised economic and social development in the community both to the whole area and the individual well-being. Engaging the residents in the process of decision making has led to a meaningful sustainable environment whereby all the ethics are observed to ensure that all the people in the community are respected and given an enabling environment to continue their daily activities well. The ability of the individuals to engage in various cultures, acts and the prestige of the community and come to harmony together with all the members of the public has been seen to impact the wellbeing and the progress of the society.  when we analyse the wellness and the activity of the community through various perspectives, we find that what affects the effectiveness of the society is the way we carry out our activities and that all the activities we do impact other parties in one way or another and therefore engaging has been found to solve all the small challenges that are faced and therefore some theories such as the ethical theory is an equalizer for all if practiced. In this essay, we shall therefore discuss the various perspectives and theories that are seen to impact the wellbeing of the society and how they can be incorporated into the community transformation.</w:t>
      </w:r>
    </w:p>
    <w:p w14:paraId="03793123" w14:textId="77777777" w:rsidR="05D36843" w:rsidRPr="00A51C01" w:rsidRDefault="05D36843" w:rsidP="00B86375">
      <w:pPr>
        <w:spacing w:line="360" w:lineRule="auto"/>
        <w:jc w:val="both"/>
        <w:rPr>
          <w:rFonts w:ascii="Times New Roman" w:hAnsi="Times New Roman" w:cs="Times New Roman"/>
          <w:sz w:val="24"/>
          <w:szCs w:val="24"/>
        </w:rPr>
      </w:pPr>
      <w:r w:rsidRPr="00A51C01">
        <w:rPr>
          <w:rFonts w:ascii="Times New Roman" w:hAnsi="Times New Roman" w:cs="Times New Roman"/>
          <w:sz w:val="24"/>
          <w:szCs w:val="24"/>
        </w:rPr>
        <w:t xml:space="preserve"> When we analyse the way community engagement brings about impact on a broader perspective of health, we find that some principles are key in the process of communication such as ethical communication which are aimed at encouraging participation in the interactions done within the community. In this field, engaging with the community brings about wellbeing because the skills and knowledge of the individuals are enhanced and the utility of the resources and skills to implement various challenges and policies are seen which can aid in tackling ethical problems (Sarkissian et.al, 2009). When the community is engaged also in the process, we find that there is the development of trust among the members of the society, and this has been seen to translate to the urge to bring into action some projects which are crucial to the community success. Community engagement has been found to reduce the chances of risking traditional methods of medication and the health well-being of the people in the community has been improved. Most of the challenges that arise</w:t>
      </w:r>
      <w:r w:rsidR="00BA38AF" w:rsidRPr="00A51C01">
        <w:rPr>
          <w:rFonts w:ascii="Times New Roman" w:hAnsi="Times New Roman" w:cs="Times New Roman"/>
          <w:sz w:val="24"/>
          <w:szCs w:val="24"/>
        </w:rPr>
        <w:t xml:space="preserve"> in the community can be suppress</w:t>
      </w:r>
      <w:r w:rsidRPr="00A51C01">
        <w:rPr>
          <w:rFonts w:ascii="Times New Roman" w:hAnsi="Times New Roman" w:cs="Times New Roman"/>
          <w:sz w:val="24"/>
          <w:szCs w:val="24"/>
        </w:rPr>
        <w:t xml:space="preserve">ed if the community is involved simply because they will reflect and </w:t>
      </w:r>
      <w:bookmarkStart w:id="0" w:name="_Int_BB7MVIKH"/>
      <w:r w:rsidRPr="00A51C01">
        <w:rPr>
          <w:rFonts w:ascii="Times New Roman" w:hAnsi="Times New Roman" w:cs="Times New Roman"/>
          <w:sz w:val="24"/>
          <w:szCs w:val="24"/>
        </w:rPr>
        <w:t>produce</w:t>
      </w:r>
      <w:bookmarkStart w:id="1" w:name="_Int_9jPhj0Np"/>
      <w:bookmarkEnd w:id="0"/>
      <w:r w:rsidR="00ED3107" w:rsidRPr="00A51C01">
        <w:rPr>
          <w:rFonts w:ascii="Times New Roman" w:hAnsi="Times New Roman" w:cs="Times New Roman"/>
          <w:sz w:val="24"/>
          <w:szCs w:val="24"/>
        </w:rPr>
        <w:t xml:space="preserve"> </w:t>
      </w:r>
      <w:r w:rsidRPr="00A51C01">
        <w:rPr>
          <w:rFonts w:ascii="Times New Roman" w:hAnsi="Times New Roman" w:cs="Times New Roman"/>
          <w:sz w:val="24"/>
          <w:szCs w:val="24"/>
        </w:rPr>
        <w:t>practical solutions</w:t>
      </w:r>
      <w:bookmarkEnd w:id="1"/>
      <w:r w:rsidRPr="00A51C01">
        <w:rPr>
          <w:rFonts w:ascii="Times New Roman" w:hAnsi="Times New Roman" w:cs="Times New Roman"/>
          <w:sz w:val="24"/>
          <w:szCs w:val="24"/>
        </w:rPr>
        <w:t xml:space="preserve"> which will help various organizations to only chip in and </w:t>
      </w:r>
      <w:bookmarkStart w:id="2" w:name="_Int_MIrGietk"/>
      <w:r w:rsidRPr="00A51C01">
        <w:rPr>
          <w:rFonts w:ascii="Times New Roman" w:hAnsi="Times New Roman" w:cs="Times New Roman"/>
          <w:sz w:val="24"/>
          <w:szCs w:val="24"/>
        </w:rPr>
        <w:t>finish</w:t>
      </w:r>
      <w:bookmarkEnd w:id="2"/>
      <w:r w:rsidRPr="00A51C01">
        <w:rPr>
          <w:rFonts w:ascii="Times New Roman" w:hAnsi="Times New Roman" w:cs="Times New Roman"/>
          <w:sz w:val="24"/>
          <w:szCs w:val="24"/>
        </w:rPr>
        <w:t xml:space="preserve"> </w:t>
      </w:r>
      <w:r w:rsidR="00B86375">
        <w:rPr>
          <w:rFonts w:ascii="Times New Roman" w:hAnsi="Times New Roman" w:cs="Times New Roman"/>
          <w:sz w:val="24"/>
          <w:szCs w:val="24"/>
        </w:rPr>
        <w:t>what might be complex (Jones et.al, 2009</w:t>
      </w:r>
      <w:r w:rsidRPr="00A51C01">
        <w:rPr>
          <w:rFonts w:ascii="Times New Roman" w:hAnsi="Times New Roman" w:cs="Times New Roman"/>
          <w:sz w:val="24"/>
          <w:szCs w:val="24"/>
        </w:rPr>
        <w:t>). Community engagement has been found to integrate the society with healthy culture and belief by handling all the members as equal so that there can be a balance in the community by ensuring that there is a match between the various classes evident in the community and focus on arriving at amicable decisions that apply to all. Citizen participation and perspective has been found to drive members to a common goal by analysing the various strengths and weaknesses that affect the values in the community and those that can inhibit success.</w:t>
      </w:r>
    </w:p>
    <w:p w14:paraId="5D8604B6" w14:textId="529940BC" w:rsidR="05D36843" w:rsidRPr="0077708B" w:rsidRDefault="05D36843" w:rsidP="00B86375">
      <w:pPr>
        <w:spacing w:line="360" w:lineRule="auto"/>
        <w:jc w:val="both"/>
        <w:rPr>
          <w:rFonts w:ascii="Times New Roman" w:hAnsi="Times New Roman" w:cs="Times New Roman"/>
          <w:sz w:val="24"/>
          <w:szCs w:val="24"/>
        </w:rPr>
      </w:pPr>
      <w:r w:rsidRPr="00A51C01">
        <w:rPr>
          <w:rFonts w:ascii="Times New Roman" w:hAnsi="Times New Roman" w:cs="Times New Roman"/>
          <w:sz w:val="24"/>
          <w:szCs w:val="24"/>
        </w:rPr>
        <w:t xml:space="preserve">        Community engagement when described in both social and political frameworks, we find that socially and politically, they impact how community engagement is at the community. The linkage that the leaders of the society have is socially translated from the connectedness of these individuals and this has been found to be affecting the way the community engagement thrives. The engagement that happens between the leaders and individuals creates a change when there was no engagement and thereafter when there was engagement. The leaders get to share and therefore they get enriched with different stories of the people since their backgrounds are not the same and thus these situations can be strengthened through maintaining the positives and finding out ways of overcoming the negatives that draws back the community (</w:t>
      </w:r>
      <w:proofErr w:type="spellStart"/>
      <w:r w:rsidRPr="00A51C01">
        <w:rPr>
          <w:rFonts w:ascii="Times New Roman" w:hAnsi="Times New Roman" w:cs="Times New Roman"/>
          <w:sz w:val="24"/>
          <w:szCs w:val="24"/>
        </w:rPr>
        <w:t>Minkler</w:t>
      </w:r>
      <w:proofErr w:type="spellEnd"/>
      <w:r w:rsidRPr="00A51C01">
        <w:rPr>
          <w:rFonts w:ascii="Times New Roman" w:hAnsi="Times New Roman" w:cs="Times New Roman"/>
          <w:sz w:val="24"/>
          <w:szCs w:val="24"/>
        </w:rPr>
        <w:t>, 1997). In other recent studies that have taken place, it is evident that innovations and improvements in technology has affected the way the individuals in the society tend to interact since after the emergence of communication devices, the process of interaction has been found to impact the overall community engagement since the individuals tend to write letters to each other, they converse through mobile phones, or having news presented to them in the television and therefore the individuals do not have to engage with the leaders but they tend to utilize their own judgment of doing things (</w:t>
      </w:r>
      <w:proofErr w:type="spellStart"/>
      <w:r w:rsidRPr="00A51C01">
        <w:rPr>
          <w:rFonts w:ascii="Times New Roman" w:hAnsi="Times New Roman" w:cs="Times New Roman"/>
          <w:sz w:val="24"/>
          <w:szCs w:val="24"/>
        </w:rPr>
        <w:t>Kozinets</w:t>
      </w:r>
      <w:proofErr w:type="spellEnd"/>
      <w:r w:rsidRPr="00A51C01">
        <w:rPr>
          <w:rFonts w:ascii="Times New Roman" w:hAnsi="Times New Roman" w:cs="Times New Roman"/>
          <w:sz w:val="24"/>
          <w:szCs w:val="24"/>
        </w:rPr>
        <w:t xml:space="preserve">, 2002). The virtual engagement has brought about changes to how engagements tend to be in the society since most of the people were found to interact better virtually and when the interaction is physical, they tend not to be active (Ridings et.al, 2002). </w:t>
      </w:r>
    </w:p>
    <w:p w14:paraId="796FA8C8" w14:textId="10B6DF17" w:rsidR="05D36843" w:rsidRPr="00A51C01" w:rsidRDefault="05D36843" w:rsidP="00B86375">
      <w:pPr>
        <w:spacing w:line="360" w:lineRule="auto"/>
        <w:jc w:val="both"/>
        <w:rPr>
          <w:rFonts w:ascii="Times New Roman" w:eastAsia="Times New Roman" w:hAnsi="Times New Roman" w:cs="Times New Roman"/>
          <w:sz w:val="24"/>
          <w:szCs w:val="24"/>
        </w:rPr>
      </w:pPr>
      <w:r w:rsidRPr="00A51C01">
        <w:rPr>
          <w:rFonts w:ascii="Times New Roman" w:eastAsia="Times New Roman" w:hAnsi="Times New Roman" w:cs="Times New Roman"/>
          <w:sz w:val="24"/>
          <w:szCs w:val="24"/>
        </w:rPr>
        <w:t>Ethics are essential everywhere where the principle of communication needs to apply and therefore, in community engagement, it is important to also analyse how ethical theory affects the way the community should be impactful to all those who thrive in it. This hypothesis aims at bringing about god decision making process through making the right judgements in the process of engaging since what is made out</w:t>
      </w:r>
      <w:r w:rsidR="00765297" w:rsidRPr="00A51C01">
        <w:rPr>
          <w:rFonts w:ascii="Times New Roman" w:eastAsia="Times New Roman" w:hAnsi="Times New Roman" w:cs="Times New Roman"/>
          <w:sz w:val="24"/>
          <w:szCs w:val="24"/>
        </w:rPr>
        <w:t xml:space="preserve"> of it leads to a better decision making while observing all the etiquette required of each individual (Watson, 2007).</w:t>
      </w:r>
      <w:r w:rsidRPr="00A51C01">
        <w:rPr>
          <w:rFonts w:ascii="Times New Roman" w:eastAsia="Times New Roman" w:hAnsi="Times New Roman" w:cs="Times New Roman"/>
          <w:sz w:val="24"/>
          <w:szCs w:val="24"/>
        </w:rPr>
        <w:t xml:space="preserve"> </w:t>
      </w:r>
      <w:r w:rsidR="00765297" w:rsidRPr="00A51C01">
        <w:rPr>
          <w:rFonts w:ascii="Times New Roman" w:eastAsia="Times New Roman" w:hAnsi="Times New Roman" w:cs="Times New Roman"/>
          <w:sz w:val="24"/>
          <w:szCs w:val="24"/>
        </w:rPr>
        <w:t>According to this theory, a participant's accountabilities results into the community effect and all the members.   Once humans examine the way the social media is, they now deduce and make clear illustrations that the entertainment media has far much made several impacts to society both positively and negatively in the way various individuals perceive it. Even though different companies repeatedly state that it is the individuals</w:t>
      </w:r>
      <w:r w:rsidR="004D392A" w:rsidRPr="00A51C01">
        <w:rPr>
          <w:rFonts w:ascii="Times New Roman" w:eastAsia="Times New Roman" w:hAnsi="Times New Roman" w:cs="Times New Roman"/>
          <w:sz w:val="24"/>
          <w:szCs w:val="24"/>
        </w:rPr>
        <w:t>’</w:t>
      </w:r>
      <w:r w:rsidR="00765297" w:rsidRPr="00A51C01">
        <w:rPr>
          <w:rFonts w:ascii="Times New Roman" w:eastAsia="Times New Roman" w:hAnsi="Times New Roman" w:cs="Times New Roman"/>
          <w:sz w:val="24"/>
          <w:szCs w:val="24"/>
        </w:rPr>
        <w:t> duty to make the decisions that are best for consumption, we have observed in the number of research that several d</w:t>
      </w:r>
      <w:r w:rsidR="004D392A" w:rsidRPr="00A51C01">
        <w:rPr>
          <w:rFonts w:ascii="Times New Roman" w:eastAsia="Times New Roman" w:hAnsi="Times New Roman" w:cs="Times New Roman"/>
          <w:sz w:val="24"/>
          <w:szCs w:val="24"/>
        </w:rPr>
        <w:t>evices, such as television and s</w:t>
      </w:r>
      <w:r w:rsidR="00765297" w:rsidRPr="00A51C01">
        <w:rPr>
          <w:rFonts w:ascii="Times New Roman" w:eastAsia="Times New Roman" w:hAnsi="Times New Roman" w:cs="Times New Roman"/>
          <w:sz w:val="24"/>
          <w:szCs w:val="24"/>
        </w:rPr>
        <w:t>mart</w:t>
      </w:r>
      <w:r w:rsidR="004D392A" w:rsidRPr="00A51C01">
        <w:rPr>
          <w:rFonts w:ascii="Times New Roman" w:eastAsia="Times New Roman" w:hAnsi="Times New Roman" w:cs="Times New Roman"/>
          <w:sz w:val="24"/>
          <w:szCs w:val="24"/>
        </w:rPr>
        <w:t xml:space="preserve"> </w:t>
      </w:r>
      <w:r w:rsidR="00765297" w:rsidRPr="00A51C01">
        <w:rPr>
          <w:rFonts w:ascii="Times New Roman" w:eastAsia="Times New Roman" w:hAnsi="Times New Roman" w:cs="Times New Roman"/>
          <w:sz w:val="24"/>
          <w:szCs w:val="24"/>
        </w:rPr>
        <w:t>phones, are disconcertingly developing an unhealthy addiction in the neighbo</w:t>
      </w:r>
      <w:r w:rsidR="004D392A" w:rsidRPr="00A51C01">
        <w:rPr>
          <w:rFonts w:ascii="Times New Roman" w:eastAsia="Times New Roman" w:hAnsi="Times New Roman" w:cs="Times New Roman"/>
          <w:sz w:val="24"/>
          <w:szCs w:val="24"/>
        </w:rPr>
        <w:t>u</w:t>
      </w:r>
      <w:r w:rsidR="00765297" w:rsidRPr="00A51C01">
        <w:rPr>
          <w:rFonts w:ascii="Times New Roman" w:eastAsia="Times New Roman" w:hAnsi="Times New Roman" w:cs="Times New Roman"/>
          <w:sz w:val="24"/>
          <w:szCs w:val="24"/>
        </w:rPr>
        <w:t>rhood. As a result, this has adversely affected community engagement (James and Schmitz, 2011).</w:t>
      </w:r>
      <w:r w:rsidR="00C6061E" w:rsidRPr="00A51C01">
        <w:rPr>
          <w:rFonts w:ascii="Times New Roman" w:eastAsia="Times New Roman" w:hAnsi="Times New Roman" w:cs="Times New Roman"/>
          <w:sz w:val="24"/>
          <w:szCs w:val="24"/>
        </w:rPr>
        <w:t>To maintain cooperation between citizens and to build a society that is reliable and in which each person is open to exploring their self-recorded needs and ambitions, a few minor restrictions will require to be defined or confirmed. Interaction is a research area wh</w:t>
      </w:r>
      <w:r w:rsidR="004D392A" w:rsidRPr="00A51C01">
        <w:rPr>
          <w:rFonts w:ascii="Times New Roman" w:eastAsia="Times New Roman" w:hAnsi="Times New Roman" w:cs="Times New Roman"/>
          <w:sz w:val="24"/>
          <w:szCs w:val="24"/>
        </w:rPr>
        <w:t xml:space="preserve">ere morality is </w:t>
      </w:r>
      <w:r w:rsidR="00C6061E" w:rsidRPr="00A51C01">
        <w:rPr>
          <w:rFonts w:ascii="Times New Roman" w:eastAsia="Times New Roman" w:hAnsi="Times New Roman" w:cs="Times New Roman"/>
          <w:sz w:val="24"/>
          <w:szCs w:val="24"/>
        </w:rPr>
        <w:t>crucial, but this concept should also apply to helping people in everyday life so they can pursue their own preferences. These are typically done by making sure that the people in a particular segment of the people accept the laws and rules in place, which are appropriate to everyone in the general public.</w:t>
      </w:r>
      <w:r w:rsidRPr="00A51C01">
        <w:rPr>
          <w:rFonts w:ascii="Times New Roman" w:eastAsia="Times New Roman" w:hAnsi="Times New Roman" w:cs="Times New Roman"/>
          <w:sz w:val="24"/>
          <w:szCs w:val="24"/>
        </w:rPr>
        <w:t xml:space="preserve"> </w:t>
      </w:r>
      <w:r w:rsidR="00C6061E" w:rsidRPr="00A51C01">
        <w:rPr>
          <w:rFonts w:ascii="Times New Roman" w:eastAsia="Times New Roman" w:hAnsi="Times New Roman" w:cs="Times New Roman"/>
          <w:sz w:val="24"/>
          <w:szCs w:val="24"/>
        </w:rPr>
        <w:t>The administration's number of advanced laws has helped to ensure that most people have equality of opportunity and live up to the minimum norms without harming everyone else. This hypothesis merely demonstrates that, despite possessing obligations in the neighbo</w:t>
      </w:r>
      <w:r w:rsidR="004D392A" w:rsidRPr="00A51C01">
        <w:rPr>
          <w:rFonts w:ascii="Times New Roman" w:eastAsia="Times New Roman" w:hAnsi="Times New Roman" w:cs="Times New Roman"/>
          <w:sz w:val="24"/>
          <w:szCs w:val="24"/>
        </w:rPr>
        <w:t>u</w:t>
      </w:r>
      <w:r w:rsidR="00C6061E" w:rsidRPr="00A51C01">
        <w:rPr>
          <w:rFonts w:ascii="Times New Roman" w:eastAsia="Times New Roman" w:hAnsi="Times New Roman" w:cs="Times New Roman"/>
          <w:sz w:val="24"/>
          <w:szCs w:val="24"/>
        </w:rPr>
        <w:t>rhood, respecting one another's connections and civic participation. As a result, they also must interact in cordial behavio</w:t>
      </w:r>
      <w:r w:rsidR="004D392A" w:rsidRPr="00A51C01">
        <w:rPr>
          <w:rFonts w:ascii="Times New Roman" w:eastAsia="Times New Roman" w:hAnsi="Times New Roman" w:cs="Times New Roman"/>
          <w:sz w:val="24"/>
          <w:szCs w:val="24"/>
        </w:rPr>
        <w:t>u</w:t>
      </w:r>
      <w:r w:rsidR="00C6061E" w:rsidRPr="00A51C01">
        <w:rPr>
          <w:rFonts w:ascii="Times New Roman" w:eastAsia="Times New Roman" w:hAnsi="Times New Roman" w:cs="Times New Roman"/>
          <w:sz w:val="24"/>
          <w:szCs w:val="24"/>
        </w:rPr>
        <w:t>r that preaches tolerance and oneness for everyone (</w:t>
      </w:r>
      <w:proofErr w:type="spellStart"/>
      <w:r w:rsidR="00C6061E" w:rsidRPr="00A51C01">
        <w:rPr>
          <w:rFonts w:ascii="Times New Roman" w:eastAsia="Times New Roman" w:hAnsi="Times New Roman" w:cs="Times New Roman"/>
          <w:sz w:val="24"/>
          <w:szCs w:val="24"/>
        </w:rPr>
        <w:t>Aslin</w:t>
      </w:r>
      <w:proofErr w:type="spellEnd"/>
      <w:r w:rsidR="00C6061E" w:rsidRPr="00A51C01">
        <w:rPr>
          <w:rFonts w:ascii="Times New Roman" w:eastAsia="Times New Roman" w:hAnsi="Times New Roman" w:cs="Times New Roman"/>
          <w:sz w:val="24"/>
          <w:szCs w:val="24"/>
        </w:rPr>
        <w:t xml:space="preserve"> and Brown, 2004).</w:t>
      </w:r>
    </w:p>
    <w:p w14:paraId="4BAB0BB9" w14:textId="77777777" w:rsidR="00ED3107" w:rsidRPr="00A51C01" w:rsidRDefault="005B54B6" w:rsidP="00B86375">
      <w:pPr>
        <w:spacing w:after="100" w:afterAutospacing="1" w:line="360" w:lineRule="auto"/>
        <w:jc w:val="both"/>
        <w:rPr>
          <w:rFonts w:ascii="Times New Roman" w:eastAsia="Times New Roman" w:hAnsi="Times New Roman" w:cs="Times New Roman"/>
          <w:sz w:val="24"/>
          <w:szCs w:val="24"/>
        </w:rPr>
      </w:pPr>
      <w:r w:rsidRPr="00A51C01">
        <w:rPr>
          <w:rFonts w:ascii="Times New Roman" w:eastAsia="Times New Roman" w:hAnsi="Times New Roman" w:cs="Times New Roman"/>
          <w:sz w:val="24"/>
          <w:szCs w:val="24"/>
        </w:rPr>
        <w:t>It is important to note the concept behind the conceptual authenticity in order to comprehend the concept underneath public participation. In actuality, the citizenship hypothesis and its different aspects, including inclusivity, are related to community outreach to some degree. In this instance, representative democracy designs are equally crucial to comprehending social inclusion. Consequently, the term "democracy" could be used to imply "freely and openly." Additionally, it might also imply upholding equality and peace, or, in other words, "rule by the people." The right to vote may also be established by the populace through direct involvement. This could also be used to describe an instance in which citizens have a crucial responsibility to the government. Nevertheless, in free societies, this could be a challenging task to accomplish (</w:t>
      </w:r>
      <w:proofErr w:type="spellStart"/>
      <w:r w:rsidRPr="00A51C01">
        <w:rPr>
          <w:rFonts w:ascii="Times New Roman" w:eastAsia="Times New Roman" w:hAnsi="Times New Roman" w:cs="Times New Roman"/>
          <w:sz w:val="24"/>
          <w:szCs w:val="24"/>
        </w:rPr>
        <w:t>Gastil</w:t>
      </w:r>
      <w:proofErr w:type="spellEnd"/>
      <w:r w:rsidRPr="00A51C01">
        <w:rPr>
          <w:rFonts w:ascii="Times New Roman" w:eastAsia="Times New Roman" w:hAnsi="Times New Roman" w:cs="Times New Roman"/>
          <w:sz w:val="24"/>
          <w:szCs w:val="24"/>
        </w:rPr>
        <w:t xml:space="preserve"> and Levine, 2005). Some other democratic model that should be essential to boosting user interactions is parliamentary system. The problem that urban areas are already too big to implement popular sovereignty is addressed by this idea. This would indicate that the representatives who are chosen to cover the overall society call the shots that are incorporated in society and deal with the issues that are related to them, not the congregation. Citizen participation is also a model for the contributions that social inclusion makes to culture</w:t>
      </w:r>
      <w:r w:rsidR="00ED3107" w:rsidRPr="00A51C01">
        <w:rPr>
          <w:rFonts w:ascii="Times New Roman" w:eastAsia="Times New Roman" w:hAnsi="Times New Roman" w:cs="Times New Roman"/>
          <w:sz w:val="24"/>
          <w:szCs w:val="24"/>
        </w:rPr>
        <w:t>.</w:t>
      </w:r>
      <w:r w:rsidRPr="00A51C01">
        <w:rPr>
          <w:rFonts w:ascii="Times New Roman" w:eastAsia="Times New Roman" w:hAnsi="Times New Roman" w:cs="Times New Roman"/>
          <w:sz w:val="24"/>
          <w:szCs w:val="24"/>
        </w:rPr>
        <w:t xml:space="preserve"> </w:t>
      </w:r>
      <w:r w:rsidR="009046BD" w:rsidRPr="00A51C01">
        <w:rPr>
          <w:rFonts w:ascii="Times New Roman" w:eastAsia="Times New Roman" w:hAnsi="Times New Roman" w:cs="Times New Roman"/>
          <w:sz w:val="24"/>
          <w:szCs w:val="24"/>
        </w:rPr>
        <w:t>The right to vote</w:t>
      </w:r>
      <w:r w:rsidR="00B86375">
        <w:rPr>
          <w:rFonts w:ascii="Times New Roman" w:eastAsia="Times New Roman" w:hAnsi="Times New Roman" w:cs="Times New Roman"/>
          <w:sz w:val="24"/>
          <w:szCs w:val="24"/>
        </w:rPr>
        <w:t xml:space="preserve"> </w:t>
      </w:r>
      <w:r w:rsidR="009046BD" w:rsidRPr="00A51C01">
        <w:rPr>
          <w:rFonts w:ascii="Times New Roman" w:eastAsia="Times New Roman" w:hAnsi="Times New Roman" w:cs="Times New Roman"/>
          <w:sz w:val="24"/>
          <w:szCs w:val="24"/>
        </w:rPr>
        <w:t>whereby citizens in a country elect majority of the leaders goes beyond this hypothesis, which also emphasizes the importance of interaction in the electoral arena. Decision - making process will thus reject the notion of citizen participation as a yardstick for the standard of choice and as a means of effective</w:t>
      </w:r>
      <w:r w:rsidR="009E3B1A">
        <w:rPr>
          <w:rFonts w:ascii="Times New Roman" w:eastAsia="Times New Roman" w:hAnsi="Times New Roman" w:cs="Times New Roman"/>
          <w:sz w:val="24"/>
          <w:szCs w:val="24"/>
        </w:rPr>
        <w:t xml:space="preserve"> social interaction (Sarkissian, et.</w:t>
      </w:r>
      <w:r w:rsidR="009046BD" w:rsidRPr="00A51C01">
        <w:rPr>
          <w:rFonts w:ascii="Times New Roman" w:eastAsia="Times New Roman" w:hAnsi="Times New Roman" w:cs="Times New Roman"/>
          <w:sz w:val="24"/>
          <w:szCs w:val="24"/>
        </w:rPr>
        <w:t>al., 2009). The ability of relevant parties, including non-governmental institutions, peer classes, politicians, and corporate entities, to make decisions about crucial issues affecting them thus determines the component of social interaction.</w:t>
      </w:r>
    </w:p>
    <w:p w14:paraId="7BED96D7" w14:textId="5C553BCB" w:rsidR="009046BD" w:rsidRPr="00A51C01" w:rsidRDefault="009046BD" w:rsidP="00B86375">
      <w:pPr>
        <w:spacing w:line="360" w:lineRule="auto"/>
        <w:jc w:val="both"/>
        <w:rPr>
          <w:rFonts w:ascii="Times New Roman" w:hAnsi="Times New Roman" w:cs="Times New Roman"/>
          <w:sz w:val="24"/>
          <w:szCs w:val="24"/>
        </w:rPr>
      </w:pPr>
      <w:r w:rsidRPr="00A51C01">
        <w:rPr>
          <w:rFonts w:ascii="Times New Roman" w:hAnsi="Times New Roman" w:cs="Times New Roman"/>
          <w:sz w:val="24"/>
          <w:szCs w:val="24"/>
        </w:rPr>
        <w:t xml:space="preserve">The public and the people who are involved greatly benefit from these techniques of guaranteeing that the societies have been shown to do so. Participation in the society has been linked with better deeds that form the cornerstone of capacity building and consistency (Stanley, 2009). Civic engagement alters how initiatives are begun and their opportunities of securing subsidies is shown to be a positive experience, and as a result, many initiatives have now been finished such as the construction of new, sports areas, among others. This is one of the advantages that can be seen to accumulate to societal structure. </w:t>
      </w:r>
      <w:r w:rsidR="00A51C01" w:rsidRPr="00A51C01">
        <w:rPr>
          <w:rFonts w:ascii="Times New Roman" w:hAnsi="Times New Roman" w:cs="Times New Roman"/>
          <w:sz w:val="24"/>
          <w:szCs w:val="24"/>
        </w:rPr>
        <w:t>These are the activities that call for the group to come together and brainstorm strategies. This is evident in the multiple organizations and collaborations that are observed to form alliances merely as a consequence of the collaboration seen in the society, which has contributes to the growth of the society. It has increased the likelihood of incorporating adjustments to methodological approach, tools, strategies, acknowledgement, sampling procedures, communication, and transmitting</w:t>
      </w:r>
      <w:r w:rsidRPr="00A51C01">
        <w:rPr>
          <w:rFonts w:ascii="Times New Roman" w:hAnsi="Times New Roman" w:cs="Times New Roman"/>
          <w:sz w:val="24"/>
          <w:szCs w:val="24"/>
        </w:rPr>
        <w:t xml:space="preserve">. </w:t>
      </w:r>
    </w:p>
    <w:p w14:paraId="64C09FC1" w14:textId="77777777" w:rsidR="009046BD" w:rsidRPr="00A51C01" w:rsidRDefault="00A51C01" w:rsidP="00B86375">
      <w:pPr>
        <w:spacing w:after="100" w:afterAutospacing="1" w:line="360" w:lineRule="auto"/>
        <w:jc w:val="both"/>
        <w:rPr>
          <w:rFonts w:ascii="Times New Roman" w:eastAsia="Calibri" w:hAnsi="Times New Roman" w:cs="Times New Roman"/>
          <w:sz w:val="24"/>
          <w:szCs w:val="24"/>
        </w:rPr>
      </w:pPr>
      <w:r w:rsidRPr="00A51C01">
        <w:rPr>
          <w:rFonts w:ascii="Times New Roman" w:hAnsi="Times New Roman" w:cs="Times New Roman"/>
          <w:sz w:val="24"/>
          <w:szCs w:val="24"/>
        </w:rPr>
        <w:t>The feminism's comprehension of circumstances can aid in the discovery of targeted therapies or previously unnoticed known worldwide. By rapidly enrolling partners and participants and investigating sets of data, the project's efficiency and tempo can be improved. Long-term collaborations' ability to switch and be repaired can be increased, and assessments of how research findings have changed things for the better, such as existing creative technologies, new regulations or funding, or the adoption of best practices, could be made. From an ideological viewpoint, democratic engagement is also beneficial since it provides opportunities to improve data collection, identify ethical pitfalls, and create protocols for handling ethical worries</w:t>
      </w:r>
      <w:r w:rsidR="009046BD" w:rsidRPr="00A51C01">
        <w:rPr>
          <w:rFonts w:ascii="Times New Roman" w:hAnsi="Times New Roman" w:cs="Times New Roman"/>
          <w:sz w:val="24"/>
          <w:szCs w:val="24"/>
        </w:rPr>
        <w:t>.</w:t>
      </w:r>
      <w:r w:rsidR="009046BD" w:rsidRPr="00A51C01">
        <w:rPr>
          <w:rFonts w:ascii="Times New Roman" w:eastAsia="Calibri" w:hAnsi="Times New Roman" w:cs="Times New Roman"/>
          <w:sz w:val="24"/>
          <w:szCs w:val="24"/>
        </w:rPr>
        <w:t xml:space="preserve"> </w:t>
      </w:r>
      <w:r w:rsidRPr="00A51C01">
        <w:rPr>
          <w:rFonts w:ascii="Times New Roman" w:eastAsia="Calibri" w:hAnsi="Times New Roman" w:cs="Times New Roman"/>
          <w:sz w:val="24"/>
          <w:szCs w:val="24"/>
        </w:rPr>
        <w:t>This perspective can generally be reinforced in their own ways of operations through diverse inspirations that will stimulate the completion of research actions</w:t>
      </w:r>
      <w:r w:rsidR="009046BD" w:rsidRPr="00A51C01">
        <w:rPr>
          <w:rFonts w:ascii="Times New Roman" w:eastAsia="Calibri" w:hAnsi="Times New Roman" w:cs="Times New Roman"/>
          <w:sz w:val="24"/>
          <w:szCs w:val="24"/>
        </w:rPr>
        <w:t xml:space="preserve"> (Stanley, 2009</w:t>
      </w:r>
      <w:r w:rsidRPr="00A51C01">
        <w:rPr>
          <w:rFonts w:ascii="Times New Roman" w:eastAsia="Calibri" w:hAnsi="Times New Roman" w:cs="Times New Roman"/>
          <w:sz w:val="24"/>
          <w:szCs w:val="24"/>
        </w:rPr>
        <w:t>).</w:t>
      </w:r>
    </w:p>
    <w:p w14:paraId="4CBD8D73" w14:textId="77777777" w:rsidR="00A51C01" w:rsidRDefault="00A51C01" w:rsidP="00B86375">
      <w:pPr>
        <w:spacing w:after="100" w:afterAutospacing="1" w:line="360" w:lineRule="auto"/>
        <w:jc w:val="both"/>
        <w:rPr>
          <w:rFonts w:ascii="Times New Roman" w:eastAsia="Times New Roman" w:hAnsi="Times New Roman" w:cs="Times New Roman"/>
          <w:sz w:val="24"/>
          <w:szCs w:val="24"/>
        </w:rPr>
      </w:pPr>
      <w:r w:rsidRPr="00A51C01">
        <w:rPr>
          <w:rFonts w:ascii="Times New Roman" w:eastAsia="Calibri" w:hAnsi="Times New Roman" w:cs="Times New Roman"/>
          <w:sz w:val="24"/>
          <w:szCs w:val="24"/>
        </w:rPr>
        <w:t>In conclusion, the transformation of the school system to dedicate to voluntary work as one of the participatory aspects is the consequence of enhancing social inclusion inside the concept of organizational techniques, regulations, and in diverse significant areas. Although such a change seems to be in progress, it also needs some societal assistance. It is also crucial to recognize that those involved in community activities still have a great history to go till changing public views of these issues. As a result, in addition to the hypotheses used to agree with this idea, the information obtained from provider curriculum design has been a driving force behind this change in how public participation is implemented.</w:t>
      </w:r>
      <w:r w:rsidRPr="00A51C01">
        <w:rPr>
          <w:rFonts w:ascii="Times New Roman" w:eastAsia="Times New Roman" w:hAnsi="Times New Roman" w:cs="Times New Roman"/>
          <w:sz w:val="24"/>
          <w:szCs w:val="24"/>
        </w:rPr>
        <w:t xml:space="preserve"> To maintain cooperation between citizens and to build a society that is reliable and in which each person is open to exploring their self-recorded needs and ambitions, a few minor restrictions will require to be defined or confirmed. Interaction is a research area where morality is crucial, but this concept should also apply to helping people in everyday life so they can pursue their own preferences.</w:t>
      </w:r>
    </w:p>
    <w:p w14:paraId="1EE8428E" w14:textId="77777777" w:rsidR="00B86375" w:rsidRDefault="00B86375">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F5DC40B" w14:textId="733CD89C" w:rsidR="009E3B1A" w:rsidRPr="0077708B" w:rsidRDefault="00B86375" w:rsidP="0077708B">
      <w:pPr>
        <w:pStyle w:val="Heading1"/>
        <w:spacing w:before="0"/>
        <w:rPr>
          <w:rFonts w:ascii="Times New Roman" w:eastAsia="Calibri" w:hAnsi="Times New Roman" w:cs="Times New Roman"/>
          <w:b/>
          <w:bCs/>
          <w:color w:val="auto"/>
          <w:sz w:val="24"/>
          <w:szCs w:val="24"/>
        </w:rPr>
      </w:pPr>
      <w:r w:rsidRPr="0077708B">
        <w:rPr>
          <w:rFonts w:ascii="Times New Roman" w:eastAsia="Calibri" w:hAnsi="Times New Roman" w:cs="Times New Roman"/>
          <w:b/>
          <w:bCs/>
          <w:color w:val="auto"/>
          <w:sz w:val="24"/>
          <w:szCs w:val="24"/>
        </w:rPr>
        <w:t xml:space="preserve">References </w:t>
      </w:r>
    </w:p>
    <w:p w14:paraId="0A068722" w14:textId="77777777" w:rsidR="0077708B" w:rsidRPr="0077708B" w:rsidRDefault="0077708B" w:rsidP="0077708B">
      <w:pPr>
        <w:pStyle w:val="NoSpacing"/>
        <w:spacing w:line="360" w:lineRule="auto"/>
        <w:ind w:left="720" w:hanging="720"/>
        <w:rPr>
          <w:rFonts w:ascii="Times New Roman" w:hAnsi="Times New Roman" w:cs="Times New Roman"/>
          <w:sz w:val="24"/>
          <w:szCs w:val="24"/>
        </w:rPr>
      </w:pPr>
      <w:proofErr w:type="spellStart"/>
      <w:r w:rsidRPr="0077708B">
        <w:rPr>
          <w:rFonts w:ascii="Times New Roman" w:hAnsi="Times New Roman" w:cs="Times New Roman"/>
          <w:sz w:val="24"/>
          <w:szCs w:val="24"/>
        </w:rPr>
        <w:t>Aslin</w:t>
      </w:r>
      <w:proofErr w:type="spellEnd"/>
      <w:r w:rsidRPr="0077708B">
        <w:rPr>
          <w:rFonts w:ascii="Times New Roman" w:hAnsi="Times New Roman" w:cs="Times New Roman"/>
          <w:sz w:val="24"/>
          <w:szCs w:val="24"/>
        </w:rPr>
        <w:t xml:space="preserve">, H. and Brown, V., 2004. </w:t>
      </w:r>
      <w:r w:rsidRPr="0077708B">
        <w:rPr>
          <w:rFonts w:ascii="Times New Roman" w:hAnsi="Times New Roman" w:cs="Times New Roman"/>
          <w:i/>
          <w:iCs/>
          <w:sz w:val="24"/>
          <w:szCs w:val="24"/>
        </w:rPr>
        <w:t>Towards whole of community engagement: A practical toolkit</w:t>
      </w:r>
      <w:r w:rsidRPr="0077708B">
        <w:rPr>
          <w:rFonts w:ascii="Times New Roman" w:hAnsi="Times New Roman" w:cs="Times New Roman"/>
          <w:sz w:val="24"/>
          <w:szCs w:val="24"/>
        </w:rPr>
        <w:t>. Murray-Darling Basin Commission.</w:t>
      </w:r>
    </w:p>
    <w:p w14:paraId="377ACE49" w14:textId="77777777" w:rsidR="0077708B" w:rsidRPr="0077708B" w:rsidRDefault="0077708B" w:rsidP="0077708B">
      <w:pPr>
        <w:pStyle w:val="NoSpacing"/>
        <w:spacing w:line="360" w:lineRule="auto"/>
        <w:ind w:left="720" w:hanging="720"/>
        <w:rPr>
          <w:rFonts w:ascii="Times New Roman" w:eastAsia="Times New Roman" w:hAnsi="Times New Roman" w:cs="Times New Roman"/>
          <w:sz w:val="24"/>
          <w:szCs w:val="24"/>
        </w:rPr>
      </w:pPr>
      <w:proofErr w:type="spellStart"/>
      <w:r w:rsidRPr="0077708B">
        <w:rPr>
          <w:rFonts w:ascii="Times New Roman" w:eastAsia="Times New Roman" w:hAnsi="Times New Roman" w:cs="Times New Roman"/>
          <w:sz w:val="24"/>
          <w:szCs w:val="24"/>
        </w:rPr>
        <w:t>Gastil</w:t>
      </w:r>
      <w:proofErr w:type="spellEnd"/>
      <w:r w:rsidRPr="0077708B">
        <w:rPr>
          <w:rFonts w:ascii="Times New Roman" w:eastAsia="Times New Roman" w:hAnsi="Times New Roman" w:cs="Times New Roman"/>
          <w:sz w:val="24"/>
          <w:szCs w:val="24"/>
        </w:rPr>
        <w:t>, J. and Levine, P., 2005. </w:t>
      </w:r>
      <w:r w:rsidRPr="0077708B">
        <w:rPr>
          <w:rFonts w:ascii="Times New Roman" w:eastAsia="Times New Roman" w:hAnsi="Times New Roman" w:cs="Times New Roman"/>
          <w:i/>
          <w:iCs/>
          <w:sz w:val="24"/>
          <w:szCs w:val="24"/>
        </w:rPr>
        <w:t>The deliberative democracy and handbook: strategies for effective civil engagement in the twenty first centuries</w:t>
      </w:r>
      <w:r w:rsidRPr="0077708B">
        <w:rPr>
          <w:rFonts w:ascii="Times New Roman" w:eastAsia="Times New Roman" w:hAnsi="Times New Roman" w:cs="Times New Roman"/>
          <w:sz w:val="24"/>
          <w:szCs w:val="24"/>
        </w:rPr>
        <w:t>, San Francisco: Jossey- Bass.</w:t>
      </w:r>
    </w:p>
    <w:p w14:paraId="7D48A36D" w14:textId="77777777" w:rsidR="0077708B" w:rsidRPr="0077708B" w:rsidRDefault="0077708B" w:rsidP="0077708B">
      <w:pPr>
        <w:pStyle w:val="NoSpacing"/>
        <w:spacing w:line="360" w:lineRule="auto"/>
        <w:ind w:left="720" w:hanging="720"/>
        <w:rPr>
          <w:rFonts w:ascii="Times New Roman" w:hAnsi="Times New Roman" w:cs="Times New Roman"/>
          <w:sz w:val="24"/>
          <w:szCs w:val="24"/>
        </w:rPr>
      </w:pPr>
      <w:r w:rsidRPr="0077708B">
        <w:rPr>
          <w:rFonts w:ascii="Times New Roman" w:hAnsi="Times New Roman" w:cs="Times New Roman"/>
          <w:sz w:val="24"/>
          <w:szCs w:val="24"/>
        </w:rPr>
        <w:t xml:space="preserve">James, </w:t>
      </w:r>
      <w:proofErr w:type="gramStart"/>
      <w:r w:rsidRPr="0077708B">
        <w:rPr>
          <w:rFonts w:ascii="Times New Roman" w:hAnsi="Times New Roman" w:cs="Times New Roman"/>
          <w:sz w:val="24"/>
          <w:szCs w:val="24"/>
        </w:rPr>
        <w:t>C.D.</w:t>
      </w:r>
      <w:proofErr w:type="gramEnd"/>
      <w:r w:rsidRPr="0077708B">
        <w:rPr>
          <w:rFonts w:ascii="Times New Roman" w:hAnsi="Times New Roman" w:cs="Times New Roman"/>
          <w:sz w:val="24"/>
          <w:szCs w:val="24"/>
        </w:rPr>
        <w:t xml:space="preserve"> and Schmitz, C.L., 2011. Transforming sustainability education: Ethics, leadership, community engagement, and social entrepreneurship. </w:t>
      </w:r>
      <w:r w:rsidRPr="0077708B">
        <w:rPr>
          <w:rFonts w:ascii="Times New Roman" w:hAnsi="Times New Roman" w:cs="Times New Roman"/>
          <w:i/>
          <w:iCs/>
          <w:sz w:val="24"/>
          <w:szCs w:val="24"/>
        </w:rPr>
        <w:t>International Journal of Business and Social Science</w:t>
      </w:r>
      <w:r w:rsidRPr="0077708B">
        <w:rPr>
          <w:rFonts w:ascii="Times New Roman" w:hAnsi="Times New Roman" w:cs="Times New Roman"/>
          <w:sz w:val="24"/>
          <w:szCs w:val="24"/>
        </w:rPr>
        <w:t xml:space="preserve">, </w:t>
      </w:r>
      <w:r w:rsidRPr="0077708B">
        <w:rPr>
          <w:rFonts w:ascii="Times New Roman" w:hAnsi="Times New Roman" w:cs="Times New Roman"/>
          <w:i/>
          <w:iCs/>
          <w:sz w:val="24"/>
          <w:szCs w:val="24"/>
        </w:rPr>
        <w:t>2</w:t>
      </w:r>
      <w:r w:rsidRPr="0077708B">
        <w:rPr>
          <w:rFonts w:ascii="Times New Roman" w:hAnsi="Times New Roman" w:cs="Times New Roman"/>
          <w:sz w:val="24"/>
          <w:szCs w:val="24"/>
        </w:rPr>
        <w:t>(5), pp.1-7.</w:t>
      </w:r>
    </w:p>
    <w:p w14:paraId="66B295CA" w14:textId="77777777" w:rsidR="0077708B" w:rsidRPr="0077708B" w:rsidRDefault="0077708B" w:rsidP="0077708B">
      <w:pPr>
        <w:pStyle w:val="NoSpacing"/>
        <w:spacing w:line="360" w:lineRule="auto"/>
        <w:ind w:left="720" w:hanging="720"/>
        <w:rPr>
          <w:rFonts w:ascii="Times New Roman" w:hAnsi="Times New Roman" w:cs="Times New Roman"/>
          <w:sz w:val="24"/>
          <w:szCs w:val="24"/>
          <w:shd w:val="clear" w:color="auto" w:fill="FFFFFF"/>
        </w:rPr>
      </w:pPr>
      <w:r w:rsidRPr="0077708B">
        <w:rPr>
          <w:rFonts w:ascii="Times New Roman" w:hAnsi="Times New Roman" w:cs="Times New Roman"/>
          <w:sz w:val="24"/>
          <w:szCs w:val="24"/>
          <w:shd w:val="clear" w:color="auto" w:fill="FFFFFF"/>
        </w:rPr>
        <w:t xml:space="preserve">Jones, L., Wells, K., Norris, K., Meade, B. and </w:t>
      </w:r>
      <w:proofErr w:type="spellStart"/>
      <w:r w:rsidRPr="0077708B">
        <w:rPr>
          <w:rFonts w:ascii="Times New Roman" w:hAnsi="Times New Roman" w:cs="Times New Roman"/>
          <w:sz w:val="24"/>
          <w:szCs w:val="24"/>
          <w:shd w:val="clear" w:color="auto" w:fill="FFFFFF"/>
        </w:rPr>
        <w:t>Koegel</w:t>
      </w:r>
      <w:proofErr w:type="spellEnd"/>
      <w:r w:rsidRPr="0077708B">
        <w:rPr>
          <w:rFonts w:ascii="Times New Roman" w:hAnsi="Times New Roman" w:cs="Times New Roman"/>
          <w:sz w:val="24"/>
          <w:szCs w:val="24"/>
          <w:shd w:val="clear" w:color="auto" w:fill="FFFFFF"/>
        </w:rPr>
        <w:t>, P., 2009. The vision, valley, and victory of community engagement. </w:t>
      </w:r>
      <w:r w:rsidRPr="0077708B">
        <w:rPr>
          <w:rFonts w:ascii="Times New Roman" w:hAnsi="Times New Roman" w:cs="Times New Roman"/>
          <w:i/>
          <w:iCs/>
          <w:sz w:val="24"/>
          <w:szCs w:val="24"/>
          <w:shd w:val="clear" w:color="auto" w:fill="FFFFFF"/>
        </w:rPr>
        <w:t>Ethnicity &amp; disease</w:t>
      </w:r>
      <w:r w:rsidRPr="0077708B">
        <w:rPr>
          <w:rFonts w:ascii="Times New Roman" w:hAnsi="Times New Roman" w:cs="Times New Roman"/>
          <w:sz w:val="24"/>
          <w:szCs w:val="24"/>
          <w:shd w:val="clear" w:color="auto" w:fill="FFFFFF"/>
        </w:rPr>
        <w:t>, </w:t>
      </w:r>
      <w:r w:rsidRPr="0077708B">
        <w:rPr>
          <w:rFonts w:ascii="Times New Roman" w:hAnsi="Times New Roman" w:cs="Times New Roman"/>
          <w:i/>
          <w:iCs/>
          <w:sz w:val="24"/>
          <w:szCs w:val="24"/>
          <w:shd w:val="clear" w:color="auto" w:fill="FFFFFF"/>
        </w:rPr>
        <w:t>19</w:t>
      </w:r>
      <w:r w:rsidRPr="0077708B">
        <w:rPr>
          <w:rFonts w:ascii="Times New Roman" w:hAnsi="Times New Roman" w:cs="Times New Roman"/>
          <w:sz w:val="24"/>
          <w:szCs w:val="24"/>
          <w:shd w:val="clear" w:color="auto" w:fill="FFFFFF"/>
        </w:rPr>
        <w:t xml:space="preserve">(4 </w:t>
      </w:r>
      <w:proofErr w:type="spellStart"/>
      <w:r w:rsidRPr="0077708B">
        <w:rPr>
          <w:rFonts w:ascii="Times New Roman" w:hAnsi="Times New Roman" w:cs="Times New Roman"/>
          <w:sz w:val="24"/>
          <w:szCs w:val="24"/>
          <w:shd w:val="clear" w:color="auto" w:fill="FFFFFF"/>
        </w:rPr>
        <w:t>Suppl</w:t>
      </w:r>
      <w:proofErr w:type="spellEnd"/>
      <w:r w:rsidRPr="0077708B">
        <w:rPr>
          <w:rFonts w:ascii="Times New Roman" w:hAnsi="Times New Roman" w:cs="Times New Roman"/>
          <w:sz w:val="24"/>
          <w:szCs w:val="24"/>
          <w:shd w:val="clear" w:color="auto" w:fill="FFFFFF"/>
        </w:rPr>
        <w:t xml:space="preserve"> 6), p.S6.</w:t>
      </w:r>
    </w:p>
    <w:p w14:paraId="6C2956B3" w14:textId="77777777" w:rsidR="0077708B" w:rsidRPr="0077708B" w:rsidRDefault="0077708B" w:rsidP="0077708B">
      <w:pPr>
        <w:pStyle w:val="NoSpacing"/>
        <w:spacing w:line="360" w:lineRule="auto"/>
        <w:ind w:left="720" w:hanging="720"/>
        <w:rPr>
          <w:rFonts w:ascii="Times New Roman" w:eastAsia="Calibri" w:hAnsi="Times New Roman" w:cs="Times New Roman"/>
          <w:sz w:val="24"/>
          <w:szCs w:val="24"/>
        </w:rPr>
      </w:pPr>
      <w:proofErr w:type="spellStart"/>
      <w:r w:rsidRPr="0077708B">
        <w:rPr>
          <w:rFonts w:ascii="Times New Roman" w:eastAsia="Calibri" w:hAnsi="Times New Roman" w:cs="Times New Roman"/>
          <w:sz w:val="24"/>
          <w:szCs w:val="24"/>
        </w:rPr>
        <w:t>Kozinets</w:t>
      </w:r>
      <w:proofErr w:type="spellEnd"/>
      <w:r w:rsidRPr="0077708B">
        <w:rPr>
          <w:rFonts w:ascii="Times New Roman" w:eastAsia="Calibri" w:hAnsi="Times New Roman" w:cs="Times New Roman"/>
          <w:sz w:val="24"/>
          <w:szCs w:val="24"/>
        </w:rPr>
        <w:t xml:space="preserve"> RV The field behind the screen: using </w:t>
      </w:r>
      <w:proofErr w:type="spellStart"/>
      <w:r w:rsidRPr="0077708B">
        <w:rPr>
          <w:rFonts w:ascii="Times New Roman" w:eastAsia="Calibri" w:hAnsi="Times New Roman" w:cs="Times New Roman"/>
          <w:sz w:val="24"/>
          <w:szCs w:val="24"/>
        </w:rPr>
        <w:t>netnography</w:t>
      </w:r>
      <w:proofErr w:type="spellEnd"/>
      <w:r w:rsidRPr="0077708B">
        <w:rPr>
          <w:rFonts w:ascii="Times New Roman" w:eastAsia="Calibri" w:hAnsi="Times New Roman" w:cs="Times New Roman"/>
          <w:sz w:val="24"/>
          <w:szCs w:val="24"/>
        </w:rPr>
        <w:t xml:space="preserve"> for marketing research in online communities Journal of Marketing Research 2002;39(1):61-72</w:t>
      </w:r>
    </w:p>
    <w:p w14:paraId="08EFF596" w14:textId="77777777" w:rsidR="0077708B" w:rsidRPr="0077708B" w:rsidRDefault="0077708B" w:rsidP="0077708B">
      <w:pPr>
        <w:pStyle w:val="NoSpacing"/>
        <w:spacing w:line="360" w:lineRule="auto"/>
        <w:ind w:left="720" w:hanging="720"/>
        <w:rPr>
          <w:rFonts w:ascii="Times New Roman" w:eastAsia="Calibri" w:hAnsi="Times New Roman" w:cs="Times New Roman"/>
          <w:sz w:val="24"/>
          <w:szCs w:val="24"/>
        </w:rPr>
      </w:pPr>
      <w:proofErr w:type="spellStart"/>
      <w:r w:rsidRPr="0077708B">
        <w:rPr>
          <w:rFonts w:ascii="Times New Roman" w:eastAsia="Calibri" w:hAnsi="Times New Roman" w:cs="Times New Roman"/>
          <w:sz w:val="24"/>
          <w:szCs w:val="24"/>
        </w:rPr>
        <w:t>Minkler</w:t>
      </w:r>
      <w:proofErr w:type="spellEnd"/>
      <w:r w:rsidRPr="0077708B">
        <w:rPr>
          <w:rFonts w:ascii="Times New Roman" w:eastAsia="Calibri" w:hAnsi="Times New Roman" w:cs="Times New Roman"/>
          <w:sz w:val="24"/>
          <w:szCs w:val="24"/>
        </w:rPr>
        <w:t xml:space="preserve"> M, Pies C Ethical Issues in community organization and community participation </w:t>
      </w:r>
      <w:proofErr w:type="gramStart"/>
      <w:r w:rsidRPr="0077708B">
        <w:rPr>
          <w:rFonts w:ascii="Times New Roman" w:eastAsia="Calibri" w:hAnsi="Times New Roman" w:cs="Times New Roman"/>
          <w:sz w:val="24"/>
          <w:szCs w:val="24"/>
        </w:rPr>
        <w:t>In</w:t>
      </w:r>
      <w:proofErr w:type="gramEnd"/>
      <w:r w:rsidRPr="0077708B">
        <w:rPr>
          <w:rFonts w:ascii="Times New Roman" w:eastAsia="Calibri" w:hAnsi="Times New Roman" w:cs="Times New Roman"/>
          <w:sz w:val="24"/>
          <w:szCs w:val="24"/>
        </w:rPr>
        <w:t xml:space="preserve">: </w:t>
      </w:r>
      <w:proofErr w:type="spellStart"/>
      <w:r w:rsidRPr="0077708B">
        <w:rPr>
          <w:rFonts w:ascii="Times New Roman" w:eastAsia="Calibri" w:hAnsi="Times New Roman" w:cs="Times New Roman"/>
          <w:sz w:val="24"/>
          <w:szCs w:val="24"/>
        </w:rPr>
        <w:t>Minkler</w:t>
      </w:r>
      <w:proofErr w:type="spellEnd"/>
      <w:r w:rsidRPr="0077708B">
        <w:rPr>
          <w:rFonts w:ascii="Times New Roman" w:eastAsia="Calibri" w:hAnsi="Times New Roman" w:cs="Times New Roman"/>
          <w:sz w:val="24"/>
          <w:szCs w:val="24"/>
        </w:rPr>
        <w:t xml:space="preserve"> M (editor) Community organizing and community building for health (1st ed, pp 116-133) Piscataway (NJ): Rutgers University; 1997</w:t>
      </w:r>
    </w:p>
    <w:p w14:paraId="78AD25F9" w14:textId="77777777" w:rsidR="0077708B" w:rsidRPr="0077708B" w:rsidRDefault="0077708B" w:rsidP="0077708B">
      <w:pPr>
        <w:pStyle w:val="NoSpacing"/>
        <w:spacing w:line="360" w:lineRule="auto"/>
        <w:ind w:left="720" w:hanging="720"/>
        <w:rPr>
          <w:rFonts w:ascii="Times New Roman" w:eastAsia="Calibri" w:hAnsi="Times New Roman" w:cs="Times New Roman"/>
          <w:sz w:val="24"/>
          <w:szCs w:val="24"/>
        </w:rPr>
      </w:pPr>
      <w:r w:rsidRPr="0077708B">
        <w:rPr>
          <w:rFonts w:ascii="Times New Roman" w:eastAsia="Calibri" w:hAnsi="Times New Roman" w:cs="Times New Roman"/>
          <w:sz w:val="24"/>
          <w:szCs w:val="24"/>
        </w:rPr>
        <w:t xml:space="preserve">Ridings CM, Gefen D, Arinze B Some </w:t>
      </w:r>
      <w:proofErr w:type="gramStart"/>
      <w:r w:rsidRPr="0077708B">
        <w:rPr>
          <w:rFonts w:ascii="Times New Roman" w:eastAsia="Calibri" w:hAnsi="Times New Roman" w:cs="Times New Roman"/>
          <w:sz w:val="24"/>
          <w:szCs w:val="24"/>
        </w:rPr>
        <w:t>antecedents</w:t>
      </w:r>
      <w:proofErr w:type="gramEnd"/>
      <w:r w:rsidRPr="0077708B">
        <w:rPr>
          <w:rFonts w:ascii="Times New Roman" w:eastAsia="Calibri" w:hAnsi="Times New Roman" w:cs="Times New Roman"/>
          <w:sz w:val="24"/>
          <w:szCs w:val="24"/>
        </w:rPr>
        <w:t xml:space="preserve"> and effects of trust in virtual communities Journal of Strategic Information Systems 2002;11(3-4):271-295</w:t>
      </w:r>
    </w:p>
    <w:p w14:paraId="2596C149" w14:textId="77777777" w:rsidR="0077708B" w:rsidRPr="0077708B" w:rsidRDefault="0077708B" w:rsidP="0077708B">
      <w:pPr>
        <w:pStyle w:val="NoSpacing"/>
        <w:spacing w:line="360" w:lineRule="auto"/>
        <w:ind w:left="720" w:hanging="720"/>
        <w:rPr>
          <w:rFonts w:ascii="Times New Roman" w:eastAsia="Times New Roman" w:hAnsi="Times New Roman" w:cs="Times New Roman"/>
          <w:sz w:val="24"/>
          <w:szCs w:val="24"/>
        </w:rPr>
      </w:pPr>
      <w:r w:rsidRPr="0077708B">
        <w:rPr>
          <w:rFonts w:ascii="Times New Roman" w:eastAsia="Times New Roman" w:hAnsi="Times New Roman" w:cs="Times New Roman"/>
          <w:sz w:val="24"/>
          <w:szCs w:val="24"/>
        </w:rPr>
        <w:t>Sarkissian, W., Hofer, N., Shore, Y, Vajda, S. and Wilkinson, C., 2009. </w:t>
      </w:r>
      <w:r w:rsidRPr="0077708B">
        <w:rPr>
          <w:rFonts w:ascii="Times New Roman" w:eastAsia="Times New Roman" w:hAnsi="Times New Roman" w:cs="Times New Roman"/>
          <w:i/>
          <w:iCs/>
          <w:sz w:val="24"/>
          <w:szCs w:val="24"/>
        </w:rPr>
        <w:t>Kitchen stable sustainability: practical recipes for community engagement with sustainability</w:t>
      </w:r>
      <w:r w:rsidRPr="0077708B">
        <w:rPr>
          <w:rFonts w:ascii="Times New Roman" w:eastAsia="Times New Roman" w:hAnsi="Times New Roman" w:cs="Times New Roman"/>
          <w:sz w:val="24"/>
          <w:szCs w:val="24"/>
        </w:rPr>
        <w:t>. Earthscan: London.</w:t>
      </w:r>
    </w:p>
    <w:p w14:paraId="2381E2DD" w14:textId="77777777" w:rsidR="0077708B" w:rsidRPr="0077708B" w:rsidRDefault="0077708B" w:rsidP="0077708B">
      <w:pPr>
        <w:pStyle w:val="NoSpacing"/>
        <w:spacing w:line="360" w:lineRule="auto"/>
        <w:ind w:left="720" w:hanging="720"/>
        <w:rPr>
          <w:rFonts w:ascii="Times New Roman" w:eastAsia="Calibri" w:hAnsi="Times New Roman" w:cs="Times New Roman"/>
          <w:sz w:val="24"/>
          <w:szCs w:val="24"/>
        </w:rPr>
      </w:pPr>
      <w:r w:rsidRPr="0077708B">
        <w:rPr>
          <w:rFonts w:ascii="Times New Roman" w:eastAsia="Calibri" w:hAnsi="Times New Roman" w:cs="Times New Roman"/>
          <w:sz w:val="24"/>
          <w:szCs w:val="24"/>
        </w:rPr>
        <w:t xml:space="preserve">Staley K Exploring impact: public involvement in NHS, public </w:t>
      </w:r>
      <w:proofErr w:type="gramStart"/>
      <w:r w:rsidRPr="0077708B">
        <w:rPr>
          <w:rFonts w:ascii="Times New Roman" w:eastAsia="Calibri" w:hAnsi="Times New Roman" w:cs="Times New Roman"/>
          <w:sz w:val="24"/>
          <w:szCs w:val="24"/>
        </w:rPr>
        <w:t>health</w:t>
      </w:r>
      <w:proofErr w:type="gramEnd"/>
      <w:r w:rsidRPr="0077708B">
        <w:rPr>
          <w:rFonts w:ascii="Times New Roman" w:eastAsia="Calibri" w:hAnsi="Times New Roman" w:cs="Times New Roman"/>
          <w:sz w:val="24"/>
          <w:szCs w:val="24"/>
        </w:rPr>
        <w:t xml:space="preserve"> and social care research. Eastleigh, United Kingdom: INVOLVE; 2009</w:t>
      </w:r>
    </w:p>
    <w:p w14:paraId="48E90DDA" w14:textId="77777777" w:rsidR="0077708B" w:rsidRPr="0077708B" w:rsidRDefault="0077708B" w:rsidP="0077708B">
      <w:pPr>
        <w:pStyle w:val="NoSpacing"/>
        <w:spacing w:line="360" w:lineRule="auto"/>
        <w:ind w:left="720" w:hanging="720"/>
        <w:rPr>
          <w:rFonts w:ascii="Times New Roman" w:hAnsi="Times New Roman" w:cs="Times New Roman"/>
          <w:sz w:val="24"/>
          <w:szCs w:val="24"/>
        </w:rPr>
      </w:pPr>
      <w:r w:rsidRPr="0077708B">
        <w:rPr>
          <w:rFonts w:ascii="Times New Roman" w:hAnsi="Times New Roman" w:cs="Times New Roman"/>
          <w:sz w:val="24"/>
          <w:szCs w:val="24"/>
        </w:rPr>
        <w:t xml:space="preserve">Watson, D., 2007. </w:t>
      </w:r>
      <w:r w:rsidRPr="0077708B">
        <w:rPr>
          <w:rFonts w:ascii="Times New Roman" w:hAnsi="Times New Roman" w:cs="Times New Roman"/>
          <w:i/>
          <w:iCs/>
          <w:sz w:val="24"/>
          <w:szCs w:val="24"/>
        </w:rPr>
        <w:t>Managing civic and community engagement</w:t>
      </w:r>
      <w:r w:rsidRPr="0077708B">
        <w:rPr>
          <w:rFonts w:ascii="Times New Roman" w:hAnsi="Times New Roman" w:cs="Times New Roman"/>
          <w:sz w:val="24"/>
          <w:szCs w:val="24"/>
        </w:rPr>
        <w:t>. McGraw-Hill Education (UK).</w:t>
      </w:r>
    </w:p>
    <w:sectPr w:rsidR="0077708B" w:rsidRPr="0077708B" w:rsidSect="0007251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C248A" w14:textId="77777777" w:rsidR="00A42862" w:rsidRDefault="00A42862" w:rsidP="0077708B">
      <w:pPr>
        <w:spacing w:after="0" w:line="240" w:lineRule="auto"/>
      </w:pPr>
      <w:r>
        <w:separator/>
      </w:r>
    </w:p>
  </w:endnote>
  <w:endnote w:type="continuationSeparator" w:id="0">
    <w:p w14:paraId="1781F09D" w14:textId="77777777" w:rsidR="00A42862" w:rsidRDefault="00A42862" w:rsidP="0077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5175267"/>
      <w:docPartObj>
        <w:docPartGallery w:val="Page Numbers (Bottom of Page)"/>
        <w:docPartUnique/>
      </w:docPartObj>
    </w:sdtPr>
    <w:sdtContent>
      <w:sdt>
        <w:sdtPr>
          <w:id w:val="-1769616900"/>
          <w:docPartObj>
            <w:docPartGallery w:val="Page Numbers (Top of Page)"/>
            <w:docPartUnique/>
          </w:docPartObj>
        </w:sdtPr>
        <w:sdtContent>
          <w:p w14:paraId="68164DF1" w14:textId="133329ED" w:rsidR="0077708B" w:rsidRDefault="0077708B">
            <w:pPr>
              <w:pStyle w:val="Footer"/>
              <w:jc w:val="right"/>
            </w:pPr>
            <w:r w:rsidRPr="0077708B">
              <w:rPr>
                <w:rFonts w:ascii="Times New Roman" w:hAnsi="Times New Roman" w:cs="Times New Roman"/>
                <w:sz w:val="24"/>
                <w:szCs w:val="24"/>
              </w:rPr>
              <w:t xml:space="preserve">Page </w:t>
            </w:r>
            <w:r w:rsidRPr="0077708B">
              <w:rPr>
                <w:rFonts w:ascii="Times New Roman" w:hAnsi="Times New Roman" w:cs="Times New Roman"/>
                <w:b/>
                <w:bCs/>
                <w:sz w:val="24"/>
                <w:szCs w:val="24"/>
              </w:rPr>
              <w:fldChar w:fldCharType="begin"/>
            </w:r>
            <w:r w:rsidRPr="0077708B">
              <w:rPr>
                <w:rFonts w:ascii="Times New Roman" w:hAnsi="Times New Roman" w:cs="Times New Roman"/>
                <w:b/>
                <w:bCs/>
                <w:sz w:val="24"/>
                <w:szCs w:val="24"/>
              </w:rPr>
              <w:instrText xml:space="preserve"> PAGE </w:instrText>
            </w:r>
            <w:r w:rsidRPr="0077708B">
              <w:rPr>
                <w:rFonts w:ascii="Times New Roman" w:hAnsi="Times New Roman" w:cs="Times New Roman"/>
                <w:b/>
                <w:bCs/>
                <w:sz w:val="24"/>
                <w:szCs w:val="24"/>
              </w:rPr>
              <w:fldChar w:fldCharType="separate"/>
            </w:r>
            <w:r w:rsidRPr="0077708B">
              <w:rPr>
                <w:rFonts w:ascii="Times New Roman" w:hAnsi="Times New Roman" w:cs="Times New Roman"/>
                <w:b/>
                <w:bCs/>
                <w:noProof/>
                <w:sz w:val="24"/>
                <w:szCs w:val="24"/>
              </w:rPr>
              <w:t>2</w:t>
            </w:r>
            <w:r w:rsidRPr="0077708B">
              <w:rPr>
                <w:rFonts w:ascii="Times New Roman" w:hAnsi="Times New Roman" w:cs="Times New Roman"/>
                <w:b/>
                <w:bCs/>
                <w:sz w:val="24"/>
                <w:szCs w:val="24"/>
              </w:rPr>
              <w:fldChar w:fldCharType="end"/>
            </w:r>
            <w:r w:rsidRPr="0077708B">
              <w:rPr>
                <w:rFonts w:ascii="Times New Roman" w:hAnsi="Times New Roman" w:cs="Times New Roman"/>
                <w:sz w:val="24"/>
                <w:szCs w:val="24"/>
              </w:rPr>
              <w:t xml:space="preserve"> of </w:t>
            </w:r>
            <w:r w:rsidRPr="0077708B">
              <w:rPr>
                <w:rFonts w:ascii="Times New Roman" w:hAnsi="Times New Roman" w:cs="Times New Roman"/>
                <w:b/>
                <w:bCs/>
                <w:sz w:val="24"/>
                <w:szCs w:val="24"/>
              </w:rPr>
              <w:fldChar w:fldCharType="begin"/>
            </w:r>
            <w:r w:rsidRPr="0077708B">
              <w:rPr>
                <w:rFonts w:ascii="Times New Roman" w:hAnsi="Times New Roman" w:cs="Times New Roman"/>
                <w:b/>
                <w:bCs/>
                <w:sz w:val="24"/>
                <w:szCs w:val="24"/>
              </w:rPr>
              <w:instrText xml:space="preserve"> NUMPAGES  </w:instrText>
            </w:r>
            <w:r w:rsidRPr="0077708B">
              <w:rPr>
                <w:rFonts w:ascii="Times New Roman" w:hAnsi="Times New Roman" w:cs="Times New Roman"/>
                <w:b/>
                <w:bCs/>
                <w:sz w:val="24"/>
                <w:szCs w:val="24"/>
              </w:rPr>
              <w:fldChar w:fldCharType="separate"/>
            </w:r>
            <w:r w:rsidRPr="0077708B">
              <w:rPr>
                <w:rFonts w:ascii="Times New Roman" w:hAnsi="Times New Roman" w:cs="Times New Roman"/>
                <w:b/>
                <w:bCs/>
                <w:noProof/>
                <w:sz w:val="24"/>
                <w:szCs w:val="24"/>
              </w:rPr>
              <w:t>2</w:t>
            </w:r>
            <w:r w:rsidRPr="0077708B">
              <w:rPr>
                <w:rFonts w:ascii="Times New Roman" w:hAnsi="Times New Roman" w:cs="Times New Roman"/>
                <w:b/>
                <w:bCs/>
                <w:sz w:val="24"/>
                <w:szCs w:val="24"/>
              </w:rPr>
              <w:fldChar w:fldCharType="end"/>
            </w:r>
          </w:p>
        </w:sdtContent>
      </w:sdt>
    </w:sdtContent>
  </w:sdt>
  <w:p w14:paraId="5855FD61" w14:textId="77777777" w:rsidR="0077708B" w:rsidRDefault="007770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203039" w14:textId="77777777" w:rsidR="00A42862" w:rsidRDefault="00A42862" w:rsidP="0077708B">
      <w:pPr>
        <w:spacing w:after="0" w:line="240" w:lineRule="auto"/>
      </w:pPr>
      <w:r>
        <w:separator/>
      </w:r>
    </w:p>
  </w:footnote>
  <w:footnote w:type="continuationSeparator" w:id="0">
    <w:p w14:paraId="2F2043CA" w14:textId="77777777" w:rsidR="00A42862" w:rsidRDefault="00A42862" w:rsidP="0077708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BB7MVIKH" int2:invalidationBookmarkName="" int2:hashCode="sjaxnnPvIemuyN" int2:id="thIzR55u"/>
    <int2:bookmark int2:bookmarkName="_Int_MIrGietk" int2:invalidationBookmarkName="" int2:hashCode="XE/UfsUaOAuw8O" int2:id="ukvyfCS7"/>
    <int2:bookmark int2:bookmarkName="_Int_9jPhj0Np" int2:invalidationBookmarkName="" int2:hashCode="7qFE7m6QGK7EfC" int2:id="msF160O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F71206"/>
    <w:multiLevelType w:val="hybridMultilevel"/>
    <w:tmpl w:val="64E8AE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03680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1FEE5F2E"/>
    <w:rsid w:val="0007251F"/>
    <w:rsid w:val="004D392A"/>
    <w:rsid w:val="005B54B6"/>
    <w:rsid w:val="00661017"/>
    <w:rsid w:val="007075A0"/>
    <w:rsid w:val="00765297"/>
    <w:rsid w:val="0077708B"/>
    <w:rsid w:val="009046BD"/>
    <w:rsid w:val="009E3B1A"/>
    <w:rsid w:val="00A42862"/>
    <w:rsid w:val="00A51C01"/>
    <w:rsid w:val="00B37D58"/>
    <w:rsid w:val="00B86375"/>
    <w:rsid w:val="00BA38AF"/>
    <w:rsid w:val="00C6061E"/>
    <w:rsid w:val="00C92E66"/>
    <w:rsid w:val="00D73504"/>
    <w:rsid w:val="00ED3107"/>
    <w:rsid w:val="05D36843"/>
    <w:rsid w:val="1FEE5F2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9E200"/>
  <w15:docId w15:val="{ADA91BD4-68C6-4A58-A599-7898C1848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5D36843"/>
    <w:rPr>
      <w:lang w:val="en-GB"/>
    </w:rPr>
  </w:style>
  <w:style w:type="paragraph" w:styleId="Heading1">
    <w:name w:val="heading 1"/>
    <w:basedOn w:val="Normal"/>
    <w:next w:val="Normal"/>
    <w:link w:val="Heading1Char"/>
    <w:uiPriority w:val="9"/>
    <w:qFormat/>
    <w:rsid w:val="05D36843"/>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5D36843"/>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5D36843"/>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05D36843"/>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5D36843"/>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5D36843"/>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5D36843"/>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5D36843"/>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5D36843"/>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5D36843"/>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5D36843"/>
    <w:rPr>
      <w:rFonts w:eastAsiaTheme="minorEastAsia"/>
      <w:color w:val="5A5A5A"/>
    </w:rPr>
  </w:style>
  <w:style w:type="paragraph" w:styleId="Quote">
    <w:name w:val="Quote"/>
    <w:basedOn w:val="Normal"/>
    <w:next w:val="Normal"/>
    <w:link w:val="QuoteChar"/>
    <w:uiPriority w:val="29"/>
    <w:qFormat/>
    <w:rsid w:val="05D36843"/>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5D36843"/>
    <w:pPr>
      <w:spacing w:before="360" w:after="360"/>
      <w:ind w:left="864" w:right="864"/>
      <w:jc w:val="center"/>
    </w:pPr>
    <w:rPr>
      <w:i/>
      <w:iCs/>
      <w:color w:val="4472C4" w:themeColor="accent1"/>
    </w:rPr>
  </w:style>
  <w:style w:type="paragraph" w:styleId="ListParagraph">
    <w:name w:val="List Paragraph"/>
    <w:basedOn w:val="Normal"/>
    <w:uiPriority w:val="34"/>
    <w:qFormat/>
    <w:rsid w:val="05D36843"/>
    <w:pPr>
      <w:ind w:left="720"/>
      <w:contextualSpacing/>
    </w:pPr>
  </w:style>
  <w:style w:type="character" w:customStyle="1" w:styleId="Heading1Char">
    <w:name w:val="Heading 1 Char"/>
    <w:basedOn w:val="DefaultParagraphFont"/>
    <w:link w:val="Heading1"/>
    <w:uiPriority w:val="9"/>
    <w:rsid w:val="05D36843"/>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05D36843"/>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05D36843"/>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05D36843"/>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05D36843"/>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05D36843"/>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05D36843"/>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05D36843"/>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05D36843"/>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05D36843"/>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05D36843"/>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05D36843"/>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05D36843"/>
    <w:rPr>
      <w:i/>
      <w:iCs/>
      <w:noProof w:val="0"/>
      <w:color w:val="4472C4" w:themeColor="accent1"/>
      <w:lang w:val="en-GB"/>
    </w:rPr>
  </w:style>
  <w:style w:type="paragraph" w:styleId="TOC1">
    <w:name w:val="toc 1"/>
    <w:basedOn w:val="Normal"/>
    <w:next w:val="Normal"/>
    <w:uiPriority w:val="39"/>
    <w:unhideWhenUsed/>
    <w:rsid w:val="05D36843"/>
    <w:pPr>
      <w:spacing w:after="100"/>
    </w:pPr>
  </w:style>
  <w:style w:type="paragraph" w:styleId="TOC2">
    <w:name w:val="toc 2"/>
    <w:basedOn w:val="Normal"/>
    <w:next w:val="Normal"/>
    <w:uiPriority w:val="39"/>
    <w:unhideWhenUsed/>
    <w:rsid w:val="05D36843"/>
    <w:pPr>
      <w:spacing w:after="100"/>
      <w:ind w:left="220"/>
    </w:pPr>
  </w:style>
  <w:style w:type="paragraph" w:styleId="TOC3">
    <w:name w:val="toc 3"/>
    <w:basedOn w:val="Normal"/>
    <w:next w:val="Normal"/>
    <w:uiPriority w:val="39"/>
    <w:unhideWhenUsed/>
    <w:rsid w:val="05D36843"/>
    <w:pPr>
      <w:spacing w:after="100"/>
      <w:ind w:left="440"/>
    </w:pPr>
  </w:style>
  <w:style w:type="paragraph" w:styleId="TOC4">
    <w:name w:val="toc 4"/>
    <w:basedOn w:val="Normal"/>
    <w:next w:val="Normal"/>
    <w:uiPriority w:val="39"/>
    <w:unhideWhenUsed/>
    <w:rsid w:val="05D36843"/>
    <w:pPr>
      <w:spacing w:after="100"/>
      <w:ind w:left="660"/>
    </w:pPr>
  </w:style>
  <w:style w:type="paragraph" w:styleId="TOC5">
    <w:name w:val="toc 5"/>
    <w:basedOn w:val="Normal"/>
    <w:next w:val="Normal"/>
    <w:uiPriority w:val="39"/>
    <w:unhideWhenUsed/>
    <w:rsid w:val="05D36843"/>
    <w:pPr>
      <w:spacing w:after="100"/>
      <w:ind w:left="880"/>
    </w:pPr>
  </w:style>
  <w:style w:type="paragraph" w:styleId="TOC6">
    <w:name w:val="toc 6"/>
    <w:basedOn w:val="Normal"/>
    <w:next w:val="Normal"/>
    <w:uiPriority w:val="39"/>
    <w:unhideWhenUsed/>
    <w:rsid w:val="05D36843"/>
    <w:pPr>
      <w:spacing w:after="100"/>
      <w:ind w:left="1100"/>
    </w:pPr>
  </w:style>
  <w:style w:type="paragraph" w:styleId="TOC7">
    <w:name w:val="toc 7"/>
    <w:basedOn w:val="Normal"/>
    <w:next w:val="Normal"/>
    <w:uiPriority w:val="39"/>
    <w:unhideWhenUsed/>
    <w:rsid w:val="05D36843"/>
    <w:pPr>
      <w:spacing w:after="100"/>
      <w:ind w:left="1320"/>
    </w:pPr>
  </w:style>
  <w:style w:type="paragraph" w:styleId="TOC8">
    <w:name w:val="toc 8"/>
    <w:basedOn w:val="Normal"/>
    <w:next w:val="Normal"/>
    <w:uiPriority w:val="39"/>
    <w:unhideWhenUsed/>
    <w:rsid w:val="05D36843"/>
    <w:pPr>
      <w:spacing w:after="100"/>
      <w:ind w:left="1540"/>
    </w:pPr>
  </w:style>
  <w:style w:type="paragraph" w:styleId="TOC9">
    <w:name w:val="toc 9"/>
    <w:basedOn w:val="Normal"/>
    <w:next w:val="Normal"/>
    <w:uiPriority w:val="39"/>
    <w:unhideWhenUsed/>
    <w:rsid w:val="05D36843"/>
    <w:pPr>
      <w:spacing w:after="100"/>
      <w:ind w:left="1760"/>
    </w:pPr>
  </w:style>
  <w:style w:type="paragraph" w:styleId="EndnoteText">
    <w:name w:val="endnote text"/>
    <w:basedOn w:val="Normal"/>
    <w:link w:val="EndnoteTextChar"/>
    <w:uiPriority w:val="99"/>
    <w:semiHidden/>
    <w:unhideWhenUsed/>
    <w:rsid w:val="05D36843"/>
    <w:pPr>
      <w:spacing w:after="0"/>
    </w:pPr>
    <w:rPr>
      <w:sz w:val="20"/>
      <w:szCs w:val="20"/>
    </w:rPr>
  </w:style>
  <w:style w:type="character" w:customStyle="1" w:styleId="EndnoteTextChar">
    <w:name w:val="Endnote Text Char"/>
    <w:basedOn w:val="DefaultParagraphFont"/>
    <w:link w:val="EndnoteText"/>
    <w:uiPriority w:val="99"/>
    <w:semiHidden/>
    <w:rsid w:val="05D36843"/>
    <w:rPr>
      <w:noProof w:val="0"/>
      <w:sz w:val="20"/>
      <w:szCs w:val="20"/>
      <w:lang w:val="en-GB"/>
    </w:rPr>
  </w:style>
  <w:style w:type="paragraph" w:styleId="Footer">
    <w:name w:val="footer"/>
    <w:basedOn w:val="Normal"/>
    <w:link w:val="FooterChar"/>
    <w:uiPriority w:val="99"/>
    <w:unhideWhenUsed/>
    <w:rsid w:val="05D36843"/>
    <w:pPr>
      <w:tabs>
        <w:tab w:val="center" w:pos="4680"/>
        <w:tab w:val="right" w:pos="9360"/>
      </w:tabs>
      <w:spacing w:after="0"/>
    </w:pPr>
  </w:style>
  <w:style w:type="character" w:customStyle="1" w:styleId="FooterChar">
    <w:name w:val="Footer Char"/>
    <w:basedOn w:val="DefaultParagraphFont"/>
    <w:link w:val="Footer"/>
    <w:uiPriority w:val="99"/>
    <w:rsid w:val="05D36843"/>
    <w:rPr>
      <w:noProof w:val="0"/>
      <w:lang w:val="en-GB"/>
    </w:rPr>
  </w:style>
  <w:style w:type="paragraph" w:styleId="FootnoteText">
    <w:name w:val="footnote text"/>
    <w:basedOn w:val="Normal"/>
    <w:link w:val="FootnoteTextChar"/>
    <w:uiPriority w:val="99"/>
    <w:semiHidden/>
    <w:unhideWhenUsed/>
    <w:rsid w:val="05D36843"/>
    <w:pPr>
      <w:spacing w:after="0"/>
    </w:pPr>
    <w:rPr>
      <w:sz w:val="20"/>
      <w:szCs w:val="20"/>
    </w:rPr>
  </w:style>
  <w:style w:type="character" w:customStyle="1" w:styleId="FootnoteTextChar">
    <w:name w:val="Footnote Text Char"/>
    <w:basedOn w:val="DefaultParagraphFont"/>
    <w:link w:val="FootnoteText"/>
    <w:uiPriority w:val="99"/>
    <w:semiHidden/>
    <w:rsid w:val="05D36843"/>
    <w:rPr>
      <w:noProof w:val="0"/>
      <w:sz w:val="20"/>
      <w:szCs w:val="20"/>
      <w:lang w:val="en-GB"/>
    </w:rPr>
  </w:style>
  <w:style w:type="paragraph" w:styleId="Header">
    <w:name w:val="header"/>
    <w:basedOn w:val="Normal"/>
    <w:link w:val="HeaderChar"/>
    <w:uiPriority w:val="99"/>
    <w:unhideWhenUsed/>
    <w:rsid w:val="05D36843"/>
    <w:pPr>
      <w:tabs>
        <w:tab w:val="center" w:pos="4680"/>
        <w:tab w:val="right" w:pos="9360"/>
      </w:tabs>
      <w:spacing w:after="0"/>
    </w:pPr>
  </w:style>
  <w:style w:type="character" w:customStyle="1" w:styleId="HeaderChar">
    <w:name w:val="Header Char"/>
    <w:basedOn w:val="DefaultParagraphFont"/>
    <w:link w:val="Header"/>
    <w:uiPriority w:val="99"/>
    <w:rsid w:val="05D36843"/>
    <w:rPr>
      <w:noProof w:val="0"/>
      <w:lang w:val="en-GB"/>
    </w:rPr>
  </w:style>
  <w:style w:type="paragraph" w:styleId="NoSpacing">
    <w:name w:val="No Spacing"/>
    <w:uiPriority w:val="1"/>
    <w:qFormat/>
    <w:rsid w:val="0077708B"/>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1152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833B47-7F4E-4CCD-8FA9-05C66AD1A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2120</Words>
  <Characters>12089</Characters>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2022-09-01T23:35:00Z</dcterms:created>
  <dcterms:modified xsi:type="dcterms:W3CDTF">2022-09-01T23:35:00Z</dcterms:modified>
</cp:coreProperties>
</file>