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1405FB" w14:textId="557B2623" w:rsidR="00E401CB" w:rsidRPr="00E401CB" w:rsidRDefault="00E401CB" w:rsidP="00E401CB">
      <w:pPr>
        <w:spacing w:after="0" w:line="240" w:lineRule="auto"/>
        <w:rPr>
          <w:rFonts w:asciiTheme="majorHAnsi" w:eastAsiaTheme="majorEastAsia" w:hAnsiTheme="majorHAnsi" w:cstheme="majorBidi"/>
          <w:kern w:val="0"/>
          <w14:ligatures w14:val="none"/>
        </w:rPr>
      </w:pPr>
      <w:r w:rsidRPr="04281860">
        <w:rPr>
          <w:rFonts w:asciiTheme="majorHAnsi" w:eastAsiaTheme="majorEastAsia" w:hAnsiTheme="majorHAnsi" w:cstheme="majorBidi"/>
          <w:kern w:val="36"/>
          <w:sz w:val="48"/>
          <w:szCs w:val="48"/>
          <w14:ligatures w14:val="none"/>
        </w:rPr>
        <w:t>Stakeholder Engagement in the HS2 Washwood Heath Depot Project</w:t>
      </w:r>
    </w:p>
    <w:p w14:paraId="02DBD769" w14:textId="77777777" w:rsidR="00E401CB" w:rsidRPr="00E401CB" w:rsidRDefault="00E401CB" w:rsidP="4583BA84">
      <w:pPr>
        <w:spacing w:before="100" w:beforeAutospacing="1" w:after="100" w:afterAutospacing="1" w:line="240" w:lineRule="auto"/>
        <w:rPr>
          <w:rFonts w:asciiTheme="majorHAnsi" w:eastAsiaTheme="majorEastAsia" w:hAnsiTheme="majorHAnsi" w:cstheme="majorBidi"/>
          <w:kern w:val="0"/>
          <w:sz w:val="36"/>
          <w:szCs w:val="36"/>
          <w14:ligatures w14:val="none"/>
        </w:rPr>
      </w:pPr>
      <w:r w:rsidRPr="04281860">
        <w:rPr>
          <w:rFonts w:asciiTheme="majorHAnsi" w:eastAsiaTheme="majorEastAsia" w:hAnsiTheme="majorHAnsi" w:cstheme="majorBidi"/>
          <w:kern w:val="0"/>
          <w:sz w:val="36"/>
          <w:szCs w:val="36"/>
          <w14:ligatures w14:val="none"/>
        </w:rPr>
        <w:t>Introduction</w:t>
      </w:r>
    </w:p>
    <w:p w14:paraId="46E37F9B"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20A33A73" w14:textId="6F8DA3AE"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Stakeholder management is an important aspect of modern project management, particularly in large infrastructure developments where multiple groups are affected by decision-making. Stakeholders can be defined as individuals or groups that influence or are influenced by organisational activities (Freeman, 1984). Effective stakeholder engagement enables organisations to collaborate with communities and organisations to address social, environmental and economic concerns while delivering project objectives.</w:t>
      </w:r>
      <w:r w:rsidR="000D187E">
        <w:rPr>
          <w:rFonts w:asciiTheme="majorHAnsi" w:eastAsiaTheme="majorEastAsia" w:hAnsiTheme="majorHAnsi" w:cstheme="majorBidi"/>
          <w:kern w:val="0"/>
          <w14:ligatures w14:val="none"/>
        </w:rPr>
        <w:t xml:space="preserve">   </w:t>
      </w:r>
    </w:p>
    <w:p w14:paraId="31060FCA"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50989332"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A community can be understood as a network of people and organisations connected through shared interests, geographic location or cultural identity (Royal Commission on Social Policy, 1988). Stakeholder engagement strategies therefore involve activities designed to involve these groups in decision-making processes and project development (Bowen et al., 2010). Effective engagement is particularly important in large public infrastructure projects, where community support and transparency can significantly affect project success.</w:t>
      </w:r>
    </w:p>
    <w:p w14:paraId="0853C4B4"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10ADD136" w14:textId="16F8A3D4"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This portfolio examines stakeholder engagement within the High Speed Two (HS2) Washwood Heath Depot project in Birmingham. HS2 is a major national rail infrastructure programme designed to improve connectivity between major UK cities. The Washwood Heath site in East Birmingham is one of the largest construction locations within the HS2 network and will function as the main train maintenance depot and operational control centre for the entire rail system.</w:t>
      </w:r>
      <w:r w:rsidR="00766B54">
        <w:rPr>
          <w:rFonts w:asciiTheme="majorHAnsi" w:eastAsiaTheme="majorEastAsia" w:hAnsiTheme="majorHAnsi" w:cstheme="majorBidi"/>
          <w:kern w:val="0"/>
          <w14:ligatures w14:val="none"/>
        </w:rPr>
        <w:t>The train station will be based in solihull but</w:t>
      </w:r>
      <w:r w:rsidRPr="757636E9">
        <w:rPr>
          <w:rFonts w:asciiTheme="majorHAnsi" w:eastAsiaTheme="majorEastAsia" w:hAnsiTheme="majorHAnsi" w:cstheme="majorBidi"/>
          <w:kern w:val="0"/>
          <w14:ligatures w14:val="none"/>
        </w:rPr>
        <w:t xml:space="preserve"> site</w:t>
      </w:r>
      <w:r w:rsidR="00766B54">
        <w:rPr>
          <w:rFonts w:asciiTheme="majorHAnsi" w:eastAsiaTheme="majorEastAsia" w:hAnsiTheme="majorHAnsi" w:cstheme="majorBidi"/>
          <w:kern w:val="0"/>
          <w14:ligatures w14:val="none"/>
        </w:rPr>
        <w:t xml:space="preserve"> itself </w:t>
      </w:r>
      <w:r w:rsidRPr="757636E9">
        <w:rPr>
          <w:rFonts w:asciiTheme="majorHAnsi" w:eastAsiaTheme="majorEastAsia" w:hAnsiTheme="majorHAnsi" w:cstheme="majorBidi"/>
          <w:kern w:val="0"/>
          <w14:ligatures w14:val="none"/>
        </w:rPr>
        <w:t xml:space="preserve"> covers approximately 65 hectares and will include train storage facilities, a maintenance building and the Network Integrated Control Centre (HS2 Ltd, 2024).</w:t>
      </w:r>
    </w:p>
    <w:p w14:paraId="773FB159"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61838E07" w14:textId="401C6E10"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 xml:space="preserve">The project aims to improve national transport infrastructure, reduce travel times between cities </w:t>
      </w:r>
      <w:r w:rsidR="008C71E2">
        <w:rPr>
          <w:rFonts w:asciiTheme="majorHAnsi" w:eastAsiaTheme="majorEastAsia" w:hAnsiTheme="majorHAnsi" w:cstheme="majorBidi"/>
          <w:kern w:val="0"/>
          <w14:ligatures w14:val="none"/>
        </w:rPr>
        <w:t xml:space="preserve">like reducing train travel between birmingham and london </w:t>
      </w:r>
      <w:r w:rsidR="005806B0">
        <w:rPr>
          <w:rFonts w:asciiTheme="majorHAnsi" w:eastAsiaTheme="majorEastAsia" w:hAnsiTheme="majorHAnsi" w:cstheme="majorBidi"/>
          <w:kern w:val="0"/>
          <w14:ligatures w14:val="none"/>
        </w:rPr>
        <w:t xml:space="preserve">down to 49 minutes </w:t>
      </w:r>
      <w:r w:rsidRPr="757636E9">
        <w:rPr>
          <w:rFonts w:asciiTheme="majorHAnsi" w:eastAsiaTheme="majorEastAsia" w:hAnsiTheme="majorHAnsi" w:cstheme="majorBidi"/>
          <w:kern w:val="0"/>
          <w14:ligatures w14:val="none"/>
        </w:rPr>
        <w:t>and stimulate economic development</w:t>
      </w:r>
      <w:r w:rsidR="00DD4FBA" w:rsidRPr="00DD4FBA">
        <w:rPr>
          <w:rFonts w:asciiTheme="majorHAnsi" w:eastAsiaTheme="majorEastAsia" w:hAnsiTheme="majorHAnsi" w:cstheme="majorBidi"/>
          <w:kern w:val="0"/>
          <w14:ligatures w14:val="none"/>
        </w:rPr>
        <w:t xml:space="preserve"> (HS2 Ltd, 2024)</w:t>
      </w:r>
      <w:r w:rsidRPr="757636E9">
        <w:rPr>
          <w:rFonts w:asciiTheme="majorHAnsi" w:eastAsiaTheme="majorEastAsia" w:hAnsiTheme="majorHAnsi" w:cstheme="majorBidi"/>
          <w:kern w:val="0"/>
          <w14:ligatures w14:val="none"/>
        </w:rPr>
        <w:t>. The Washwood Heath depot alone is expected to create more than 550 long-term jobs and contribute to economic regeneration in the surrounding area</w:t>
      </w:r>
      <w:r w:rsidR="00391422" w:rsidRPr="00391422">
        <w:rPr>
          <w:rFonts w:asciiTheme="majorHAnsi" w:eastAsiaTheme="majorEastAsia" w:hAnsiTheme="majorHAnsi" w:cstheme="majorBidi"/>
          <w:kern w:val="0"/>
          <w14:ligatures w14:val="none"/>
        </w:rPr>
        <w:t xml:space="preserve"> (HS2 Ltd, 2024)</w:t>
      </w:r>
      <w:r w:rsidR="00391422">
        <w:rPr>
          <w:rFonts w:asciiTheme="majorHAnsi" w:eastAsiaTheme="majorEastAsia" w:hAnsiTheme="majorHAnsi" w:cstheme="majorBidi"/>
          <w:kern w:val="0"/>
          <w14:ligatures w14:val="none"/>
        </w:rPr>
        <w:t xml:space="preserve"> </w:t>
      </w:r>
      <w:bookmarkStart w:id="0" w:name="_Int_a4vorJYb"/>
      <w:r w:rsidRPr="757636E9">
        <w:rPr>
          <w:rFonts w:asciiTheme="majorHAnsi" w:eastAsiaTheme="majorEastAsia" w:hAnsiTheme="majorHAnsi" w:cstheme="majorBidi"/>
          <w:kern w:val="0"/>
          <w14:ligatures w14:val="none"/>
        </w:rPr>
        <w:t>  .</w:t>
      </w:r>
      <w:bookmarkEnd w:id="0"/>
      <w:r w:rsidRPr="757636E9">
        <w:rPr>
          <w:rFonts w:asciiTheme="majorHAnsi" w:eastAsiaTheme="majorEastAsia" w:hAnsiTheme="majorHAnsi" w:cstheme="majorBidi"/>
          <w:kern w:val="0"/>
          <w14:ligatures w14:val="none"/>
        </w:rPr>
        <w:t xml:space="preserve"> However, like many large infrastructure projects, HS2 has generated both benefits and challenges for stakeholders including government bodies, construction companies, local communities and environmental groups.</w:t>
      </w:r>
    </w:p>
    <w:p w14:paraId="0EEC9590"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521314F2" w14:textId="77777777" w:rsidR="00E401CB" w:rsidRPr="00E401CB" w:rsidRDefault="00E401CB" w:rsidP="788BA953">
      <w:pPr>
        <w:spacing w:before="100" w:beforeAutospacing="1" w:after="100" w:afterAutospacing="1" w:line="240" w:lineRule="auto"/>
        <w:rPr>
          <w:rFonts w:asciiTheme="majorHAnsi" w:eastAsiaTheme="majorEastAsia" w:hAnsiTheme="majorHAnsi" w:cstheme="majorBidi"/>
        </w:rPr>
      </w:pPr>
      <w:r w:rsidRPr="757636E9">
        <w:rPr>
          <w:rFonts w:asciiTheme="majorHAnsi" w:eastAsiaTheme="majorEastAsia" w:hAnsiTheme="majorHAnsi" w:cstheme="majorBidi"/>
          <w:kern w:val="0"/>
          <w14:ligatures w14:val="none"/>
        </w:rPr>
        <w:lastRenderedPageBreak/>
        <w:t>This portfolio analyses the key stakeholders involved in the Washwood Heath project, the strategies used to engage them and the ethical considerations that arise when managing complex community interests.</w:t>
      </w:r>
    </w:p>
    <w:p w14:paraId="1B030C56" w14:textId="77777777" w:rsidR="00E401CB" w:rsidRPr="00E401CB" w:rsidRDefault="00E401CB" w:rsidP="1E5A89AD">
      <w:pPr>
        <w:spacing w:before="100" w:beforeAutospacing="1" w:after="100" w:afterAutospacing="1" w:line="240" w:lineRule="auto"/>
        <w:rPr>
          <w:rFonts w:asciiTheme="majorHAnsi" w:eastAsiaTheme="majorEastAsia" w:hAnsiTheme="majorHAnsi" w:cstheme="majorBidi"/>
          <w:sz w:val="36"/>
          <w:szCs w:val="36"/>
        </w:rPr>
      </w:pPr>
      <w:r w:rsidRPr="051D3FB5">
        <w:rPr>
          <w:rFonts w:asciiTheme="majorHAnsi" w:eastAsiaTheme="majorEastAsia" w:hAnsiTheme="majorHAnsi" w:cstheme="majorBidi"/>
          <w:kern w:val="36"/>
          <w:sz w:val="48"/>
          <w:szCs w:val="48"/>
          <w14:ligatures w14:val="none"/>
        </w:rPr>
        <w:t>Stakeholder</w:t>
      </w:r>
      <w:r w:rsidRPr="04281860">
        <w:rPr>
          <w:rFonts w:asciiTheme="majorHAnsi" w:eastAsiaTheme="majorEastAsia" w:hAnsiTheme="majorHAnsi" w:cstheme="majorBidi"/>
          <w:kern w:val="36"/>
          <w:sz w:val="48"/>
          <w:szCs w:val="48"/>
          <w14:ligatures w14:val="none"/>
        </w:rPr>
        <w:t xml:space="preserve"> Analysis and Engagement </w:t>
      </w:r>
      <w:r w:rsidRPr="1E5A89AD">
        <w:rPr>
          <w:rFonts w:asciiTheme="majorHAnsi" w:eastAsiaTheme="majorEastAsia" w:hAnsiTheme="majorHAnsi" w:cstheme="majorBidi"/>
          <w:kern w:val="36"/>
          <w:sz w:val="48"/>
          <w:szCs w:val="48"/>
          <w14:ligatures w14:val="none"/>
        </w:rPr>
        <w:t>Strategies</w:t>
      </w:r>
    </w:p>
    <w:p w14:paraId="1A153B0C" w14:textId="1E02465B" w:rsidR="00E401CB" w:rsidRPr="00E401CB" w:rsidRDefault="00E401CB" w:rsidP="1E5A89AD">
      <w:pPr>
        <w:spacing w:before="100" w:beforeAutospacing="1" w:after="100" w:afterAutospacing="1" w:line="240" w:lineRule="auto"/>
        <w:rPr>
          <w:rFonts w:asciiTheme="majorHAnsi" w:eastAsiaTheme="majorEastAsia" w:hAnsiTheme="majorHAnsi" w:cstheme="majorBidi"/>
          <w:sz w:val="36"/>
          <w:szCs w:val="36"/>
        </w:rPr>
      </w:pPr>
    </w:p>
    <w:p w14:paraId="4C76E44B" w14:textId="2AB9C311" w:rsidR="00E401CB" w:rsidRPr="00E401CB" w:rsidRDefault="00E401CB" w:rsidP="300EDAB3">
      <w:pPr>
        <w:spacing w:before="100" w:beforeAutospacing="1" w:after="100" w:afterAutospacing="1" w:line="240" w:lineRule="auto"/>
        <w:rPr>
          <w:rFonts w:asciiTheme="majorHAnsi" w:eastAsiaTheme="majorEastAsia" w:hAnsiTheme="majorHAnsi" w:cstheme="majorBidi"/>
          <w:kern w:val="0"/>
          <w:sz w:val="36"/>
          <w:szCs w:val="36"/>
          <w14:ligatures w14:val="none"/>
        </w:rPr>
      </w:pPr>
      <w:r w:rsidRPr="1E5A89AD">
        <w:rPr>
          <w:rFonts w:asciiTheme="majorHAnsi" w:eastAsiaTheme="majorEastAsia" w:hAnsiTheme="majorHAnsi" w:cstheme="majorBidi"/>
          <w:kern w:val="0"/>
          <w:sz w:val="36"/>
          <w:szCs w:val="36"/>
          <w14:ligatures w14:val="none"/>
        </w:rPr>
        <w:t>Identifying</w:t>
      </w:r>
      <w:r w:rsidRPr="04281860">
        <w:rPr>
          <w:rFonts w:asciiTheme="majorHAnsi" w:eastAsiaTheme="majorEastAsia" w:hAnsiTheme="majorHAnsi" w:cstheme="majorBidi"/>
          <w:kern w:val="0"/>
          <w:sz w:val="36"/>
          <w:szCs w:val="36"/>
          <w14:ligatures w14:val="none"/>
        </w:rPr>
        <w:t xml:space="preserve"> Key Stakeholders</w:t>
      </w:r>
    </w:p>
    <w:p w14:paraId="082101B8"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754B959B"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Stakeholders can be categorised into internal and external groups depending on their relationship to the project. Internal stakeholders are directly involved in project management and decision-making, while external stakeholders are affected by the outcomes of the project.</w:t>
      </w:r>
    </w:p>
    <w:p w14:paraId="6FB74A20"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65A3A057"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Internal stakeholders involved in the HS2 Washwood Heath depot include the UK Government, the Department for Transport, HS2 Ltd and construction contractors such as Balfour Beatty and VINCI. These organisations are responsible for financing, planning and delivering the infrastructure project.</w:t>
      </w:r>
    </w:p>
    <w:p w14:paraId="514B070A"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4659F7E1"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External stakeholders include local residents, businesses, community organisations, transport authorities and environmental groups. These stakeholders may not directly manage the project but are significantly affected by its construction and long-term outcomes.</w:t>
      </w:r>
    </w:p>
    <w:p w14:paraId="04874623"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70CAF9C5" w14:textId="7C18AFC1" w:rsidR="1EC49844" w:rsidRPr="00E401CB" w:rsidRDefault="00E401CB" w:rsidP="1FB583B7">
      <w:pPr>
        <w:spacing w:before="100" w:beforeAutospacing="1" w:after="100" w:afterAutospacing="1" w:line="240" w:lineRule="auto"/>
        <w:rPr>
          <w:rFonts w:asciiTheme="majorHAnsi" w:eastAsiaTheme="majorEastAsia" w:hAnsiTheme="majorHAnsi" w:cstheme="majorBidi"/>
          <w:sz w:val="36"/>
          <w:szCs w:val="36"/>
        </w:rPr>
      </w:pPr>
      <w:r w:rsidRPr="757636E9">
        <w:rPr>
          <w:rFonts w:asciiTheme="majorHAnsi" w:eastAsiaTheme="majorEastAsia" w:hAnsiTheme="majorHAnsi" w:cstheme="majorBidi"/>
          <w:kern w:val="0"/>
          <w14:ligatures w14:val="none"/>
        </w:rPr>
        <w:t>Stakeholder theory emphasises that organisations must consider the interests of all stakeholders rather than focusing solely on economic outcomes (Freeman, 1984). In infrastructure projects such as HS2, this approach is particularly important because development decisions can influence social wellbeing, environmental sustainability and community trust.</w:t>
      </w:r>
    </w:p>
    <w:p w14:paraId="76E622BF" w14:textId="65F0ED4C" w:rsidR="00E401CB" w:rsidRPr="00E401CB" w:rsidRDefault="00E401CB" w:rsidP="05ECB8AD">
      <w:pPr>
        <w:spacing w:before="100" w:beforeAutospacing="1" w:after="100" w:afterAutospacing="1" w:line="240" w:lineRule="auto"/>
        <w:rPr>
          <w:rFonts w:asciiTheme="majorHAnsi" w:eastAsiaTheme="majorEastAsia" w:hAnsiTheme="majorHAnsi" w:cstheme="majorBidi"/>
          <w:sz w:val="36"/>
          <w:szCs w:val="36"/>
        </w:rPr>
      </w:pPr>
    </w:p>
    <w:p w14:paraId="12FE690E" w14:textId="77777777" w:rsidR="00E401CB" w:rsidRPr="00E401CB" w:rsidRDefault="00E401CB" w:rsidP="05ECB8AD">
      <w:pPr>
        <w:spacing w:before="100" w:beforeAutospacing="1" w:after="100" w:afterAutospacing="1" w:line="240" w:lineRule="auto"/>
        <w:rPr>
          <w:rFonts w:asciiTheme="majorHAnsi" w:eastAsiaTheme="majorEastAsia" w:hAnsiTheme="majorHAnsi" w:cstheme="majorBidi"/>
          <w:kern w:val="0"/>
          <w:sz w:val="36"/>
          <w:szCs w:val="36"/>
          <w14:ligatures w14:val="none"/>
        </w:rPr>
      </w:pPr>
      <w:r w:rsidRPr="04281860">
        <w:rPr>
          <w:rFonts w:asciiTheme="majorHAnsi" w:eastAsiaTheme="majorEastAsia" w:hAnsiTheme="majorHAnsi" w:cstheme="majorBidi"/>
          <w:kern w:val="0"/>
          <w:sz w:val="36"/>
          <w:szCs w:val="36"/>
          <w14:ligatures w14:val="none"/>
        </w:rPr>
        <w:t>Stakeholder Power–Interest Matrix</w:t>
      </w:r>
    </w:p>
    <w:p w14:paraId="451105CB" w14:textId="38965347" w:rsidR="00E401CB" w:rsidRPr="00E401CB" w:rsidRDefault="23E5239D" w:rsidP="00E401CB">
      <w:pPr>
        <w:spacing w:before="100" w:beforeAutospacing="1" w:after="100" w:afterAutospacing="1" w:line="240" w:lineRule="auto"/>
        <w:rPr>
          <w:rFonts w:asciiTheme="majorHAnsi" w:eastAsiaTheme="majorEastAsia" w:hAnsiTheme="majorHAnsi" w:cstheme="majorBidi"/>
          <w:kern w:val="0"/>
          <w14:ligatures w14:val="none"/>
        </w:rPr>
      </w:pPr>
      <w:r w:rsidRPr="6FF1FB83">
        <w:rPr>
          <w:rFonts w:asciiTheme="majorHAnsi" w:eastAsiaTheme="majorEastAsia" w:hAnsiTheme="majorHAnsi" w:cstheme="majorBidi"/>
        </w:rPr>
        <w:t xml:space="preserve"> </w:t>
      </w:r>
    </w:p>
    <w:p w14:paraId="39181011" w14:textId="51E60DF6"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5220CC72">
        <w:rPr>
          <w:rFonts w:asciiTheme="majorHAnsi" w:eastAsiaTheme="majorEastAsia" w:hAnsiTheme="majorHAnsi" w:cstheme="majorBidi"/>
          <w:kern w:val="0"/>
          <w14:ligatures w14:val="none"/>
        </w:rPr>
        <w:lastRenderedPageBreak/>
        <w:t>A commonly used framework for analysing stakeholder influence is the power–interest grid</w:t>
      </w:r>
      <w:r w:rsidR="1B5C88EB" w:rsidRPr="5220CC72">
        <w:rPr>
          <w:rFonts w:asciiTheme="majorHAnsi" w:eastAsiaTheme="majorEastAsia" w:hAnsiTheme="majorHAnsi" w:cstheme="majorBidi"/>
          <w:kern w:val="0"/>
          <w14:ligatures w14:val="none"/>
        </w:rPr>
        <w:t xml:space="preserve"> which is</w:t>
      </w:r>
      <w:r w:rsidR="1B5C88EB" w:rsidRPr="5220CC72">
        <w:rPr>
          <w:rFonts w:asciiTheme="majorHAnsi" w:eastAsiaTheme="majorEastAsia" w:hAnsiTheme="majorHAnsi" w:cstheme="majorBidi"/>
        </w:rPr>
        <w:t xml:space="preserve"> most commonly attributed to </w:t>
      </w:r>
      <w:hyperlink r:id="rId5">
        <w:r w:rsidR="1B5C88EB" w:rsidRPr="3A5F3489">
          <w:rPr>
            <w:rStyle w:val="Hyperlink"/>
            <w:rFonts w:asciiTheme="majorHAnsi" w:eastAsiaTheme="majorEastAsia" w:hAnsiTheme="majorHAnsi" w:cstheme="majorBidi"/>
            <w:color w:val="auto"/>
            <w:u w:val="none"/>
          </w:rPr>
          <w:t xml:space="preserve">Aubrey L. </w:t>
        </w:r>
        <w:proofErr w:type="spellStart"/>
        <w:r w:rsidR="1B5C88EB" w:rsidRPr="3A5F3489">
          <w:rPr>
            <w:rStyle w:val="Hyperlink"/>
            <w:rFonts w:asciiTheme="majorHAnsi" w:eastAsiaTheme="majorEastAsia" w:hAnsiTheme="majorHAnsi" w:cstheme="majorBidi"/>
            <w:color w:val="auto"/>
            <w:u w:val="none"/>
          </w:rPr>
          <w:t>Mendelow</w:t>
        </w:r>
        <w:proofErr w:type="spellEnd"/>
      </w:hyperlink>
      <w:r w:rsidR="1B5C88EB" w:rsidRPr="5220CC72">
        <w:rPr>
          <w:rFonts w:asciiTheme="majorHAnsi" w:eastAsiaTheme="majorEastAsia" w:hAnsiTheme="majorHAnsi" w:cstheme="majorBidi"/>
          <w:kern w:val="0"/>
          <w14:ligatures w14:val="none"/>
        </w:rPr>
        <w:t xml:space="preserve">  </w:t>
      </w:r>
      <w:r w:rsidRPr="5220CC72">
        <w:rPr>
          <w:rFonts w:asciiTheme="majorHAnsi" w:eastAsiaTheme="majorEastAsia" w:hAnsiTheme="majorHAnsi" w:cstheme="majorBidi"/>
          <w:kern w:val="0"/>
          <w14:ligatures w14:val="none"/>
        </w:rPr>
        <w:t xml:space="preserve">. </w:t>
      </w:r>
      <w:r w:rsidRPr="757636E9">
        <w:rPr>
          <w:rFonts w:asciiTheme="majorHAnsi" w:eastAsiaTheme="majorEastAsia" w:hAnsiTheme="majorHAnsi" w:cstheme="majorBidi"/>
          <w:kern w:val="0"/>
          <w14:ligatures w14:val="none"/>
        </w:rPr>
        <w:t>This model categorises stakeholders based on their level of power over a project and their interest in its outcomes.</w:t>
      </w:r>
    </w:p>
    <w:p w14:paraId="6B2D356A"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40670A29"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High-power and high-interest stakeholders include the UK Government and HS2 Ltd because they control funding, policy decisions and strategic direction. These stakeholders must be managed closely due to their significant influence over the project.</w:t>
      </w:r>
    </w:p>
    <w:p w14:paraId="4BFD9AE4"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5B2BE80E"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Local authorities such as Birmingham City Council also hold considerable power and interest because they regulate planning approval and represent community concerns. Their involvement ensures that the project aligns with local development strategies.</w:t>
      </w:r>
    </w:p>
    <w:p w14:paraId="3E724903"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4167CF75"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Local residents and community groups typically have lower decision-making power but high levels of interest in the project due to potential impacts such as construction noise, traffic disruption and environmental change. These stakeholders require regular communication and consultation to maintain transparency and trust.</w:t>
      </w:r>
    </w:p>
    <w:p w14:paraId="468E8D67"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65D37059"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Businesses located near the development site also have moderate interest because construction activity may affect operations, logistics and customer access.</w:t>
      </w:r>
    </w:p>
    <w:p w14:paraId="7B89EE8E"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62314B8B" w14:textId="1E8BDDF9" w:rsidR="00E401CB" w:rsidRPr="00E401CB" w:rsidRDefault="00E401CB" w:rsidP="00E401CB">
      <w:pPr>
        <w:spacing w:before="100" w:beforeAutospacing="1" w:after="100" w:afterAutospacing="1" w:line="240" w:lineRule="auto"/>
        <w:rPr>
          <w:rFonts w:asciiTheme="majorHAnsi" w:eastAsiaTheme="majorEastAsia" w:hAnsiTheme="majorHAnsi" w:cstheme="majorBidi"/>
          <w:sz w:val="36"/>
          <w:szCs w:val="36"/>
        </w:rPr>
      </w:pPr>
      <w:r w:rsidRPr="757636E9">
        <w:rPr>
          <w:rFonts w:asciiTheme="majorHAnsi" w:eastAsiaTheme="majorEastAsia" w:hAnsiTheme="majorHAnsi" w:cstheme="majorBidi"/>
          <w:kern w:val="0"/>
          <w14:ligatures w14:val="none"/>
        </w:rPr>
        <w:t>Using stakeholder mapping tools allows organisations to identify the most appropriate engagement strategy for each group. Effective engagement ensures that the concerns of affected stakeholders are recognised while enabling the project to progress.</w:t>
      </w:r>
    </w:p>
    <w:p w14:paraId="78BAEE0A" w14:textId="0F736577" w:rsidR="00E401CB" w:rsidRPr="00E401CB" w:rsidRDefault="00E401CB" w:rsidP="6D6DB343">
      <w:pPr>
        <w:spacing w:before="100" w:beforeAutospacing="1" w:after="100" w:afterAutospacing="1" w:line="240" w:lineRule="auto"/>
        <w:rPr>
          <w:rFonts w:asciiTheme="majorHAnsi" w:eastAsiaTheme="majorEastAsia" w:hAnsiTheme="majorHAnsi" w:cstheme="majorBidi"/>
          <w:sz w:val="36"/>
          <w:szCs w:val="36"/>
        </w:rPr>
      </w:pPr>
    </w:p>
    <w:p w14:paraId="44812377" w14:textId="77777777" w:rsidR="00E401CB" w:rsidRPr="00E401CB" w:rsidRDefault="00E401CB" w:rsidP="6D6DB343">
      <w:pPr>
        <w:spacing w:before="100" w:beforeAutospacing="1" w:after="100" w:afterAutospacing="1" w:line="240" w:lineRule="auto"/>
        <w:rPr>
          <w:rFonts w:asciiTheme="majorHAnsi" w:eastAsiaTheme="majorEastAsia" w:hAnsiTheme="majorHAnsi" w:cstheme="majorBidi"/>
          <w:kern w:val="0"/>
          <w:sz w:val="36"/>
          <w:szCs w:val="36"/>
          <w14:ligatures w14:val="none"/>
        </w:rPr>
      </w:pPr>
      <w:r w:rsidRPr="04281860">
        <w:rPr>
          <w:rFonts w:asciiTheme="majorHAnsi" w:eastAsiaTheme="majorEastAsia" w:hAnsiTheme="majorHAnsi" w:cstheme="majorBidi"/>
          <w:kern w:val="0"/>
          <w:sz w:val="36"/>
          <w:szCs w:val="36"/>
          <w14:ligatures w14:val="none"/>
        </w:rPr>
        <w:t>Stakeholder Engagement Strategies</w:t>
      </w:r>
    </w:p>
    <w:p w14:paraId="293A6D6A"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4184458A"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Engaging stakeholders effectively requires a combination of communication tools and participatory activities. Community engagement is often complex because stakeholders have different priorities, expectations and levels of influence.</w:t>
      </w:r>
    </w:p>
    <w:p w14:paraId="0A6C844C"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001BFDD4"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lastRenderedPageBreak/>
        <w:t>Community engagement strategies involve collaborative activities designed to address issues affecting social wellbeing (Bowen et al., 2010). These strategies aim to ensure that stakeholders have opportunities to express their views and participate in project discussions.</w:t>
      </w:r>
    </w:p>
    <w:p w14:paraId="4CE5538E"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14C34881"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In the case of the Washwood Heath project, HS2 has implemented several engagement initiatives to support local communities. For example, the HS2 Community and Environment Fund provides financial support to community organisations located along the construction route. In Washwood Heath, local projects have received funding totalling approximately £225,000 to support community activities and environmental improvements  .</w:t>
      </w:r>
    </w:p>
    <w:p w14:paraId="22C13D87"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6A623484" w14:textId="6112F395"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 xml:space="preserve">One example of community engagement is funding provided to the </w:t>
      </w:r>
      <w:proofErr w:type="spellStart"/>
      <w:r w:rsidRPr="757636E9">
        <w:rPr>
          <w:rFonts w:asciiTheme="majorHAnsi" w:eastAsiaTheme="majorEastAsia" w:hAnsiTheme="majorHAnsi" w:cstheme="majorBidi"/>
          <w:kern w:val="0"/>
          <w14:ligatures w14:val="none"/>
        </w:rPr>
        <w:t>Saheli</w:t>
      </w:r>
      <w:proofErr w:type="spellEnd"/>
      <w:r w:rsidRPr="757636E9">
        <w:rPr>
          <w:rFonts w:asciiTheme="majorHAnsi" w:eastAsiaTheme="majorEastAsia" w:hAnsiTheme="majorHAnsi" w:cstheme="majorBidi"/>
          <w:kern w:val="0"/>
          <w14:ligatures w14:val="none"/>
        </w:rPr>
        <w:t xml:space="preserve"> Hub organisation to support local health and wellbeing activities. The project encourages residents to participate in community </w:t>
      </w:r>
      <w:proofErr w:type="spellStart"/>
      <w:r w:rsidR="005806B0">
        <w:rPr>
          <w:rFonts w:asciiTheme="majorHAnsi" w:eastAsiaTheme="majorEastAsia" w:hAnsiTheme="majorHAnsi" w:cstheme="majorBidi"/>
          <w:kern w:val="0"/>
          <w14:ligatures w14:val="none"/>
        </w:rPr>
        <w:t>h</w:t>
      </w:r>
      <w:r w:rsidRPr="757636E9">
        <w:rPr>
          <w:rFonts w:asciiTheme="majorHAnsi" w:eastAsiaTheme="majorEastAsia" w:hAnsiTheme="majorHAnsi" w:cstheme="majorBidi"/>
          <w:kern w:val="0"/>
          <w14:ligatures w14:val="none"/>
        </w:rPr>
        <w:t>sports</w:t>
      </w:r>
      <w:proofErr w:type="spellEnd"/>
      <w:r w:rsidRPr="757636E9">
        <w:rPr>
          <w:rFonts w:asciiTheme="majorHAnsi" w:eastAsiaTheme="majorEastAsia" w:hAnsiTheme="majorHAnsi" w:cstheme="majorBidi"/>
          <w:kern w:val="0"/>
          <w14:ligatures w14:val="none"/>
        </w:rPr>
        <w:t xml:space="preserve"> and social programmes designed to improve wellbeing and social inclusion  .</w:t>
      </w:r>
    </w:p>
    <w:p w14:paraId="548588F0"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21E348FD"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In addition to financial support, HS2 has collaborated with local educational institutions to involve young people in the development of the project. The “Washwood Heath Creates” initiative involved workshops with students at the Heart of Birmingham Vocational College, allowing learners to develop creative ideas for public spaces around the future depot  .</w:t>
      </w:r>
    </w:p>
    <w:p w14:paraId="2773D7AC"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5468E448" w14:textId="5FD2BB05" w:rsidR="00E401CB" w:rsidRPr="00E401CB" w:rsidRDefault="00E401CB" w:rsidP="00E401CB">
      <w:pPr>
        <w:spacing w:before="100" w:beforeAutospacing="1" w:after="100" w:afterAutospacing="1" w:line="240" w:lineRule="auto"/>
        <w:rPr>
          <w:rFonts w:asciiTheme="majorHAnsi" w:eastAsiaTheme="majorEastAsia" w:hAnsiTheme="majorHAnsi" w:cstheme="majorBidi"/>
          <w:sz w:val="36"/>
          <w:szCs w:val="36"/>
        </w:rPr>
      </w:pPr>
      <w:r w:rsidRPr="757636E9">
        <w:rPr>
          <w:rFonts w:asciiTheme="majorHAnsi" w:eastAsiaTheme="majorEastAsia" w:hAnsiTheme="majorHAnsi" w:cstheme="majorBidi"/>
          <w:kern w:val="0"/>
          <w14:ligatures w14:val="none"/>
        </w:rPr>
        <w:t>Such initiatives demonstrate how organisations can use creative engagement approaches to build relationships with communities and improve stakeholder participation.</w:t>
      </w:r>
    </w:p>
    <w:p w14:paraId="793231C5" w14:textId="5BAE56E0" w:rsidR="00E401CB" w:rsidRPr="00E401CB" w:rsidRDefault="00E401CB" w:rsidP="11BAC37D">
      <w:pPr>
        <w:spacing w:before="100" w:beforeAutospacing="1" w:after="100" w:afterAutospacing="1" w:line="240" w:lineRule="auto"/>
        <w:rPr>
          <w:rFonts w:asciiTheme="majorHAnsi" w:eastAsiaTheme="majorEastAsia" w:hAnsiTheme="majorHAnsi" w:cstheme="majorBidi"/>
          <w:sz w:val="36"/>
          <w:szCs w:val="36"/>
        </w:rPr>
      </w:pPr>
    </w:p>
    <w:p w14:paraId="06FAE003" w14:textId="77777777" w:rsidR="00E401CB" w:rsidRPr="00E401CB" w:rsidRDefault="00E401CB" w:rsidP="11BAC37D">
      <w:pPr>
        <w:spacing w:before="100" w:beforeAutospacing="1" w:after="100" w:afterAutospacing="1" w:line="240" w:lineRule="auto"/>
        <w:rPr>
          <w:rFonts w:asciiTheme="majorHAnsi" w:eastAsiaTheme="majorEastAsia" w:hAnsiTheme="majorHAnsi" w:cstheme="majorBidi"/>
          <w:kern w:val="0"/>
          <w:sz w:val="36"/>
          <w:szCs w:val="36"/>
          <w14:ligatures w14:val="none"/>
        </w:rPr>
      </w:pPr>
      <w:r w:rsidRPr="04281860">
        <w:rPr>
          <w:rFonts w:asciiTheme="majorHAnsi" w:eastAsiaTheme="majorEastAsia" w:hAnsiTheme="majorHAnsi" w:cstheme="majorBidi"/>
          <w:kern w:val="0"/>
          <w:sz w:val="36"/>
          <w:szCs w:val="36"/>
          <w14:ligatures w14:val="none"/>
        </w:rPr>
        <w:t>Communication Channels</w:t>
      </w:r>
    </w:p>
    <w:p w14:paraId="61708F8E"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36402AD4"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Effective communication is essential for maintaining stakeholder engagement throughout a large-scale infrastructure project. Different stakeholders require different communication approaches depending on their level of influence and interest.</w:t>
      </w:r>
    </w:p>
    <w:p w14:paraId="56B7E49A"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67C9BCC3"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Common communication channels used in community engagement include public meetings, community forums, interviews and digital communication platforms. Public meetings allow residents to raise concerns and ask questions directly, while online platforms enable organisations to distribute updates and collect feedback efficiently.</w:t>
      </w:r>
    </w:p>
    <w:p w14:paraId="415B765B"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6CD86203"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These engagement tools align with community research methods identified in community development studies, which include public meetings, community mapping and creative activities as ways of identifying local priorities and encouraging participation.</w:t>
      </w:r>
    </w:p>
    <w:p w14:paraId="44350EF1"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428B0526"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Although these strategies can improve transparency, they may also present challenges. For example, public consultations may not reach all stakeholder groups equally, particularly individuals who face language barriers, time constraints or limited access to digital communication platforms.</w:t>
      </w:r>
    </w:p>
    <w:p w14:paraId="6A515539"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1EC41C42" w14:textId="50D106F5" w:rsidR="00C3164D" w:rsidRDefault="00E401CB" w:rsidP="00C3164D">
      <w:pPr>
        <w:spacing w:before="100" w:beforeAutospacing="1" w:after="100" w:afterAutospacing="1" w:line="240" w:lineRule="auto"/>
        <w:rPr>
          <w:rFonts w:asciiTheme="majorHAnsi" w:eastAsiaTheme="majorEastAsia" w:hAnsiTheme="majorHAnsi" w:cstheme="majorBidi"/>
          <w:sz w:val="36"/>
          <w:szCs w:val="36"/>
        </w:rPr>
      </w:pPr>
      <w:r w:rsidRPr="757636E9">
        <w:rPr>
          <w:rFonts w:asciiTheme="majorHAnsi" w:eastAsiaTheme="majorEastAsia" w:hAnsiTheme="majorHAnsi" w:cstheme="majorBidi"/>
          <w:kern w:val="0"/>
          <w14:ligatures w14:val="none"/>
        </w:rPr>
        <w:t>Therefore, organisations must continually evaluate and adapt their engagement strategies to ensure that stakeholder participation remains inclusive and effective.</w:t>
      </w:r>
    </w:p>
    <w:p w14:paraId="6EDAA383" w14:textId="4B25D83B" w:rsidR="00E401CB" w:rsidRDefault="00E401CB" w:rsidP="09CFE954">
      <w:pPr>
        <w:spacing w:before="100" w:beforeAutospacing="1" w:after="100" w:afterAutospacing="1" w:line="240" w:lineRule="auto"/>
        <w:rPr>
          <w:rFonts w:asciiTheme="majorHAnsi" w:eastAsiaTheme="majorEastAsia" w:hAnsiTheme="majorHAnsi" w:cstheme="majorBidi"/>
          <w:sz w:val="36"/>
          <w:szCs w:val="36"/>
        </w:rPr>
      </w:pPr>
    </w:p>
    <w:p w14:paraId="6E11D42E" w14:textId="77777777" w:rsidR="00C3164D" w:rsidRPr="00C3164D" w:rsidRDefault="00C3164D" w:rsidP="09CFE954">
      <w:pPr>
        <w:spacing w:before="100" w:beforeAutospacing="1" w:after="100" w:afterAutospacing="1" w:line="240" w:lineRule="auto"/>
        <w:rPr>
          <w:rFonts w:asciiTheme="majorHAnsi" w:eastAsiaTheme="majorEastAsia" w:hAnsiTheme="majorHAnsi" w:cstheme="majorBidi"/>
          <w:kern w:val="0"/>
          <w:sz w:val="36"/>
          <w:szCs w:val="36"/>
          <w14:ligatures w14:val="none"/>
        </w:rPr>
      </w:pPr>
      <w:r w:rsidRPr="04281860">
        <w:rPr>
          <w:rFonts w:asciiTheme="majorHAnsi" w:eastAsiaTheme="majorEastAsia" w:hAnsiTheme="majorHAnsi" w:cstheme="majorBidi"/>
          <w:kern w:val="0"/>
          <w:sz w:val="36"/>
          <w:szCs w:val="36"/>
          <w14:ligatures w14:val="none"/>
        </w:rPr>
        <w:t xml:space="preserve">Stakeholder Analysis and Engagement Strategies </w:t>
      </w:r>
    </w:p>
    <w:p w14:paraId="3D05D415"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23A60EB6" w14:textId="77777777" w:rsidR="00C3164D" w:rsidRPr="00C3164D" w:rsidRDefault="00C3164D" w:rsidP="00C3164D">
      <w:pPr>
        <w:spacing w:before="100" w:beforeAutospacing="1" w:after="100" w:afterAutospacing="1" w:line="240" w:lineRule="auto"/>
        <w:outlineLvl w:val="2"/>
        <w:rPr>
          <w:rFonts w:asciiTheme="majorHAnsi" w:eastAsiaTheme="majorEastAsia" w:hAnsiTheme="majorHAnsi" w:cstheme="majorBidi"/>
          <w:kern w:val="0"/>
          <w:sz w:val="27"/>
          <w:szCs w:val="27"/>
          <w14:ligatures w14:val="none"/>
        </w:rPr>
      </w:pPr>
      <w:r w:rsidRPr="04281860">
        <w:rPr>
          <w:rFonts w:asciiTheme="majorHAnsi" w:eastAsiaTheme="majorEastAsia" w:hAnsiTheme="majorHAnsi" w:cstheme="majorBidi"/>
          <w:kern w:val="0"/>
          <w:sz w:val="27"/>
          <w:szCs w:val="27"/>
          <w14:ligatures w14:val="none"/>
        </w:rPr>
        <w:t>Stakeholder Conflicts and Challenges</w:t>
      </w:r>
    </w:p>
    <w:p w14:paraId="348F10DE"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6F86E9B1"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Large infrastructure projects often generate conflict between stakeholders because different groups have competing priorities. While governments and transport authorities focus on national infrastructure improvements and economic growth, local residents and businesses may experience immediate negative impacts during construction.</w:t>
      </w:r>
    </w:p>
    <w:p w14:paraId="25C00B5C"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53809D04"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One of the most significant challenges associated with the HS2 Washwood Heath development is disruption to the surrounding community. Construction activities have resulted in road closures, traffic diversions and changes to existing infrastructure within the area. These disruptions can affect local businesses, commuting patterns and the daily lives of residents living near the construction site.</w:t>
      </w:r>
    </w:p>
    <w:p w14:paraId="08147F11"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155B7623"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Noise pollution and environmental impact have also been key concerns raised by community members. Infrastructure construction projects often generate high levels of noise, heavy machinery usage and increased vehicle movements. These issues may reduce quality of life for nearby residents and create concerns regarding long-term environmental sustainability.</w:t>
      </w:r>
    </w:p>
    <w:p w14:paraId="70CFD0B6"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6F86D891"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Environmental organisations have also expressed concerns regarding the ecological impact of the wider HS2 project. Critics argue that large infrastructure developments can lead to habitat destruction and increased carbon emissions during construction phases. As a result, organisations involved in the project must consider how environmental sustainability can be incorporated into project planning and delivery.</w:t>
      </w:r>
    </w:p>
    <w:p w14:paraId="232F15A8"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605EA5EC"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Stakeholder conflict is common in projects of this scale because stakeholders have different expectations and levels of influence. While government bodies may prioritise economic growth and national connectivity, local communities often prioritise environmental protection and quality of life. Managing these conflicting interests requires effective stakeholder communication and engagement.</w:t>
      </w:r>
    </w:p>
    <w:p w14:paraId="2A102B0C"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49503CCE"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Effective stakeholder management therefore involves identifying concerns early and developing strategies that allow different groups to participate in decision-making processes. Transparent communication and consultation can reduce misunderstandings and help organisations build trust with affected communities.</w:t>
      </w:r>
    </w:p>
    <w:p w14:paraId="263995B0"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0A30352B" w14:textId="77777777" w:rsidR="00C3164D" w:rsidRPr="00C3164D" w:rsidRDefault="00C3164D" w:rsidP="00C3164D">
      <w:pPr>
        <w:spacing w:before="100" w:beforeAutospacing="1" w:after="100" w:afterAutospacing="1" w:line="240" w:lineRule="auto"/>
        <w:outlineLvl w:val="2"/>
        <w:rPr>
          <w:rFonts w:asciiTheme="majorHAnsi" w:eastAsiaTheme="majorEastAsia" w:hAnsiTheme="majorHAnsi" w:cstheme="majorBidi"/>
          <w:kern w:val="0"/>
          <w:sz w:val="27"/>
          <w:szCs w:val="27"/>
          <w14:ligatures w14:val="none"/>
        </w:rPr>
      </w:pPr>
      <w:r w:rsidRPr="04281860">
        <w:rPr>
          <w:rFonts w:asciiTheme="majorHAnsi" w:eastAsiaTheme="majorEastAsia" w:hAnsiTheme="majorHAnsi" w:cstheme="majorBidi"/>
          <w:kern w:val="0"/>
          <w:sz w:val="27"/>
          <w:szCs w:val="27"/>
          <w14:ligatures w14:val="none"/>
        </w:rPr>
        <w:t>Benefits and Positive Outcomes of the Project</w:t>
      </w:r>
    </w:p>
    <w:p w14:paraId="767456E2"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68361901"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Despite the challenges associated with construction, the Washwood Heath HS2 depot is expected to generate several long-term benefits for both local communities and the wider UK economy.</w:t>
      </w:r>
    </w:p>
    <w:p w14:paraId="7E6A33C5"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4B5108CC"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One of the most significant benefits is job creation. Infrastructure projects typically require a large workforce during both the construction and operational phases. The Washwood Heath depot is expected to create hundreds of jobs related to engineering, maintenance, operations and management. Employment opportunities may also extend to supply chain businesses supporting the construction and maintenance of the rail network.</w:t>
      </w:r>
    </w:p>
    <w:p w14:paraId="7ECB5A17"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5A4C1858"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Economic regeneration is another anticipated outcome. Large infrastructure developments can stimulate investment within surrounding areas by attracting new businesses and improving transport connectivity. Improved infrastructure can make regions more accessible for commerce, tourism and investment.</w:t>
      </w:r>
    </w:p>
    <w:p w14:paraId="344EC8B4"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4D7667F9"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The HS2 rail network also aims to significantly reduce travel times between major cities such as Birmingham, London and Manchester. Faster connections may support business development, improve commuting options and strengthen economic relationships between regions.</w:t>
      </w:r>
    </w:p>
    <w:p w14:paraId="527F9957"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042A8F4D"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Infrastructure improvements may also contribute to broader regional development strategies. Birmingham City Council has identified transport connectivity as an important factor in supporting economic growth across the West Midlands region. Projects such as HS2 therefore form part of wider urban regeneration initiatives designed to improve infrastructure and attract investment.</w:t>
      </w:r>
    </w:p>
    <w:p w14:paraId="6FC837A4"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6F0B7108"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However, the success of these benefits depends heavily on effective stakeholder engagement. Communities must feel that they are included in the development process and that project outcomes will positively contribute to their local environment and economy.</w:t>
      </w:r>
    </w:p>
    <w:p w14:paraId="6328E082" w14:textId="1B435B33" w:rsidR="0747F5C0" w:rsidRDefault="0747F5C0" w:rsidP="0747F5C0">
      <w:pPr>
        <w:spacing w:after="0" w:line="240" w:lineRule="auto"/>
        <w:rPr>
          <w:rFonts w:asciiTheme="majorHAnsi" w:eastAsiaTheme="majorEastAsia" w:hAnsiTheme="majorHAnsi" w:cstheme="majorBidi"/>
          <w:sz w:val="48"/>
          <w:szCs w:val="48"/>
        </w:rPr>
      </w:pPr>
    </w:p>
    <w:p w14:paraId="7A571962" w14:textId="77777777" w:rsidR="00C3164D" w:rsidRPr="00C3164D" w:rsidRDefault="00C3164D" w:rsidP="67FE76E5">
      <w:pPr>
        <w:spacing w:before="100" w:beforeAutospacing="1" w:after="0" w:afterAutospacing="1" w:line="240" w:lineRule="auto"/>
        <w:rPr>
          <w:rFonts w:asciiTheme="majorHAnsi" w:eastAsiaTheme="majorEastAsia" w:hAnsiTheme="majorHAnsi" w:cstheme="majorBidi"/>
          <w:kern w:val="36"/>
          <w:sz w:val="48"/>
          <w:szCs w:val="48"/>
          <w14:ligatures w14:val="none"/>
        </w:rPr>
      </w:pPr>
      <w:r w:rsidRPr="3AAA48D8">
        <w:rPr>
          <w:rFonts w:asciiTheme="majorHAnsi" w:eastAsiaTheme="majorEastAsia" w:hAnsiTheme="majorHAnsi" w:cstheme="majorBidi"/>
          <w:kern w:val="36"/>
          <w:sz w:val="48"/>
          <w:szCs w:val="48"/>
          <w14:ligatures w14:val="none"/>
        </w:rPr>
        <w:t>Ethical</w:t>
      </w:r>
      <w:r w:rsidRPr="04281860">
        <w:rPr>
          <w:rFonts w:asciiTheme="majorHAnsi" w:eastAsiaTheme="majorEastAsia" w:hAnsiTheme="majorHAnsi" w:cstheme="majorBidi"/>
          <w:kern w:val="36"/>
          <w:sz w:val="48"/>
          <w:szCs w:val="48"/>
          <w14:ligatures w14:val="none"/>
        </w:rPr>
        <w:t xml:space="preserve"> Considerations and Reflective Insight</w:t>
      </w:r>
    </w:p>
    <w:p w14:paraId="37BCCD70" w14:textId="5913E47F" w:rsidR="00C3164D" w:rsidRDefault="00C3164D" w:rsidP="1B7AEDA8">
      <w:pPr>
        <w:spacing w:beforeAutospacing="1" w:afterAutospacing="1" w:line="240" w:lineRule="auto"/>
        <w:rPr>
          <w:rFonts w:asciiTheme="majorHAnsi" w:eastAsiaTheme="majorEastAsia" w:hAnsiTheme="majorHAnsi" w:cstheme="majorBidi"/>
          <w:sz w:val="27"/>
          <w:szCs w:val="27"/>
        </w:rPr>
      </w:pPr>
    </w:p>
    <w:p w14:paraId="130EC462" w14:textId="77777777" w:rsidR="00C3164D" w:rsidRPr="00C3164D" w:rsidRDefault="00C3164D" w:rsidP="1B7AEDA8">
      <w:pPr>
        <w:spacing w:before="100" w:beforeAutospacing="1" w:after="100" w:afterAutospacing="1" w:line="240" w:lineRule="auto"/>
        <w:rPr>
          <w:rFonts w:asciiTheme="majorHAnsi" w:eastAsiaTheme="majorEastAsia" w:hAnsiTheme="majorHAnsi" w:cstheme="majorBidi"/>
          <w:kern w:val="0"/>
          <w:sz w:val="27"/>
          <w:szCs w:val="27"/>
          <w14:ligatures w14:val="none"/>
        </w:rPr>
      </w:pPr>
      <w:r w:rsidRPr="04281860">
        <w:rPr>
          <w:rFonts w:asciiTheme="majorHAnsi" w:eastAsiaTheme="majorEastAsia" w:hAnsiTheme="majorHAnsi" w:cstheme="majorBidi"/>
          <w:kern w:val="0"/>
          <w:sz w:val="27"/>
          <w:szCs w:val="27"/>
          <w14:ligatures w14:val="none"/>
        </w:rPr>
        <w:t>Ethical Considerations in Stakeholder Engagement</w:t>
      </w:r>
    </w:p>
    <w:p w14:paraId="38909295"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1D5433B3"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Ethical considerations play an important role in stakeholder management, particularly in projects that significantly affect local communities and the environment. Ethical stakeholder engagement requires organisations to act transparently, fairly and responsibly when making decisions that affect multiple stakeholder groups.</w:t>
      </w:r>
    </w:p>
    <w:p w14:paraId="42501E23"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16A102D4"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One of the most important ethical issues associated with the HS2 project relates to community consultation. Ethical stakeholder engagement requires organisations to ensure that affected communities are informed about project developments and are given opportunities to express their views. Transparency is therefore essential in building trust between organisations and stakeholders.</w:t>
      </w:r>
    </w:p>
    <w:p w14:paraId="39F637E3"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35CAD422"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lastRenderedPageBreak/>
        <w:t>Transparency involves clearly communicating project objectives, potential risks and expected outcomes. If stakeholders believe that information is being withheld or that consultation processes are superficial, trust in the organisation may decline. This may lead to increased conflict and resistance to the project.</w:t>
      </w:r>
    </w:p>
    <w:p w14:paraId="4138FFEE"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42BF36A9"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Fairness is another important ethical principle in stakeholder management. Different stakeholder groups may have different levels of power and influence. Governments and large organisations often have significant decision-making authority, while individual residents or small community groups may have limited influence. Ethical stakeholder management requires organisations to ensure that less powerful groups are still given opportunities to participate in engagement processes.</w:t>
      </w:r>
    </w:p>
    <w:p w14:paraId="3CA0CC22"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7FC40CEA"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Environmental responsibility is also a major ethical consideration in infrastructure projects. Sustainability has become an increasingly important factor in organisational decision-making, particularly as governments and businesses aim to reduce environmental impact and address climate change.</w:t>
      </w:r>
    </w:p>
    <w:p w14:paraId="1F3061AC"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1E1FD648"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Corporate Social Responsibility (CSR) refers to the responsibility of organisations to operate in ways that benefit society and minimise harm to the environment (Carroll, 2016). In the context of the HS2 project, CSR initiatives may include environmental mitigation strategies, community investment programmes and sustainability commitments.</w:t>
      </w:r>
    </w:p>
    <w:p w14:paraId="466C56FB"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4551B852"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For example, HS2 has introduced community funding initiatives designed to support projects that improve local wellbeing. These initiatives provide financial support to community organisations located along the construction route and aim to reduce the social impact of construction activities.</w:t>
      </w:r>
    </w:p>
    <w:p w14:paraId="6B18F329"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37354FC6"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CSR initiatives can help organisations demonstrate their commitment to responsible development. However, such initiatives must be implemented genuinely rather than simply serving as public relations strategies. If stakeholders perceive CSR efforts as superficial, trust and credibility may be damaged.</w:t>
      </w:r>
    </w:p>
    <w:p w14:paraId="03812360" w14:textId="3340A5BB" w:rsidR="7C773138" w:rsidRDefault="7C773138" w:rsidP="7C773138">
      <w:pPr>
        <w:spacing w:beforeAutospacing="1" w:afterAutospacing="1" w:line="240" w:lineRule="auto"/>
        <w:rPr>
          <w:rFonts w:asciiTheme="majorHAnsi" w:eastAsiaTheme="majorEastAsia" w:hAnsiTheme="majorHAnsi" w:cstheme="majorBidi"/>
          <w:sz w:val="27"/>
          <w:szCs w:val="27"/>
        </w:rPr>
      </w:pPr>
    </w:p>
    <w:p w14:paraId="6F4666B3" w14:textId="77777777" w:rsidR="00C3164D" w:rsidRPr="00C3164D" w:rsidRDefault="00C3164D" w:rsidP="5E1FB5A2">
      <w:pPr>
        <w:spacing w:before="100" w:beforeAutospacing="1" w:after="100" w:afterAutospacing="1" w:line="240" w:lineRule="auto"/>
        <w:rPr>
          <w:rFonts w:asciiTheme="majorHAnsi" w:eastAsiaTheme="majorEastAsia" w:hAnsiTheme="majorHAnsi" w:cstheme="majorBidi"/>
          <w:kern w:val="0"/>
          <w:sz w:val="27"/>
          <w:szCs w:val="27"/>
          <w14:ligatures w14:val="none"/>
        </w:rPr>
      </w:pPr>
      <w:r w:rsidRPr="04281860">
        <w:rPr>
          <w:rFonts w:asciiTheme="majorHAnsi" w:eastAsiaTheme="majorEastAsia" w:hAnsiTheme="majorHAnsi" w:cstheme="majorBidi"/>
          <w:kern w:val="0"/>
          <w:sz w:val="27"/>
          <w:szCs w:val="27"/>
          <w14:ligatures w14:val="none"/>
        </w:rPr>
        <w:t>Sustainability and Long-Term Responsibility</w:t>
      </w:r>
    </w:p>
    <w:p w14:paraId="7ADEDD55"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52DDECE8"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lastRenderedPageBreak/>
        <w:t>Sustainability is closely connected to ethical stakeholder management. Sustainable development involves balancing economic growth with environmental protection and social wellbeing. Infrastructure projects must therefore consider not only immediate economic benefits but also long-term environmental and social impacts.</w:t>
      </w:r>
    </w:p>
    <w:p w14:paraId="26D650D5"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06E7B8F9"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The HS2 project aims to encourage sustainable transport by providing a high-capacity rail network that may reduce reliance on domestic flights and long-distance car travel. Rail transport is generally considered more environmentally efficient compared with other forms of long-distance transport.</w:t>
      </w:r>
    </w:p>
    <w:p w14:paraId="02AFE7C7"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315B5D10"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However, critics argue that the environmental costs of construction may offset some of these long-term sustainability benefits. Large-scale construction projects require significant materials, land use and energy consumption. As a result, organisations must implement environmental mitigation strategies such as habitat restoration and carbon reduction initiatives.</w:t>
      </w:r>
    </w:p>
    <w:p w14:paraId="190E0942"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4A85D64F"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Balancing these environmental concerns with economic and infrastructure benefits represents one of the central ethical challenges in large infrastructure projects.</w:t>
      </w:r>
    </w:p>
    <w:p w14:paraId="7CAF72E1" w14:textId="77D171F3" w:rsidR="00C3164D" w:rsidRDefault="00C3164D" w:rsidP="607B8B64">
      <w:pPr>
        <w:spacing w:beforeAutospacing="1" w:afterAutospacing="1" w:line="240" w:lineRule="auto"/>
        <w:rPr>
          <w:rFonts w:asciiTheme="majorHAnsi" w:eastAsiaTheme="majorEastAsia" w:hAnsiTheme="majorHAnsi" w:cstheme="majorBidi"/>
          <w:sz w:val="27"/>
          <w:szCs w:val="27"/>
        </w:rPr>
      </w:pPr>
    </w:p>
    <w:p w14:paraId="18AE5CEC" w14:textId="77777777" w:rsidR="00C3164D" w:rsidRPr="00C3164D" w:rsidRDefault="00C3164D" w:rsidP="607B8B64">
      <w:pPr>
        <w:spacing w:before="100" w:beforeAutospacing="1" w:after="100" w:afterAutospacing="1" w:line="240" w:lineRule="auto"/>
        <w:rPr>
          <w:rFonts w:asciiTheme="majorHAnsi" w:eastAsiaTheme="majorEastAsia" w:hAnsiTheme="majorHAnsi" w:cstheme="majorBidi"/>
          <w:kern w:val="0"/>
          <w:sz w:val="27"/>
          <w:szCs w:val="27"/>
          <w14:ligatures w14:val="none"/>
        </w:rPr>
      </w:pPr>
      <w:r w:rsidRPr="04281860">
        <w:rPr>
          <w:rFonts w:asciiTheme="majorHAnsi" w:eastAsiaTheme="majorEastAsia" w:hAnsiTheme="majorHAnsi" w:cstheme="majorBidi"/>
          <w:kern w:val="0"/>
          <w:sz w:val="27"/>
          <w:szCs w:val="27"/>
          <w14:ligatures w14:val="none"/>
        </w:rPr>
        <w:t xml:space="preserve">Reflective Insight </w:t>
      </w:r>
      <w:r w:rsidRPr="685166E7">
        <w:rPr>
          <w:rFonts w:asciiTheme="majorHAnsi" w:eastAsiaTheme="majorEastAsia" w:hAnsiTheme="majorHAnsi" w:cstheme="majorBidi"/>
          <w:kern w:val="0"/>
          <w:sz w:val="27"/>
          <w:szCs w:val="27"/>
          <w14:ligatures w14:val="none"/>
        </w:rPr>
        <w:t>on Stakeholder Engagement</w:t>
      </w:r>
    </w:p>
    <w:p w14:paraId="742F793C"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5C4AF924"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Reflecting on the stakeholder engagement strategies used in the Washwood Heath project highlights the complexity involved in managing multiple stakeholder groups. Theoretical frameworks discussed during the module have helped to provide a deeper understanding of how organisations approach stakeholder management in practice.</w:t>
      </w:r>
    </w:p>
    <w:p w14:paraId="4344CE24"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41A522C7"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Using Gibbs’ reflective cycle provides a useful structure for analysing this learning process. The first stage of the reflection involves describing the learning experience. During this module, I studied different stakeholder engagement theories and applied them to a real infrastructure project within my local area. Analysing the HS2 Washwood Heath depot allowed me to see how theoretical concepts such as stakeholder mapping and engagement strategies are applied in real situations.</w:t>
      </w:r>
    </w:p>
    <w:p w14:paraId="7734151D"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241AFE29"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lastRenderedPageBreak/>
        <w:t>The evaluation stage of the reflection highlights both positive and challenging aspects of stakeholder engagement. One positive aspect is that organisations are increasingly recognising the importance of community involvement in major infrastructure projects. Engagement initiatives such as community funding programmes and public consultations demonstrate attempts to involve local stakeholders in decision-making processes.</w:t>
      </w:r>
    </w:p>
    <w:p w14:paraId="3A9531B4"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08A092D2" w14:textId="11F77AF8"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However, the analysis also reveals several challenges. Infrastructure projects often involve competing interests between stakeholders, making it difficult to satisfy all groups equally. Local communities may experience disruption</w:t>
      </w:r>
      <w:r w:rsidR="00DD4657">
        <w:rPr>
          <w:rFonts w:asciiTheme="majorHAnsi" w:eastAsiaTheme="majorEastAsia" w:hAnsiTheme="majorHAnsi" w:cstheme="majorBidi"/>
          <w:kern w:val="0"/>
          <w14:ligatures w14:val="none"/>
        </w:rPr>
        <w:t xml:space="preserve"> ( this case</w:t>
      </w:r>
      <w:r w:rsidR="000252F5">
        <w:rPr>
          <w:rFonts w:asciiTheme="majorHAnsi" w:eastAsiaTheme="majorEastAsia" w:hAnsiTheme="majorHAnsi" w:cstheme="majorBidi"/>
          <w:kern w:val="0"/>
          <w14:ligatures w14:val="none"/>
        </w:rPr>
        <w:t xml:space="preserve">, </w:t>
      </w:r>
      <w:r w:rsidR="00DD4657">
        <w:rPr>
          <w:rFonts w:asciiTheme="majorHAnsi" w:eastAsiaTheme="majorEastAsia" w:hAnsiTheme="majorHAnsi" w:cstheme="majorBidi"/>
          <w:kern w:val="0"/>
          <w14:ligatures w14:val="none"/>
        </w:rPr>
        <w:t xml:space="preserve"> is very prominent as the location of the project is </w:t>
      </w:r>
      <w:r w:rsidR="0086460C">
        <w:rPr>
          <w:rFonts w:asciiTheme="majorHAnsi" w:eastAsiaTheme="majorEastAsia" w:hAnsiTheme="majorHAnsi" w:cstheme="majorBidi"/>
          <w:kern w:val="0"/>
          <w14:ligatures w14:val="none"/>
        </w:rPr>
        <w:t xml:space="preserve">situated outside of residential homes, near schools and on a main road that leads to commercial </w:t>
      </w:r>
      <w:r w:rsidR="000252F5">
        <w:rPr>
          <w:rFonts w:asciiTheme="majorHAnsi" w:eastAsiaTheme="majorEastAsia" w:hAnsiTheme="majorHAnsi" w:cstheme="majorBidi"/>
          <w:kern w:val="0"/>
          <w14:ligatures w14:val="none"/>
        </w:rPr>
        <w:t xml:space="preserve">area and shops ) </w:t>
      </w:r>
      <w:r w:rsidRPr="757636E9">
        <w:rPr>
          <w:rFonts w:asciiTheme="majorHAnsi" w:eastAsiaTheme="majorEastAsia" w:hAnsiTheme="majorHAnsi" w:cstheme="majorBidi"/>
          <w:kern w:val="0"/>
          <w14:ligatures w14:val="none"/>
        </w:rPr>
        <w:t>while the long-term benefits of the project may primarily support national economic development.</w:t>
      </w:r>
    </w:p>
    <w:p w14:paraId="132D4042"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4A06DFC5"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Through this analysis I have developed a stronger understanding of the importance of communication, negotiation and ethical decision-making in stakeholder management. These skills are highly relevant to future professional careers in business management and project management.</w:t>
      </w:r>
    </w:p>
    <w:p w14:paraId="04C36076"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565844D1"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Understanding stakeholder engagement also highlights the importance of inclusivity and transparency when managing complex projects. Organisations must ensure that stakeholder engagement processes are meaningful rather than simply procedural.</w:t>
      </w:r>
    </w:p>
    <w:p w14:paraId="1354D760"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38D7425C"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Reflecting on this learning experience has helped to improve my analytical skills and ability to apply theoretical concepts to real-world situations. These skills will be valuable for future academic work as well as professional environments where collaboration with multiple stakeholders is required.</w:t>
      </w:r>
    </w:p>
    <w:p w14:paraId="3972BE7F" w14:textId="2FE5F7E4" w:rsidR="2B152EEB" w:rsidRDefault="2B152EEB" w:rsidP="2B152EEB">
      <w:pPr>
        <w:spacing w:after="0" w:line="240" w:lineRule="auto"/>
        <w:rPr>
          <w:rFonts w:asciiTheme="majorHAnsi" w:eastAsiaTheme="majorEastAsia" w:hAnsiTheme="majorHAnsi" w:cstheme="majorBidi"/>
          <w:sz w:val="48"/>
          <w:szCs w:val="48"/>
        </w:rPr>
      </w:pPr>
    </w:p>
    <w:p w14:paraId="32CFA3B8" w14:textId="77777777" w:rsidR="00C3164D" w:rsidRPr="00C3164D" w:rsidRDefault="00C3164D" w:rsidP="10B1201D">
      <w:pPr>
        <w:spacing w:before="100" w:beforeAutospacing="1" w:after="0" w:afterAutospacing="1" w:line="240" w:lineRule="auto"/>
        <w:rPr>
          <w:rFonts w:asciiTheme="majorHAnsi" w:eastAsiaTheme="majorEastAsia" w:hAnsiTheme="majorHAnsi" w:cstheme="majorBidi"/>
          <w:kern w:val="36"/>
          <w:sz w:val="48"/>
          <w:szCs w:val="48"/>
          <w14:ligatures w14:val="none"/>
        </w:rPr>
      </w:pPr>
      <w:r w:rsidRPr="13A8950E">
        <w:rPr>
          <w:rFonts w:asciiTheme="majorHAnsi" w:eastAsiaTheme="majorEastAsia" w:hAnsiTheme="majorHAnsi" w:cstheme="majorBidi"/>
          <w:kern w:val="36"/>
          <w:sz w:val="48"/>
          <w:szCs w:val="48"/>
          <w14:ligatures w14:val="none"/>
        </w:rPr>
        <w:t>Conclusion</w:t>
      </w:r>
      <w:r w:rsidRPr="04281860">
        <w:rPr>
          <w:rFonts w:asciiTheme="majorHAnsi" w:eastAsiaTheme="majorEastAsia" w:hAnsiTheme="majorHAnsi" w:cstheme="majorBidi"/>
          <w:kern w:val="36"/>
          <w:sz w:val="48"/>
          <w:szCs w:val="48"/>
          <w14:ligatures w14:val="none"/>
        </w:rPr>
        <w:t xml:space="preserve"> and Recommendations</w:t>
      </w:r>
    </w:p>
    <w:p w14:paraId="62C8A062"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45BDC7F0"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The HS2 Washwood Heath depot project provides a valuable example of the complexities involved in stakeholder engagement within large infrastructure developments. The project involves a wide range of stakeholders including government organisations, construction companies, local authorities, community groups and residents.</w:t>
      </w:r>
    </w:p>
    <w:p w14:paraId="1CAC1117"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10185D1A"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Stakeholder analysis demonstrates that these groups have different levels of power, influence and interest in the project. Effective stakeholder engagement therefore requires organisations to develop communication strategies that address the needs and concerns of each stakeholder group.</w:t>
      </w:r>
    </w:p>
    <w:p w14:paraId="11B85556"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67AE8222"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Although the project is expected to generate significant economic benefits including job creation and improved transport infrastructure, it has also created challenges for local communities such as construction disruption and environmental concerns. These challenges highlight the importance of transparent communication and inclusive consultation processes.</w:t>
      </w:r>
    </w:p>
    <w:p w14:paraId="2CC32D8A"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56B6E325"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Ethical considerations such as fairness, transparency and sustainability are central to effective stakeholder management. Corporate Social Responsibility initiatives and community engagement programmes can help organisations address these concerns and strengthen relationships with affected stakeholders.</w:t>
      </w:r>
    </w:p>
    <w:p w14:paraId="4134DE61"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24440435"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To improve stakeholder engagement in similar projects, organisations should prioritise early consultation with communities, maintain transparent communication throughout the project lifecycle and ensure that environmental sustainability remains a key priority. Greater use of digital engagement platforms and community workshops may also improve participation from a wider range of stakeholders.</w:t>
      </w:r>
    </w:p>
    <w:p w14:paraId="60623E58"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2E4522D0" w14:textId="5498EBC2" w:rsidR="00C3164D" w:rsidRPr="00C3164D" w:rsidRDefault="00C3164D" w:rsidP="3730BCFF">
      <w:pPr>
        <w:spacing w:before="100" w:beforeAutospacing="1" w:after="100" w:afterAutospacing="1" w:line="240" w:lineRule="auto"/>
        <w:rPr>
          <w:rFonts w:asciiTheme="majorHAnsi" w:eastAsiaTheme="majorEastAsia" w:hAnsiTheme="majorHAnsi" w:cstheme="majorBidi"/>
          <w:sz w:val="48"/>
          <w:szCs w:val="48"/>
        </w:rPr>
      </w:pPr>
      <w:r w:rsidRPr="757636E9">
        <w:rPr>
          <w:rFonts w:asciiTheme="majorHAnsi" w:eastAsiaTheme="majorEastAsia" w:hAnsiTheme="majorHAnsi" w:cstheme="majorBidi"/>
          <w:kern w:val="0"/>
          <w14:ligatures w14:val="none"/>
        </w:rPr>
        <w:t>Overall, effective stakeholder engagement is essential for the long-term success and sustainability of large infrastructure projects. By recognising the importance of collaboration, transparency and ethical decision-making, organisations can improve project outcomes while maintaining positive relationships with the communities they serve.</w:t>
      </w:r>
      <w:r w:rsidR="00620ABD">
        <w:rPr>
          <w:rFonts w:asciiTheme="majorHAnsi" w:eastAsiaTheme="majorEastAsia" w:hAnsiTheme="majorHAnsi" w:cstheme="majorBidi"/>
          <w:kern w:val="0"/>
          <w14:ligatures w14:val="none"/>
        </w:rPr>
        <w:t xml:space="preserve"> As a stakeholder my self for this project, it’s crucial that the needs of the community is upheld in order for there to be </w:t>
      </w:r>
      <w:r w:rsidR="002A05F1">
        <w:rPr>
          <w:rFonts w:asciiTheme="majorHAnsi" w:eastAsiaTheme="majorEastAsia" w:hAnsiTheme="majorHAnsi" w:cstheme="majorBidi"/>
          <w:kern w:val="0"/>
          <w14:ligatures w14:val="none"/>
        </w:rPr>
        <w:t xml:space="preserve">a good and strong relationship between the two sides. </w:t>
      </w:r>
    </w:p>
    <w:p w14:paraId="28610683" w14:textId="143D9CE0" w:rsidR="00C3164D" w:rsidRPr="00C3164D" w:rsidRDefault="00C3164D" w:rsidP="3730BCFF">
      <w:pPr>
        <w:spacing w:before="100" w:beforeAutospacing="1" w:after="100" w:afterAutospacing="1" w:line="240" w:lineRule="auto"/>
        <w:rPr>
          <w:rFonts w:asciiTheme="majorHAnsi" w:eastAsiaTheme="majorEastAsia" w:hAnsiTheme="majorHAnsi" w:cstheme="majorBidi"/>
          <w:sz w:val="48"/>
          <w:szCs w:val="48"/>
        </w:rPr>
      </w:pPr>
    </w:p>
    <w:p w14:paraId="7930150A" w14:textId="77777777" w:rsidR="00C3164D" w:rsidRPr="00C3164D" w:rsidRDefault="00C3164D" w:rsidP="341D7F12">
      <w:pPr>
        <w:spacing w:before="100" w:beforeAutospacing="1" w:after="100" w:afterAutospacing="1" w:line="240" w:lineRule="auto"/>
        <w:rPr>
          <w:rFonts w:asciiTheme="majorHAnsi" w:eastAsiaTheme="majorEastAsia" w:hAnsiTheme="majorHAnsi" w:cstheme="majorBidi"/>
          <w:kern w:val="36"/>
          <w:sz w:val="48"/>
          <w:szCs w:val="48"/>
          <w14:ligatures w14:val="none"/>
        </w:rPr>
      </w:pPr>
      <w:r w:rsidRPr="04281860">
        <w:rPr>
          <w:rFonts w:asciiTheme="majorHAnsi" w:eastAsiaTheme="majorEastAsia" w:hAnsiTheme="majorHAnsi" w:cstheme="majorBidi"/>
          <w:kern w:val="36"/>
          <w:sz w:val="48"/>
          <w:szCs w:val="48"/>
          <w14:ligatures w14:val="none"/>
        </w:rPr>
        <w:t>Reference List (Harvard)</w:t>
      </w:r>
    </w:p>
    <w:p w14:paraId="44A40F9A"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64F7613B"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lastRenderedPageBreak/>
        <w:t xml:space="preserve">Bowen, F., </w:t>
      </w:r>
      <w:proofErr w:type="spellStart"/>
      <w:r w:rsidRPr="757636E9">
        <w:rPr>
          <w:rFonts w:asciiTheme="majorHAnsi" w:eastAsiaTheme="majorEastAsia" w:hAnsiTheme="majorHAnsi" w:cstheme="majorBidi"/>
          <w:kern w:val="0"/>
          <w14:ligatures w14:val="none"/>
        </w:rPr>
        <w:t>Newenham-Kahindi</w:t>
      </w:r>
      <w:proofErr w:type="spellEnd"/>
      <w:r w:rsidRPr="757636E9">
        <w:rPr>
          <w:rFonts w:asciiTheme="majorHAnsi" w:eastAsiaTheme="majorEastAsia" w:hAnsiTheme="majorHAnsi" w:cstheme="majorBidi"/>
          <w:kern w:val="0"/>
          <w14:ligatures w14:val="none"/>
        </w:rPr>
        <w:t>, A. and Herremans, I. (2010) ‘When suits meet roots: The antecedents and consequences of community engagement strategy’, Journal of Business Ethics, 95(2), pp. 297–318.</w:t>
      </w:r>
    </w:p>
    <w:p w14:paraId="015A0FEB"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77216B08"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Carroll, A. (2016) ‘Carroll’s pyramid of CSR: taking another look’, International Journal of Corporate Social Responsibility, 1(3), pp. 1–8.</w:t>
      </w:r>
    </w:p>
    <w:p w14:paraId="581408BE"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13A0498D"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Freeman, R.E. (1984) Strategic Management: A Stakeholder Approach. Boston: Pitman.</w:t>
      </w:r>
    </w:p>
    <w:p w14:paraId="0732689D"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33E3FFF7"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Gibbs, G. (1988) Learning by Doing: A Guide to Teaching and Learning Methods. Oxford: Oxford Polytechnic.</w:t>
      </w:r>
    </w:p>
    <w:p w14:paraId="4CDF71A9"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33182C73"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HS2 Ltd (2024) Community engagement and Washwood Heath development. Available at:</w:t>
      </w:r>
    </w:p>
    <w:p w14:paraId="416DF944"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https://mediacentre.hs2.org.uk</w:t>
      </w:r>
    </w:p>
    <w:p w14:paraId="3300761A"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33BF9977"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 xml:space="preserve">Moon, J. (1999) Reflection in Learning and Professional Development. London: </w:t>
      </w:r>
      <w:proofErr w:type="spellStart"/>
      <w:r w:rsidRPr="757636E9">
        <w:rPr>
          <w:rFonts w:asciiTheme="majorHAnsi" w:eastAsiaTheme="majorEastAsia" w:hAnsiTheme="majorHAnsi" w:cstheme="majorBidi"/>
          <w:kern w:val="0"/>
          <w14:ligatures w14:val="none"/>
        </w:rPr>
        <w:t>Routledge</w:t>
      </w:r>
      <w:proofErr w:type="spellEnd"/>
      <w:r w:rsidRPr="757636E9">
        <w:rPr>
          <w:rFonts w:asciiTheme="majorHAnsi" w:eastAsiaTheme="majorEastAsia" w:hAnsiTheme="majorHAnsi" w:cstheme="majorBidi"/>
          <w:kern w:val="0"/>
          <w14:ligatures w14:val="none"/>
        </w:rPr>
        <w:t>.</w:t>
      </w:r>
    </w:p>
    <w:p w14:paraId="586F31C9"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3CD5D7C4"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RailAdvent (2024) HS2 awards £75,000 grant to Birmingham community project. Available at:</w:t>
      </w:r>
    </w:p>
    <w:p w14:paraId="72C35BAF"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https://www.railadvent.co.uk/2024/02/hs2-awards-75000-grant-to-birmingham-project.html</w:t>
      </w:r>
    </w:p>
    <w:p w14:paraId="4BA12E7A"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p>
    <w:p w14:paraId="0180D95D" w14:textId="77777777" w:rsidR="00C3164D" w:rsidRPr="00C3164D" w:rsidRDefault="00C3164D" w:rsidP="00C3164D">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Royal Commission on Social Policy (1988) The April Report. Wellington: Royal Commission.</w:t>
      </w:r>
    </w:p>
    <w:p w14:paraId="471F6C7F" w14:textId="399F0E65" w:rsidR="00C3164D" w:rsidRPr="00C3164D" w:rsidRDefault="00C3164D" w:rsidP="00C3164D">
      <w:pPr>
        <w:spacing w:after="0" w:line="240" w:lineRule="auto"/>
        <w:rPr>
          <w:rFonts w:asciiTheme="majorHAnsi" w:eastAsiaTheme="majorEastAsia" w:hAnsiTheme="majorHAnsi" w:cstheme="majorBidi"/>
          <w:kern w:val="0"/>
          <w14:ligatures w14:val="none"/>
        </w:rPr>
      </w:pPr>
    </w:p>
    <w:p w14:paraId="58C436B2"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 xml:space="preserve">Bowen, F., </w:t>
      </w:r>
      <w:proofErr w:type="spellStart"/>
      <w:r w:rsidRPr="757636E9">
        <w:rPr>
          <w:rFonts w:asciiTheme="majorHAnsi" w:eastAsiaTheme="majorEastAsia" w:hAnsiTheme="majorHAnsi" w:cstheme="majorBidi"/>
          <w:kern w:val="0"/>
          <w14:ligatures w14:val="none"/>
        </w:rPr>
        <w:t>Newenham-Kahindi</w:t>
      </w:r>
      <w:proofErr w:type="spellEnd"/>
      <w:r w:rsidRPr="757636E9">
        <w:rPr>
          <w:rFonts w:asciiTheme="majorHAnsi" w:eastAsiaTheme="majorEastAsia" w:hAnsiTheme="majorHAnsi" w:cstheme="majorBidi"/>
          <w:kern w:val="0"/>
          <w14:ligatures w14:val="none"/>
        </w:rPr>
        <w:t>, A. and Herremans, I. (2010) ‘When suits meet roots: The antecedents and consequences of community engagement strategy’, Journal of Business Ethics, 95(2), pp. 297-318.</w:t>
      </w:r>
    </w:p>
    <w:p w14:paraId="7A732373"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2E23FC59"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Freeman, R.E. (1984) Strategic Management: A Stakeholder Approach. Boston: Pitman.</w:t>
      </w:r>
    </w:p>
    <w:p w14:paraId="3594A8B1"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23185748"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HS2 Ltd (2024) Community engagement and Washwood Heath development. Available at:</w:t>
      </w:r>
    </w:p>
    <w:p w14:paraId="77D93BD8"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 xml:space="preserve">https://mediacentre.hs2.org.uk/news/saheli-hub-project-becomes-third-recipient-of-hs2-community-funding-in-washwood-heath  </w:t>
      </w:r>
    </w:p>
    <w:p w14:paraId="63D9D3BD"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369CE6AF"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RailAdvent (2024) HS2 awards £75,000 grant to Birmingham community project. Available at:</w:t>
      </w:r>
    </w:p>
    <w:p w14:paraId="3C4A8611"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 xml:space="preserve">https://www.railadvent.co.uk/2024/02/hs2-awards-75000-grant-to-birmingham-project.html  </w:t>
      </w:r>
    </w:p>
    <w:p w14:paraId="12060063"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0B499103"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Greater Birmingham Chambers of Commerce (2023) HS2 partnership to engage young learners in design. Available at:</w:t>
      </w:r>
    </w:p>
    <w:p w14:paraId="204CD8AA"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 xml:space="preserve">https://www.greaterbirminghamchambers.com/resource/hs2-partnership-to-engage-young-learners-in-design.html  </w:t>
      </w:r>
    </w:p>
    <w:p w14:paraId="3F20AA8E"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633BD749"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Royal Commission on Social Policy (1988) The April Report. Wellington: Royal Commission.</w:t>
      </w:r>
    </w:p>
    <w:p w14:paraId="09BEF339"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7D85942A"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 xml:space="preserve">Moon, J. (1999) Reflection in Learning and Professional Development. London: </w:t>
      </w:r>
      <w:proofErr w:type="spellStart"/>
      <w:r w:rsidRPr="757636E9">
        <w:rPr>
          <w:rFonts w:asciiTheme="majorHAnsi" w:eastAsiaTheme="majorEastAsia" w:hAnsiTheme="majorHAnsi" w:cstheme="majorBidi"/>
          <w:kern w:val="0"/>
          <w14:ligatures w14:val="none"/>
        </w:rPr>
        <w:t>Routledge</w:t>
      </w:r>
      <w:proofErr w:type="spellEnd"/>
      <w:r w:rsidRPr="757636E9">
        <w:rPr>
          <w:rFonts w:asciiTheme="majorHAnsi" w:eastAsiaTheme="majorEastAsia" w:hAnsiTheme="majorHAnsi" w:cstheme="majorBidi"/>
          <w:kern w:val="0"/>
          <w14:ligatures w14:val="none"/>
        </w:rPr>
        <w:t>.</w:t>
      </w:r>
    </w:p>
    <w:p w14:paraId="089213E2" w14:textId="77777777" w:rsidR="00E401CB" w:rsidRP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p>
    <w:p w14:paraId="67118BE8" w14:textId="77777777" w:rsidR="00E401CB" w:rsidRDefault="00E401CB" w:rsidP="00E401CB">
      <w:pPr>
        <w:spacing w:before="100" w:beforeAutospacing="1" w:after="100" w:afterAutospacing="1" w:line="240" w:lineRule="auto"/>
        <w:rPr>
          <w:rFonts w:asciiTheme="majorHAnsi" w:eastAsiaTheme="majorEastAsia" w:hAnsiTheme="majorHAnsi" w:cstheme="majorBidi"/>
          <w:kern w:val="0"/>
          <w14:ligatures w14:val="none"/>
        </w:rPr>
      </w:pPr>
      <w:r w:rsidRPr="757636E9">
        <w:rPr>
          <w:rFonts w:asciiTheme="majorHAnsi" w:eastAsiaTheme="majorEastAsia" w:hAnsiTheme="majorHAnsi" w:cstheme="majorBidi"/>
          <w:kern w:val="0"/>
          <w14:ligatures w14:val="none"/>
        </w:rPr>
        <w:t>Gibbs, G. (1988) Learning by Doing: A Guide to Teaching and Learning Methods. Oxford: Oxford Polytechnic.</w:t>
      </w:r>
    </w:p>
    <w:p w14:paraId="37369C76" w14:textId="77777777" w:rsidR="00D55BC8" w:rsidRDefault="00D55BC8" w:rsidP="00E401CB">
      <w:pPr>
        <w:spacing w:before="100" w:beforeAutospacing="1" w:after="100" w:afterAutospacing="1" w:line="240" w:lineRule="auto"/>
        <w:rPr>
          <w:rFonts w:asciiTheme="majorHAnsi" w:eastAsiaTheme="majorEastAsia" w:hAnsiTheme="majorHAnsi" w:cstheme="majorBidi"/>
          <w:kern w:val="0"/>
          <w14:ligatures w14:val="none"/>
        </w:rPr>
      </w:pPr>
    </w:p>
    <w:p w14:paraId="0C07CDB7" w14:textId="77777777" w:rsidR="00D55BC8" w:rsidRPr="00D55BC8" w:rsidRDefault="00D55BC8" w:rsidP="00D55BC8">
      <w:pPr>
        <w:keepNext/>
        <w:tabs>
          <w:tab w:val="center" w:pos="1134"/>
        </w:tabs>
        <w:spacing w:after="60" w:line="240" w:lineRule="auto"/>
        <w:ind w:left="576" w:hanging="576"/>
        <w:outlineLvl w:val="1"/>
        <w:rPr>
          <w:rFonts w:ascii="Verdana" w:eastAsia="Times New Roman" w:hAnsi="Verdana" w:cs="Times New Roman"/>
          <w:b/>
          <w:i/>
          <w:color w:val="006600"/>
          <w:kern w:val="0"/>
          <w:sz w:val="32"/>
          <w:szCs w:val="20"/>
          <w:lang w:eastAsia="en-US"/>
          <w14:ligatures w14:val="none"/>
        </w:rPr>
      </w:pPr>
      <w:r w:rsidRPr="00D55BC8">
        <w:rPr>
          <w:rFonts w:ascii="Verdana" w:eastAsia="Times New Roman" w:hAnsi="Verdana" w:cs="Times New Roman"/>
          <w:b/>
          <w:i/>
          <w:color w:val="006600"/>
          <w:kern w:val="0"/>
          <w:sz w:val="32"/>
          <w:szCs w:val="20"/>
          <w:lang w:eastAsia="en-US"/>
          <w14:ligatures w14:val="none"/>
        </w:rPr>
        <w:t xml:space="preserve">CPD Record </w:t>
      </w:r>
    </w:p>
    <w:p w14:paraId="226BAF23" w14:textId="77777777" w:rsidR="00D55BC8" w:rsidRPr="00D55BC8" w:rsidRDefault="00D55BC8" w:rsidP="00D55BC8">
      <w:pPr>
        <w:spacing w:after="60" w:line="240" w:lineRule="auto"/>
        <w:rPr>
          <w:rFonts w:ascii="Tahoma" w:eastAsia="Calibri" w:hAnsi="Tahoma" w:cs="Times New Roman"/>
          <w:kern w:val="0"/>
          <w:szCs w:val="22"/>
          <w:lang w:eastAsia="en-US"/>
          <w14:ligatures w14:val="none"/>
        </w:rPr>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24"/>
        <w:gridCol w:w="5078"/>
        <w:gridCol w:w="4532"/>
      </w:tblGrid>
      <w:tr w:rsidR="00D55BC8" w:rsidRPr="00D55BC8" w14:paraId="210FD834" w14:textId="77777777" w:rsidTr="00DB64E1">
        <w:trPr>
          <w:trHeight w:val="819"/>
        </w:trPr>
        <w:tc>
          <w:tcPr>
            <w:tcW w:w="4424" w:type="dxa"/>
          </w:tcPr>
          <w:p w14:paraId="182A9A66" w14:textId="3AC2098D" w:rsidR="00D55BC8" w:rsidRPr="00D55BC8" w:rsidRDefault="00D55BC8" w:rsidP="00D55BC8">
            <w:pPr>
              <w:spacing w:after="60" w:line="240" w:lineRule="auto"/>
              <w:rPr>
                <w:rFonts w:ascii="Tahoma" w:eastAsia="Calibri" w:hAnsi="Tahoma" w:cs="Times New Roman"/>
                <w:b/>
                <w:kern w:val="0"/>
                <w:szCs w:val="22"/>
                <w:lang w:eastAsia="en-US"/>
                <w14:ligatures w14:val="none"/>
              </w:rPr>
            </w:pPr>
            <w:r w:rsidRPr="00D55BC8">
              <w:rPr>
                <w:rFonts w:ascii="Tahoma" w:eastAsia="Calibri" w:hAnsi="Tahoma" w:cs="Times New Roman"/>
                <w:b/>
                <w:kern w:val="0"/>
                <w:szCs w:val="22"/>
                <w:lang w:eastAsia="en-US"/>
                <w14:ligatures w14:val="none"/>
              </w:rPr>
              <w:t xml:space="preserve">Name: </w:t>
            </w:r>
            <w:r w:rsidR="00131140">
              <w:rPr>
                <w:rFonts w:ascii="Tahoma" w:eastAsia="Calibri" w:hAnsi="Tahoma" w:cs="Times New Roman"/>
                <w:b/>
                <w:kern w:val="0"/>
                <w:szCs w:val="22"/>
                <w:lang w:eastAsia="en-US"/>
                <w14:ligatures w14:val="none"/>
              </w:rPr>
              <w:t xml:space="preserve">huda </w:t>
            </w:r>
            <w:r w:rsidR="00FF3386">
              <w:rPr>
                <w:rFonts w:ascii="Tahoma" w:eastAsia="Calibri" w:hAnsi="Tahoma" w:cs="Times New Roman"/>
                <w:b/>
                <w:kern w:val="0"/>
                <w:szCs w:val="22"/>
                <w:lang w:eastAsia="en-US"/>
                <w14:ligatures w14:val="none"/>
              </w:rPr>
              <w:t xml:space="preserve">ibrahim </w:t>
            </w:r>
          </w:p>
        </w:tc>
        <w:tc>
          <w:tcPr>
            <w:tcW w:w="5078" w:type="dxa"/>
          </w:tcPr>
          <w:p w14:paraId="3571F5E0" w14:textId="77777777" w:rsidR="00D55BC8" w:rsidRPr="00D55BC8" w:rsidRDefault="00D55BC8" w:rsidP="00D55BC8">
            <w:pPr>
              <w:spacing w:after="60" w:line="240" w:lineRule="auto"/>
              <w:rPr>
                <w:rFonts w:ascii="Constantia" w:eastAsia="Calibri" w:hAnsi="Constantia" w:cs="Times New Roman"/>
                <w:i/>
                <w:kern w:val="0"/>
                <w:szCs w:val="22"/>
                <w:lang w:eastAsia="en-US"/>
                <w14:ligatures w14:val="none"/>
              </w:rPr>
            </w:pPr>
            <w:r w:rsidRPr="00D55BC8">
              <w:rPr>
                <w:rFonts w:ascii="Constantia" w:eastAsia="Calibri" w:hAnsi="Constantia" w:cs="Times New Roman"/>
                <w:i/>
                <w:kern w:val="0"/>
                <w:szCs w:val="22"/>
                <w:lang w:eastAsia="en-US"/>
                <w14:ligatures w14:val="none"/>
              </w:rPr>
              <w:t>LCBB4013 – Stakeholder Engagement reflection log</w:t>
            </w:r>
          </w:p>
        </w:tc>
        <w:tc>
          <w:tcPr>
            <w:tcW w:w="4532" w:type="dxa"/>
          </w:tcPr>
          <w:p w14:paraId="6FF25C67" w14:textId="77777777" w:rsidR="00D55BC8" w:rsidRPr="00D55BC8" w:rsidRDefault="00D55BC8" w:rsidP="00D55BC8">
            <w:pPr>
              <w:spacing w:after="60" w:line="240" w:lineRule="auto"/>
              <w:rPr>
                <w:rFonts w:ascii="Tahoma" w:eastAsia="Calibri" w:hAnsi="Tahoma" w:cs="Times New Roman"/>
                <w:b/>
                <w:kern w:val="0"/>
                <w:szCs w:val="22"/>
                <w:lang w:eastAsia="en-US"/>
                <w14:ligatures w14:val="none"/>
              </w:rPr>
            </w:pPr>
            <w:r w:rsidRPr="00D55BC8">
              <w:rPr>
                <w:rFonts w:ascii="Tahoma" w:eastAsia="Calibri" w:hAnsi="Tahoma" w:cs="Times New Roman"/>
                <w:b/>
                <w:kern w:val="0"/>
                <w:szCs w:val="22"/>
                <w:lang w:eastAsia="en-US"/>
                <w14:ligatures w14:val="none"/>
              </w:rPr>
              <w:t>Covering the period from:</w:t>
            </w:r>
          </w:p>
          <w:p w14:paraId="3FCFC6F1" w14:textId="77777777" w:rsidR="00D55BC8" w:rsidRPr="00D55BC8" w:rsidRDefault="00D55BC8" w:rsidP="00D55BC8">
            <w:pPr>
              <w:spacing w:after="60" w:line="240" w:lineRule="auto"/>
              <w:rPr>
                <w:rFonts w:ascii="Tahoma" w:eastAsia="Calibri" w:hAnsi="Tahoma" w:cs="Times New Roman"/>
                <w:kern w:val="0"/>
                <w:szCs w:val="22"/>
                <w:lang w:eastAsia="en-US"/>
                <w14:ligatures w14:val="none"/>
              </w:rPr>
            </w:pPr>
            <w:r w:rsidRPr="00D55BC8">
              <w:rPr>
                <w:rFonts w:ascii="Tahoma" w:eastAsia="Calibri" w:hAnsi="Tahoma" w:cs="Times New Roman"/>
                <w:b/>
                <w:kern w:val="0"/>
                <w:szCs w:val="22"/>
                <w:lang w:eastAsia="en-US"/>
                <w14:ligatures w14:val="none"/>
              </w:rPr>
              <w:t xml:space="preserve">To: </w:t>
            </w:r>
            <w:r w:rsidRPr="00D55BC8">
              <w:rPr>
                <w:rFonts w:ascii="Tahoma" w:eastAsia="Calibri" w:hAnsi="Tahoma" w:cs="Times New Roman"/>
                <w:bCs/>
                <w:kern w:val="0"/>
                <w:szCs w:val="22"/>
                <w:lang w:eastAsia="en-US"/>
                <w14:ligatures w14:val="none"/>
              </w:rPr>
              <w:t>January 2026 to March 2026</w:t>
            </w:r>
            <w:r w:rsidRPr="00D55BC8">
              <w:rPr>
                <w:rFonts w:ascii="Tahoma" w:eastAsia="Calibri" w:hAnsi="Tahoma" w:cs="Times New Roman"/>
                <w:b/>
                <w:kern w:val="0"/>
                <w:szCs w:val="22"/>
                <w:lang w:eastAsia="en-US"/>
                <w14:ligatures w14:val="none"/>
              </w:rPr>
              <w:t xml:space="preserve"> </w:t>
            </w:r>
          </w:p>
        </w:tc>
      </w:tr>
    </w:tbl>
    <w:p w14:paraId="77E615C2" w14:textId="77777777" w:rsidR="00D55BC8" w:rsidRPr="00D55BC8" w:rsidRDefault="00D55BC8" w:rsidP="00D55BC8">
      <w:pPr>
        <w:spacing w:after="60" w:line="240" w:lineRule="auto"/>
        <w:rPr>
          <w:rFonts w:ascii="Verdana" w:eastAsia="Calibri" w:hAnsi="Verdana" w:cs="Times New Roman"/>
          <w:kern w:val="0"/>
          <w:sz w:val="20"/>
          <w:szCs w:val="22"/>
          <w:lang w:eastAsia="en-US"/>
          <w14:ligatures w14:val="none"/>
        </w:rPr>
      </w:pPr>
    </w:p>
    <w:tbl>
      <w:tblPr>
        <w:tblW w:w="1406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67"/>
        <w:gridCol w:w="2372"/>
        <w:gridCol w:w="3744"/>
        <w:gridCol w:w="3269"/>
        <w:gridCol w:w="3511"/>
      </w:tblGrid>
      <w:tr w:rsidR="00D55BC8" w:rsidRPr="00D55BC8" w14:paraId="06E2AECF" w14:textId="77777777" w:rsidTr="00DB64E1">
        <w:trPr>
          <w:trHeight w:val="578"/>
        </w:trPr>
        <w:tc>
          <w:tcPr>
            <w:tcW w:w="1167" w:type="dxa"/>
            <w:tcBorders>
              <w:bottom w:val="single" w:sz="4" w:space="0" w:color="auto"/>
            </w:tcBorders>
          </w:tcPr>
          <w:p w14:paraId="50DDAFA2" w14:textId="77777777" w:rsidR="00D55BC8" w:rsidRPr="00D55BC8" w:rsidRDefault="00D55BC8" w:rsidP="00D55BC8">
            <w:pPr>
              <w:tabs>
                <w:tab w:val="center" w:pos="719"/>
              </w:tabs>
              <w:spacing w:after="60" w:line="240" w:lineRule="auto"/>
              <w:rPr>
                <w:rFonts w:ascii="Verdana" w:eastAsia="Calibri" w:hAnsi="Verdana" w:cs="Times New Roman"/>
                <w:b/>
                <w:kern w:val="0"/>
                <w:sz w:val="18"/>
                <w:szCs w:val="18"/>
                <w:lang w:eastAsia="en-US"/>
                <w14:ligatures w14:val="none"/>
              </w:rPr>
            </w:pPr>
            <w:r w:rsidRPr="00D55BC8">
              <w:rPr>
                <w:rFonts w:ascii="Verdana" w:eastAsia="Calibri" w:hAnsi="Verdana" w:cs="Times New Roman"/>
                <w:b/>
                <w:kern w:val="0"/>
                <w:sz w:val="18"/>
                <w:szCs w:val="18"/>
                <w:lang w:eastAsia="en-US"/>
                <w14:ligatures w14:val="none"/>
              </w:rPr>
              <w:t>Date of lesson</w:t>
            </w:r>
          </w:p>
        </w:tc>
        <w:tc>
          <w:tcPr>
            <w:tcW w:w="2372" w:type="dxa"/>
            <w:tcBorders>
              <w:bottom w:val="single" w:sz="4" w:space="0" w:color="auto"/>
            </w:tcBorders>
          </w:tcPr>
          <w:p w14:paraId="63A7B2F0" w14:textId="77777777" w:rsidR="00D55BC8" w:rsidRPr="00D55BC8" w:rsidRDefault="00D55BC8" w:rsidP="00D55BC8">
            <w:pPr>
              <w:spacing w:after="60" w:line="240" w:lineRule="auto"/>
              <w:jc w:val="center"/>
              <w:rPr>
                <w:rFonts w:ascii="Verdana" w:eastAsia="Calibri" w:hAnsi="Verdana" w:cs="Times New Roman"/>
                <w:b/>
                <w:kern w:val="0"/>
                <w:sz w:val="18"/>
                <w:szCs w:val="18"/>
                <w:lang w:eastAsia="en-US"/>
                <w14:ligatures w14:val="none"/>
              </w:rPr>
            </w:pPr>
            <w:r w:rsidRPr="00D55BC8">
              <w:rPr>
                <w:rFonts w:ascii="Verdana" w:eastAsia="Calibri" w:hAnsi="Verdana" w:cs="Times New Roman"/>
                <w:b/>
                <w:kern w:val="0"/>
                <w:sz w:val="18"/>
                <w:szCs w:val="18"/>
                <w:lang w:eastAsia="en-US"/>
                <w14:ligatures w14:val="none"/>
              </w:rPr>
              <w:t>What did you do in the lesson?</w:t>
            </w:r>
          </w:p>
        </w:tc>
        <w:tc>
          <w:tcPr>
            <w:tcW w:w="3744" w:type="dxa"/>
            <w:tcBorders>
              <w:bottom w:val="single" w:sz="4" w:space="0" w:color="auto"/>
            </w:tcBorders>
          </w:tcPr>
          <w:p w14:paraId="3388A044" w14:textId="77777777" w:rsidR="00D55BC8" w:rsidRPr="00D55BC8" w:rsidRDefault="00D55BC8" w:rsidP="00D55BC8">
            <w:pPr>
              <w:spacing w:after="60" w:line="240" w:lineRule="auto"/>
              <w:jc w:val="center"/>
              <w:rPr>
                <w:rFonts w:ascii="Verdana" w:eastAsia="Calibri" w:hAnsi="Verdana" w:cs="Times New Roman"/>
                <w:b/>
                <w:kern w:val="0"/>
                <w:sz w:val="18"/>
                <w:szCs w:val="18"/>
                <w:lang w:eastAsia="en-US"/>
                <w14:ligatures w14:val="none"/>
              </w:rPr>
            </w:pPr>
            <w:r w:rsidRPr="00D55BC8">
              <w:rPr>
                <w:rFonts w:ascii="Verdana" w:eastAsia="Calibri" w:hAnsi="Verdana" w:cs="Times New Roman"/>
                <w:b/>
                <w:kern w:val="0"/>
                <w:sz w:val="18"/>
                <w:szCs w:val="18"/>
                <w:lang w:eastAsia="en-US"/>
                <w14:ligatures w14:val="none"/>
              </w:rPr>
              <w:t>What did you learn from this?</w:t>
            </w:r>
          </w:p>
        </w:tc>
        <w:tc>
          <w:tcPr>
            <w:tcW w:w="3269" w:type="dxa"/>
            <w:tcBorders>
              <w:bottom w:val="single" w:sz="4" w:space="0" w:color="auto"/>
            </w:tcBorders>
          </w:tcPr>
          <w:p w14:paraId="1B792CF1" w14:textId="77777777" w:rsidR="00D55BC8" w:rsidRPr="00D55BC8" w:rsidRDefault="00D55BC8" w:rsidP="00D55BC8">
            <w:pPr>
              <w:spacing w:after="60" w:line="240" w:lineRule="auto"/>
              <w:jc w:val="center"/>
              <w:rPr>
                <w:rFonts w:ascii="Verdana" w:eastAsia="Calibri" w:hAnsi="Verdana" w:cs="Times New Roman"/>
                <w:b/>
                <w:kern w:val="0"/>
                <w:sz w:val="18"/>
                <w:szCs w:val="18"/>
                <w:lang w:eastAsia="en-US"/>
                <w14:ligatures w14:val="none"/>
              </w:rPr>
            </w:pPr>
            <w:r w:rsidRPr="00D55BC8">
              <w:rPr>
                <w:rFonts w:ascii="Verdana" w:eastAsia="Calibri" w:hAnsi="Verdana" w:cs="Times New Roman"/>
                <w:b/>
                <w:kern w:val="0"/>
                <w:sz w:val="18"/>
                <w:szCs w:val="18"/>
                <w:lang w:eastAsia="en-US"/>
                <w14:ligatures w14:val="none"/>
              </w:rPr>
              <w:t>How will you use this in future?</w:t>
            </w:r>
          </w:p>
          <w:p w14:paraId="12BDE408" w14:textId="77777777" w:rsidR="00D55BC8" w:rsidRPr="00D55BC8" w:rsidRDefault="00D55BC8" w:rsidP="00D55BC8">
            <w:pPr>
              <w:spacing w:after="60" w:line="240" w:lineRule="auto"/>
              <w:rPr>
                <w:rFonts w:ascii="Verdana" w:eastAsia="Calibri" w:hAnsi="Verdana" w:cs="Times New Roman"/>
                <w:b/>
                <w:kern w:val="0"/>
                <w:sz w:val="18"/>
                <w:szCs w:val="18"/>
                <w:lang w:eastAsia="en-US"/>
                <w14:ligatures w14:val="none"/>
              </w:rPr>
            </w:pPr>
          </w:p>
        </w:tc>
        <w:tc>
          <w:tcPr>
            <w:tcW w:w="3511" w:type="dxa"/>
            <w:tcBorders>
              <w:bottom w:val="single" w:sz="4" w:space="0" w:color="auto"/>
            </w:tcBorders>
          </w:tcPr>
          <w:p w14:paraId="19E1CF84" w14:textId="77777777" w:rsidR="00D55BC8" w:rsidRPr="00D55BC8" w:rsidRDefault="00D55BC8" w:rsidP="00D55BC8">
            <w:pPr>
              <w:spacing w:after="60" w:line="240" w:lineRule="auto"/>
              <w:jc w:val="center"/>
              <w:rPr>
                <w:rFonts w:ascii="Verdana" w:eastAsia="Calibri" w:hAnsi="Verdana" w:cs="Times New Roman"/>
                <w:b/>
                <w:kern w:val="0"/>
                <w:sz w:val="18"/>
                <w:szCs w:val="18"/>
                <w:lang w:eastAsia="en-US"/>
                <w14:ligatures w14:val="none"/>
              </w:rPr>
            </w:pPr>
            <w:r w:rsidRPr="00D55BC8">
              <w:rPr>
                <w:rFonts w:ascii="Verdana" w:eastAsia="Calibri" w:hAnsi="Verdana" w:cs="Times New Roman"/>
                <w:b/>
                <w:kern w:val="0"/>
                <w:sz w:val="18"/>
                <w:szCs w:val="18"/>
                <w:lang w:eastAsia="en-US"/>
                <w14:ligatures w14:val="none"/>
              </w:rPr>
              <w:t>What actions (outside of lesson) will you take to improve this skill/knowledge further?</w:t>
            </w:r>
          </w:p>
        </w:tc>
      </w:tr>
      <w:tr w:rsidR="00D55BC8" w:rsidRPr="00D55BC8" w14:paraId="75D5C497" w14:textId="77777777" w:rsidTr="00DB64E1">
        <w:trPr>
          <w:trHeight w:val="1757"/>
        </w:trPr>
        <w:tc>
          <w:tcPr>
            <w:tcW w:w="1167" w:type="dxa"/>
            <w:tcBorders>
              <w:top w:val="single" w:sz="4" w:space="0" w:color="auto"/>
              <w:left w:val="single" w:sz="4" w:space="0" w:color="auto"/>
              <w:bottom w:val="single" w:sz="4" w:space="0" w:color="auto"/>
              <w:right w:val="single" w:sz="4" w:space="0" w:color="auto"/>
            </w:tcBorders>
            <w:shd w:val="clear" w:color="auto" w:fill="D9D9D9"/>
          </w:tcPr>
          <w:p w14:paraId="4158E2FD" w14:textId="77777777" w:rsidR="00D55BC8" w:rsidRPr="00D55BC8" w:rsidRDefault="00D55BC8" w:rsidP="00D55BC8">
            <w:pPr>
              <w:spacing w:after="60" w:line="240" w:lineRule="auto"/>
              <w:rPr>
                <w:rFonts w:ascii="Constantia" w:eastAsia="Calibri" w:hAnsi="Constantia" w:cs="Times New Roman"/>
                <w:i/>
                <w:kern w:val="0"/>
                <w:sz w:val="20"/>
                <w:szCs w:val="22"/>
                <w:lang w:eastAsia="en-US"/>
                <w14:ligatures w14:val="none"/>
              </w:rPr>
            </w:pPr>
            <w:r w:rsidRPr="00D55BC8">
              <w:rPr>
                <w:rFonts w:ascii="Constantia" w:eastAsia="Calibri" w:hAnsi="Constantia" w:cs="Times New Roman"/>
                <w:i/>
                <w:kern w:val="0"/>
                <w:sz w:val="20"/>
                <w:szCs w:val="22"/>
                <w:lang w:eastAsia="en-US"/>
                <w14:ligatures w14:val="none"/>
              </w:rPr>
              <w:lastRenderedPageBreak/>
              <w:t xml:space="preserve"> </w:t>
            </w:r>
          </w:p>
        </w:tc>
        <w:tc>
          <w:tcPr>
            <w:tcW w:w="2372" w:type="dxa"/>
            <w:tcBorders>
              <w:top w:val="single" w:sz="4" w:space="0" w:color="auto"/>
              <w:left w:val="single" w:sz="4" w:space="0" w:color="auto"/>
              <w:bottom w:val="single" w:sz="4" w:space="0" w:color="auto"/>
              <w:right w:val="single" w:sz="4" w:space="0" w:color="auto"/>
            </w:tcBorders>
            <w:shd w:val="clear" w:color="auto" w:fill="D9D9D9"/>
          </w:tcPr>
          <w:p w14:paraId="0A08C8B3" w14:textId="77777777" w:rsidR="00D55BC8" w:rsidRPr="00D55BC8" w:rsidRDefault="00D55BC8" w:rsidP="00D55BC8">
            <w:pPr>
              <w:spacing w:after="60" w:line="240" w:lineRule="auto"/>
              <w:rPr>
                <w:rFonts w:ascii="Constantia" w:eastAsia="Calibri" w:hAnsi="Constantia" w:cs="Times New Roman"/>
                <w:i/>
                <w:kern w:val="0"/>
                <w:sz w:val="20"/>
                <w:szCs w:val="22"/>
                <w:lang w:eastAsia="en-US"/>
                <w14:ligatures w14:val="none"/>
              </w:rPr>
            </w:pPr>
            <w:r w:rsidRPr="00D55BC8">
              <w:rPr>
                <w:rFonts w:ascii="Constantia" w:eastAsia="Calibri" w:hAnsi="Constantia" w:cs="Times New Roman"/>
                <w:i/>
                <w:kern w:val="0"/>
                <w:sz w:val="20"/>
                <w:szCs w:val="22"/>
                <w:lang w:eastAsia="en-US"/>
                <w14:ligatures w14:val="none"/>
              </w:rPr>
              <w:t xml:space="preserve"> </w:t>
            </w:r>
            <w:r w:rsidRPr="00D55BC8">
              <w:rPr>
                <w:rFonts w:ascii="Constantia" w:eastAsia="Calibri" w:hAnsi="Constantia" w:cs="Futura BT"/>
                <w:i/>
                <w:color w:val="000000"/>
                <w:kern w:val="0"/>
                <w:sz w:val="20"/>
                <w:szCs w:val="22"/>
                <w:lang w:eastAsia="en-US"/>
                <w14:ligatures w14:val="none"/>
              </w:rPr>
              <w:t xml:space="preserve">Discussed the Eisenhower box (Important/Not – Urgent/Not) to prioritise different tasks. Applied this to my own example. </w:t>
            </w:r>
          </w:p>
        </w:tc>
        <w:tc>
          <w:tcPr>
            <w:tcW w:w="3744" w:type="dxa"/>
            <w:tcBorders>
              <w:top w:val="single" w:sz="4" w:space="0" w:color="auto"/>
              <w:left w:val="single" w:sz="4" w:space="0" w:color="auto"/>
              <w:bottom w:val="single" w:sz="4" w:space="0" w:color="auto"/>
              <w:right w:val="single" w:sz="4" w:space="0" w:color="auto"/>
            </w:tcBorders>
            <w:shd w:val="clear" w:color="auto" w:fill="D9D9D9"/>
          </w:tcPr>
          <w:p w14:paraId="0E0824C4" w14:textId="77777777" w:rsidR="00D55BC8" w:rsidRPr="00D55BC8" w:rsidRDefault="00D55BC8" w:rsidP="00D55BC8">
            <w:pPr>
              <w:autoSpaceDE w:val="0"/>
              <w:autoSpaceDN w:val="0"/>
              <w:adjustRightInd w:val="0"/>
              <w:spacing w:after="60" w:line="241" w:lineRule="atLeast"/>
              <w:rPr>
                <w:rFonts w:ascii="Constantia" w:eastAsia="Calibri" w:hAnsi="Constantia" w:cs="Times New Roman"/>
                <w:i/>
                <w:kern w:val="0"/>
                <w:sz w:val="20"/>
                <w:szCs w:val="22"/>
                <w14:ligatures w14:val="none"/>
              </w:rPr>
            </w:pPr>
            <w:r w:rsidRPr="00D55BC8">
              <w:rPr>
                <w:rFonts w:ascii="Constantia" w:eastAsia="Calibri" w:hAnsi="Constantia" w:cs="Times New Roman"/>
                <w:i/>
                <w:kern w:val="0"/>
                <w:sz w:val="20"/>
                <w:szCs w:val="22"/>
                <w14:ligatures w14:val="none"/>
              </w:rPr>
              <w:t xml:space="preserve"> </w:t>
            </w:r>
            <w:r w:rsidRPr="00D55BC8">
              <w:rPr>
                <w:rFonts w:ascii="Constantia" w:eastAsia="Calibri" w:hAnsi="Constantia" w:cs="Futura BT"/>
                <w:i/>
                <w:color w:val="000000"/>
                <w:kern w:val="0"/>
                <w:sz w:val="20"/>
                <w:szCs w:val="22"/>
                <w14:ligatures w14:val="none"/>
              </w:rPr>
              <w:t>I learned that not all tasks have the same priority and thought about what I usually do first. I have learned that it helps to organise my tasks in priority-urgency order to ensure I do most urgent and important things first.</w:t>
            </w:r>
          </w:p>
        </w:tc>
        <w:tc>
          <w:tcPr>
            <w:tcW w:w="3269" w:type="dxa"/>
            <w:tcBorders>
              <w:top w:val="single" w:sz="4" w:space="0" w:color="auto"/>
              <w:left w:val="single" w:sz="4" w:space="0" w:color="auto"/>
              <w:bottom w:val="single" w:sz="4" w:space="0" w:color="auto"/>
              <w:right w:val="single" w:sz="4" w:space="0" w:color="auto"/>
            </w:tcBorders>
            <w:shd w:val="clear" w:color="auto" w:fill="D9D9D9"/>
          </w:tcPr>
          <w:p w14:paraId="69772D58" w14:textId="77777777" w:rsidR="00D55BC8" w:rsidRPr="00D55BC8" w:rsidRDefault="00D55BC8" w:rsidP="00D55BC8">
            <w:pPr>
              <w:autoSpaceDE w:val="0"/>
              <w:autoSpaceDN w:val="0"/>
              <w:adjustRightInd w:val="0"/>
              <w:spacing w:after="60" w:line="241" w:lineRule="atLeast"/>
              <w:rPr>
                <w:rFonts w:ascii="Constantia" w:eastAsia="Calibri" w:hAnsi="Constantia" w:cs="Times New Roman"/>
                <w:i/>
                <w:kern w:val="0"/>
                <w:sz w:val="20"/>
                <w:szCs w:val="22"/>
                <w14:ligatures w14:val="none"/>
              </w:rPr>
            </w:pPr>
            <w:r w:rsidRPr="00D55BC8">
              <w:rPr>
                <w:rFonts w:ascii="Constantia" w:eastAsia="Calibri" w:hAnsi="Constantia" w:cs="Times New Roman"/>
                <w:i/>
                <w:kern w:val="0"/>
                <w:sz w:val="20"/>
                <w:szCs w:val="22"/>
                <w14:ligatures w14:val="none"/>
              </w:rPr>
              <w:t xml:space="preserve"> </w:t>
            </w:r>
            <w:r w:rsidRPr="00D55BC8">
              <w:rPr>
                <w:rFonts w:ascii="Constantia" w:eastAsia="Calibri" w:hAnsi="Constantia" w:cs="Futura BT"/>
                <w:i/>
                <w:color w:val="000000"/>
                <w:kern w:val="0"/>
                <w:sz w:val="20"/>
                <w:szCs w:val="22"/>
                <w14:ligatures w14:val="none"/>
              </w:rPr>
              <w:t>I will move tasks on my calendar to ensure that tasks with priority get the first pick. If I manage a project in the future this skill can help me be more organised.</w:t>
            </w:r>
          </w:p>
        </w:tc>
        <w:tc>
          <w:tcPr>
            <w:tcW w:w="3511" w:type="dxa"/>
            <w:tcBorders>
              <w:top w:val="single" w:sz="4" w:space="0" w:color="auto"/>
              <w:left w:val="single" w:sz="4" w:space="0" w:color="auto"/>
              <w:bottom w:val="single" w:sz="4" w:space="0" w:color="auto"/>
              <w:right w:val="single" w:sz="4" w:space="0" w:color="auto"/>
            </w:tcBorders>
            <w:shd w:val="clear" w:color="auto" w:fill="D9D9D9"/>
          </w:tcPr>
          <w:p w14:paraId="1C138760" w14:textId="77777777" w:rsidR="00D55BC8" w:rsidRPr="00D55BC8" w:rsidRDefault="00D55BC8" w:rsidP="00D55BC8">
            <w:pPr>
              <w:autoSpaceDE w:val="0"/>
              <w:autoSpaceDN w:val="0"/>
              <w:adjustRightInd w:val="0"/>
              <w:spacing w:after="60" w:line="241" w:lineRule="atLeast"/>
              <w:rPr>
                <w:rFonts w:ascii="Constantia" w:eastAsia="Calibri" w:hAnsi="Constantia" w:cs="Times New Roman"/>
                <w:i/>
                <w:kern w:val="0"/>
                <w:sz w:val="20"/>
                <w:szCs w:val="22"/>
                <w14:ligatures w14:val="none"/>
              </w:rPr>
            </w:pPr>
            <w:r w:rsidRPr="00D55BC8">
              <w:rPr>
                <w:rFonts w:ascii="Constantia" w:eastAsia="Calibri" w:hAnsi="Constantia" w:cs="Times New Roman"/>
                <w:i/>
                <w:kern w:val="0"/>
                <w:sz w:val="20"/>
                <w:szCs w:val="22"/>
                <w14:ligatures w14:val="none"/>
              </w:rPr>
              <w:t>In the next week I will watch 3 more YouTube videos on time management.</w:t>
            </w:r>
          </w:p>
          <w:p w14:paraId="343D31C3" w14:textId="77777777" w:rsidR="00D55BC8" w:rsidRPr="00D55BC8" w:rsidRDefault="00D55BC8" w:rsidP="00D55BC8">
            <w:pPr>
              <w:autoSpaceDE w:val="0"/>
              <w:autoSpaceDN w:val="0"/>
              <w:adjustRightInd w:val="0"/>
              <w:spacing w:after="60" w:line="241" w:lineRule="atLeast"/>
              <w:rPr>
                <w:rFonts w:ascii="Constantia" w:eastAsia="Calibri" w:hAnsi="Constantia" w:cs="Times New Roman"/>
                <w:i/>
                <w:kern w:val="0"/>
                <w:sz w:val="20"/>
                <w:szCs w:val="22"/>
                <w14:ligatures w14:val="none"/>
              </w:rPr>
            </w:pPr>
          </w:p>
          <w:p w14:paraId="2AAACF0C" w14:textId="77777777" w:rsidR="00D55BC8" w:rsidRPr="00D55BC8" w:rsidRDefault="00D55BC8" w:rsidP="00D55BC8">
            <w:pPr>
              <w:autoSpaceDE w:val="0"/>
              <w:autoSpaceDN w:val="0"/>
              <w:adjustRightInd w:val="0"/>
              <w:spacing w:after="60" w:line="241" w:lineRule="atLeast"/>
              <w:rPr>
                <w:rFonts w:ascii="Futura BT" w:eastAsia="Calibri" w:hAnsi="Futura BT" w:cs="Times New Roman"/>
                <w:kern w:val="0"/>
                <w14:ligatures w14:val="none"/>
              </w:rPr>
            </w:pPr>
            <w:r w:rsidRPr="00D55BC8">
              <w:rPr>
                <w:rFonts w:ascii="Constantia" w:eastAsia="Calibri" w:hAnsi="Constantia" w:cs="Times New Roman"/>
                <w:i/>
                <w:kern w:val="0"/>
                <w:sz w:val="20"/>
                <w:szCs w:val="22"/>
                <w14:ligatures w14:val="none"/>
              </w:rPr>
              <w:t>I will keep a record of my actions until next lesson to see if I did them in priority order.</w:t>
            </w:r>
          </w:p>
        </w:tc>
      </w:tr>
      <w:tr w:rsidR="00D55BC8" w:rsidRPr="00D55BC8" w14:paraId="1603F2D0" w14:textId="77777777" w:rsidTr="00DB64E1">
        <w:trPr>
          <w:trHeight w:val="481"/>
        </w:trPr>
        <w:tc>
          <w:tcPr>
            <w:tcW w:w="1167" w:type="dxa"/>
            <w:tcBorders>
              <w:top w:val="single" w:sz="4" w:space="0" w:color="auto"/>
              <w:left w:val="single" w:sz="4" w:space="0" w:color="auto"/>
              <w:bottom w:val="single" w:sz="4" w:space="0" w:color="auto"/>
              <w:right w:val="single" w:sz="4" w:space="0" w:color="auto"/>
            </w:tcBorders>
          </w:tcPr>
          <w:p w14:paraId="24E3CEC4" w14:textId="742300DE" w:rsidR="00D55BC8" w:rsidRPr="00D55BC8" w:rsidRDefault="0075699D" w:rsidP="00D55BC8">
            <w:pPr>
              <w:spacing w:after="60" w:line="240" w:lineRule="auto"/>
              <w:rPr>
                <w:rFonts w:ascii="Verdana" w:eastAsia="Calibri" w:hAnsi="Verdana" w:cs="Times New Roman"/>
                <w:kern w:val="0"/>
                <w:sz w:val="18"/>
                <w:szCs w:val="18"/>
                <w:lang w:eastAsia="en-US"/>
                <w14:ligatures w14:val="none"/>
              </w:rPr>
            </w:pPr>
            <w:r>
              <w:rPr>
                <w:rFonts w:ascii="Verdana" w:eastAsia="Calibri" w:hAnsi="Verdana" w:cs="Times New Roman"/>
                <w:kern w:val="0"/>
                <w:sz w:val="18"/>
                <w:szCs w:val="18"/>
                <w:lang w:eastAsia="en-US"/>
                <w14:ligatures w14:val="none"/>
              </w:rPr>
              <w:t>Week 1</w:t>
            </w:r>
          </w:p>
        </w:tc>
        <w:tc>
          <w:tcPr>
            <w:tcW w:w="2372" w:type="dxa"/>
            <w:tcBorders>
              <w:top w:val="single" w:sz="4" w:space="0" w:color="auto"/>
              <w:left w:val="single" w:sz="4" w:space="0" w:color="auto"/>
              <w:bottom w:val="single" w:sz="4" w:space="0" w:color="auto"/>
              <w:right w:val="single" w:sz="4" w:space="0" w:color="auto"/>
            </w:tcBorders>
          </w:tcPr>
          <w:p w14:paraId="527FFD0F"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In this lesson, I was introduced to the concept of stakeholders and their importance within projects and organisations. We discussed different types of stakeholders, including internal and external groups, and how they influence decision-making.</w:t>
            </w:r>
          </w:p>
          <w:p w14:paraId="131C09B6"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744" w:type="dxa"/>
            <w:tcBorders>
              <w:top w:val="single" w:sz="4" w:space="0" w:color="auto"/>
              <w:left w:val="single" w:sz="4" w:space="0" w:color="auto"/>
              <w:bottom w:val="single" w:sz="4" w:space="0" w:color="auto"/>
              <w:right w:val="single" w:sz="4" w:space="0" w:color="auto"/>
            </w:tcBorders>
          </w:tcPr>
          <w:p w14:paraId="35AD35C1"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 learned that stakeholders play a crucial role in the success of any project, as their interests and influence can impact outcomes. This helped me understand the importance of identifying stakeholders early in any situation.</w:t>
            </w:r>
          </w:p>
          <w:p w14:paraId="50F3EE26"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269" w:type="dxa"/>
            <w:tcBorders>
              <w:top w:val="single" w:sz="4" w:space="0" w:color="auto"/>
              <w:left w:val="single" w:sz="4" w:space="0" w:color="auto"/>
              <w:bottom w:val="single" w:sz="4" w:space="0" w:color="auto"/>
              <w:right w:val="single" w:sz="4" w:space="0" w:color="auto"/>
            </w:tcBorders>
          </w:tcPr>
          <w:p w14:paraId="39041B1F" w14:textId="2FB9A110"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 xml:space="preserve">In future, I will apply this </w:t>
            </w:r>
            <w:r w:rsidR="00890273">
              <w:rPr>
                <w:rFonts w:ascii="Times New Roman" w:hAnsi="Times New Roman" w:cs="Times New Roman"/>
                <w:kern w:val="0"/>
                <w14:ligatures w14:val="none"/>
              </w:rPr>
              <w:t xml:space="preserve">knowledge in order to identify the relevant stakeholders and to be able to understand how their involvement may have impact or influence </w:t>
            </w:r>
          </w:p>
          <w:p w14:paraId="6D913CA4"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511" w:type="dxa"/>
            <w:tcBorders>
              <w:top w:val="single" w:sz="4" w:space="0" w:color="auto"/>
              <w:left w:val="single" w:sz="4" w:space="0" w:color="auto"/>
              <w:bottom w:val="single" w:sz="4" w:space="0" w:color="auto"/>
              <w:right w:val="single" w:sz="4" w:space="0" w:color="auto"/>
            </w:tcBorders>
          </w:tcPr>
          <w:p w14:paraId="77D04B3F"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 will further develop this by researching real-life stakeholder examples and practising stakeholder identification techniques.</w:t>
            </w:r>
          </w:p>
          <w:p w14:paraId="0CE3B0D7"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r>
      <w:tr w:rsidR="00D55BC8" w:rsidRPr="00D55BC8" w14:paraId="694C91DA" w14:textId="77777777" w:rsidTr="00DB64E1">
        <w:trPr>
          <w:trHeight w:val="481"/>
        </w:trPr>
        <w:tc>
          <w:tcPr>
            <w:tcW w:w="1167" w:type="dxa"/>
            <w:tcBorders>
              <w:top w:val="single" w:sz="4" w:space="0" w:color="auto"/>
              <w:left w:val="single" w:sz="4" w:space="0" w:color="auto"/>
              <w:bottom w:val="single" w:sz="4" w:space="0" w:color="auto"/>
              <w:right w:val="single" w:sz="4" w:space="0" w:color="auto"/>
            </w:tcBorders>
          </w:tcPr>
          <w:p w14:paraId="3086CCB6" w14:textId="54BC84AF" w:rsidR="00D55BC8" w:rsidRPr="00D55BC8" w:rsidRDefault="0075699D" w:rsidP="00D55BC8">
            <w:pPr>
              <w:spacing w:after="60" w:line="240" w:lineRule="auto"/>
              <w:rPr>
                <w:rFonts w:ascii="Verdana" w:eastAsia="Calibri" w:hAnsi="Verdana" w:cs="Times New Roman"/>
                <w:kern w:val="0"/>
                <w:sz w:val="18"/>
                <w:szCs w:val="18"/>
                <w:lang w:eastAsia="en-US"/>
                <w14:ligatures w14:val="none"/>
              </w:rPr>
            </w:pPr>
            <w:r>
              <w:rPr>
                <w:rFonts w:ascii="Verdana" w:eastAsia="Calibri" w:hAnsi="Verdana" w:cs="Times New Roman"/>
                <w:kern w:val="0"/>
                <w:sz w:val="18"/>
                <w:szCs w:val="18"/>
                <w:lang w:eastAsia="en-US"/>
                <w14:ligatures w14:val="none"/>
              </w:rPr>
              <w:t>Week 2</w:t>
            </w:r>
          </w:p>
        </w:tc>
        <w:tc>
          <w:tcPr>
            <w:tcW w:w="2372" w:type="dxa"/>
            <w:tcBorders>
              <w:top w:val="single" w:sz="4" w:space="0" w:color="auto"/>
              <w:left w:val="single" w:sz="4" w:space="0" w:color="auto"/>
              <w:bottom w:val="single" w:sz="4" w:space="0" w:color="auto"/>
              <w:right w:val="single" w:sz="4" w:space="0" w:color="auto"/>
            </w:tcBorders>
          </w:tcPr>
          <w:p w14:paraId="3E682FF8" w14:textId="58A06848"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 xml:space="preserve">In this lesson, I explored different learning styles and the importance of reflection in personal development. </w:t>
            </w:r>
            <w:r w:rsidR="00C04EE9">
              <w:rPr>
                <w:rFonts w:ascii="Times New Roman" w:hAnsi="Times New Roman" w:cs="Times New Roman"/>
                <w:kern w:val="0"/>
                <w14:ligatures w14:val="none"/>
              </w:rPr>
              <w:t xml:space="preserve">We looked at three </w:t>
            </w:r>
            <w:r w:rsidR="001417DB">
              <w:rPr>
                <w:rFonts w:ascii="Times New Roman" w:hAnsi="Times New Roman" w:cs="Times New Roman"/>
                <w:kern w:val="0"/>
                <w14:ligatures w14:val="none"/>
              </w:rPr>
              <w:t xml:space="preserve">different modules </w:t>
            </w:r>
            <w:proofErr w:type="spellStart"/>
            <w:r w:rsidR="001417DB">
              <w:rPr>
                <w:rFonts w:ascii="Times New Roman" w:hAnsi="Times New Roman" w:cs="Times New Roman"/>
                <w:kern w:val="0"/>
                <w14:ligatures w14:val="none"/>
              </w:rPr>
              <w:t>aboir</w:t>
            </w:r>
            <w:proofErr w:type="spellEnd"/>
            <w:r w:rsidR="001417DB">
              <w:rPr>
                <w:rFonts w:ascii="Times New Roman" w:hAnsi="Times New Roman" w:cs="Times New Roman"/>
                <w:kern w:val="0"/>
                <w14:ligatures w14:val="none"/>
              </w:rPr>
              <w:t xml:space="preserve"> reflection </w:t>
            </w:r>
          </w:p>
          <w:p w14:paraId="3E050C5E"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744" w:type="dxa"/>
            <w:tcBorders>
              <w:top w:val="single" w:sz="4" w:space="0" w:color="auto"/>
              <w:left w:val="single" w:sz="4" w:space="0" w:color="auto"/>
              <w:bottom w:val="single" w:sz="4" w:space="0" w:color="auto"/>
              <w:right w:val="single" w:sz="4" w:space="0" w:color="auto"/>
            </w:tcBorders>
          </w:tcPr>
          <w:p w14:paraId="62B852BB" w14:textId="438CE383"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 learned that reflecting on my learning helps me identify strengths and areas for improvement. Understanding my learning style will help me study more effectively</w:t>
            </w:r>
            <w:r w:rsidR="00736DC8">
              <w:rPr>
                <w:rFonts w:ascii="Times New Roman" w:hAnsi="Times New Roman" w:cs="Times New Roman"/>
                <w:kern w:val="0"/>
                <w14:ligatures w14:val="none"/>
              </w:rPr>
              <w:t xml:space="preserve"> and bring a theory into practice </w:t>
            </w:r>
          </w:p>
          <w:p w14:paraId="544AAEF1"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269" w:type="dxa"/>
            <w:tcBorders>
              <w:top w:val="single" w:sz="4" w:space="0" w:color="auto"/>
              <w:left w:val="single" w:sz="4" w:space="0" w:color="auto"/>
              <w:bottom w:val="single" w:sz="4" w:space="0" w:color="auto"/>
              <w:right w:val="single" w:sz="4" w:space="0" w:color="auto"/>
            </w:tcBorders>
          </w:tcPr>
          <w:p w14:paraId="502639AD"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In future, I will use reflection after completing tasks to evaluate my performance and improve my approach.</w:t>
            </w:r>
          </w:p>
          <w:p w14:paraId="657F91CA"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511" w:type="dxa"/>
            <w:tcBorders>
              <w:top w:val="single" w:sz="4" w:space="0" w:color="auto"/>
              <w:left w:val="single" w:sz="4" w:space="0" w:color="auto"/>
              <w:bottom w:val="single" w:sz="4" w:space="0" w:color="auto"/>
              <w:right w:val="single" w:sz="4" w:space="0" w:color="auto"/>
            </w:tcBorders>
          </w:tcPr>
          <w:p w14:paraId="6A08DA75" w14:textId="3BAFFEB3" w:rsidR="00D55BC8" w:rsidRPr="00D55BC8" w:rsidRDefault="00D55BC8" w:rsidP="00D55BC8">
            <w:pPr>
              <w:spacing w:before="100" w:beforeAutospacing="1" w:after="100" w:afterAutospacing="1" w:line="240" w:lineRule="auto"/>
              <w:ind w:left="360"/>
              <w:rPr>
                <w:rFonts w:ascii="Times New Roman" w:hAnsi="Times New Roman" w:cs="Times New Roman"/>
                <w:kern w:val="0"/>
                <w14:ligatures w14:val="none"/>
              </w:rPr>
            </w:pPr>
            <w:r w:rsidRPr="00D55BC8">
              <w:rPr>
                <w:rFonts w:ascii="Times New Roman" w:hAnsi="Times New Roman" w:cs="Times New Roman"/>
                <w:kern w:val="0"/>
                <w14:ligatures w14:val="none"/>
              </w:rPr>
              <w:t xml:space="preserve">I will keep a weekly reflection journal to track my progress </w:t>
            </w:r>
            <w:r w:rsidR="00424F5F">
              <w:rPr>
                <w:rFonts w:ascii="Times New Roman" w:hAnsi="Times New Roman" w:cs="Times New Roman"/>
                <w:kern w:val="0"/>
                <w14:ligatures w14:val="none"/>
              </w:rPr>
              <w:t xml:space="preserve">so I can centre my focus for my assignment </w:t>
            </w:r>
          </w:p>
          <w:p w14:paraId="70B19FCE"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r>
      <w:tr w:rsidR="00D55BC8" w:rsidRPr="00D55BC8" w14:paraId="3759F216" w14:textId="77777777" w:rsidTr="00DB64E1">
        <w:trPr>
          <w:trHeight w:val="481"/>
        </w:trPr>
        <w:tc>
          <w:tcPr>
            <w:tcW w:w="1167" w:type="dxa"/>
            <w:tcBorders>
              <w:top w:val="single" w:sz="4" w:space="0" w:color="auto"/>
              <w:left w:val="single" w:sz="4" w:space="0" w:color="auto"/>
              <w:bottom w:val="single" w:sz="4" w:space="0" w:color="auto"/>
              <w:right w:val="single" w:sz="4" w:space="0" w:color="auto"/>
            </w:tcBorders>
          </w:tcPr>
          <w:p w14:paraId="39844751" w14:textId="2048064C" w:rsidR="00D55BC8" w:rsidRPr="00D55BC8" w:rsidRDefault="0075699D" w:rsidP="00D55BC8">
            <w:pPr>
              <w:spacing w:after="60" w:line="240" w:lineRule="auto"/>
              <w:rPr>
                <w:rFonts w:ascii="Verdana" w:eastAsia="Calibri" w:hAnsi="Verdana" w:cs="Times New Roman"/>
                <w:kern w:val="0"/>
                <w:sz w:val="18"/>
                <w:szCs w:val="18"/>
                <w:lang w:eastAsia="en-US"/>
                <w14:ligatures w14:val="none"/>
              </w:rPr>
            </w:pPr>
            <w:r>
              <w:rPr>
                <w:rFonts w:ascii="Verdana" w:eastAsia="Calibri" w:hAnsi="Verdana" w:cs="Times New Roman"/>
                <w:kern w:val="0"/>
                <w:sz w:val="18"/>
                <w:szCs w:val="18"/>
                <w:lang w:eastAsia="en-US"/>
                <w14:ligatures w14:val="none"/>
              </w:rPr>
              <w:t>Week 3</w:t>
            </w:r>
          </w:p>
        </w:tc>
        <w:tc>
          <w:tcPr>
            <w:tcW w:w="2372" w:type="dxa"/>
            <w:tcBorders>
              <w:top w:val="single" w:sz="4" w:space="0" w:color="auto"/>
              <w:left w:val="single" w:sz="4" w:space="0" w:color="auto"/>
              <w:bottom w:val="single" w:sz="4" w:space="0" w:color="auto"/>
              <w:right w:val="single" w:sz="4" w:space="0" w:color="auto"/>
            </w:tcBorders>
          </w:tcPr>
          <w:p w14:paraId="22B0B037"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In this lesson, I learned how to research communities and understand their characteristics, needs, and challenges.</w:t>
            </w:r>
          </w:p>
          <w:p w14:paraId="6F64F3E3"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744" w:type="dxa"/>
            <w:tcBorders>
              <w:top w:val="single" w:sz="4" w:space="0" w:color="auto"/>
              <w:left w:val="single" w:sz="4" w:space="0" w:color="auto"/>
              <w:bottom w:val="single" w:sz="4" w:space="0" w:color="auto"/>
              <w:right w:val="single" w:sz="4" w:space="0" w:color="auto"/>
            </w:tcBorders>
          </w:tcPr>
          <w:p w14:paraId="0EED375D" w14:textId="2AD261C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 xml:space="preserve"> learned that understanding a community is essential for effective engagement and decision-making.</w:t>
            </w:r>
          </w:p>
          <w:p w14:paraId="3D71B3D7"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269" w:type="dxa"/>
            <w:tcBorders>
              <w:top w:val="single" w:sz="4" w:space="0" w:color="auto"/>
              <w:left w:val="single" w:sz="4" w:space="0" w:color="auto"/>
              <w:bottom w:val="single" w:sz="4" w:space="0" w:color="auto"/>
              <w:right w:val="single" w:sz="4" w:space="0" w:color="auto"/>
            </w:tcBorders>
          </w:tcPr>
          <w:p w14:paraId="4E0D1CC4"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In future, I will use research methods to better understand different groups before making decisions or planning activities.</w:t>
            </w:r>
          </w:p>
          <w:p w14:paraId="681566FD"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511" w:type="dxa"/>
            <w:tcBorders>
              <w:top w:val="single" w:sz="4" w:space="0" w:color="auto"/>
              <w:left w:val="single" w:sz="4" w:space="0" w:color="auto"/>
              <w:bottom w:val="single" w:sz="4" w:space="0" w:color="auto"/>
              <w:right w:val="single" w:sz="4" w:space="0" w:color="auto"/>
            </w:tcBorders>
          </w:tcPr>
          <w:p w14:paraId="181CE54F"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 will read articles and case studies on community engagement to improve my research skills.</w:t>
            </w:r>
          </w:p>
          <w:p w14:paraId="2795C2AB"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r>
      <w:tr w:rsidR="00D55BC8" w:rsidRPr="00D55BC8" w14:paraId="416D9579" w14:textId="77777777" w:rsidTr="00DB64E1">
        <w:trPr>
          <w:trHeight w:val="481"/>
        </w:trPr>
        <w:tc>
          <w:tcPr>
            <w:tcW w:w="1167" w:type="dxa"/>
            <w:tcBorders>
              <w:top w:val="single" w:sz="4" w:space="0" w:color="auto"/>
              <w:left w:val="single" w:sz="4" w:space="0" w:color="auto"/>
              <w:bottom w:val="single" w:sz="4" w:space="0" w:color="auto"/>
              <w:right w:val="single" w:sz="4" w:space="0" w:color="auto"/>
            </w:tcBorders>
          </w:tcPr>
          <w:p w14:paraId="10A91946" w14:textId="4D8F77C0" w:rsidR="00D55BC8" w:rsidRPr="00D55BC8" w:rsidRDefault="0075699D" w:rsidP="00D55BC8">
            <w:pPr>
              <w:spacing w:after="60" w:line="240" w:lineRule="auto"/>
              <w:rPr>
                <w:rFonts w:ascii="Verdana" w:eastAsia="Calibri" w:hAnsi="Verdana" w:cs="Times New Roman"/>
                <w:kern w:val="0"/>
                <w:sz w:val="18"/>
                <w:szCs w:val="18"/>
                <w:lang w:eastAsia="en-US"/>
                <w14:ligatures w14:val="none"/>
              </w:rPr>
            </w:pPr>
            <w:r>
              <w:rPr>
                <w:rFonts w:ascii="Verdana" w:eastAsia="Calibri" w:hAnsi="Verdana" w:cs="Times New Roman"/>
                <w:kern w:val="0"/>
                <w:sz w:val="18"/>
                <w:szCs w:val="18"/>
                <w:lang w:eastAsia="en-US"/>
                <w14:ligatures w14:val="none"/>
              </w:rPr>
              <w:t>Week 4</w:t>
            </w:r>
          </w:p>
        </w:tc>
        <w:tc>
          <w:tcPr>
            <w:tcW w:w="2372" w:type="dxa"/>
            <w:tcBorders>
              <w:top w:val="single" w:sz="4" w:space="0" w:color="auto"/>
              <w:left w:val="single" w:sz="4" w:space="0" w:color="auto"/>
              <w:bottom w:val="single" w:sz="4" w:space="0" w:color="auto"/>
              <w:right w:val="single" w:sz="4" w:space="0" w:color="auto"/>
            </w:tcBorders>
          </w:tcPr>
          <w:p w14:paraId="423B5FC2"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 xml:space="preserve">In this lesson, I learned about the key stages of project planning, including setting objectives, timelines, and </w:t>
            </w:r>
            <w:r w:rsidRPr="00D55BC8">
              <w:rPr>
                <w:rFonts w:ascii="Times New Roman" w:hAnsi="Times New Roman" w:cs="Times New Roman"/>
                <w:kern w:val="0"/>
                <w14:ligatures w14:val="none"/>
              </w:rPr>
              <w:lastRenderedPageBreak/>
              <w:t>resource allocation. I began applying this to my stakeholder engagement assignment based on the HS2 Washwood Heath project.</w:t>
            </w:r>
          </w:p>
          <w:p w14:paraId="7AD55A55"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744" w:type="dxa"/>
            <w:tcBorders>
              <w:top w:val="single" w:sz="4" w:space="0" w:color="auto"/>
              <w:left w:val="single" w:sz="4" w:space="0" w:color="auto"/>
              <w:bottom w:val="single" w:sz="4" w:space="0" w:color="auto"/>
              <w:right w:val="single" w:sz="4" w:space="0" w:color="auto"/>
            </w:tcBorders>
          </w:tcPr>
          <w:p w14:paraId="65F76C4F"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lastRenderedPageBreak/>
              <w:t>I learned that effective planning is essential for project success and helps prevent delays and confusion. Applying this to my assignment helped me understand how </w:t>
            </w:r>
          </w:p>
          <w:p w14:paraId="6002EF16"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269" w:type="dxa"/>
            <w:tcBorders>
              <w:top w:val="single" w:sz="4" w:space="0" w:color="auto"/>
              <w:left w:val="single" w:sz="4" w:space="0" w:color="auto"/>
              <w:bottom w:val="single" w:sz="4" w:space="0" w:color="auto"/>
              <w:right w:val="single" w:sz="4" w:space="0" w:color="auto"/>
            </w:tcBorders>
          </w:tcPr>
          <w:p w14:paraId="6B9AF768"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lastRenderedPageBreak/>
              <w:t xml:space="preserve">I will use this knowledge to plan my assignments more effectively by breaking them into sections such as </w:t>
            </w:r>
            <w:r w:rsidRPr="00D55BC8">
              <w:rPr>
                <w:rFonts w:ascii="Times New Roman" w:hAnsi="Times New Roman" w:cs="Times New Roman"/>
                <w:kern w:val="0"/>
                <w14:ligatures w14:val="none"/>
              </w:rPr>
              <w:lastRenderedPageBreak/>
              <w:t>stakeholders, conflicts, and benefits.</w:t>
            </w:r>
          </w:p>
          <w:p w14:paraId="33123782"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511" w:type="dxa"/>
            <w:tcBorders>
              <w:top w:val="single" w:sz="4" w:space="0" w:color="auto"/>
              <w:left w:val="single" w:sz="4" w:space="0" w:color="auto"/>
              <w:bottom w:val="single" w:sz="4" w:space="0" w:color="auto"/>
              <w:right w:val="single" w:sz="4" w:space="0" w:color="auto"/>
            </w:tcBorders>
          </w:tcPr>
          <w:p w14:paraId="5CE85143"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lastRenderedPageBreak/>
              <w:t>I will practise using planning tools such as timelines and task lists to manage my workload more efficiently.</w:t>
            </w:r>
          </w:p>
          <w:p w14:paraId="57826BC7"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r>
      <w:tr w:rsidR="00D55BC8" w:rsidRPr="00D55BC8" w14:paraId="39837C80" w14:textId="77777777" w:rsidTr="00DB64E1">
        <w:trPr>
          <w:trHeight w:val="481"/>
        </w:trPr>
        <w:tc>
          <w:tcPr>
            <w:tcW w:w="1167" w:type="dxa"/>
            <w:tcBorders>
              <w:top w:val="single" w:sz="4" w:space="0" w:color="auto"/>
              <w:left w:val="single" w:sz="4" w:space="0" w:color="auto"/>
              <w:bottom w:val="single" w:sz="4" w:space="0" w:color="auto"/>
              <w:right w:val="single" w:sz="4" w:space="0" w:color="auto"/>
            </w:tcBorders>
          </w:tcPr>
          <w:p w14:paraId="240C172E" w14:textId="2991C606" w:rsidR="00D55BC8" w:rsidRPr="00D55BC8" w:rsidRDefault="0075699D" w:rsidP="00D55BC8">
            <w:pPr>
              <w:spacing w:after="60" w:line="240" w:lineRule="auto"/>
              <w:rPr>
                <w:rFonts w:ascii="Verdana" w:eastAsia="Calibri" w:hAnsi="Verdana" w:cs="Times New Roman"/>
                <w:kern w:val="0"/>
                <w:sz w:val="18"/>
                <w:szCs w:val="18"/>
                <w:lang w:eastAsia="en-US"/>
                <w14:ligatures w14:val="none"/>
              </w:rPr>
            </w:pPr>
            <w:r>
              <w:rPr>
                <w:rFonts w:ascii="Verdana" w:eastAsia="Calibri" w:hAnsi="Verdana" w:cs="Times New Roman"/>
                <w:kern w:val="0"/>
                <w:sz w:val="18"/>
                <w:szCs w:val="18"/>
                <w:lang w:eastAsia="en-US"/>
                <w14:ligatures w14:val="none"/>
              </w:rPr>
              <w:t>Week 5</w:t>
            </w:r>
          </w:p>
        </w:tc>
        <w:tc>
          <w:tcPr>
            <w:tcW w:w="2372" w:type="dxa"/>
            <w:tcBorders>
              <w:top w:val="single" w:sz="4" w:space="0" w:color="auto"/>
              <w:left w:val="single" w:sz="4" w:space="0" w:color="auto"/>
              <w:bottom w:val="single" w:sz="4" w:space="0" w:color="auto"/>
              <w:right w:val="single" w:sz="4" w:space="0" w:color="auto"/>
            </w:tcBorders>
          </w:tcPr>
          <w:p w14:paraId="7EE1F97A"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In this lesson, we discussed ethical considerations and professional standards when working with communities. I applied this to the HS2 project, focusing on how it affects local residents.</w:t>
            </w:r>
          </w:p>
          <w:p w14:paraId="3E2CBF3F"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744" w:type="dxa"/>
            <w:tcBorders>
              <w:top w:val="single" w:sz="4" w:space="0" w:color="auto"/>
              <w:left w:val="single" w:sz="4" w:space="0" w:color="auto"/>
              <w:bottom w:val="single" w:sz="4" w:space="0" w:color="auto"/>
              <w:right w:val="single" w:sz="4" w:space="0" w:color="auto"/>
            </w:tcBorders>
          </w:tcPr>
          <w:p w14:paraId="55B1AC60"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 learned that projects must consider fairness, transparency, and the impact on stakeholders. This is especially important in large developments where communities may be negatively affected.</w:t>
            </w:r>
          </w:p>
          <w:p w14:paraId="1C2ECC93"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269" w:type="dxa"/>
            <w:tcBorders>
              <w:top w:val="single" w:sz="4" w:space="0" w:color="auto"/>
              <w:left w:val="single" w:sz="4" w:space="0" w:color="auto"/>
              <w:bottom w:val="single" w:sz="4" w:space="0" w:color="auto"/>
              <w:right w:val="single" w:sz="4" w:space="0" w:color="auto"/>
            </w:tcBorders>
          </w:tcPr>
          <w:p w14:paraId="7F4F4C94" w14:textId="0F08A816" w:rsidR="00D55BC8" w:rsidRPr="00D55BC8" w:rsidRDefault="00D55BC8" w:rsidP="00910303">
            <w:pPr>
              <w:spacing w:before="100" w:beforeAutospacing="1" w:after="100" w:afterAutospacing="1" w:line="240" w:lineRule="auto"/>
              <w:rPr>
                <w:rFonts w:ascii="Verdana" w:eastAsia="Calibri" w:hAnsi="Verdana" w:cs="Times New Roman"/>
                <w:kern w:val="0"/>
                <w:sz w:val="18"/>
                <w:szCs w:val="18"/>
                <w:lang w:eastAsia="en-US"/>
                <w14:ligatures w14:val="none"/>
              </w:rPr>
            </w:pPr>
            <w:r w:rsidRPr="00D55BC8">
              <w:rPr>
                <w:rFonts w:ascii="Times New Roman" w:hAnsi="Times New Roman" w:cs="Times New Roman"/>
                <w:kern w:val="0"/>
                <w14:ligatures w14:val="none"/>
              </w:rPr>
              <w:t xml:space="preserve">In future, I will consider ethical implications when analysing </w:t>
            </w:r>
            <w:r w:rsidR="00A01132">
              <w:rPr>
                <w:rFonts w:ascii="Times New Roman" w:hAnsi="Times New Roman" w:cs="Times New Roman"/>
                <w:kern w:val="0"/>
                <w14:ligatures w14:val="none"/>
              </w:rPr>
              <w:t xml:space="preserve">my </w:t>
            </w:r>
            <w:r w:rsidRPr="00D55BC8">
              <w:rPr>
                <w:rFonts w:ascii="Times New Roman" w:hAnsi="Times New Roman" w:cs="Times New Roman"/>
                <w:kern w:val="0"/>
                <w14:ligatures w14:val="none"/>
              </w:rPr>
              <w:t>proje</w:t>
            </w:r>
            <w:r w:rsidR="00910303">
              <w:rPr>
                <w:rFonts w:ascii="Times New Roman" w:hAnsi="Times New Roman" w:cs="Times New Roman"/>
                <w:kern w:val="0"/>
                <w14:ligatures w14:val="none"/>
              </w:rPr>
              <w:t>ct</w:t>
            </w:r>
          </w:p>
        </w:tc>
        <w:tc>
          <w:tcPr>
            <w:tcW w:w="3511" w:type="dxa"/>
            <w:tcBorders>
              <w:top w:val="single" w:sz="4" w:space="0" w:color="auto"/>
              <w:left w:val="single" w:sz="4" w:space="0" w:color="auto"/>
              <w:bottom w:val="single" w:sz="4" w:space="0" w:color="auto"/>
              <w:right w:val="single" w:sz="4" w:space="0" w:color="auto"/>
            </w:tcBorders>
          </w:tcPr>
          <w:p w14:paraId="2039D4E9"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 will research ethical frameworks and apply them to my assignment to strengthen my analysis.</w:t>
            </w:r>
          </w:p>
          <w:p w14:paraId="65A9ADF5"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r>
      <w:tr w:rsidR="00D55BC8" w:rsidRPr="00D55BC8" w14:paraId="0D480F1E" w14:textId="77777777" w:rsidTr="00DB64E1">
        <w:trPr>
          <w:trHeight w:val="481"/>
        </w:trPr>
        <w:tc>
          <w:tcPr>
            <w:tcW w:w="1167" w:type="dxa"/>
            <w:tcBorders>
              <w:top w:val="single" w:sz="4" w:space="0" w:color="auto"/>
              <w:left w:val="single" w:sz="4" w:space="0" w:color="auto"/>
              <w:bottom w:val="single" w:sz="4" w:space="0" w:color="auto"/>
              <w:right w:val="single" w:sz="4" w:space="0" w:color="auto"/>
            </w:tcBorders>
          </w:tcPr>
          <w:p w14:paraId="044C14F1" w14:textId="400EEDC4" w:rsidR="00D55BC8" w:rsidRPr="00D55BC8" w:rsidRDefault="0075699D" w:rsidP="00D55BC8">
            <w:pPr>
              <w:spacing w:after="60" w:line="240" w:lineRule="auto"/>
              <w:rPr>
                <w:rFonts w:ascii="Verdana" w:eastAsia="Calibri" w:hAnsi="Verdana" w:cs="Times New Roman"/>
                <w:kern w:val="0"/>
                <w:sz w:val="18"/>
                <w:szCs w:val="18"/>
                <w:lang w:eastAsia="en-US"/>
                <w14:ligatures w14:val="none"/>
              </w:rPr>
            </w:pPr>
            <w:r>
              <w:rPr>
                <w:rFonts w:ascii="Verdana" w:eastAsia="Calibri" w:hAnsi="Verdana" w:cs="Times New Roman"/>
                <w:kern w:val="0"/>
                <w:sz w:val="18"/>
                <w:szCs w:val="18"/>
                <w:lang w:eastAsia="en-US"/>
                <w14:ligatures w14:val="none"/>
              </w:rPr>
              <w:t>Week 6</w:t>
            </w:r>
          </w:p>
        </w:tc>
        <w:tc>
          <w:tcPr>
            <w:tcW w:w="2372" w:type="dxa"/>
            <w:tcBorders>
              <w:top w:val="single" w:sz="4" w:space="0" w:color="auto"/>
              <w:left w:val="single" w:sz="4" w:space="0" w:color="auto"/>
              <w:bottom w:val="single" w:sz="4" w:space="0" w:color="auto"/>
              <w:right w:val="single" w:sz="4" w:space="0" w:color="auto"/>
            </w:tcBorders>
          </w:tcPr>
          <w:p w14:paraId="75CC1E3D"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In this lesson, I learned about different communication methods and their importance in stakeholder engagement. I related this to how organisations communicate with stakeholders in the HS2 project.</w:t>
            </w:r>
          </w:p>
          <w:p w14:paraId="32B10F4F"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744" w:type="dxa"/>
            <w:tcBorders>
              <w:top w:val="single" w:sz="4" w:space="0" w:color="auto"/>
              <w:left w:val="single" w:sz="4" w:space="0" w:color="auto"/>
              <w:bottom w:val="single" w:sz="4" w:space="0" w:color="auto"/>
              <w:right w:val="single" w:sz="4" w:space="0" w:color="auto"/>
            </w:tcBorders>
          </w:tcPr>
          <w:p w14:paraId="4DA51AFF" w14:textId="1DD47B50"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learned that clear communication is essential for avoiding misunderstandings and building trust with stakeholders.</w:t>
            </w:r>
          </w:p>
          <w:p w14:paraId="5209858C"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269" w:type="dxa"/>
            <w:tcBorders>
              <w:top w:val="single" w:sz="4" w:space="0" w:color="auto"/>
              <w:left w:val="single" w:sz="4" w:space="0" w:color="auto"/>
              <w:bottom w:val="single" w:sz="4" w:space="0" w:color="auto"/>
              <w:right w:val="single" w:sz="4" w:space="0" w:color="auto"/>
            </w:tcBorders>
          </w:tcPr>
          <w:p w14:paraId="52552EB0" w14:textId="542DAC7A" w:rsidR="00D55BC8" w:rsidRPr="00D55BC8" w:rsidRDefault="00D55BC8" w:rsidP="00910303">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 xml:space="preserve">I will apply this by improving how I communicate in both academic work and my job, </w:t>
            </w:r>
            <w:r w:rsidR="00B10786">
              <w:rPr>
                <w:rFonts w:ascii="Times New Roman" w:hAnsi="Times New Roman" w:cs="Times New Roman"/>
                <w:kern w:val="0"/>
                <w14:ligatures w14:val="none"/>
              </w:rPr>
              <w:t xml:space="preserve">as well as being able to apply to this project and write a section about communication </w:t>
            </w:r>
          </w:p>
          <w:p w14:paraId="28ED062F"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511" w:type="dxa"/>
            <w:tcBorders>
              <w:top w:val="single" w:sz="4" w:space="0" w:color="auto"/>
              <w:left w:val="single" w:sz="4" w:space="0" w:color="auto"/>
              <w:bottom w:val="single" w:sz="4" w:space="0" w:color="auto"/>
              <w:right w:val="single" w:sz="4" w:space="0" w:color="auto"/>
            </w:tcBorders>
          </w:tcPr>
          <w:p w14:paraId="2812F04C" w14:textId="77777777" w:rsidR="00D55BC8" w:rsidRPr="00D55BC8" w:rsidRDefault="00D55BC8" w:rsidP="00B10786">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will practise active listening and seek feedback to improve my communication skills.</w:t>
            </w:r>
          </w:p>
          <w:p w14:paraId="7999686D"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r>
      <w:tr w:rsidR="00D55BC8" w:rsidRPr="00D55BC8" w14:paraId="0F0E0C08" w14:textId="77777777" w:rsidTr="00DB64E1">
        <w:trPr>
          <w:trHeight w:val="481"/>
        </w:trPr>
        <w:tc>
          <w:tcPr>
            <w:tcW w:w="1167" w:type="dxa"/>
            <w:tcBorders>
              <w:top w:val="single" w:sz="4" w:space="0" w:color="auto"/>
              <w:left w:val="single" w:sz="4" w:space="0" w:color="auto"/>
              <w:bottom w:val="single" w:sz="4" w:space="0" w:color="auto"/>
              <w:right w:val="single" w:sz="4" w:space="0" w:color="auto"/>
            </w:tcBorders>
          </w:tcPr>
          <w:p w14:paraId="2078AC92" w14:textId="07BF786F" w:rsidR="00D55BC8" w:rsidRPr="00D55BC8" w:rsidRDefault="0075699D" w:rsidP="00D55BC8">
            <w:pPr>
              <w:spacing w:after="60" w:line="240" w:lineRule="auto"/>
              <w:rPr>
                <w:rFonts w:ascii="Verdana" w:eastAsia="Calibri" w:hAnsi="Verdana" w:cs="Times New Roman"/>
                <w:kern w:val="0"/>
                <w:sz w:val="18"/>
                <w:szCs w:val="18"/>
                <w:lang w:eastAsia="en-US"/>
                <w14:ligatures w14:val="none"/>
              </w:rPr>
            </w:pPr>
            <w:r>
              <w:rPr>
                <w:rFonts w:ascii="Verdana" w:eastAsia="Calibri" w:hAnsi="Verdana" w:cs="Times New Roman"/>
                <w:kern w:val="0"/>
                <w:sz w:val="18"/>
                <w:szCs w:val="18"/>
                <w:lang w:eastAsia="en-US"/>
                <w14:ligatures w14:val="none"/>
              </w:rPr>
              <w:t>Week 7</w:t>
            </w:r>
          </w:p>
        </w:tc>
        <w:tc>
          <w:tcPr>
            <w:tcW w:w="2372" w:type="dxa"/>
            <w:tcBorders>
              <w:top w:val="single" w:sz="4" w:space="0" w:color="auto"/>
              <w:left w:val="single" w:sz="4" w:space="0" w:color="auto"/>
              <w:bottom w:val="single" w:sz="4" w:space="0" w:color="auto"/>
              <w:right w:val="single" w:sz="4" w:space="0" w:color="auto"/>
            </w:tcBorders>
          </w:tcPr>
          <w:p w14:paraId="50811922" w14:textId="7B8B66F4"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m</w:t>
            </w:r>
            <w:r w:rsidRPr="00D55BC8">
              <w:rPr>
                <w:rFonts w:ascii="Times New Roman" w:hAnsi="Times New Roman" w:cs="Times New Roman"/>
                <w:kern w:val="0"/>
                <w14:ligatures w14:val="none"/>
              </w:rPr>
              <w:t>In this lesson, I explored different models and principles used in community engagement and applied them to stakeholder involvement in the HS2 project.</w:t>
            </w:r>
          </w:p>
          <w:p w14:paraId="03ADFAC2"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744" w:type="dxa"/>
            <w:tcBorders>
              <w:top w:val="single" w:sz="4" w:space="0" w:color="auto"/>
              <w:left w:val="single" w:sz="4" w:space="0" w:color="auto"/>
              <w:bottom w:val="single" w:sz="4" w:space="0" w:color="auto"/>
              <w:right w:val="single" w:sz="4" w:space="0" w:color="auto"/>
            </w:tcBorders>
          </w:tcPr>
          <w:p w14:paraId="447989F1"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learned that structured approaches help ensure stakeholders are properly included in decision-making processes.</w:t>
            </w:r>
          </w:p>
          <w:p w14:paraId="05ADB580"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269" w:type="dxa"/>
            <w:tcBorders>
              <w:top w:val="single" w:sz="4" w:space="0" w:color="auto"/>
              <w:left w:val="single" w:sz="4" w:space="0" w:color="auto"/>
              <w:bottom w:val="single" w:sz="4" w:space="0" w:color="auto"/>
              <w:right w:val="single" w:sz="4" w:space="0" w:color="auto"/>
            </w:tcBorders>
          </w:tcPr>
          <w:p w14:paraId="7418A5E5"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 will apply these models in my assignment to analyse how effectively stakeholders are engaged.</w:t>
            </w:r>
          </w:p>
          <w:p w14:paraId="70A13D72"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511" w:type="dxa"/>
            <w:tcBorders>
              <w:top w:val="single" w:sz="4" w:space="0" w:color="auto"/>
              <w:left w:val="single" w:sz="4" w:space="0" w:color="auto"/>
              <w:bottom w:val="single" w:sz="4" w:space="0" w:color="auto"/>
              <w:right w:val="single" w:sz="4" w:space="0" w:color="auto"/>
            </w:tcBorders>
          </w:tcPr>
          <w:p w14:paraId="74BF36F9" w14:textId="77777777" w:rsidR="00D55BC8" w:rsidRPr="00D55BC8" w:rsidRDefault="00D55BC8" w:rsidP="00D55BC8">
            <w:pPr>
              <w:spacing w:before="100" w:beforeAutospacing="1" w:after="100" w:afterAutospacing="1" w:line="240" w:lineRule="auto"/>
              <w:ind w:left="360"/>
              <w:rPr>
                <w:rFonts w:ascii="Times New Roman" w:hAnsi="Times New Roman" w:cs="Times New Roman"/>
                <w:kern w:val="0"/>
                <w14:ligatures w14:val="none"/>
              </w:rPr>
            </w:pPr>
            <w:r w:rsidRPr="00D55BC8">
              <w:rPr>
                <w:rFonts w:ascii="Times New Roman" w:hAnsi="Times New Roman" w:cs="Times New Roman"/>
                <w:kern w:val="0"/>
                <w14:ligatures w14:val="none"/>
              </w:rPr>
              <w:t>will research additional engagement models to improve my understanding further.</w:t>
            </w:r>
          </w:p>
          <w:p w14:paraId="66ACD256"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r>
      <w:tr w:rsidR="00D55BC8" w:rsidRPr="00D55BC8" w14:paraId="2CD213DB" w14:textId="77777777" w:rsidTr="00DB64E1">
        <w:trPr>
          <w:trHeight w:val="481"/>
        </w:trPr>
        <w:tc>
          <w:tcPr>
            <w:tcW w:w="1167" w:type="dxa"/>
            <w:tcBorders>
              <w:top w:val="single" w:sz="4" w:space="0" w:color="auto"/>
              <w:left w:val="single" w:sz="4" w:space="0" w:color="auto"/>
              <w:bottom w:val="single" w:sz="4" w:space="0" w:color="auto"/>
              <w:right w:val="single" w:sz="4" w:space="0" w:color="auto"/>
            </w:tcBorders>
          </w:tcPr>
          <w:p w14:paraId="28F039C4" w14:textId="6A2188B5" w:rsidR="00D55BC8" w:rsidRPr="00D55BC8" w:rsidRDefault="0075699D" w:rsidP="00D55BC8">
            <w:pPr>
              <w:spacing w:after="60" w:line="240" w:lineRule="auto"/>
              <w:rPr>
                <w:rFonts w:ascii="Verdana" w:eastAsia="Calibri" w:hAnsi="Verdana" w:cs="Times New Roman"/>
                <w:kern w:val="0"/>
                <w:sz w:val="18"/>
                <w:szCs w:val="18"/>
                <w:lang w:eastAsia="en-US"/>
                <w14:ligatures w14:val="none"/>
              </w:rPr>
            </w:pPr>
            <w:r>
              <w:rPr>
                <w:rFonts w:ascii="Verdana" w:eastAsia="Calibri" w:hAnsi="Verdana" w:cs="Times New Roman"/>
                <w:kern w:val="0"/>
                <w:sz w:val="18"/>
                <w:szCs w:val="18"/>
                <w:lang w:eastAsia="en-US"/>
                <w14:ligatures w14:val="none"/>
              </w:rPr>
              <w:lastRenderedPageBreak/>
              <w:t>Week 8</w:t>
            </w:r>
          </w:p>
        </w:tc>
        <w:tc>
          <w:tcPr>
            <w:tcW w:w="2372" w:type="dxa"/>
            <w:tcBorders>
              <w:top w:val="single" w:sz="4" w:space="0" w:color="auto"/>
              <w:left w:val="single" w:sz="4" w:space="0" w:color="auto"/>
              <w:bottom w:val="single" w:sz="4" w:space="0" w:color="auto"/>
              <w:right w:val="single" w:sz="4" w:space="0" w:color="auto"/>
            </w:tcBorders>
          </w:tcPr>
          <w:p w14:paraId="22E4EA26"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In this lesson, I learned techniques for solving problems creatively within community projects, particularly in relation to stakeholder conflicts in the HS2 project.</w:t>
            </w:r>
          </w:p>
          <w:p w14:paraId="42F77465"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744" w:type="dxa"/>
            <w:tcBorders>
              <w:top w:val="single" w:sz="4" w:space="0" w:color="auto"/>
              <w:left w:val="single" w:sz="4" w:space="0" w:color="auto"/>
              <w:bottom w:val="single" w:sz="4" w:space="0" w:color="auto"/>
              <w:right w:val="single" w:sz="4" w:space="0" w:color="auto"/>
            </w:tcBorders>
          </w:tcPr>
          <w:p w14:paraId="2A391033"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 learned that challenges require flexible thinking and innovative solutions when dealing with different stakeholder needs.</w:t>
            </w:r>
          </w:p>
          <w:p w14:paraId="6A2F2F45"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269" w:type="dxa"/>
            <w:tcBorders>
              <w:top w:val="single" w:sz="4" w:space="0" w:color="auto"/>
              <w:left w:val="single" w:sz="4" w:space="0" w:color="auto"/>
              <w:bottom w:val="single" w:sz="4" w:space="0" w:color="auto"/>
              <w:right w:val="single" w:sz="4" w:space="0" w:color="auto"/>
            </w:tcBorders>
          </w:tcPr>
          <w:p w14:paraId="2F35537E" w14:textId="5AFC657A"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will use creative problem-solving techniques when analysing conflicts in my assignment.</w:t>
            </w:r>
          </w:p>
          <w:p w14:paraId="2BD0D20E"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511" w:type="dxa"/>
            <w:tcBorders>
              <w:top w:val="single" w:sz="4" w:space="0" w:color="auto"/>
              <w:left w:val="single" w:sz="4" w:space="0" w:color="auto"/>
              <w:bottom w:val="single" w:sz="4" w:space="0" w:color="auto"/>
              <w:right w:val="single" w:sz="4" w:space="0" w:color="auto"/>
            </w:tcBorders>
          </w:tcPr>
          <w:p w14:paraId="05172F4B"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 will practise brainstorming and reviewing case studies to improve this skill.</w:t>
            </w:r>
          </w:p>
          <w:p w14:paraId="657DF94E"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r>
      <w:tr w:rsidR="00D55BC8" w:rsidRPr="00D55BC8" w14:paraId="085CF132" w14:textId="77777777" w:rsidTr="00DB64E1">
        <w:trPr>
          <w:trHeight w:val="481"/>
        </w:trPr>
        <w:tc>
          <w:tcPr>
            <w:tcW w:w="1167" w:type="dxa"/>
            <w:tcBorders>
              <w:top w:val="single" w:sz="4" w:space="0" w:color="auto"/>
              <w:left w:val="single" w:sz="4" w:space="0" w:color="auto"/>
              <w:bottom w:val="single" w:sz="4" w:space="0" w:color="auto"/>
              <w:right w:val="single" w:sz="4" w:space="0" w:color="auto"/>
            </w:tcBorders>
          </w:tcPr>
          <w:p w14:paraId="12508F54" w14:textId="539564C4" w:rsidR="00D55BC8" w:rsidRPr="00D55BC8" w:rsidRDefault="0075699D" w:rsidP="00D55BC8">
            <w:pPr>
              <w:spacing w:after="60" w:line="240" w:lineRule="auto"/>
              <w:rPr>
                <w:rFonts w:ascii="Verdana" w:eastAsia="Calibri" w:hAnsi="Verdana" w:cs="Times New Roman"/>
                <w:kern w:val="0"/>
                <w:sz w:val="18"/>
                <w:szCs w:val="18"/>
                <w:lang w:eastAsia="en-US"/>
                <w14:ligatures w14:val="none"/>
              </w:rPr>
            </w:pPr>
            <w:r>
              <w:rPr>
                <w:rFonts w:ascii="Verdana" w:eastAsia="Calibri" w:hAnsi="Verdana" w:cs="Times New Roman"/>
                <w:kern w:val="0"/>
                <w:sz w:val="18"/>
                <w:szCs w:val="18"/>
                <w:lang w:eastAsia="en-US"/>
                <w14:ligatures w14:val="none"/>
              </w:rPr>
              <w:t xml:space="preserve"> Week 9</w:t>
            </w:r>
          </w:p>
        </w:tc>
        <w:tc>
          <w:tcPr>
            <w:tcW w:w="2372" w:type="dxa"/>
            <w:tcBorders>
              <w:top w:val="single" w:sz="4" w:space="0" w:color="auto"/>
              <w:left w:val="single" w:sz="4" w:space="0" w:color="auto"/>
              <w:bottom w:val="single" w:sz="4" w:space="0" w:color="auto"/>
              <w:right w:val="single" w:sz="4" w:space="0" w:color="auto"/>
            </w:tcBorders>
          </w:tcPr>
          <w:p w14:paraId="37974A08" w14:textId="6C39E6F8"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in</w:t>
            </w:r>
            <w:r w:rsidRPr="00D55BC8">
              <w:rPr>
                <w:rFonts w:ascii="Times New Roman" w:hAnsi="Times New Roman" w:cs="Times New Roman"/>
                <w:kern w:val="0"/>
                <w14:ligatures w14:val="none"/>
              </w:rPr>
              <w:t xml:space="preserve"> this lesson, I learned how to assess the impact of projects and evaluate their success, applying this to the outcomes of the HS2 development.</w:t>
            </w:r>
          </w:p>
          <w:p w14:paraId="41FFD771"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744" w:type="dxa"/>
            <w:tcBorders>
              <w:top w:val="single" w:sz="4" w:space="0" w:color="auto"/>
              <w:left w:val="single" w:sz="4" w:space="0" w:color="auto"/>
              <w:bottom w:val="single" w:sz="4" w:space="0" w:color="auto"/>
              <w:right w:val="single" w:sz="4" w:space="0" w:color="auto"/>
            </w:tcBorders>
          </w:tcPr>
          <w:p w14:paraId="0EF8EF48"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 learned that evaluation helps measure whether objectives have been achieved and highlights both positive and negative impacts on stakeholders.</w:t>
            </w:r>
          </w:p>
          <w:p w14:paraId="7F005FD7"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269" w:type="dxa"/>
            <w:tcBorders>
              <w:top w:val="single" w:sz="4" w:space="0" w:color="auto"/>
              <w:left w:val="single" w:sz="4" w:space="0" w:color="auto"/>
              <w:bottom w:val="single" w:sz="4" w:space="0" w:color="auto"/>
              <w:right w:val="single" w:sz="4" w:space="0" w:color="auto"/>
            </w:tcBorders>
          </w:tcPr>
          <w:p w14:paraId="4C69AE45"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 will apply this by evaluating the overall impact of the project in my assignment.</w:t>
            </w:r>
          </w:p>
          <w:p w14:paraId="0D4F6DF4"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511" w:type="dxa"/>
            <w:tcBorders>
              <w:top w:val="single" w:sz="4" w:space="0" w:color="auto"/>
              <w:left w:val="single" w:sz="4" w:space="0" w:color="auto"/>
              <w:bottom w:val="single" w:sz="4" w:space="0" w:color="auto"/>
              <w:right w:val="single" w:sz="4" w:space="0" w:color="auto"/>
            </w:tcBorders>
          </w:tcPr>
          <w:p w14:paraId="3B39D7CC"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 will review examples of project evaluations to strengthen my understanding.</w:t>
            </w:r>
          </w:p>
          <w:p w14:paraId="351882C1" w14:textId="77777777" w:rsidR="00D55BC8" w:rsidRPr="00D55BC8" w:rsidRDefault="00D55BC8" w:rsidP="00D55BC8">
            <w:pPr>
              <w:spacing w:before="100" w:beforeAutospacing="1" w:after="100" w:afterAutospacing="1" w:line="240" w:lineRule="auto"/>
              <w:rPr>
                <w:rFonts w:ascii="Verdana" w:hAnsi="Verdana" w:cs="Times New Roman"/>
                <w:kern w:val="0"/>
                <w:sz w:val="18"/>
                <w:szCs w:val="18"/>
                <w14:ligatures w14:val="none"/>
              </w:rPr>
            </w:pPr>
          </w:p>
        </w:tc>
      </w:tr>
      <w:tr w:rsidR="00D55BC8" w:rsidRPr="00D55BC8" w14:paraId="472E23DC" w14:textId="77777777" w:rsidTr="00DB64E1">
        <w:trPr>
          <w:trHeight w:val="481"/>
        </w:trPr>
        <w:tc>
          <w:tcPr>
            <w:tcW w:w="1167" w:type="dxa"/>
            <w:tcBorders>
              <w:top w:val="single" w:sz="4" w:space="0" w:color="auto"/>
              <w:left w:val="single" w:sz="4" w:space="0" w:color="auto"/>
              <w:bottom w:val="single" w:sz="4" w:space="0" w:color="auto"/>
              <w:right w:val="single" w:sz="4" w:space="0" w:color="auto"/>
            </w:tcBorders>
          </w:tcPr>
          <w:p w14:paraId="709DBEC9" w14:textId="68083C52" w:rsidR="00D55BC8" w:rsidRPr="00D55BC8" w:rsidRDefault="00E3314D" w:rsidP="00D55BC8">
            <w:pPr>
              <w:spacing w:after="60" w:line="240" w:lineRule="auto"/>
              <w:rPr>
                <w:rFonts w:ascii="Verdana" w:eastAsia="Calibri" w:hAnsi="Verdana" w:cs="Times New Roman"/>
                <w:kern w:val="0"/>
                <w:sz w:val="18"/>
                <w:szCs w:val="18"/>
                <w:lang w:eastAsia="en-US"/>
                <w14:ligatures w14:val="none"/>
              </w:rPr>
            </w:pPr>
            <w:r>
              <w:rPr>
                <w:rFonts w:ascii="Verdana" w:eastAsia="Calibri" w:hAnsi="Verdana" w:cs="Times New Roman"/>
                <w:kern w:val="0"/>
                <w:sz w:val="18"/>
                <w:szCs w:val="18"/>
                <w:lang w:eastAsia="en-US"/>
                <w14:ligatures w14:val="none"/>
              </w:rPr>
              <w:t>Week 10</w:t>
            </w:r>
          </w:p>
        </w:tc>
        <w:tc>
          <w:tcPr>
            <w:tcW w:w="2372" w:type="dxa"/>
            <w:tcBorders>
              <w:top w:val="single" w:sz="4" w:space="0" w:color="auto"/>
              <w:left w:val="single" w:sz="4" w:space="0" w:color="auto"/>
              <w:bottom w:val="single" w:sz="4" w:space="0" w:color="auto"/>
              <w:right w:val="single" w:sz="4" w:space="0" w:color="auto"/>
            </w:tcBorders>
          </w:tcPr>
          <w:p w14:paraId="6EAD2AFD" w14:textId="132FC324"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 xml:space="preserve">In this lesson, </w:t>
            </w:r>
            <w:r w:rsidR="0051504B">
              <w:rPr>
                <w:rFonts w:ascii="Times New Roman" w:hAnsi="Times New Roman" w:cs="Times New Roman"/>
                <w:kern w:val="0"/>
                <w14:ligatures w14:val="none"/>
              </w:rPr>
              <w:t>i</w:t>
            </w:r>
            <w:r w:rsidRPr="00D55BC8">
              <w:rPr>
                <w:rFonts w:ascii="Times New Roman" w:hAnsi="Times New Roman" w:cs="Times New Roman"/>
                <w:kern w:val="0"/>
                <w14:ligatures w14:val="none"/>
              </w:rPr>
              <w:t xml:space="preserve"> reviewed key topics and prepared for the final assessment, linking all concepts back to the stakeholder engagement assignment.</w:t>
            </w:r>
          </w:p>
          <w:p w14:paraId="0457236D"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744" w:type="dxa"/>
            <w:tcBorders>
              <w:top w:val="single" w:sz="4" w:space="0" w:color="auto"/>
              <w:left w:val="single" w:sz="4" w:space="0" w:color="auto"/>
              <w:bottom w:val="single" w:sz="4" w:space="0" w:color="auto"/>
              <w:right w:val="single" w:sz="4" w:space="0" w:color="auto"/>
            </w:tcBorders>
          </w:tcPr>
          <w:p w14:paraId="1DF6B549"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I learned the importance of connecting different topics together to produce a well-structured and complete piece of work.</w:t>
            </w:r>
          </w:p>
          <w:p w14:paraId="1C957D33"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269" w:type="dxa"/>
            <w:tcBorders>
              <w:top w:val="single" w:sz="4" w:space="0" w:color="auto"/>
              <w:left w:val="single" w:sz="4" w:space="0" w:color="auto"/>
              <w:bottom w:val="single" w:sz="4" w:space="0" w:color="auto"/>
              <w:right w:val="single" w:sz="4" w:space="0" w:color="auto"/>
            </w:tcBorders>
          </w:tcPr>
          <w:p w14:paraId="2DF0D28A"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will apply this by reviewing my assignment carefully and ensuring all sections are clearly linked.</w:t>
            </w:r>
          </w:p>
          <w:p w14:paraId="0AC9B6C7"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c>
          <w:tcPr>
            <w:tcW w:w="3511" w:type="dxa"/>
            <w:tcBorders>
              <w:top w:val="single" w:sz="4" w:space="0" w:color="auto"/>
              <w:left w:val="single" w:sz="4" w:space="0" w:color="auto"/>
              <w:bottom w:val="single" w:sz="4" w:space="0" w:color="auto"/>
              <w:right w:val="single" w:sz="4" w:space="0" w:color="auto"/>
            </w:tcBorders>
          </w:tcPr>
          <w:p w14:paraId="77759E12" w14:textId="77777777" w:rsidR="00D55BC8" w:rsidRPr="00D55BC8" w:rsidRDefault="00D55BC8" w:rsidP="00D55BC8">
            <w:pPr>
              <w:spacing w:before="100" w:beforeAutospacing="1" w:after="100" w:afterAutospacing="1" w:line="240" w:lineRule="auto"/>
              <w:rPr>
                <w:rFonts w:ascii="Times New Roman" w:hAnsi="Times New Roman" w:cs="Times New Roman"/>
                <w:kern w:val="0"/>
                <w14:ligatures w14:val="none"/>
              </w:rPr>
            </w:pPr>
            <w:r w:rsidRPr="00D55BC8">
              <w:rPr>
                <w:rFonts w:ascii="Times New Roman" w:hAnsi="Times New Roman" w:cs="Times New Roman"/>
                <w:kern w:val="0"/>
                <w14:ligatures w14:val="none"/>
              </w:rPr>
              <w:t xml:space="preserve">will create a revision plan and check my work against the assessment criteria before </w:t>
            </w:r>
            <w:proofErr w:type="spellStart"/>
            <w:r w:rsidRPr="00D55BC8">
              <w:rPr>
                <w:rFonts w:ascii="Times New Roman" w:hAnsi="Times New Roman" w:cs="Times New Roman"/>
                <w:kern w:val="0"/>
                <w14:ligatures w14:val="none"/>
              </w:rPr>
              <w:t>submissio</w:t>
            </w:r>
            <w:proofErr w:type="spellEnd"/>
          </w:p>
          <w:p w14:paraId="763E1810" w14:textId="77777777" w:rsidR="00D55BC8" w:rsidRPr="00D55BC8" w:rsidRDefault="00D55BC8" w:rsidP="00D55BC8">
            <w:pPr>
              <w:spacing w:after="60" w:line="240" w:lineRule="auto"/>
              <w:rPr>
                <w:rFonts w:ascii="Verdana" w:eastAsia="Calibri" w:hAnsi="Verdana" w:cs="Times New Roman"/>
                <w:kern w:val="0"/>
                <w:sz w:val="18"/>
                <w:szCs w:val="18"/>
                <w:lang w:eastAsia="en-US"/>
                <w14:ligatures w14:val="none"/>
              </w:rPr>
            </w:pPr>
          </w:p>
        </w:tc>
      </w:tr>
    </w:tbl>
    <w:p w14:paraId="5022871D" w14:textId="77777777" w:rsidR="00D55BC8" w:rsidRPr="00D55BC8" w:rsidRDefault="00D55BC8" w:rsidP="00D55BC8">
      <w:pPr>
        <w:spacing w:after="60" w:line="240" w:lineRule="auto"/>
        <w:rPr>
          <w:rFonts w:ascii="Tahoma" w:eastAsia="Calibri" w:hAnsi="Tahoma" w:cs="Times New Roman"/>
          <w:kern w:val="0"/>
          <w:szCs w:val="22"/>
          <w:lang w:eastAsia="en-US"/>
          <w14:ligatures w14:val="none"/>
        </w:rPr>
      </w:pPr>
    </w:p>
    <w:p w14:paraId="0A0C117E" w14:textId="77777777" w:rsidR="00D55BC8" w:rsidRPr="00E401CB" w:rsidRDefault="00D55BC8" w:rsidP="00E401CB">
      <w:pPr>
        <w:spacing w:before="100" w:beforeAutospacing="1" w:after="100" w:afterAutospacing="1" w:line="240" w:lineRule="auto"/>
        <w:rPr>
          <w:rFonts w:asciiTheme="majorHAnsi" w:eastAsiaTheme="majorEastAsia" w:hAnsiTheme="majorHAnsi" w:cstheme="majorBidi"/>
          <w:kern w:val="0"/>
          <w14:ligatures w14:val="none"/>
        </w:rPr>
      </w:pPr>
    </w:p>
    <w:p w14:paraId="27313613" w14:textId="471107FE" w:rsidR="00E401CB" w:rsidRPr="00E401CB" w:rsidRDefault="00E401CB" w:rsidP="00E401CB">
      <w:pPr>
        <w:spacing w:after="0" w:line="240" w:lineRule="auto"/>
        <w:rPr>
          <w:rFonts w:ascii="Times New Roman" w:eastAsia="Times New Roman" w:hAnsi="Times New Roman" w:cs="Times New Roman"/>
          <w:kern w:val="0"/>
          <w14:ligatures w14:val="none"/>
        </w:rPr>
      </w:pPr>
    </w:p>
    <w:p w14:paraId="6CA1FBDB" w14:textId="77777777" w:rsidR="00E401CB" w:rsidRDefault="00E401CB"/>
    <w:sectPr w:rsidR="00E401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ACFF" w:usb2="00000009" w:usb3="00000000" w:csb0="000001FF" w:csb1="00000000"/>
  </w:font>
  <w:font w:name="Futura BT">
    <w:altName w:val="Century Gothic"/>
    <w:panose1 w:val="020B0604020202020204"/>
    <w:charset w:val="00"/>
    <w:family w:val="swiss"/>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onstantia">
    <w:panose1 w:val="02030602050306030303"/>
    <w:charset w:val="00"/>
    <w:family w:val="roman"/>
    <w:pitch w:val="variable"/>
    <w:sig w:usb0="A00002EF" w:usb1="4000204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a4vorJYb" int2:invalidationBookmarkName="" int2:hashCode="X4e4pItcQQSdMt" int2:id="URqoPhxW">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D13C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43514C"/>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C07A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49176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233045"/>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BF0734"/>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DC3528"/>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C33A7C"/>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2C6E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68753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C6012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0D7C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B821BA"/>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35F2B72"/>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7CD1DE7"/>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D100663"/>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E7573C9"/>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56C1B6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8B95BAD"/>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C6B26C3"/>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0441FD6"/>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0E56105"/>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4577E60"/>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6171A3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72640EC"/>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83E3FF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24B444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86F668B"/>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9FB4C39"/>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C363DA4"/>
    <w:multiLevelType w:val="multilevel"/>
    <w:tmpl w:val="5038EAD2"/>
    <w:lvl w:ilvl="0">
      <w:start w:val="4"/>
      <w:numFmt w:val="decimal"/>
      <w:lvlText w:val="%1."/>
      <w:lvlJc w:val="left"/>
      <w:pPr>
        <w:tabs>
          <w:tab w:val="num" w:pos="720"/>
        </w:tabs>
        <w:ind w:left="720" w:hanging="360"/>
      </w:pPr>
    </w:lvl>
    <w:lvl w:ilvl="1">
      <w:start w:val="1"/>
      <w:numFmt w:val="upperRoman"/>
      <w:lvlText w:val="%2."/>
      <w:lvlJc w:val="left"/>
      <w:pPr>
        <w:ind w:left="1800" w:hanging="72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C957FAD"/>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D0F44D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43348F4"/>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6AE6BD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98F5300"/>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BE213B7"/>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EB31C3C"/>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2A65A4F"/>
    <w:multiLevelType w:val="hybridMultilevel"/>
    <w:tmpl w:val="FFFFFFFF"/>
    <w:lvl w:ilvl="0" w:tplc="2F40FFA8">
      <w:start w:val="1"/>
      <w:numFmt w:val="bullet"/>
      <w:lvlText w:val=""/>
      <w:lvlJc w:val="left"/>
      <w:pPr>
        <w:ind w:left="720" w:hanging="360"/>
      </w:pPr>
      <w:rPr>
        <w:rFonts w:ascii="Symbol" w:hAnsi="Symbol" w:hint="default"/>
      </w:rPr>
    </w:lvl>
    <w:lvl w:ilvl="1" w:tplc="76D0AA48">
      <w:start w:val="1"/>
      <w:numFmt w:val="bullet"/>
      <w:lvlText w:val="o"/>
      <w:lvlJc w:val="left"/>
      <w:pPr>
        <w:ind w:left="1440" w:hanging="360"/>
      </w:pPr>
      <w:rPr>
        <w:rFonts w:ascii="Courier New" w:hAnsi="Courier New" w:hint="default"/>
      </w:rPr>
    </w:lvl>
    <w:lvl w:ilvl="2" w:tplc="F6BE9538">
      <w:start w:val="1"/>
      <w:numFmt w:val="bullet"/>
      <w:lvlText w:val=""/>
      <w:lvlJc w:val="left"/>
      <w:pPr>
        <w:ind w:left="2160" w:hanging="360"/>
      </w:pPr>
      <w:rPr>
        <w:rFonts w:ascii="Wingdings" w:hAnsi="Wingdings" w:hint="default"/>
      </w:rPr>
    </w:lvl>
    <w:lvl w:ilvl="3" w:tplc="038A4080">
      <w:start w:val="1"/>
      <w:numFmt w:val="bullet"/>
      <w:lvlText w:val=""/>
      <w:lvlJc w:val="left"/>
      <w:pPr>
        <w:ind w:left="2880" w:hanging="360"/>
      </w:pPr>
      <w:rPr>
        <w:rFonts w:ascii="Symbol" w:hAnsi="Symbol" w:hint="default"/>
      </w:rPr>
    </w:lvl>
    <w:lvl w:ilvl="4" w:tplc="E37EFA2A">
      <w:start w:val="1"/>
      <w:numFmt w:val="bullet"/>
      <w:lvlText w:val="o"/>
      <w:lvlJc w:val="left"/>
      <w:pPr>
        <w:ind w:left="3600" w:hanging="360"/>
      </w:pPr>
      <w:rPr>
        <w:rFonts w:ascii="Courier New" w:hAnsi="Courier New" w:hint="default"/>
      </w:rPr>
    </w:lvl>
    <w:lvl w:ilvl="5" w:tplc="A22274F6">
      <w:start w:val="1"/>
      <w:numFmt w:val="bullet"/>
      <w:lvlText w:val=""/>
      <w:lvlJc w:val="left"/>
      <w:pPr>
        <w:ind w:left="4320" w:hanging="360"/>
      </w:pPr>
      <w:rPr>
        <w:rFonts w:ascii="Wingdings" w:hAnsi="Wingdings" w:hint="default"/>
      </w:rPr>
    </w:lvl>
    <w:lvl w:ilvl="6" w:tplc="A5448F18">
      <w:start w:val="1"/>
      <w:numFmt w:val="bullet"/>
      <w:lvlText w:val=""/>
      <w:lvlJc w:val="left"/>
      <w:pPr>
        <w:ind w:left="5040" w:hanging="360"/>
      </w:pPr>
      <w:rPr>
        <w:rFonts w:ascii="Symbol" w:hAnsi="Symbol" w:hint="default"/>
      </w:rPr>
    </w:lvl>
    <w:lvl w:ilvl="7" w:tplc="16A8A13A">
      <w:start w:val="1"/>
      <w:numFmt w:val="bullet"/>
      <w:lvlText w:val="o"/>
      <w:lvlJc w:val="left"/>
      <w:pPr>
        <w:ind w:left="5760" w:hanging="360"/>
      </w:pPr>
      <w:rPr>
        <w:rFonts w:ascii="Courier New" w:hAnsi="Courier New" w:hint="default"/>
      </w:rPr>
    </w:lvl>
    <w:lvl w:ilvl="8" w:tplc="C136C71A">
      <w:start w:val="1"/>
      <w:numFmt w:val="bullet"/>
      <w:lvlText w:val=""/>
      <w:lvlJc w:val="left"/>
      <w:pPr>
        <w:ind w:left="6480" w:hanging="360"/>
      </w:pPr>
      <w:rPr>
        <w:rFonts w:ascii="Wingdings" w:hAnsi="Wingdings" w:hint="default"/>
      </w:rPr>
    </w:lvl>
  </w:abstractNum>
  <w:abstractNum w:abstractNumId="38" w15:restartNumberingAfterBreak="0">
    <w:nsid w:val="72F56843"/>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59D48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589080">
    <w:abstractNumId w:val="8"/>
  </w:num>
  <w:num w:numId="2" w16cid:durableId="1397969234">
    <w:abstractNumId w:val="11"/>
  </w:num>
  <w:num w:numId="3" w16cid:durableId="1422413600">
    <w:abstractNumId w:val="37"/>
  </w:num>
  <w:num w:numId="4" w16cid:durableId="1785146831">
    <w:abstractNumId w:val="39"/>
  </w:num>
  <w:num w:numId="5" w16cid:durableId="192037726">
    <w:abstractNumId w:val="0"/>
  </w:num>
  <w:num w:numId="6" w16cid:durableId="853569546">
    <w:abstractNumId w:val="2"/>
  </w:num>
  <w:num w:numId="7" w16cid:durableId="942762918">
    <w:abstractNumId w:val="9"/>
  </w:num>
  <w:num w:numId="8" w16cid:durableId="341007983">
    <w:abstractNumId w:val="38"/>
  </w:num>
  <w:num w:numId="9" w16cid:durableId="1619993488">
    <w:abstractNumId w:val="25"/>
  </w:num>
  <w:num w:numId="10" w16cid:durableId="1987198296">
    <w:abstractNumId w:val="6"/>
  </w:num>
  <w:num w:numId="11" w16cid:durableId="1805465655">
    <w:abstractNumId w:val="24"/>
  </w:num>
  <w:num w:numId="12" w16cid:durableId="159541529">
    <w:abstractNumId w:val="1"/>
  </w:num>
  <w:num w:numId="13" w16cid:durableId="1297180316">
    <w:abstractNumId w:val="31"/>
  </w:num>
  <w:num w:numId="14" w16cid:durableId="97868680">
    <w:abstractNumId w:val="32"/>
  </w:num>
  <w:num w:numId="15" w16cid:durableId="979773270">
    <w:abstractNumId w:val="18"/>
  </w:num>
  <w:num w:numId="16" w16cid:durableId="1621037403">
    <w:abstractNumId w:val="34"/>
  </w:num>
  <w:num w:numId="17" w16cid:durableId="2025861318">
    <w:abstractNumId w:val="3"/>
  </w:num>
  <w:num w:numId="18" w16cid:durableId="1113787448">
    <w:abstractNumId w:val="16"/>
  </w:num>
  <w:num w:numId="19" w16cid:durableId="1754626357">
    <w:abstractNumId w:val="36"/>
  </w:num>
  <w:num w:numId="20" w16cid:durableId="1559363626">
    <w:abstractNumId w:val="30"/>
  </w:num>
  <w:num w:numId="21" w16cid:durableId="1771579761">
    <w:abstractNumId w:val="10"/>
  </w:num>
  <w:num w:numId="22" w16cid:durableId="1832332613">
    <w:abstractNumId w:val="22"/>
  </w:num>
  <w:num w:numId="23" w16cid:durableId="1716076051">
    <w:abstractNumId w:val="13"/>
  </w:num>
  <w:num w:numId="24" w16cid:durableId="1428574954">
    <w:abstractNumId w:val="7"/>
  </w:num>
  <w:num w:numId="25" w16cid:durableId="1571190003">
    <w:abstractNumId w:val="26"/>
  </w:num>
  <w:num w:numId="26" w16cid:durableId="1852915830">
    <w:abstractNumId w:val="28"/>
  </w:num>
  <w:num w:numId="27" w16cid:durableId="954675394">
    <w:abstractNumId w:val="21"/>
  </w:num>
  <w:num w:numId="28" w16cid:durableId="307904057">
    <w:abstractNumId w:val="4"/>
  </w:num>
  <w:num w:numId="29" w16cid:durableId="644090345">
    <w:abstractNumId w:val="23"/>
  </w:num>
  <w:num w:numId="30" w16cid:durableId="1683899466">
    <w:abstractNumId w:val="14"/>
  </w:num>
  <w:num w:numId="31" w16cid:durableId="1964842601">
    <w:abstractNumId w:val="35"/>
  </w:num>
  <w:num w:numId="32" w16cid:durableId="50276418">
    <w:abstractNumId w:val="29"/>
  </w:num>
  <w:num w:numId="33" w16cid:durableId="1592665202">
    <w:abstractNumId w:val="33"/>
  </w:num>
  <w:num w:numId="34" w16cid:durableId="857426249">
    <w:abstractNumId w:val="19"/>
  </w:num>
  <w:num w:numId="35" w16cid:durableId="664017040">
    <w:abstractNumId w:val="15"/>
  </w:num>
  <w:num w:numId="36" w16cid:durableId="1097755608">
    <w:abstractNumId w:val="27"/>
  </w:num>
  <w:num w:numId="37" w16cid:durableId="907157316">
    <w:abstractNumId w:val="17"/>
  </w:num>
  <w:num w:numId="38" w16cid:durableId="585919490">
    <w:abstractNumId w:val="12"/>
  </w:num>
  <w:num w:numId="39" w16cid:durableId="363139218">
    <w:abstractNumId w:val="20"/>
  </w:num>
  <w:num w:numId="40" w16cid:durableId="19514267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1CB"/>
    <w:rsid w:val="000034D1"/>
    <w:rsid w:val="0002182B"/>
    <w:rsid w:val="000252F5"/>
    <w:rsid w:val="00071E05"/>
    <w:rsid w:val="00081931"/>
    <w:rsid w:val="00094567"/>
    <w:rsid w:val="0009475C"/>
    <w:rsid w:val="000C2344"/>
    <w:rsid w:val="000D187E"/>
    <w:rsid w:val="000D711B"/>
    <w:rsid w:val="00131140"/>
    <w:rsid w:val="001417DB"/>
    <w:rsid w:val="00153054"/>
    <w:rsid w:val="00163222"/>
    <w:rsid w:val="0016564C"/>
    <w:rsid w:val="00166C3B"/>
    <w:rsid w:val="001767B5"/>
    <w:rsid w:val="0017709C"/>
    <w:rsid w:val="0018010B"/>
    <w:rsid w:val="0018528D"/>
    <w:rsid w:val="00195668"/>
    <w:rsid w:val="001F00C5"/>
    <w:rsid w:val="00203C21"/>
    <w:rsid w:val="00237B6C"/>
    <w:rsid w:val="002400FA"/>
    <w:rsid w:val="002422E6"/>
    <w:rsid w:val="00244739"/>
    <w:rsid w:val="00251E59"/>
    <w:rsid w:val="00292546"/>
    <w:rsid w:val="002A05F1"/>
    <w:rsid w:val="002B3CE8"/>
    <w:rsid w:val="002F0496"/>
    <w:rsid w:val="00332BB4"/>
    <w:rsid w:val="00374F05"/>
    <w:rsid w:val="00391422"/>
    <w:rsid w:val="003953AA"/>
    <w:rsid w:val="003A5448"/>
    <w:rsid w:val="003B32EE"/>
    <w:rsid w:val="003C04D9"/>
    <w:rsid w:val="0041487D"/>
    <w:rsid w:val="00424F5F"/>
    <w:rsid w:val="00461D5F"/>
    <w:rsid w:val="004667B9"/>
    <w:rsid w:val="004A077E"/>
    <w:rsid w:val="004A71CF"/>
    <w:rsid w:val="0051504B"/>
    <w:rsid w:val="00523306"/>
    <w:rsid w:val="005514AE"/>
    <w:rsid w:val="00572E4F"/>
    <w:rsid w:val="005806B0"/>
    <w:rsid w:val="00620ABD"/>
    <w:rsid w:val="006228DE"/>
    <w:rsid w:val="0064754D"/>
    <w:rsid w:val="0065074A"/>
    <w:rsid w:val="00671E67"/>
    <w:rsid w:val="006C33E1"/>
    <w:rsid w:val="00715A59"/>
    <w:rsid w:val="00736DC8"/>
    <w:rsid w:val="007427A0"/>
    <w:rsid w:val="0074563F"/>
    <w:rsid w:val="00752742"/>
    <w:rsid w:val="0075699D"/>
    <w:rsid w:val="00766B54"/>
    <w:rsid w:val="00773989"/>
    <w:rsid w:val="007C7D88"/>
    <w:rsid w:val="007E0996"/>
    <w:rsid w:val="008057A9"/>
    <w:rsid w:val="0086460C"/>
    <w:rsid w:val="00890273"/>
    <w:rsid w:val="008C71E2"/>
    <w:rsid w:val="00910303"/>
    <w:rsid w:val="00910B2F"/>
    <w:rsid w:val="00972C82"/>
    <w:rsid w:val="009E6C45"/>
    <w:rsid w:val="00A01132"/>
    <w:rsid w:val="00A01A4C"/>
    <w:rsid w:val="00A1439B"/>
    <w:rsid w:val="00A74316"/>
    <w:rsid w:val="00AB6C33"/>
    <w:rsid w:val="00B10786"/>
    <w:rsid w:val="00B10E16"/>
    <w:rsid w:val="00B145B3"/>
    <w:rsid w:val="00B641EB"/>
    <w:rsid w:val="00BB159C"/>
    <w:rsid w:val="00BD2CE3"/>
    <w:rsid w:val="00BE580F"/>
    <w:rsid w:val="00C04EE9"/>
    <w:rsid w:val="00C154DD"/>
    <w:rsid w:val="00C209B9"/>
    <w:rsid w:val="00C27665"/>
    <w:rsid w:val="00C3164D"/>
    <w:rsid w:val="00C362EC"/>
    <w:rsid w:val="00CD0C4E"/>
    <w:rsid w:val="00CE1176"/>
    <w:rsid w:val="00D0530E"/>
    <w:rsid w:val="00D071A1"/>
    <w:rsid w:val="00D470B7"/>
    <w:rsid w:val="00D55BC8"/>
    <w:rsid w:val="00D9738D"/>
    <w:rsid w:val="00DA0576"/>
    <w:rsid w:val="00DA29A7"/>
    <w:rsid w:val="00DB40C7"/>
    <w:rsid w:val="00DD4657"/>
    <w:rsid w:val="00DD4FBA"/>
    <w:rsid w:val="00E125C7"/>
    <w:rsid w:val="00E3314D"/>
    <w:rsid w:val="00E401CB"/>
    <w:rsid w:val="00E71D40"/>
    <w:rsid w:val="00E9368A"/>
    <w:rsid w:val="00ED6053"/>
    <w:rsid w:val="00EE6FBD"/>
    <w:rsid w:val="00EF7F49"/>
    <w:rsid w:val="00F2470D"/>
    <w:rsid w:val="00F6126E"/>
    <w:rsid w:val="00FB1F02"/>
    <w:rsid w:val="00FF3386"/>
    <w:rsid w:val="01A7D549"/>
    <w:rsid w:val="0355A546"/>
    <w:rsid w:val="04281860"/>
    <w:rsid w:val="051D3FB5"/>
    <w:rsid w:val="05ECB8AD"/>
    <w:rsid w:val="0747F5C0"/>
    <w:rsid w:val="080FA034"/>
    <w:rsid w:val="085AA6EE"/>
    <w:rsid w:val="09CFE954"/>
    <w:rsid w:val="0CCD2B25"/>
    <w:rsid w:val="0E2956A0"/>
    <w:rsid w:val="10B1201D"/>
    <w:rsid w:val="11BAC37D"/>
    <w:rsid w:val="13A8950E"/>
    <w:rsid w:val="150DA877"/>
    <w:rsid w:val="15C69AE9"/>
    <w:rsid w:val="16E68948"/>
    <w:rsid w:val="18F295C1"/>
    <w:rsid w:val="19D5E0D2"/>
    <w:rsid w:val="1B5C88EB"/>
    <w:rsid w:val="1B7AEDA8"/>
    <w:rsid w:val="1C7CA747"/>
    <w:rsid w:val="1D3BFEF4"/>
    <w:rsid w:val="1E5A89AD"/>
    <w:rsid w:val="1EC49844"/>
    <w:rsid w:val="1FB583B7"/>
    <w:rsid w:val="21826F03"/>
    <w:rsid w:val="23D89911"/>
    <w:rsid w:val="23E5239D"/>
    <w:rsid w:val="245E9274"/>
    <w:rsid w:val="26E68D53"/>
    <w:rsid w:val="28C3B122"/>
    <w:rsid w:val="2B152EEB"/>
    <w:rsid w:val="2B5D6AD8"/>
    <w:rsid w:val="2C111D00"/>
    <w:rsid w:val="2C23BA52"/>
    <w:rsid w:val="2C33EFA6"/>
    <w:rsid w:val="300EDAB3"/>
    <w:rsid w:val="341D7F12"/>
    <w:rsid w:val="35A78D46"/>
    <w:rsid w:val="366986AE"/>
    <w:rsid w:val="3730BCFF"/>
    <w:rsid w:val="37D2EC42"/>
    <w:rsid w:val="39680A2F"/>
    <w:rsid w:val="3A5F3489"/>
    <w:rsid w:val="3AAA48D8"/>
    <w:rsid w:val="3E6FC480"/>
    <w:rsid w:val="3E9E426B"/>
    <w:rsid w:val="436DC203"/>
    <w:rsid w:val="4583BA84"/>
    <w:rsid w:val="460BBD98"/>
    <w:rsid w:val="4A9851E3"/>
    <w:rsid w:val="4E259DD0"/>
    <w:rsid w:val="506615F0"/>
    <w:rsid w:val="5220CC72"/>
    <w:rsid w:val="5280D53B"/>
    <w:rsid w:val="55CB6024"/>
    <w:rsid w:val="565B4235"/>
    <w:rsid w:val="5E1FB5A2"/>
    <w:rsid w:val="5F75FB4F"/>
    <w:rsid w:val="607B8B64"/>
    <w:rsid w:val="60B99E55"/>
    <w:rsid w:val="6109B97A"/>
    <w:rsid w:val="65C073C8"/>
    <w:rsid w:val="67FE76E5"/>
    <w:rsid w:val="682F2076"/>
    <w:rsid w:val="685166E7"/>
    <w:rsid w:val="686A8EC5"/>
    <w:rsid w:val="6D639DBC"/>
    <w:rsid w:val="6D6DB343"/>
    <w:rsid w:val="6FF1FB83"/>
    <w:rsid w:val="7077B1F3"/>
    <w:rsid w:val="73FDDD6E"/>
    <w:rsid w:val="7408CA20"/>
    <w:rsid w:val="75104C04"/>
    <w:rsid w:val="757636E9"/>
    <w:rsid w:val="788BA953"/>
    <w:rsid w:val="79072790"/>
    <w:rsid w:val="7C773138"/>
    <w:rsid w:val="7E95FE8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2612DF3"/>
  <w15:chartTrackingRefBased/>
  <w15:docId w15:val="{11289E6F-E305-4148-916D-B350FDC7B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401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E401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E401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E401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nhideWhenUsed/>
    <w:qFormat/>
    <w:rsid w:val="00E401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nhideWhenUsed/>
    <w:qFormat/>
    <w:rsid w:val="00E401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nhideWhenUsed/>
    <w:qFormat/>
    <w:rsid w:val="00E401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nhideWhenUsed/>
    <w:qFormat/>
    <w:rsid w:val="00E401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nhideWhenUsed/>
    <w:qFormat/>
    <w:rsid w:val="00E401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1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E401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01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1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1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1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1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1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1CB"/>
    <w:rPr>
      <w:rFonts w:eastAsiaTheme="majorEastAsia" w:cstheme="majorBidi"/>
      <w:color w:val="272727" w:themeColor="text1" w:themeTint="D8"/>
    </w:rPr>
  </w:style>
  <w:style w:type="paragraph" w:styleId="Title">
    <w:name w:val="Title"/>
    <w:basedOn w:val="Normal"/>
    <w:next w:val="Normal"/>
    <w:link w:val="TitleChar"/>
    <w:uiPriority w:val="10"/>
    <w:qFormat/>
    <w:rsid w:val="00E401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1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1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1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1CB"/>
    <w:pPr>
      <w:spacing w:before="160"/>
      <w:jc w:val="center"/>
    </w:pPr>
    <w:rPr>
      <w:i/>
      <w:iCs/>
      <w:color w:val="404040" w:themeColor="text1" w:themeTint="BF"/>
    </w:rPr>
  </w:style>
  <w:style w:type="character" w:customStyle="1" w:styleId="QuoteChar">
    <w:name w:val="Quote Char"/>
    <w:basedOn w:val="DefaultParagraphFont"/>
    <w:link w:val="Quote"/>
    <w:uiPriority w:val="29"/>
    <w:rsid w:val="00E401CB"/>
    <w:rPr>
      <w:i/>
      <w:iCs/>
      <w:color w:val="404040" w:themeColor="text1" w:themeTint="BF"/>
    </w:rPr>
  </w:style>
  <w:style w:type="paragraph" w:styleId="ListParagraph">
    <w:name w:val="List Paragraph"/>
    <w:basedOn w:val="Normal"/>
    <w:uiPriority w:val="34"/>
    <w:qFormat/>
    <w:rsid w:val="00E401CB"/>
    <w:pPr>
      <w:ind w:left="720"/>
      <w:contextualSpacing/>
    </w:pPr>
  </w:style>
  <w:style w:type="character" w:styleId="IntenseEmphasis">
    <w:name w:val="Intense Emphasis"/>
    <w:basedOn w:val="DefaultParagraphFont"/>
    <w:uiPriority w:val="21"/>
    <w:qFormat/>
    <w:rsid w:val="00E401CB"/>
    <w:rPr>
      <w:i/>
      <w:iCs/>
      <w:color w:val="0F4761" w:themeColor="accent1" w:themeShade="BF"/>
    </w:rPr>
  </w:style>
  <w:style w:type="paragraph" w:styleId="IntenseQuote">
    <w:name w:val="Intense Quote"/>
    <w:basedOn w:val="Normal"/>
    <w:next w:val="Normal"/>
    <w:link w:val="IntenseQuoteChar"/>
    <w:uiPriority w:val="30"/>
    <w:qFormat/>
    <w:rsid w:val="00E401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1CB"/>
    <w:rPr>
      <w:i/>
      <w:iCs/>
      <w:color w:val="0F4761" w:themeColor="accent1" w:themeShade="BF"/>
    </w:rPr>
  </w:style>
  <w:style w:type="character" w:styleId="IntenseReference">
    <w:name w:val="Intense Reference"/>
    <w:basedOn w:val="DefaultParagraphFont"/>
    <w:uiPriority w:val="32"/>
    <w:qFormat/>
    <w:rsid w:val="00E401CB"/>
    <w:rPr>
      <w:b/>
      <w:bCs/>
      <w:smallCaps/>
      <w:color w:val="0F4761" w:themeColor="accent1" w:themeShade="BF"/>
      <w:spacing w:val="5"/>
    </w:rPr>
  </w:style>
  <w:style w:type="paragraph" w:customStyle="1" w:styleId="p1">
    <w:name w:val="p1"/>
    <w:basedOn w:val="Normal"/>
    <w:rsid w:val="00E401CB"/>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401CB"/>
  </w:style>
  <w:style w:type="character" w:customStyle="1" w:styleId="s2">
    <w:name w:val="s2"/>
    <w:basedOn w:val="DefaultParagraphFont"/>
    <w:rsid w:val="00E401CB"/>
  </w:style>
  <w:style w:type="character" w:customStyle="1" w:styleId="s3">
    <w:name w:val="s3"/>
    <w:basedOn w:val="DefaultParagraphFont"/>
    <w:rsid w:val="00E401CB"/>
  </w:style>
  <w:style w:type="paragraph" w:customStyle="1" w:styleId="p3">
    <w:name w:val="p3"/>
    <w:basedOn w:val="Normal"/>
    <w:rsid w:val="00E401CB"/>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E401CB"/>
  </w:style>
  <w:style w:type="character" w:customStyle="1" w:styleId="s5">
    <w:name w:val="s5"/>
    <w:basedOn w:val="DefaultParagraphFont"/>
    <w:rsid w:val="00E401CB"/>
  </w:style>
  <w:style w:type="character" w:customStyle="1" w:styleId="s4">
    <w:name w:val="s4"/>
    <w:basedOn w:val="DefaultParagraphFont"/>
    <w:rsid w:val="00C3164D"/>
  </w:style>
  <w:style w:type="character" w:styleId="Hyperlink">
    <w:name w:val="Hyperlink"/>
    <w:basedOn w:val="DefaultParagraphFont"/>
    <w:uiPriority w:val="99"/>
    <w:unhideWhenUsed/>
    <w:rsid w:val="008057A9"/>
    <w:rPr>
      <w:color w:val="467886"/>
      <w:u w:val="single"/>
    </w:rPr>
  </w:style>
  <w:style w:type="paragraph" w:styleId="BodyText">
    <w:name w:val="Body Text"/>
    <w:basedOn w:val="Normal"/>
    <w:link w:val="BodyTextChar"/>
    <w:unhideWhenUsed/>
    <w:rsid w:val="00D55BC8"/>
    <w:pPr>
      <w:spacing w:after="120" w:line="240" w:lineRule="auto"/>
    </w:pPr>
    <w:rPr>
      <w:rFonts w:ascii="Tahoma" w:eastAsia="Calibri" w:hAnsi="Tahoma" w:cs="Times New Roman"/>
      <w:kern w:val="0"/>
      <w:szCs w:val="22"/>
      <w:lang w:eastAsia="en-US"/>
      <w14:ligatures w14:val="none"/>
    </w:rPr>
  </w:style>
  <w:style w:type="character" w:customStyle="1" w:styleId="BodyTextChar">
    <w:name w:val="Body Text Char"/>
    <w:basedOn w:val="DefaultParagraphFont"/>
    <w:link w:val="BodyText"/>
    <w:rsid w:val="00D55BC8"/>
    <w:rPr>
      <w:rFonts w:ascii="Tahoma" w:eastAsia="Calibri" w:hAnsi="Tahoma" w:cs="Times New Roman"/>
      <w:kern w:val="0"/>
      <w:szCs w:val="22"/>
      <w:lang w:eastAsia="en-US"/>
      <w14:ligatures w14:val="none"/>
    </w:rPr>
  </w:style>
  <w:style w:type="character" w:customStyle="1" w:styleId="A1">
    <w:name w:val="A1"/>
    <w:uiPriority w:val="99"/>
    <w:rsid w:val="00D55BC8"/>
    <w:rPr>
      <w:rFonts w:cs="Futura BT"/>
      <w:color w:val="000000"/>
      <w:sz w:val="22"/>
      <w:szCs w:val="22"/>
    </w:rPr>
  </w:style>
  <w:style w:type="paragraph" w:customStyle="1" w:styleId="Pa1">
    <w:name w:val="Pa1"/>
    <w:basedOn w:val="Normal"/>
    <w:next w:val="Normal"/>
    <w:uiPriority w:val="99"/>
    <w:rsid w:val="00D55BC8"/>
    <w:pPr>
      <w:autoSpaceDE w:val="0"/>
      <w:autoSpaceDN w:val="0"/>
      <w:adjustRightInd w:val="0"/>
      <w:spacing w:after="0" w:line="241" w:lineRule="atLeast"/>
    </w:pPr>
    <w:rPr>
      <w:rFonts w:ascii="Futura BT" w:eastAsia="Calibri" w:hAnsi="Futura BT"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google.com/search?q=Aubrey+L.+Mendelow&amp;rlz=1C1GCEA_enGB1204&amp;oq=who+created+the+power+i&amp;gs_lcrp=EgZjaHJvbWUqBwgAEAAYgAQyBwgAEAAYgAQyBwgBEAAYgAQyBggCEEUYOTIICAMQABgWGB4yCAgEEAAYFhgeMggIBRAAGBYYHjIICAYQABgWGB4yCAgHEAAYFhgeMggICBAAGBYYHjIICAkQABgWGB6oAgCwAgA&amp;sourceid=chrome&amp;ie=UTF-8&amp;sei=cPuraen3C4SFhbIP1I7S2AI&amp;ved=2ahUKEwi4rqnrx42TAxVIVUEAHV-oNlUQgK4QegYIAQgAEA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4575</Words>
  <Characters>26078</Characters>
  <Application>Microsoft Office Word</Application>
  <DocSecurity>0</DocSecurity>
  <Lines>217</Lines>
  <Paragraphs>61</Paragraphs>
  <ScaleCrop>false</ScaleCrop>
  <Company/>
  <LinksUpToDate>false</LinksUpToDate>
  <CharactersWithSpaces>30592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Huda Ibrahim (2329476)</dc:creator>
  <cp:keywords/>
  <dc:description/>
  <cp:lastModifiedBy>Huda Ibrahim (2329476)</cp:lastModifiedBy>
  <cp:revision>2</cp:revision>
  <dcterms:created xsi:type="dcterms:W3CDTF">2026-03-28T23:37:00Z</dcterms:created>
  <dcterms:modified xsi:type="dcterms:W3CDTF">2026-03-28T23:37:00Z</dcterms:modified>
</cp:coreProperties>
</file>