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1A89" w:rsidRDefault="00E81A89" w:rsidP="00E81A89">
      <w:pPr>
        <w:pStyle w:val="NoSpacing"/>
        <w:spacing w:after="80"/>
        <w:jc w:val="center"/>
        <w:rPr>
          <w:rFonts w:ascii="Garamond" w:hAnsi="Garamond"/>
          <w:b/>
          <w:sz w:val="20"/>
          <w:szCs w:val="24"/>
        </w:rPr>
      </w:pPr>
      <w:r w:rsidRPr="00A93B99">
        <w:rPr>
          <w:rFonts w:ascii="Garamond" w:hAnsi="Garamond"/>
          <w:b/>
          <w:szCs w:val="24"/>
        </w:rPr>
        <w:t>HISTORICAL, POLITICAL AND ECONOMIC CONTEXTS</w:t>
      </w:r>
      <w:r w:rsidRPr="00A93B99">
        <w:rPr>
          <w:rFonts w:ascii="Garamond" w:hAnsi="Garamond"/>
          <w:b/>
          <w:sz w:val="20"/>
          <w:szCs w:val="24"/>
        </w:rPr>
        <w:t xml:space="preserve"> </w:t>
      </w:r>
      <w:r>
        <w:rPr>
          <w:rFonts w:ascii="Garamond" w:hAnsi="Garamond"/>
          <w:b/>
          <w:sz w:val="20"/>
          <w:szCs w:val="24"/>
        </w:rPr>
        <w:t>FOR ‘A MODEST PROPOSAL’</w:t>
      </w:r>
    </w:p>
    <w:p w:rsidR="00CD7FA5" w:rsidRPr="00E81A89" w:rsidRDefault="00E81A89" w:rsidP="00E81A89">
      <w:pPr>
        <w:pStyle w:val="NoSpacing"/>
        <w:numPr>
          <w:ilvl w:val="0"/>
          <w:numId w:val="1"/>
        </w:numPr>
        <w:spacing w:after="80"/>
        <w:rPr>
          <w:rFonts w:ascii="Garamond" w:hAnsi="Garamond"/>
          <w:b/>
          <w:szCs w:val="24"/>
        </w:rPr>
      </w:pPr>
      <w:r w:rsidRPr="00E81A89">
        <w:rPr>
          <w:rFonts w:ascii="Garamond" w:hAnsi="Garamond"/>
          <w:b/>
          <w:szCs w:val="24"/>
        </w:rPr>
        <w:t>Debates about the nature of irony</w:t>
      </w:r>
    </w:p>
    <w:p w:rsidR="00480417" w:rsidRPr="00A93B99" w:rsidRDefault="00CC5715" w:rsidP="00A93B99">
      <w:pPr>
        <w:pStyle w:val="NoSpacing"/>
        <w:spacing w:after="80"/>
        <w:rPr>
          <w:rFonts w:ascii="Garamond" w:hAnsi="Garamond"/>
          <w:szCs w:val="24"/>
        </w:rPr>
      </w:pPr>
      <w:r w:rsidRPr="00A93B99">
        <w:rPr>
          <w:rFonts w:ascii="Garamond" w:hAnsi="Garamond"/>
          <w:i/>
          <w:szCs w:val="24"/>
        </w:rPr>
        <w:t xml:space="preserve">A Modest </w:t>
      </w:r>
      <w:proofErr w:type="gramStart"/>
      <w:r w:rsidRPr="00A93B99">
        <w:rPr>
          <w:rFonts w:ascii="Garamond" w:hAnsi="Garamond"/>
          <w:i/>
          <w:szCs w:val="24"/>
        </w:rPr>
        <w:t>Proposal</w:t>
      </w:r>
      <w:r w:rsidRPr="00A93B99">
        <w:rPr>
          <w:rFonts w:ascii="Garamond" w:hAnsi="Garamond"/>
          <w:szCs w:val="24"/>
        </w:rPr>
        <w:t xml:space="preserve">, </w:t>
      </w:r>
      <w:r w:rsidR="00CD7FA5" w:rsidRPr="00A93B99">
        <w:rPr>
          <w:rFonts w:ascii="Garamond" w:hAnsi="Garamond"/>
          <w:szCs w:val="24"/>
        </w:rPr>
        <w:t>...</w:t>
      </w:r>
      <w:proofErr w:type="gramEnd"/>
      <w:r w:rsidRPr="00A93B99">
        <w:rPr>
          <w:rFonts w:ascii="Garamond" w:hAnsi="Garamond"/>
          <w:szCs w:val="24"/>
        </w:rPr>
        <w:t xml:space="preserve"> has been regarded as a masterpiece of irony and satire, for instance, by critics such as </w:t>
      </w:r>
      <w:proofErr w:type="spellStart"/>
      <w:r w:rsidRPr="00A93B99">
        <w:rPr>
          <w:rFonts w:ascii="Garamond" w:hAnsi="Garamond"/>
          <w:szCs w:val="24"/>
        </w:rPr>
        <w:t>Rowse</w:t>
      </w:r>
      <w:proofErr w:type="spellEnd"/>
      <w:r w:rsidRPr="00A93B99">
        <w:rPr>
          <w:rFonts w:ascii="Garamond" w:hAnsi="Garamond"/>
          <w:szCs w:val="24"/>
        </w:rPr>
        <w:t xml:space="preserve"> (1975), Ward (1973), Speck (1969) or Davis (1964, 1947).</w:t>
      </w:r>
      <w:r w:rsidR="00CD7FA5" w:rsidRPr="00A93B99">
        <w:rPr>
          <w:rFonts w:ascii="Garamond" w:hAnsi="Garamond"/>
          <w:szCs w:val="24"/>
        </w:rPr>
        <w:t>...</w:t>
      </w:r>
      <w:r w:rsidRPr="00A93B99">
        <w:rPr>
          <w:rFonts w:ascii="Garamond" w:hAnsi="Garamond"/>
          <w:szCs w:val="24"/>
        </w:rPr>
        <w:t xml:space="preserve"> Two of the most outstanding pragmatic approaches to irony–namely, </w:t>
      </w:r>
      <w:proofErr w:type="spellStart"/>
      <w:r w:rsidRPr="00A93B99">
        <w:rPr>
          <w:rFonts w:ascii="Garamond" w:hAnsi="Garamond"/>
          <w:szCs w:val="24"/>
        </w:rPr>
        <w:t>Sperber</w:t>
      </w:r>
      <w:proofErr w:type="spellEnd"/>
      <w:r w:rsidRPr="00A93B99">
        <w:rPr>
          <w:rFonts w:ascii="Garamond" w:hAnsi="Garamond"/>
          <w:szCs w:val="24"/>
        </w:rPr>
        <w:t xml:space="preserve"> and Wilson’s relevance-theoretical account of irony as echoic mention, on the one hand, and Clark and </w:t>
      </w:r>
      <w:proofErr w:type="spellStart"/>
      <w:r w:rsidRPr="00A93B99">
        <w:rPr>
          <w:rFonts w:ascii="Garamond" w:hAnsi="Garamond"/>
          <w:szCs w:val="24"/>
        </w:rPr>
        <w:t>Gerrig’s</w:t>
      </w:r>
      <w:proofErr w:type="spellEnd"/>
      <w:r w:rsidRPr="00A93B99">
        <w:rPr>
          <w:rFonts w:ascii="Garamond" w:hAnsi="Garamond"/>
          <w:szCs w:val="24"/>
        </w:rPr>
        <w:t xml:space="preserve"> </w:t>
      </w:r>
      <w:proofErr w:type="spellStart"/>
      <w:r w:rsidRPr="00A93B99">
        <w:rPr>
          <w:rFonts w:ascii="Garamond" w:hAnsi="Garamond"/>
          <w:szCs w:val="24"/>
        </w:rPr>
        <w:t>pretense</w:t>
      </w:r>
      <w:proofErr w:type="spellEnd"/>
      <w:r w:rsidRPr="00A93B99">
        <w:rPr>
          <w:rFonts w:ascii="Garamond" w:hAnsi="Garamond"/>
          <w:szCs w:val="24"/>
        </w:rPr>
        <w:t xml:space="preserve"> theory of irony, on the other hand–have precisely dwelled on this work to demonstrate or else refute their main contentions to account for this resource in pragmatic terms</w:t>
      </w:r>
    </w:p>
    <w:p w:rsidR="00CD7FA5" w:rsidRPr="00A93B99" w:rsidRDefault="00CC5715" w:rsidP="00A93B99">
      <w:pPr>
        <w:pStyle w:val="NoSpacing"/>
        <w:spacing w:after="80"/>
        <w:rPr>
          <w:rFonts w:ascii="Garamond" w:hAnsi="Garamond"/>
          <w:b/>
          <w:szCs w:val="24"/>
        </w:rPr>
      </w:pPr>
      <w:r w:rsidRPr="00A93B99">
        <w:rPr>
          <w:rFonts w:ascii="Garamond" w:hAnsi="Garamond"/>
          <w:szCs w:val="24"/>
        </w:rPr>
        <w:t xml:space="preserve">The debate was opened by the forerunners of </w:t>
      </w:r>
      <w:proofErr w:type="spellStart"/>
      <w:r w:rsidRPr="00A93B99">
        <w:rPr>
          <w:rFonts w:ascii="Garamond" w:hAnsi="Garamond"/>
          <w:szCs w:val="24"/>
        </w:rPr>
        <w:t>pretense</w:t>
      </w:r>
      <w:proofErr w:type="spellEnd"/>
      <w:r w:rsidRPr="00A93B99">
        <w:rPr>
          <w:rFonts w:ascii="Garamond" w:hAnsi="Garamond"/>
          <w:szCs w:val="24"/>
        </w:rPr>
        <w:t xml:space="preserve"> theory, (Clark and </w:t>
      </w:r>
      <w:proofErr w:type="spellStart"/>
      <w:r w:rsidRPr="00A93B99">
        <w:rPr>
          <w:rFonts w:ascii="Garamond" w:hAnsi="Garamond"/>
          <w:szCs w:val="24"/>
        </w:rPr>
        <w:t>Gerrig</w:t>
      </w:r>
      <w:proofErr w:type="spellEnd"/>
      <w:r w:rsidRPr="00A93B99">
        <w:rPr>
          <w:rFonts w:ascii="Garamond" w:hAnsi="Garamond"/>
          <w:szCs w:val="24"/>
        </w:rPr>
        <w:t xml:space="preserve"> 1984). </w:t>
      </w:r>
      <w:proofErr w:type="spellStart"/>
      <w:r w:rsidRPr="00A93B99">
        <w:rPr>
          <w:rFonts w:ascii="Garamond" w:hAnsi="Garamond"/>
          <w:szCs w:val="24"/>
          <w:u w:val="single"/>
        </w:rPr>
        <w:t>Sperber</w:t>
      </w:r>
      <w:proofErr w:type="spellEnd"/>
      <w:r w:rsidRPr="00A93B99">
        <w:rPr>
          <w:rFonts w:ascii="Garamond" w:hAnsi="Garamond"/>
          <w:szCs w:val="24"/>
          <w:u w:val="single"/>
        </w:rPr>
        <w:t xml:space="preserve"> and Wilson (1981, 1978) had claimed that irony could be accounted for in terms of the speaker’s distance from what the content of the utterance was about. In other words, they claimed that, on being ironic, the speaker meant to echo the propositional content of her utterance</w:t>
      </w:r>
      <w:r w:rsidRPr="00A93B99">
        <w:rPr>
          <w:rFonts w:ascii="Garamond" w:hAnsi="Garamond"/>
          <w:szCs w:val="24"/>
        </w:rPr>
        <w:t xml:space="preserve">. When trying to criticise such an approach, Clark and </w:t>
      </w:r>
      <w:proofErr w:type="spellStart"/>
      <w:r w:rsidRPr="00A93B99">
        <w:rPr>
          <w:rFonts w:ascii="Garamond" w:hAnsi="Garamond"/>
          <w:szCs w:val="24"/>
        </w:rPr>
        <w:t>Gerrig</w:t>
      </w:r>
      <w:proofErr w:type="spellEnd"/>
      <w:r w:rsidRPr="00A93B99">
        <w:rPr>
          <w:rFonts w:ascii="Garamond" w:hAnsi="Garamond"/>
          <w:szCs w:val="24"/>
        </w:rPr>
        <w:t xml:space="preserve"> (1984) referred to Swift’s </w:t>
      </w:r>
      <w:r w:rsidRPr="00A93B99">
        <w:rPr>
          <w:rFonts w:ascii="Garamond" w:hAnsi="Garamond"/>
          <w:i/>
          <w:szCs w:val="24"/>
        </w:rPr>
        <w:t>A Modest Proposal</w:t>
      </w:r>
      <w:r w:rsidRPr="00A93B99">
        <w:rPr>
          <w:rFonts w:ascii="Garamond" w:hAnsi="Garamond"/>
          <w:szCs w:val="24"/>
        </w:rPr>
        <w:t xml:space="preserve"> and claimed that the work could not be accounted for in terms of echoic mention. Instead, </w:t>
      </w:r>
      <w:r w:rsidRPr="00A93B99">
        <w:rPr>
          <w:rFonts w:ascii="Garamond" w:hAnsi="Garamond"/>
          <w:szCs w:val="24"/>
          <w:u w:val="single"/>
        </w:rPr>
        <w:t xml:space="preserve">Clark and </w:t>
      </w:r>
      <w:proofErr w:type="spellStart"/>
      <w:r w:rsidRPr="00A93B99">
        <w:rPr>
          <w:rFonts w:ascii="Garamond" w:hAnsi="Garamond"/>
          <w:szCs w:val="24"/>
          <w:u w:val="single"/>
        </w:rPr>
        <w:t>Gerrig</w:t>
      </w:r>
      <w:proofErr w:type="spellEnd"/>
      <w:r w:rsidRPr="00A93B99">
        <w:rPr>
          <w:rFonts w:ascii="Garamond" w:hAnsi="Garamond"/>
          <w:szCs w:val="24"/>
          <w:u w:val="single"/>
        </w:rPr>
        <w:t xml:space="preserve"> suggested that in Swift’s (1729) work the speaker pretended to be somebody injudicious, who was to be identified as other than himself. </w:t>
      </w:r>
    </w:p>
    <w:p w:rsidR="00A93B99" w:rsidRPr="00A93B99" w:rsidRDefault="00A93B99" w:rsidP="00E81A89">
      <w:pPr>
        <w:pStyle w:val="NoSpacing"/>
        <w:numPr>
          <w:ilvl w:val="0"/>
          <w:numId w:val="1"/>
        </w:numPr>
        <w:spacing w:after="80"/>
        <w:rPr>
          <w:rFonts w:ascii="Garamond" w:hAnsi="Garamond"/>
          <w:b/>
          <w:szCs w:val="24"/>
        </w:rPr>
      </w:pPr>
      <w:r w:rsidRPr="00A93B99">
        <w:rPr>
          <w:rFonts w:ascii="Garamond" w:hAnsi="Garamond"/>
          <w:b/>
          <w:szCs w:val="24"/>
        </w:rPr>
        <w:t>Ownership of property and legal rights</w:t>
      </w:r>
      <w:r w:rsidR="00E81A89">
        <w:rPr>
          <w:rFonts w:ascii="Garamond" w:hAnsi="Garamond"/>
          <w:b/>
          <w:szCs w:val="24"/>
        </w:rPr>
        <w:t xml:space="preserve"> </w:t>
      </w:r>
      <w:r w:rsidRPr="00A93B99">
        <w:rPr>
          <w:rFonts w:ascii="Garamond" w:hAnsi="Garamond"/>
          <w:b/>
          <w:szCs w:val="24"/>
        </w:rPr>
        <w:t xml:space="preserve">  </w:t>
      </w:r>
      <w:r w:rsidR="00E81A89">
        <w:rPr>
          <w:rFonts w:ascii="Garamond" w:hAnsi="Garamond"/>
          <w:b/>
          <w:szCs w:val="24"/>
        </w:rPr>
        <w:t xml:space="preserve"> </w:t>
      </w:r>
    </w:p>
    <w:p w:rsidR="00E368CA" w:rsidRPr="00A93B99" w:rsidRDefault="00E368CA" w:rsidP="00A93B99">
      <w:pPr>
        <w:pStyle w:val="NoSpacing"/>
        <w:spacing w:after="80"/>
        <w:rPr>
          <w:rFonts w:ascii="Garamond" w:hAnsi="Garamond"/>
          <w:szCs w:val="24"/>
        </w:rPr>
      </w:pPr>
      <w:r w:rsidRPr="00A93B99">
        <w:rPr>
          <w:rFonts w:ascii="Garamond" w:hAnsi="Garamond"/>
          <w:szCs w:val="24"/>
        </w:rPr>
        <w:t xml:space="preserve">After many complex episodes in the history of the status between Ireland and Britain throughout history, </w:t>
      </w:r>
      <w:r w:rsidRPr="00A93B99">
        <w:rPr>
          <w:rFonts w:ascii="Garamond" w:hAnsi="Garamond"/>
          <w:szCs w:val="24"/>
          <w:u w:val="single"/>
        </w:rPr>
        <w:t>the situation worsens significantly at Swift’s time, during the late seventeenth and eighteenth centuries</w:t>
      </w:r>
      <w:r w:rsidRPr="00A93B99">
        <w:rPr>
          <w:rFonts w:ascii="Garamond" w:hAnsi="Garamond"/>
          <w:szCs w:val="24"/>
        </w:rPr>
        <w:t xml:space="preserve">. Thus, at the reign of Charles I (1625-1649), the native Irish population were already deeply upset about the land policy of </w:t>
      </w:r>
      <w:r w:rsidRPr="00A93B99">
        <w:rPr>
          <w:rFonts w:ascii="Garamond" w:hAnsi="Garamond"/>
          <w:szCs w:val="24"/>
          <w:u w:val="single"/>
        </w:rPr>
        <w:t>successive governments, who had confiscated their lands and handed them over to English landlords</w:t>
      </w:r>
      <w:r w:rsidRPr="00A93B99">
        <w:rPr>
          <w:rFonts w:ascii="Garamond" w:hAnsi="Garamond"/>
          <w:szCs w:val="24"/>
        </w:rPr>
        <w:t xml:space="preserve"> (</w:t>
      </w:r>
      <w:r w:rsidRPr="00A93B99">
        <w:rPr>
          <w:rFonts w:ascii="Garamond" w:hAnsi="Garamond"/>
          <w:i/>
          <w:szCs w:val="24"/>
        </w:rPr>
        <w:t>Act for the Settlement of Ireland</w:t>
      </w:r>
      <w:r w:rsidRPr="00A93B99">
        <w:rPr>
          <w:rFonts w:ascii="Garamond" w:hAnsi="Garamond"/>
          <w:szCs w:val="24"/>
        </w:rPr>
        <w:t xml:space="preserve">, 1652). Besides, </w:t>
      </w:r>
      <w:r w:rsidRPr="00A93B99">
        <w:rPr>
          <w:rFonts w:ascii="Garamond" w:hAnsi="Garamond"/>
          <w:szCs w:val="24"/>
          <w:u w:val="single"/>
        </w:rPr>
        <w:t>the Irish had also been forbidden to practise their Catholic religion</w:t>
      </w:r>
      <w:r w:rsidRPr="00A93B99">
        <w:rPr>
          <w:rFonts w:ascii="Garamond" w:hAnsi="Garamond"/>
          <w:szCs w:val="24"/>
        </w:rPr>
        <w:t xml:space="preserve">. </w:t>
      </w:r>
      <w:proofErr w:type="gramStart"/>
      <w:r w:rsidRPr="00A93B99">
        <w:rPr>
          <w:rFonts w:ascii="Garamond" w:hAnsi="Garamond"/>
          <w:szCs w:val="24"/>
        </w:rPr>
        <w:t>Then, during Cromwell’s ruling (1653-1658), the subjugation of Ireland had been seen as the first step in the reconstitution of the British Empire by the Republican Government.</w:t>
      </w:r>
      <w:proofErr w:type="gramEnd"/>
      <w:r w:rsidRPr="00A93B99">
        <w:rPr>
          <w:rFonts w:ascii="Garamond" w:hAnsi="Garamond"/>
          <w:szCs w:val="24"/>
        </w:rPr>
        <w:t xml:space="preserve"> The transference of the Irish soil to British landlords continued. After the death of Cromwell in 1658, Charles II, –son of Charles I, whom Cromwell had fought against and executed–was brought back to the throne. Such a situation immediately raised crucial questions about the ownership of the land: Whom did the land belong to, whether to the formerly dispossessed and often exiled lords who had been faithful to the crown, or to the </w:t>
      </w:r>
      <w:proofErr w:type="spellStart"/>
      <w:r w:rsidRPr="00A93B99">
        <w:rPr>
          <w:rFonts w:ascii="Garamond" w:hAnsi="Garamond"/>
          <w:szCs w:val="24"/>
        </w:rPr>
        <w:t>Cromwellians</w:t>
      </w:r>
      <w:proofErr w:type="spellEnd"/>
      <w:r w:rsidRPr="00A93B99">
        <w:rPr>
          <w:rFonts w:ascii="Garamond" w:hAnsi="Garamond"/>
          <w:szCs w:val="24"/>
        </w:rPr>
        <w:t xml:space="preserve"> who had been given it? </w:t>
      </w:r>
    </w:p>
    <w:p w:rsidR="00E368CA" w:rsidRPr="00A93B99" w:rsidRDefault="00E368CA" w:rsidP="00A93B99">
      <w:pPr>
        <w:pStyle w:val="NoSpacing"/>
        <w:spacing w:after="80"/>
        <w:rPr>
          <w:rFonts w:ascii="Garamond" w:hAnsi="Garamond"/>
          <w:szCs w:val="24"/>
        </w:rPr>
      </w:pPr>
      <w:r w:rsidRPr="00A93B99">
        <w:rPr>
          <w:rFonts w:ascii="Garamond" w:hAnsi="Garamond"/>
          <w:szCs w:val="24"/>
        </w:rPr>
        <w:t xml:space="preserve">At the Revolution of 1668, Ireland had supported the Catholic King James II, eventually defeated. During his kingship, the Catholic Irish had hoped for a restoration of formerly confiscated lands and estates. However, </w:t>
      </w:r>
      <w:r w:rsidRPr="00A93B99">
        <w:rPr>
          <w:rFonts w:ascii="Garamond" w:hAnsi="Garamond"/>
          <w:szCs w:val="24"/>
          <w:u w:val="single"/>
        </w:rPr>
        <w:t>after the Revolution, the Irish were strongly subjected and the English rule was restored in Ireland at the time of William of Orange</w:t>
      </w:r>
      <w:r w:rsidRPr="00A93B99">
        <w:rPr>
          <w:rFonts w:ascii="Garamond" w:hAnsi="Garamond"/>
          <w:szCs w:val="24"/>
        </w:rPr>
        <w:t xml:space="preserve">. Every act passed placed the Catholics in Ireland under all kinds of possible social and political disadvantage and discrimination. Besides, Ireland became a battlefield in a war that eventually became European, as the King of France decided to support James II against William III. </w:t>
      </w:r>
      <w:r w:rsidRPr="00A93B99">
        <w:rPr>
          <w:rFonts w:ascii="Garamond" w:hAnsi="Garamond"/>
          <w:szCs w:val="24"/>
          <w:u w:val="single"/>
        </w:rPr>
        <w:t>The Treaty of Limerick put an end to the war in 1691,</w:t>
      </w:r>
      <w:r w:rsidRPr="00A93B99">
        <w:rPr>
          <w:rFonts w:ascii="Garamond" w:hAnsi="Garamond"/>
          <w:szCs w:val="24"/>
        </w:rPr>
        <w:t xml:space="preserve"> even though the Parliament refused to ratify its civil terms. Instead, a </w:t>
      </w:r>
      <w:r w:rsidRPr="00A93B99">
        <w:rPr>
          <w:rFonts w:ascii="Garamond" w:hAnsi="Garamond"/>
          <w:szCs w:val="24"/>
          <w:u w:val="single"/>
        </w:rPr>
        <w:t>system was devised to exclude Roman Catholics from property, power and influence as well as to exert pressure upon them to accept and conform to the Protestant faith</w:t>
      </w:r>
      <w:r w:rsidRPr="00A93B99">
        <w:rPr>
          <w:rFonts w:ascii="Garamond" w:hAnsi="Garamond"/>
          <w:szCs w:val="24"/>
        </w:rPr>
        <w:t xml:space="preserve">. Whereas </w:t>
      </w:r>
      <w:r w:rsidRPr="00A93B99">
        <w:rPr>
          <w:rFonts w:ascii="Garamond" w:hAnsi="Garamond"/>
          <w:b/>
          <w:szCs w:val="24"/>
        </w:rPr>
        <w:t>at the time of Charles I (1641), the Irish Catholics had owned half of the land, they kept only a fifth part after Limerick.</w:t>
      </w:r>
      <w:r w:rsidRPr="00A93B99">
        <w:rPr>
          <w:rFonts w:ascii="Garamond" w:hAnsi="Garamond"/>
          <w:szCs w:val="24"/>
        </w:rPr>
        <w:t xml:space="preserve"> This would also have particularly detrimental political consequences for the Irish, as the </w:t>
      </w:r>
      <w:r w:rsidRPr="00A93B99">
        <w:rPr>
          <w:rFonts w:ascii="Garamond" w:hAnsi="Garamond"/>
          <w:szCs w:val="24"/>
          <w:u w:val="single"/>
        </w:rPr>
        <w:t>access to public posts depended on the possession of land</w:t>
      </w:r>
      <w:r w:rsidRPr="00A93B99">
        <w:rPr>
          <w:rFonts w:ascii="Garamond" w:hAnsi="Garamond"/>
          <w:szCs w:val="24"/>
        </w:rPr>
        <w:t xml:space="preserve">. Even as late as by the end of the eighteenth century, there </w:t>
      </w:r>
      <w:proofErr w:type="gramStart"/>
      <w:r w:rsidRPr="00A93B99">
        <w:rPr>
          <w:rFonts w:ascii="Garamond" w:hAnsi="Garamond"/>
          <w:szCs w:val="24"/>
        </w:rPr>
        <w:t>were</w:t>
      </w:r>
      <w:proofErr w:type="gramEnd"/>
      <w:r w:rsidRPr="00A93B99">
        <w:rPr>
          <w:rFonts w:ascii="Garamond" w:hAnsi="Garamond"/>
          <w:szCs w:val="24"/>
        </w:rPr>
        <w:t xml:space="preserve"> still being confiscations of land. As a result of all that has been noted, </w:t>
      </w:r>
      <w:r w:rsidRPr="00A93B99">
        <w:rPr>
          <w:rFonts w:ascii="Garamond" w:hAnsi="Garamond"/>
          <w:b/>
          <w:szCs w:val="24"/>
        </w:rPr>
        <w:t>more than eighty per cent of the land of Ireland had changed hands within about a hundred years</w:t>
      </w:r>
      <w:r w:rsidRPr="00A93B99">
        <w:rPr>
          <w:rFonts w:ascii="Garamond" w:hAnsi="Garamond"/>
          <w:szCs w:val="24"/>
        </w:rPr>
        <w:t xml:space="preserve">. In the process a </w:t>
      </w:r>
      <w:r w:rsidRPr="00A93B99">
        <w:rPr>
          <w:rFonts w:ascii="Garamond" w:hAnsi="Garamond"/>
          <w:szCs w:val="24"/>
          <w:u w:val="single"/>
        </w:rPr>
        <w:t>whole new class of land owners became established as the ruling class, who are named as “the Protestant Ascendancy”. What is even worse, the minority made up by Irish landlords tended to be absentees and live in England</w:t>
      </w:r>
      <w:r w:rsidRPr="00A93B99">
        <w:rPr>
          <w:rFonts w:ascii="Garamond" w:hAnsi="Garamond"/>
          <w:szCs w:val="24"/>
        </w:rPr>
        <w:t xml:space="preserve">. </w:t>
      </w:r>
    </w:p>
    <w:p w:rsidR="00A93B99" w:rsidRPr="00A93B99" w:rsidRDefault="00E368CA" w:rsidP="00A93B99">
      <w:pPr>
        <w:pStyle w:val="NoSpacing"/>
        <w:spacing w:after="80"/>
        <w:rPr>
          <w:rFonts w:ascii="Garamond" w:hAnsi="Garamond"/>
          <w:szCs w:val="24"/>
          <w:u w:val="single"/>
        </w:rPr>
      </w:pPr>
      <w:r w:rsidRPr="00A93B99">
        <w:rPr>
          <w:rFonts w:ascii="Garamond" w:hAnsi="Garamond"/>
          <w:szCs w:val="24"/>
          <w:u w:val="single"/>
        </w:rPr>
        <w:t>Even after the Treaty  of Limerick (1691), between 1697 and 1746, the Irish parliament passed a series of laws, known as the “popery laws” or “penal laws”, which restricted to Anglican Protestants the power, property and privilege of the country, thus excluding Catholics from most public office. They were deprived of any civil rights and their participation in politics was also forbidden.</w:t>
      </w:r>
      <w:r w:rsidRPr="00A93B99">
        <w:rPr>
          <w:rFonts w:ascii="Garamond" w:hAnsi="Garamond"/>
          <w:szCs w:val="24"/>
        </w:rPr>
        <w:t xml:space="preserve"> As a result, the only Irish people that could become members of the Irish Parliament were the Anglicans. </w:t>
      </w:r>
      <w:r w:rsidRPr="00A93B99">
        <w:rPr>
          <w:rFonts w:ascii="Garamond" w:hAnsi="Garamond"/>
          <w:szCs w:val="24"/>
          <w:u w:val="single"/>
        </w:rPr>
        <w:t>Most of the public posts, both civil and ecclesiastical, were likewise held by the British</w:t>
      </w:r>
      <w:r w:rsidRPr="00A93B99">
        <w:rPr>
          <w:rFonts w:ascii="Garamond" w:hAnsi="Garamond"/>
          <w:szCs w:val="24"/>
        </w:rPr>
        <w:t xml:space="preserve">.  The Irish Parliament itself was heavily controlled by Britain: its attempts to argue for its rights as the supreme organ of decision of a distinct kingdom were met by a Declaratory or Dependency Act (1720), which asserted the subordination of the Irish Parliament to Westminster. As seen above, ever since </w:t>
      </w:r>
      <w:proofErr w:type="spellStart"/>
      <w:r w:rsidRPr="00A93B99">
        <w:rPr>
          <w:rFonts w:ascii="Garamond" w:hAnsi="Garamond"/>
          <w:szCs w:val="24"/>
        </w:rPr>
        <w:t>Poynings</w:t>
      </w:r>
      <w:proofErr w:type="spellEnd"/>
      <w:r w:rsidRPr="00A93B99">
        <w:rPr>
          <w:rFonts w:ascii="Garamond" w:hAnsi="Garamond"/>
          <w:szCs w:val="24"/>
        </w:rPr>
        <w:t xml:space="preserve"> Act (1494), no meetings could be held unless authorised by Britain. More recently, </w:t>
      </w:r>
      <w:r w:rsidRPr="00A93B99">
        <w:rPr>
          <w:rFonts w:ascii="Garamond" w:hAnsi="Garamond"/>
          <w:szCs w:val="24"/>
          <w:u w:val="single"/>
        </w:rPr>
        <w:t xml:space="preserve">the so-called “Sixth Act”, promulgated in 1719, during the reign of George I, empowered the British Parliament to dictate laws for Ireland even without the assent of the Irish Parliament. </w:t>
      </w:r>
    </w:p>
    <w:p w:rsidR="00E368CA" w:rsidRPr="00413E7C" w:rsidRDefault="00A93B99" w:rsidP="00A93B99">
      <w:pPr>
        <w:pStyle w:val="NoSpacing"/>
        <w:numPr>
          <w:ilvl w:val="0"/>
          <w:numId w:val="1"/>
        </w:numPr>
        <w:spacing w:after="80"/>
        <w:rPr>
          <w:rFonts w:ascii="Garamond" w:hAnsi="Garamond"/>
          <w:szCs w:val="24"/>
        </w:rPr>
      </w:pPr>
      <w:r w:rsidRPr="00413E7C">
        <w:rPr>
          <w:rFonts w:ascii="Garamond" w:hAnsi="Garamond"/>
          <w:b/>
          <w:szCs w:val="24"/>
        </w:rPr>
        <w:t xml:space="preserve">Trade </w:t>
      </w:r>
      <w:r w:rsidR="00E368CA" w:rsidRPr="00413E7C">
        <w:rPr>
          <w:rFonts w:ascii="Garamond" w:hAnsi="Garamond"/>
          <w:szCs w:val="24"/>
        </w:rPr>
        <w:t xml:space="preserve">There were also </w:t>
      </w:r>
      <w:r w:rsidR="00E368CA" w:rsidRPr="00413E7C">
        <w:rPr>
          <w:rFonts w:ascii="Garamond" w:hAnsi="Garamond"/>
          <w:b/>
          <w:szCs w:val="24"/>
        </w:rPr>
        <w:t>heavy restrictions imposed by Britain on Irish trade, giving way to further frictions between the British and the Irish</w:t>
      </w:r>
      <w:r w:rsidR="00E368CA" w:rsidRPr="00413E7C">
        <w:rPr>
          <w:rFonts w:ascii="Garamond" w:hAnsi="Garamond"/>
          <w:szCs w:val="24"/>
        </w:rPr>
        <w:t xml:space="preserve">. As will be seen below, Swift will play an important part in the defence of the Irish interests in these affairs, and clearly objected to the view of the British government of its relationship with Ireland. A particularly heated dispute had to do with the British grant </w:t>
      </w:r>
      <w:r w:rsidR="00E368CA" w:rsidRPr="00413E7C">
        <w:rPr>
          <w:rFonts w:ascii="Garamond" w:hAnsi="Garamond"/>
          <w:szCs w:val="24"/>
        </w:rPr>
        <w:lastRenderedPageBreak/>
        <w:t xml:space="preserve">to William Wood, a Birmingham minter, to coin copper currency for Ireland. Such a decision had been reached through the mediation of a lover of George I, the Duchess of Kendall. This will lie at the core of Swift’s decision to write some of his rousing pamphlets. </w:t>
      </w:r>
    </w:p>
    <w:p w:rsidR="00A93B99" w:rsidRPr="00A93B99" w:rsidRDefault="00E368CA" w:rsidP="00A93B99">
      <w:pPr>
        <w:pStyle w:val="NoSpacing"/>
        <w:spacing w:after="80"/>
        <w:rPr>
          <w:rFonts w:ascii="Garamond" w:hAnsi="Garamond"/>
          <w:szCs w:val="24"/>
        </w:rPr>
      </w:pPr>
      <w:r w:rsidRPr="00A93B99">
        <w:rPr>
          <w:rFonts w:ascii="Garamond" w:hAnsi="Garamond"/>
          <w:szCs w:val="24"/>
        </w:rPr>
        <w:t xml:space="preserve">During the seventeenth and eighteenth centuries, another aspect that accounts for the </w:t>
      </w:r>
      <w:r w:rsidRPr="00A93B99">
        <w:rPr>
          <w:rFonts w:ascii="Garamond" w:hAnsi="Garamond"/>
          <w:szCs w:val="24"/>
          <w:u w:val="single"/>
        </w:rPr>
        <w:t>deleterious influence of Britain over Irish economy has to do with the so-called Navigation Acts, Wool Acts and Cattle Acts, which meant the practically total control and exploitation of the Irish economic resources by Britain.</w:t>
      </w:r>
      <w:r w:rsidRPr="00A93B99">
        <w:rPr>
          <w:rFonts w:ascii="Garamond" w:hAnsi="Garamond"/>
          <w:szCs w:val="24"/>
        </w:rPr>
        <w:t xml:space="preserve"> During the Restoration, at the second half of the seventeenth century, three Acts in particular were passed that would have a disastrous impact upon the Irish economy. First, </w:t>
      </w:r>
      <w:r w:rsidRPr="00A93B99">
        <w:rPr>
          <w:rFonts w:ascii="Garamond" w:hAnsi="Garamond"/>
          <w:b/>
          <w:szCs w:val="24"/>
          <w:u w:val="single"/>
        </w:rPr>
        <w:t>the Navigation Act of 1663</w:t>
      </w:r>
      <w:r w:rsidRPr="00A93B99">
        <w:rPr>
          <w:rFonts w:ascii="Garamond" w:hAnsi="Garamond"/>
          <w:szCs w:val="24"/>
          <w:u w:val="single"/>
        </w:rPr>
        <w:t xml:space="preserve"> established a distinction between the British and the Irish colonial commerce, resulting in the prohibition imposed upon the Irish to export any Irish products whatsoever to the American colonies, unless ships departed from British ports</w:t>
      </w:r>
      <w:r w:rsidRPr="00A93B99">
        <w:rPr>
          <w:rFonts w:ascii="Garamond" w:hAnsi="Garamond"/>
          <w:szCs w:val="24"/>
        </w:rPr>
        <w:t xml:space="preserve">. More than any other practical inconvenience, this Act implied that Ireland was being regarded as a colony. Secondly, </w:t>
      </w:r>
      <w:r w:rsidRPr="00A93B99">
        <w:rPr>
          <w:rFonts w:ascii="Garamond" w:hAnsi="Garamond"/>
          <w:b/>
          <w:szCs w:val="24"/>
          <w:u w:val="single"/>
        </w:rPr>
        <w:t>the Cattle Act of 1666</w:t>
      </w:r>
      <w:r w:rsidRPr="00A93B99">
        <w:rPr>
          <w:rFonts w:ascii="Garamond" w:hAnsi="Garamond"/>
          <w:szCs w:val="24"/>
          <w:u w:val="single"/>
        </w:rPr>
        <w:t xml:space="preserve"> meant that livestock imported by Britain from Ireland was imposed exorbitant duties, which meant the impossibility to export cattle, </w:t>
      </w:r>
      <w:r w:rsidRPr="00A93B99">
        <w:rPr>
          <w:rFonts w:ascii="Garamond" w:hAnsi="Garamond"/>
          <w:szCs w:val="24"/>
        </w:rPr>
        <w:t xml:space="preserve">which was a crucial sector of Irish economy. Thirdly, </w:t>
      </w:r>
      <w:r w:rsidRPr="00A93B99">
        <w:rPr>
          <w:rFonts w:ascii="Garamond" w:hAnsi="Garamond"/>
          <w:b/>
          <w:szCs w:val="24"/>
          <w:u w:val="single"/>
        </w:rPr>
        <w:t>the Navigation Act of 1669</w:t>
      </w:r>
      <w:r w:rsidRPr="00A93B99">
        <w:rPr>
          <w:rFonts w:ascii="Garamond" w:hAnsi="Garamond"/>
          <w:szCs w:val="24"/>
          <w:u w:val="single"/>
        </w:rPr>
        <w:t xml:space="preserve"> and </w:t>
      </w:r>
      <w:r w:rsidRPr="00A93B99">
        <w:rPr>
          <w:rFonts w:ascii="Garamond" w:hAnsi="Garamond"/>
          <w:b/>
          <w:szCs w:val="24"/>
          <w:u w:val="single"/>
        </w:rPr>
        <w:t xml:space="preserve">the Wool Act of 1699 </w:t>
      </w:r>
      <w:r w:rsidRPr="00A93B99">
        <w:rPr>
          <w:rFonts w:ascii="Garamond" w:hAnsi="Garamond"/>
          <w:szCs w:val="24"/>
          <w:u w:val="single"/>
        </w:rPr>
        <w:t>forbade Ireland to export any woollen products</w:t>
      </w:r>
      <w:r w:rsidRPr="00A93B99">
        <w:rPr>
          <w:rFonts w:ascii="Garamond" w:hAnsi="Garamond"/>
          <w:szCs w:val="24"/>
        </w:rPr>
        <w:t xml:space="preserve">. </w:t>
      </w:r>
      <w:r w:rsidRPr="00A93B99">
        <w:rPr>
          <w:rFonts w:ascii="Garamond" w:hAnsi="Garamond"/>
          <w:b/>
          <w:szCs w:val="24"/>
        </w:rPr>
        <w:t>On the whole, these Acts brought Ireland to a state of bankruptcy</w:t>
      </w:r>
      <w:r w:rsidRPr="00A93B99">
        <w:rPr>
          <w:rFonts w:ascii="Garamond" w:hAnsi="Garamond"/>
          <w:szCs w:val="24"/>
        </w:rPr>
        <w:t>.</w:t>
      </w:r>
    </w:p>
    <w:p w:rsidR="00A93B99" w:rsidRPr="00E81A89" w:rsidRDefault="00A93B99" w:rsidP="00E81A89">
      <w:pPr>
        <w:pStyle w:val="NoSpacing"/>
        <w:numPr>
          <w:ilvl w:val="0"/>
          <w:numId w:val="1"/>
        </w:numPr>
        <w:spacing w:after="80"/>
        <w:rPr>
          <w:rFonts w:ascii="Garamond" w:hAnsi="Garamond"/>
          <w:b/>
          <w:szCs w:val="24"/>
        </w:rPr>
      </w:pPr>
      <w:r w:rsidRPr="00A93B99">
        <w:rPr>
          <w:rFonts w:ascii="Garamond" w:hAnsi="Garamond"/>
          <w:b/>
          <w:szCs w:val="24"/>
        </w:rPr>
        <w:t xml:space="preserve">Constitution of population </w:t>
      </w:r>
      <w:r w:rsidR="00E81A89">
        <w:rPr>
          <w:rFonts w:ascii="Garamond" w:hAnsi="Garamond"/>
          <w:b/>
          <w:szCs w:val="24"/>
        </w:rPr>
        <w:t xml:space="preserve"> </w:t>
      </w:r>
    </w:p>
    <w:p w:rsidR="00E368CA" w:rsidRPr="00A93B99" w:rsidRDefault="00E368CA" w:rsidP="00A93B99">
      <w:pPr>
        <w:pStyle w:val="NoSpacing"/>
        <w:spacing w:after="80"/>
        <w:rPr>
          <w:rFonts w:ascii="Garamond" w:hAnsi="Garamond"/>
          <w:szCs w:val="24"/>
        </w:rPr>
      </w:pPr>
      <w:r w:rsidRPr="00A93B99">
        <w:rPr>
          <w:rFonts w:ascii="Garamond" w:hAnsi="Garamond"/>
          <w:szCs w:val="24"/>
        </w:rPr>
        <w:t xml:space="preserve">The country was roughly divided into three major groups, namely, the British ruling class, the Anglo-Irish and the Catholic Irish population. </w:t>
      </w:r>
      <w:r w:rsidRPr="00A93B99">
        <w:rPr>
          <w:rFonts w:ascii="Garamond" w:hAnsi="Garamond"/>
          <w:szCs w:val="24"/>
          <w:u w:val="single"/>
        </w:rPr>
        <w:t xml:space="preserve">The British ruling class, whom we have already referred to as “the Protestant ascendancy”, owned most of the land, even though they lived in England most of the time. Their lands were often subleased by certain intermediaries who rented them for very short periods of time, which made it unprofitable to cultivate them. </w:t>
      </w:r>
      <w:r w:rsidRPr="00A93B99">
        <w:rPr>
          <w:rFonts w:ascii="Garamond" w:hAnsi="Garamond"/>
          <w:szCs w:val="24"/>
        </w:rPr>
        <w:t xml:space="preserve">Consequently, many lands became pasture, to a point that there were no lands to let. </w:t>
      </w:r>
    </w:p>
    <w:p w:rsidR="00E368CA" w:rsidRPr="00A93B99" w:rsidRDefault="00E368CA" w:rsidP="00A93B99">
      <w:pPr>
        <w:pStyle w:val="NoSpacing"/>
        <w:spacing w:after="80"/>
        <w:rPr>
          <w:rFonts w:ascii="Garamond" w:hAnsi="Garamond"/>
          <w:szCs w:val="24"/>
        </w:rPr>
      </w:pPr>
      <w:r w:rsidRPr="00A93B99">
        <w:rPr>
          <w:rFonts w:ascii="Garamond" w:hAnsi="Garamond"/>
          <w:szCs w:val="24"/>
        </w:rPr>
        <w:t>The Protestants roughly amounted to a minority of 150</w:t>
      </w:r>
      <w:r w:rsidR="00A93B99" w:rsidRPr="00A93B99">
        <w:rPr>
          <w:rFonts w:ascii="Garamond" w:hAnsi="Garamond"/>
          <w:szCs w:val="24"/>
        </w:rPr>
        <w:t>,</w:t>
      </w:r>
      <w:r w:rsidRPr="00A93B99">
        <w:rPr>
          <w:rFonts w:ascii="Garamond" w:hAnsi="Garamond"/>
          <w:szCs w:val="24"/>
        </w:rPr>
        <w:t xml:space="preserve">000 people. </w:t>
      </w:r>
      <w:r w:rsidRPr="00A93B99">
        <w:rPr>
          <w:rFonts w:ascii="Garamond" w:hAnsi="Garamond"/>
          <w:szCs w:val="24"/>
          <w:u w:val="single"/>
        </w:rPr>
        <w:t>The Anglo-Irish were the only ones who felt the need to defend the interests of the country</w:t>
      </w:r>
      <w:r w:rsidRPr="00A93B99">
        <w:rPr>
          <w:rFonts w:ascii="Garamond" w:hAnsi="Garamond"/>
          <w:szCs w:val="24"/>
        </w:rPr>
        <w:t xml:space="preserve">, and who, being aware of the oppression exerted by the British, found it necessary to search for the unity of the whole country and the defence of common interests. </w:t>
      </w:r>
      <w:r w:rsidRPr="00A93B99">
        <w:rPr>
          <w:rFonts w:ascii="Garamond" w:hAnsi="Garamond"/>
          <w:szCs w:val="24"/>
          <w:u w:val="single"/>
        </w:rPr>
        <w:t>This is the group Swift belongs to, and that is why Swift will insist in his writings upon the badly needed union among all the members of the country.</w:t>
      </w:r>
      <w:r w:rsidRPr="00A93B99">
        <w:rPr>
          <w:rFonts w:ascii="Garamond" w:hAnsi="Garamond"/>
          <w:szCs w:val="24"/>
        </w:rPr>
        <w:t xml:space="preserve"> </w:t>
      </w:r>
    </w:p>
    <w:p w:rsidR="00E368CA" w:rsidRPr="00A93B99" w:rsidRDefault="00E368CA" w:rsidP="00A93B99">
      <w:pPr>
        <w:pStyle w:val="NoSpacing"/>
        <w:spacing w:after="80"/>
        <w:rPr>
          <w:rFonts w:ascii="Garamond" w:hAnsi="Garamond"/>
          <w:szCs w:val="24"/>
        </w:rPr>
      </w:pPr>
      <w:r w:rsidRPr="00A93B99">
        <w:rPr>
          <w:rFonts w:ascii="Garamond" w:hAnsi="Garamond"/>
          <w:szCs w:val="24"/>
        </w:rPr>
        <w:t xml:space="preserve">The Catholic Irish population were the least favoured and most heavily oppressed group, no matter if by 1700 they amounted to about three quarters or more of the two million people that made up the Irish population. As noted above, they had no rights to power or property, and most had their lands confiscated. </w:t>
      </w:r>
    </w:p>
    <w:p w:rsidR="00CC5715" w:rsidRPr="00A93B99" w:rsidRDefault="00E368CA" w:rsidP="00A93B99">
      <w:pPr>
        <w:pStyle w:val="NoSpacing"/>
        <w:spacing w:after="80"/>
        <w:rPr>
          <w:rFonts w:ascii="Garamond" w:hAnsi="Garamond"/>
          <w:szCs w:val="24"/>
        </w:rPr>
      </w:pPr>
      <w:r w:rsidRPr="00A93B99">
        <w:rPr>
          <w:rFonts w:ascii="Garamond" w:hAnsi="Garamond"/>
          <w:szCs w:val="24"/>
        </w:rPr>
        <w:t xml:space="preserve">Apart from these three larger groups, there were also Presbyterians, who, like the Catholics, were also excluded from most public office. These lived mainly in the north of the country and were relatively well off, on account of the fact that they cultivated mainly linen, which at the time was not suffering yet the same kind of oppression and British intervention as the wool. Their number was approximately of 350,000 people. However, the Test Act (1703) </w:t>
      </w:r>
      <w:r w:rsidR="00E81A89">
        <w:rPr>
          <w:rFonts w:ascii="Garamond" w:hAnsi="Garamond"/>
          <w:szCs w:val="24"/>
        </w:rPr>
        <w:t xml:space="preserve">denied them any right to vote. </w:t>
      </w:r>
    </w:p>
    <w:p w:rsidR="00A93B99" w:rsidRPr="00E81A89" w:rsidRDefault="00A93B99" w:rsidP="00E81A89">
      <w:pPr>
        <w:pStyle w:val="NoSpacing"/>
        <w:numPr>
          <w:ilvl w:val="0"/>
          <w:numId w:val="1"/>
        </w:numPr>
        <w:spacing w:after="80"/>
        <w:rPr>
          <w:rFonts w:ascii="Garamond" w:hAnsi="Garamond"/>
          <w:b/>
          <w:sz w:val="20"/>
          <w:szCs w:val="24"/>
        </w:rPr>
      </w:pPr>
      <w:r w:rsidRPr="00E81A89">
        <w:rPr>
          <w:rFonts w:ascii="Garamond" w:hAnsi="Garamond"/>
          <w:b/>
          <w:szCs w:val="24"/>
        </w:rPr>
        <w:t xml:space="preserve">corruption and financial collapse </w:t>
      </w:r>
    </w:p>
    <w:p w:rsidR="00E368CA" w:rsidRDefault="00E368CA" w:rsidP="00A93B99">
      <w:pPr>
        <w:pStyle w:val="NoSpacing"/>
        <w:spacing w:after="80"/>
        <w:rPr>
          <w:rFonts w:ascii="Garamond" w:hAnsi="Garamond"/>
          <w:szCs w:val="24"/>
        </w:rPr>
      </w:pPr>
      <w:r w:rsidRPr="00A93B99">
        <w:rPr>
          <w:rFonts w:ascii="Garamond" w:hAnsi="Garamond"/>
          <w:szCs w:val="24"/>
        </w:rPr>
        <w:t>The political and economic crisis of Ireland and of Britain as a whole seems to have reached a peak in the decade of the seventeenth twenties. The decade starts with the crisis known as “the South Sea Bubble”, which resulted in a general financial crash. According to Langford (1984), the formation of the South Sea Company in 1711 had been encouraged by the Tory ministers of Queen Anne’s reign (1702-1714) with a view to providing an effective alternative to the Whig Bank. This Company attempted to redistribute the National Debt while offering at the same time better terms for the Exchequer. However, it ran into difficulties not only because of the complexity of the plan itself, but also on account of the fact that there were a large number of people intending to profit from the scheme, from the Directors of the Company themselves to many courtiers, ministers and MPs, whose support was furthermore necessary to guarantee the acceptance of the proposals put forward</w:t>
      </w:r>
      <w:r w:rsidR="00E81A89">
        <w:rPr>
          <w:rFonts w:ascii="Garamond" w:hAnsi="Garamond"/>
          <w:szCs w:val="24"/>
        </w:rPr>
        <w:t xml:space="preserve"> ... </w:t>
      </w:r>
      <w:r w:rsidRPr="00A93B99">
        <w:rPr>
          <w:rFonts w:ascii="Garamond" w:hAnsi="Garamond"/>
          <w:szCs w:val="24"/>
        </w:rPr>
        <w:t xml:space="preserve">Apart from the Bubble, there were other facts making 1720s troubled years. The decade also began with fears of spread of the plague currently affecting France, although eventually the panic proved to be unjustified. </w:t>
      </w:r>
      <w:r w:rsidRPr="00A93B99">
        <w:rPr>
          <w:rFonts w:ascii="Garamond" w:hAnsi="Garamond"/>
          <w:szCs w:val="24"/>
          <w:u w:val="single"/>
        </w:rPr>
        <w:t>The period is also seen as overflowing with moral decay, extensive corruption and great scandals that disfigured public life at the time, in which prominent MPs and supporters of the government were implicated</w:t>
      </w:r>
      <w:r w:rsidRPr="00A93B99">
        <w:rPr>
          <w:rFonts w:ascii="Garamond" w:hAnsi="Garamond"/>
          <w:szCs w:val="24"/>
        </w:rPr>
        <w:t xml:space="preserve">. </w:t>
      </w:r>
    </w:p>
    <w:p w:rsidR="00A93B99" w:rsidRPr="00E81A89" w:rsidRDefault="00E368CA" w:rsidP="00E81A89">
      <w:pPr>
        <w:pStyle w:val="NoSpacing"/>
        <w:numPr>
          <w:ilvl w:val="0"/>
          <w:numId w:val="1"/>
        </w:numPr>
        <w:spacing w:after="80"/>
        <w:rPr>
          <w:rFonts w:ascii="Garamond" w:hAnsi="Garamond"/>
          <w:b/>
          <w:szCs w:val="24"/>
        </w:rPr>
      </w:pPr>
      <w:proofErr w:type="gramStart"/>
      <w:r w:rsidRPr="00A93B99">
        <w:rPr>
          <w:rFonts w:ascii="Garamond" w:hAnsi="Garamond"/>
          <w:b/>
          <w:szCs w:val="24"/>
        </w:rPr>
        <w:t>impact</w:t>
      </w:r>
      <w:proofErr w:type="gramEnd"/>
      <w:r w:rsidRPr="00A93B99">
        <w:rPr>
          <w:rFonts w:ascii="Garamond" w:hAnsi="Garamond"/>
          <w:b/>
          <w:szCs w:val="24"/>
        </w:rPr>
        <w:t xml:space="preserve"> on literature and the arts.</w:t>
      </w:r>
      <w:r w:rsidRPr="00A93B99">
        <w:rPr>
          <w:rFonts w:ascii="Garamond" w:hAnsi="Garamond"/>
          <w:szCs w:val="24"/>
        </w:rPr>
        <w:t xml:space="preserve"> </w:t>
      </w:r>
    </w:p>
    <w:p w:rsidR="00413E7C" w:rsidRDefault="00E368CA" w:rsidP="00A93B99">
      <w:pPr>
        <w:pStyle w:val="NoSpacing"/>
        <w:spacing w:after="80"/>
        <w:rPr>
          <w:rFonts w:ascii="Garamond" w:hAnsi="Garamond"/>
          <w:szCs w:val="24"/>
        </w:rPr>
      </w:pPr>
      <w:r w:rsidRPr="00A93B99">
        <w:rPr>
          <w:rFonts w:ascii="Garamond" w:hAnsi="Garamond"/>
          <w:szCs w:val="24"/>
        </w:rPr>
        <w:t xml:space="preserve">Certainly not by chance, the seventeenth twenties and thirties witnessed a considerable expansion in the London theatre which is increasingly politically-geared. This is also the time of works that cope with themes that reflect the status quo and the problems of society, thus being remarkable decades for polemical satire, such as Pope’s </w:t>
      </w:r>
      <w:proofErr w:type="spellStart"/>
      <w:r w:rsidRPr="00A93B99">
        <w:rPr>
          <w:rFonts w:ascii="Garamond" w:hAnsi="Garamond"/>
          <w:i/>
          <w:szCs w:val="24"/>
        </w:rPr>
        <w:t>Dunciad</w:t>
      </w:r>
      <w:proofErr w:type="spellEnd"/>
      <w:r w:rsidRPr="00A93B99">
        <w:rPr>
          <w:rFonts w:ascii="Garamond" w:hAnsi="Garamond"/>
          <w:szCs w:val="24"/>
        </w:rPr>
        <w:t xml:space="preserve">, or Swift’s own literary production in works such as </w:t>
      </w:r>
      <w:r w:rsidRPr="00A93B99">
        <w:rPr>
          <w:rFonts w:ascii="Garamond" w:hAnsi="Garamond"/>
          <w:i/>
          <w:szCs w:val="24"/>
        </w:rPr>
        <w:t>Gulliver’s Travels</w:t>
      </w:r>
      <w:r w:rsidRPr="00A93B99">
        <w:rPr>
          <w:rFonts w:ascii="Garamond" w:hAnsi="Garamond"/>
          <w:szCs w:val="24"/>
        </w:rPr>
        <w:t xml:space="preserve"> or the Irish Tracts.</w:t>
      </w:r>
      <w:r w:rsidR="00A67E9B" w:rsidRPr="00A93B99">
        <w:rPr>
          <w:rFonts w:ascii="Garamond" w:hAnsi="Garamond"/>
          <w:szCs w:val="24"/>
        </w:rPr>
        <w:tab/>
      </w:r>
    </w:p>
    <w:p w:rsidR="00A67E9B" w:rsidRPr="00A93B99" w:rsidRDefault="00413E7C" w:rsidP="00A93B99">
      <w:pPr>
        <w:pStyle w:val="NoSpacing"/>
        <w:spacing w:after="80"/>
        <w:rPr>
          <w:rFonts w:ascii="Garamond" w:hAnsi="Garamond"/>
          <w:szCs w:val="24"/>
        </w:rPr>
      </w:pPr>
      <w:r>
        <w:rPr>
          <w:rFonts w:ascii="Garamond" w:hAnsi="Garamond"/>
          <w:szCs w:val="24"/>
        </w:rPr>
        <w:tab/>
      </w:r>
      <w:r w:rsidR="00A67E9B" w:rsidRPr="00A93B99">
        <w:rPr>
          <w:rFonts w:ascii="Garamond" w:hAnsi="Garamond"/>
          <w:szCs w:val="24"/>
        </w:rPr>
        <w:t xml:space="preserve">Maria-Angeles Ruiz </w:t>
      </w:r>
      <w:proofErr w:type="spellStart"/>
      <w:r w:rsidR="00A67E9B" w:rsidRPr="00A93B99">
        <w:rPr>
          <w:rFonts w:ascii="Garamond" w:hAnsi="Garamond"/>
          <w:szCs w:val="24"/>
        </w:rPr>
        <w:t>Moneva</w:t>
      </w:r>
      <w:proofErr w:type="spellEnd"/>
      <w:r w:rsidR="00A67E9B" w:rsidRPr="00A93B99">
        <w:rPr>
          <w:rFonts w:ascii="Garamond" w:hAnsi="Garamond"/>
          <w:szCs w:val="24"/>
        </w:rPr>
        <w:t>, ‘</w:t>
      </w:r>
      <w:r w:rsidR="00A67E9B" w:rsidRPr="00A93B99">
        <w:rPr>
          <w:rFonts w:ascii="Garamond" w:hAnsi="Garamond"/>
          <w:i/>
          <w:szCs w:val="24"/>
        </w:rPr>
        <w:t>A Modest Proposal’ in the Context of Swift’s Irish Tracts</w:t>
      </w:r>
      <w:r w:rsidR="00A67E9B" w:rsidRPr="00A93B99">
        <w:rPr>
          <w:rFonts w:ascii="Garamond" w:hAnsi="Garamond"/>
          <w:szCs w:val="24"/>
        </w:rPr>
        <w:t xml:space="preserve">, Cambridge: Cambridge </w:t>
      </w:r>
      <w:r>
        <w:rPr>
          <w:rFonts w:ascii="Garamond" w:hAnsi="Garamond"/>
          <w:szCs w:val="24"/>
        </w:rPr>
        <w:tab/>
      </w:r>
      <w:r w:rsidR="00A67E9B" w:rsidRPr="00A93B99">
        <w:rPr>
          <w:rFonts w:ascii="Garamond" w:hAnsi="Garamond"/>
          <w:szCs w:val="24"/>
        </w:rPr>
        <w:t>University Press, 2010</w:t>
      </w:r>
      <w:r w:rsidR="00A67E9B" w:rsidRPr="00A93B99">
        <w:rPr>
          <w:rFonts w:ascii="Garamond" w:hAnsi="Garamond"/>
          <w:szCs w:val="24"/>
        </w:rPr>
        <w:cr/>
      </w:r>
      <w:bookmarkStart w:id="0" w:name="_GoBack"/>
      <w:bookmarkEnd w:id="0"/>
    </w:p>
    <w:sectPr w:rsidR="00A67E9B" w:rsidRPr="00A93B99" w:rsidSect="00413E7C">
      <w:headerReference w:type="default" r:id="rId8"/>
      <w:footerReference w:type="default" r:id="rId9"/>
      <w:pgSz w:w="11906" w:h="16838"/>
      <w:pgMar w:top="993" w:right="1133" w:bottom="567" w:left="709"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6531" w:rsidRDefault="00166531" w:rsidP="00413E7C">
      <w:pPr>
        <w:spacing w:after="0" w:line="240" w:lineRule="auto"/>
      </w:pPr>
      <w:r>
        <w:separator/>
      </w:r>
    </w:p>
  </w:endnote>
  <w:endnote w:type="continuationSeparator" w:id="0">
    <w:p w:rsidR="00166531" w:rsidRDefault="00166531" w:rsidP="00413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63272370"/>
      <w:docPartObj>
        <w:docPartGallery w:val="Page Numbers (Bottom of Page)"/>
        <w:docPartUnique/>
      </w:docPartObj>
    </w:sdtPr>
    <w:sdtEndPr>
      <w:rPr>
        <w:rFonts w:ascii="Garamond" w:hAnsi="Garamond"/>
        <w:i/>
        <w:noProof/>
        <w:sz w:val="20"/>
      </w:rPr>
    </w:sdtEndPr>
    <w:sdtContent>
      <w:p w:rsidR="00413E7C" w:rsidRPr="00413E7C" w:rsidRDefault="00413E7C">
        <w:pPr>
          <w:pStyle w:val="Footer"/>
          <w:jc w:val="right"/>
          <w:rPr>
            <w:rFonts w:ascii="Garamond" w:hAnsi="Garamond"/>
            <w:i/>
            <w:sz w:val="20"/>
          </w:rPr>
        </w:pPr>
        <w:r w:rsidRPr="00413E7C">
          <w:rPr>
            <w:rFonts w:ascii="Garamond" w:hAnsi="Garamond"/>
            <w:i/>
            <w:sz w:val="20"/>
          </w:rPr>
          <w:fldChar w:fldCharType="begin"/>
        </w:r>
        <w:r w:rsidRPr="00413E7C">
          <w:rPr>
            <w:rFonts w:ascii="Garamond" w:hAnsi="Garamond"/>
            <w:i/>
            <w:sz w:val="20"/>
          </w:rPr>
          <w:instrText xml:space="preserve"> PAGE   \* MERGEFORMAT </w:instrText>
        </w:r>
        <w:r w:rsidRPr="00413E7C">
          <w:rPr>
            <w:rFonts w:ascii="Garamond" w:hAnsi="Garamond"/>
            <w:i/>
            <w:sz w:val="20"/>
          </w:rPr>
          <w:fldChar w:fldCharType="separate"/>
        </w:r>
        <w:r>
          <w:rPr>
            <w:rFonts w:ascii="Garamond" w:hAnsi="Garamond"/>
            <w:i/>
            <w:noProof/>
            <w:sz w:val="20"/>
          </w:rPr>
          <w:t>2</w:t>
        </w:r>
        <w:r w:rsidRPr="00413E7C">
          <w:rPr>
            <w:rFonts w:ascii="Garamond" w:hAnsi="Garamond"/>
            <w:i/>
            <w:noProof/>
            <w:sz w:val="20"/>
          </w:rPr>
          <w:fldChar w:fldCharType="end"/>
        </w:r>
      </w:p>
    </w:sdtContent>
  </w:sdt>
  <w:p w:rsidR="00413E7C" w:rsidRDefault="00413E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6531" w:rsidRDefault="00166531" w:rsidP="00413E7C">
      <w:pPr>
        <w:spacing w:after="0" w:line="240" w:lineRule="auto"/>
      </w:pPr>
      <w:r>
        <w:separator/>
      </w:r>
    </w:p>
  </w:footnote>
  <w:footnote w:type="continuationSeparator" w:id="0">
    <w:p w:rsidR="00166531" w:rsidRDefault="00166531" w:rsidP="00413E7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3E7C" w:rsidRPr="00413E7C" w:rsidRDefault="00413E7C" w:rsidP="00413E7C">
    <w:pPr>
      <w:pStyle w:val="Header"/>
      <w:jc w:val="right"/>
      <w:rPr>
        <w:rFonts w:ascii="Garamond" w:hAnsi="Garamond"/>
        <w:i/>
        <w:sz w:val="20"/>
      </w:rPr>
    </w:pPr>
    <w:r w:rsidRPr="00413E7C">
      <w:rPr>
        <w:rFonts w:ascii="Garamond" w:hAnsi="Garamond"/>
        <w:i/>
        <w:sz w:val="20"/>
      </w:rPr>
      <w:t>Modest proposal</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BC24FC"/>
    <w:multiLevelType w:val="hybridMultilevel"/>
    <w:tmpl w:val="59E05A92"/>
    <w:lvl w:ilvl="0" w:tplc="1910C6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3863AB4"/>
    <w:multiLevelType w:val="hybridMultilevel"/>
    <w:tmpl w:val="6BECDBC0"/>
    <w:lvl w:ilvl="0" w:tplc="8304D7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5715"/>
    <w:rsid w:val="00166531"/>
    <w:rsid w:val="00413E7C"/>
    <w:rsid w:val="00480417"/>
    <w:rsid w:val="00A67E9B"/>
    <w:rsid w:val="00A93B99"/>
    <w:rsid w:val="00CC5715"/>
    <w:rsid w:val="00CD7FA5"/>
    <w:rsid w:val="00E368CA"/>
    <w:rsid w:val="00E81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C5715"/>
    <w:pPr>
      <w:spacing w:after="0" w:line="240" w:lineRule="auto"/>
    </w:pPr>
  </w:style>
  <w:style w:type="paragraph" w:styleId="Header">
    <w:name w:val="header"/>
    <w:basedOn w:val="Normal"/>
    <w:link w:val="HeaderChar"/>
    <w:uiPriority w:val="99"/>
    <w:unhideWhenUsed/>
    <w:rsid w:val="00413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E7C"/>
  </w:style>
  <w:style w:type="paragraph" w:styleId="Footer">
    <w:name w:val="footer"/>
    <w:basedOn w:val="Normal"/>
    <w:link w:val="FooterChar"/>
    <w:uiPriority w:val="99"/>
    <w:unhideWhenUsed/>
    <w:rsid w:val="00413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E7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C5715"/>
    <w:pPr>
      <w:spacing w:after="0" w:line="240" w:lineRule="auto"/>
    </w:pPr>
  </w:style>
  <w:style w:type="paragraph" w:styleId="Header">
    <w:name w:val="header"/>
    <w:basedOn w:val="Normal"/>
    <w:link w:val="HeaderChar"/>
    <w:uiPriority w:val="99"/>
    <w:unhideWhenUsed/>
    <w:rsid w:val="00413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E7C"/>
  </w:style>
  <w:style w:type="paragraph" w:styleId="Footer">
    <w:name w:val="footer"/>
    <w:basedOn w:val="Normal"/>
    <w:link w:val="FooterChar"/>
    <w:uiPriority w:val="99"/>
    <w:unhideWhenUsed/>
    <w:rsid w:val="00413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Pages>
  <Words>1688</Words>
  <Characters>9627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11293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cp:lastModifiedBy>
  <cp:revision>4</cp:revision>
  <dcterms:created xsi:type="dcterms:W3CDTF">2014-02-10T18:56:00Z</dcterms:created>
  <dcterms:modified xsi:type="dcterms:W3CDTF">2014-02-11T02:04:00Z</dcterms:modified>
</cp:coreProperties>
</file>