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F98CC" w14:textId="719C5612" w:rsidR="00735274" w:rsidRDefault="00735274" w:rsidP="001C2D20">
      <w:pPr>
        <w:rPr>
          <w:rFonts w:ascii="Arial" w:hAnsi="Arial" w:cs="Arial"/>
          <w:lang w:val="en-US"/>
        </w:rPr>
      </w:pPr>
      <w:r w:rsidRPr="00735274">
        <w:rPr>
          <w:rFonts w:ascii="Arial" w:hAnsi="Arial" w:cs="Arial"/>
          <w:lang w:val="en-US"/>
        </w:rPr>
        <w:t>Step 6.0: What's your story?</w:t>
      </w:r>
    </w:p>
    <w:p w14:paraId="5AEE93BA" w14:textId="79EDD7E0" w:rsidR="001C2D20" w:rsidRPr="00735274" w:rsidRDefault="001C2D20" w:rsidP="001C2D20">
      <w:pPr>
        <w:rPr>
          <w:rFonts w:ascii="Arial" w:hAnsi="Arial" w:cs="Arial"/>
        </w:rPr>
      </w:pPr>
      <w:r w:rsidRPr="00735274">
        <w:rPr>
          <w:rFonts w:ascii="Arial" w:hAnsi="Arial" w:cs="Arial"/>
        </w:rPr>
        <w:t>The organisation, a large-sized warehouse and retail operation, demonstrated significant HR failure through poor handling of employee relations. As a shift manager, I observed that when employees raised concerns to HR and often expected confidentiality, these issues were redirected to line management or escalated to the site manager. This lack of confidentiality discouraged open communication and undermined the credibility of HR.</w:t>
      </w:r>
    </w:p>
    <w:p w14:paraId="54CC02DC" w14:textId="4715B6DF" w:rsidR="00B81805" w:rsidRPr="00735274" w:rsidRDefault="00B81805" w:rsidP="00B81805">
      <w:pPr>
        <w:rPr>
          <w:rFonts w:ascii="Arial" w:hAnsi="Arial" w:cs="Arial"/>
        </w:rPr>
      </w:pPr>
      <w:r w:rsidRPr="00735274">
        <w:rPr>
          <w:rFonts w:ascii="Arial" w:hAnsi="Arial" w:cs="Arial"/>
        </w:rPr>
        <w:t xml:space="preserve">The organisation operated in a high-pressure environment where efficiency and managerial control were prioritised. HR processes appeared informal and heavily dependent on line managers rather than an independent </w:t>
      </w:r>
      <w:r w:rsidR="001C2D20" w:rsidRPr="00735274">
        <w:rPr>
          <w:rFonts w:ascii="Arial" w:hAnsi="Arial" w:cs="Arial"/>
        </w:rPr>
        <w:t>investigation</w:t>
      </w:r>
      <w:r w:rsidRPr="00735274">
        <w:rPr>
          <w:rFonts w:ascii="Arial" w:hAnsi="Arial" w:cs="Arial"/>
        </w:rPr>
        <w:t xml:space="preserve">. </w:t>
      </w:r>
    </w:p>
    <w:p w14:paraId="399A412D" w14:textId="47A2D07F" w:rsidR="00B81805" w:rsidRPr="00735274" w:rsidRDefault="00B81805" w:rsidP="00B81805">
      <w:pPr>
        <w:rPr>
          <w:rFonts w:ascii="Arial" w:hAnsi="Arial" w:cs="Arial"/>
        </w:rPr>
      </w:pPr>
      <w:r w:rsidRPr="00735274">
        <w:rPr>
          <w:rFonts w:ascii="Arial" w:hAnsi="Arial" w:cs="Arial"/>
        </w:rPr>
        <w:t xml:space="preserve">According to the Harvard Model, HRM must balance the interests of multiple stakeholders. </w:t>
      </w:r>
      <w:r w:rsidR="001C2D20" w:rsidRPr="00735274">
        <w:rPr>
          <w:rFonts w:ascii="Arial" w:hAnsi="Arial" w:cs="Arial"/>
        </w:rPr>
        <w:t xml:space="preserve">In this case, </w:t>
      </w:r>
      <w:r w:rsidRPr="00735274">
        <w:rPr>
          <w:rFonts w:ascii="Arial" w:hAnsi="Arial" w:cs="Arial"/>
        </w:rPr>
        <w:t>HR appeared</w:t>
      </w:r>
      <w:r w:rsidR="001C2D20" w:rsidRPr="00735274">
        <w:rPr>
          <w:rFonts w:ascii="Arial" w:hAnsi="Arial" w:cs="Arial"/>
        </w:rPr>
        <w:t xml:space="preserve"> more</w:t>
      </w:r>
      <w:r w:rsidRPr="00735274">
        <w:rPr>
          <w:rFonts w:ascii="Arial" w:hAnsi="Arial" w:cs="Arial"/>
        </w:rPr>
        <w:t xml:space="preserve"> aligned with managerial interests than employee advocacy.</w:t>
      </w:r>
      <w:r w:rsidR="001C2D20" w:rsidRPr="00735274">
        <w:rPr>
          <w:rFonts w:ascii="Arial" w:hAnsi="Arial" w:cs="Arial"/>
        </w:rPr>
        <w:t xml:space="preserve"> </w:t>
      </w:r>
    </w:p>
    <w:p w14:paraId="1736D15E" w14:textId="72C5A7AA" w:rsidR="00B81805" w:rsidRPr="00735274" w:rsidRDefault="00B81805" w:rsidP="00B81805">
      <w:pPr>
        <w:rPr>
          <w:rFonts w:ascii="Arial" w:hAnsi="Arial" w:cs="Arial"/>
        </w:rPr>
      </w:pPr>
      <w:r w:rsidRPr="00735274">
        <w:rPr>
          <w:rFonts w:ascii="Arial" w:hAnsi="Arial" w:cs="Arial"/>
        </w:rPr>
        <w:t>From a psychological contract perspective (Rousseau</w:t>
      </w:r>
      <w:r w:rsidR="00735274" w:rsidRPr="00735274">
        <w:rPr>
          <w:rFonts w:ascii="Arial" w:hAnsi="Arial" w:cs="Arial"/>
        </w:rPr>
        <w:t>, 1989</w:t>
      </w:r>
      <w:r w:rsidRPr="00735274">
        <w:rPr>
          <w:rFonts w:ascii="Arial" w:hAnsi="Arial" w:cs="Arial"/>
        </w:rPr>
        <w:t>), employees expected fairness</w:t>
      </w:r>
      <w:r w:rsidR="00735274" w:rsidRPr="00735274">
        <w:rPr>
          <w:rFonts w:ascii="Arial" w:hAnsi="Arial" w:cs="Arial"/>
        </w:rPr>
        <w:t xml:space="preserve"> and</w:t>
      </w:r>
      <w:r w:rsidRPr="00735274">
        <w:rPr>
          <w:rFonts w:ascii="Arial" w:hAnsi="Arial" w:cs="Arial"/>
        </w:rPr>
        <w:t xml:space="preserve"> confidentiality</w:t>
      </w:r>
      <w:r w:rsidR="00735274" w:rsidRPr="00735274">
        <w:rPr>
          <w:rFonts w:ascii="Arial" w:hAnsi="Arial" w:cs="Arial"/>
        </w:rPr>
        <w:t xml:space="preserve"> when raising concerns</w:t>
      </w:r>
      <w:r w:rsidRPr="00735274">
        <w:rPr>
          <w:rFonts w:ascii="Arial" w:hAnsi="Arial" w:cs="Arial"/>
        </w:rPr>
        <w:t xml:space="preserve">. The failure to meet these expectations resulted in a perceived breach of the psychological contract, </w:t>
      </w:r>
      <w:r w:rsidR="00735274" w:rsidRPr="00735274">
        <w:rPr>
          <w:rFonts w:ascii="Arial" w:hAnsi="Arial" w:cs="Arial"/>
        </w:rPr>
        <w:t>damaging</w:t>
      </w:r>
      <w:r w:rsidRPr="00735274">
        <w:rPr>
          <w:rFonts w:ascii="Arial" w:hAnsi="Arial" w:cs="Arial"/>
        </w:rPr>
        <w:t xml:space="preserve"> trust in both HR and management.</w:t>
      </w:r>
    </w:p>
    <w:p w14:paraId="69660C3E" w14:textId="1F3FB06C" w:rsidR="00B81805" w:rsidRPr="00735274" w:rsidRDefault="00B81805" w:rsidP="00B81805">
      <w:pPr>
        <w:rPr>
          <w:rFonts w:ascii="Arial" w:hAnsi="Arial" w:cs="Arial"/>
        </w:rPr>
      </w:pPr>
      <w:r w:rsidRPr="00735274">
        <w:rPr>
          <w:rFonts w:ascii="Arial" w:hAnsi="Arial" w:cs="Arial"/>
        </w:rPr>
        <w:t xml:space="preserve">The HR failures had significant operational and strategic consequences. Employee trust in HR and management </w:t>
      </w:r>
      <w:r w:rsidR="001C2D20" w:rsidRPr="00735274">
        <w:rPr>
          <w:rFonts w:ascii="Arial" w:hAnsi="Arial" w:cs="Arial"/>
        </w:rPr>
        <w:t>became weak</w:t>
      </w:r>
      <w:r w:rsidRPr="00735274">
        <w:rPr>
          <w:rFonts w:ascii="Arial" w:hAnsi="Arial" w:cs="Arial"/>
        </w:rPr>
        <w:t>, leading to reduced morale and disengagement. Over time, long-serving employees began to leave the organisation, resulting in the loss of experienced staff.</w:t>
      </w:r>
    </w:p>
    <w:p w14:paraId="48763613" w14:textId="3F543981" w:rsidR="00B81805" w:rsidRPr="00735274" w:rsidRDefault="00B81805" w:rsidP="00B81805">
      <w:pPr>
        <w:rPr>
          <w:rFonts w:ascii="Arial" w:hAnsi="Arial" w:cs="Arial"/>
        </w:rPr>
      </w:pPr>
      <w:r w:rsidRPr="00735274">
        <w:rPr>
          <w:rFonts w:ascii="Arial" w:hAnsi="Arial" w:cs="Arial"/>
        </w:rPr>
        <w:t>This increased recruitment and training demands and negatively affected operational efficiency and customer service quality. Eventually, the organisation struggled with retention to the point where employees were rarely retained beyond a few months</w:t>
      </w:r>
      <w:r w:rsidR="00735274" w:rsidRPr="00735274">
        <w:rPr>
          <w:rFonts w:ascii="Arial" w:hAnsi="Arial" w:cs="Arial"/>
        </w:rPr>
        <w:t>.</w:t>
      </w:r>
    </w:p>
    <w:p w14:paraId="3C0AF743" w14:textId="445B4ABC" w:rsidR="00B81805" w:rsidRPr="00735274" w:rsidRDefault="00B81805" w:rsidP="00B81805">
      <w:pPr>
        <w:rPr>
          <w:rFonts w:ascii="Arial" w:hAnsi="Arial" w:cs="Arial"/>
        </w:rPr>
      </w:pPr>
      <w:r w:rsidRPr="00735274">
        <w:rPr>
          <w:rFonts w:ascii="Arial" w:hAnsi="Arial" w:cs="Arial"/>
        </w:rPr>
        <w:t xml:space="preserve">This case highlights a </w:t>
      </w:r>
      <w:r w:rsidR="001C2D20" w:rsidRPr="00735274">
        <w:rPr>
          <w:rFonts w:ascii="Arial" w:hAnsi="Arial" w:cs="Arial"/>
        </w:rPr>
        <w:t>failure</w:t>
      </w:r>
      <w:r w:rsidRPr="00735274">
        <w:rPr>
          <w:rFonts w:ascii="Arial" w:hAnsi="Arial" w:cs="Arial"/>
        </w:rPr>
        <w:t xml:space="preserve"> between HR practices and the principles of the Harvard HRM Model, particularly </w:t>
      </w:r>
      <w:r w:rsidR="001C2D20" w:rsidRPr="00735274">
        <w:rPr>
          <w:rFonts w:ascii="Arial" w:hAnsi="Arial" w:cs="Arial"/>
        </w:rPr>
        <w:t>by not</w:t>
      </w:r>
      <w:r w:rsidRPr="00735274">
        <w:rPr>
          <w:rFonts w:ascii="Arial" w:hAnsi="Arial" w:cs="Arial"/>
        </w:rPr>
        <w:t xml:space="preserve"> balanc</w:t>
      </w:r>
      <w:r w:rsidR="001C2D20" w:rsidRPr="00735274">
        <w:rPr>
          <w:rFonts w:ascii="Arial" w:hAnsi="Arial" w:cs="Arial"/>
        </w:rPr>
        <w:t>ing</w:t>
      </w:r>
      <w:r w:rsidRPr="00735274">
        <w:rPr>
          <w:rFonts w:ascii="Arial" w:hAnsi="Arial" w:cs="Arial"/>
        </w:rPr>
        <w:t xml:space="preserve"> stakeholder interests and </w:t>
      </w:r>
      <w:r w:rsidR="00815A77">
        <w:rPr>
          <w:rFonts w:ascii="Arial" w:hAnsi="Arial" w:cs="Arial"/>
        </w:rPr>
        <w:t xml:space="preserve">not </w:t>
      </w:r>
      <w:r w:rsidRPr="00735274">
        <w:rPr>
          <w:rFonts w:ascii="Arial" w:hAnsi="Arial" w:cs="Arial"/>
        </w:rPr>
        <w:t>maintain</w:t>
      </w:r>
      <w:r w:rsidR="001C2D20" w:rsidRPr="00735274">
        <w:rPr>
          <w:rFonts w:ascii="Arial" w:hAnsi="Arial" w:cs="Arial"/>
        </w:rPr>
        <w:t>ing</w:t>
      </w:r>
      <w:r w:rsidRPr="00735274">
        <w:rPr>
          <w:rFonts w:ascii="Arial" w:hAnsi="Arial" w:cs="Arial"/>
        </w:rPr>
        <w:t xml:space="preserve"> </w:t>
      </w:r>
      <w:r w:rsidR="001C2D20" w:rsidRPr="00735274">
        <w:rPr>
          <w:rFonts w:ascii="Arial" w:hAnsi="Arial" w:cs="Arial"/>
        </w:rPr>
        <w:t>professionalism</w:t>
      </w:r>
      <w:r w:rsidRPr="00735274">
        <w:rPr>
          <w:rFonts w:ascii="Arial" w:hAnsi="Arial" w:cs="Arial"/>
        </w:rPr>
        <w:t xml:space="preserve">. A more effective approach would have involved </w:t>
      </w:r>
      <w:r w:rsidR="00735274" w:rsidRPr="00735274">
        <w:rPr>
          <w:rFonts w:ascii="Arial" w:hAnsi="Arial" w:cs="Arial"/>
        </w:rPr>
        <w:t xml:space="preserve">an </w:t>
      </w:r>
      <w:r w:rsidRPr="00735274">
        <w:rPr>
          <w:rFonts w:ascii="Arial" w:hAnsi="Arial" w:cs="Arial"/>
        </w:rPr>
        <w:t>independent and confidential investigation of employee concerns</w:t>
      </w:r>
      <w:r w:rsidR="00735274" w:rsidRPr="00735274">
        <w:rPr>
          <w:rFonts w:ascii="Arial" w:hAnsi="Arial" w:cs="Arial"/>
        </w:rPr>
        <w:t>.</w:t>
      </w:r>
    </w:p>
    <w:p w14:paraId="51C1A676" w14:textId="07EC5C19" w:rsidR="00B35B2F" w:rsidRPr="00735274" w:rsidRDefault="00B81805" w:rsidP="00B35B2F">
      <w:pPr>
        <w:rPr>
          <w:rFonts w:ascii="Arial" w:hAnsi="Arial" w:cs="Arial"/>
        </w:rPr>
      </w:pPr>
      <w:r w:rsidRPr="00735274">
        <w:rPr>
          <w:rFonts w:ascii="Arial" w:hAnsi="Arial" w:cs="Arial"/>
        </w:rPr>
        <w:t xml:space="preserve">Restoring trust would require repositioning HR </w:t>
      </w:r>
      <w:r w:rsidR="00815A77">
        <w:rPr>
          <w:rFonts w:ascii="Arial" w:hAnsi="Arial" w:cs="Arial"/>
        </w:rPr>
        <w:t xml:space="preserve">as </w:t>
      </w:r>
      <w:r w:rsidRPr="00735274">
        <w:rPr>
          <w:rFonts w:ascii="Arial" w:hAnsi="Arial" w:cs="Arial"/>
        </w:rPr>
        <w:t>neutral</w:t>
      </w:r>
      <w:r w:rsidR="00815A77">
        <w:rPr>
          <w:rFonts w:ascii="Arial" w:hAnsi="Arial" w:cs="Arial"/>
        </w:rPr>
        <w:t xml:space="preserve"> when dealing with a situation that involves employee trust.</w:t>
      </w:r>
      <w:r w:rsidRPr="00735274">
        <w:rPr>
          <w:rFonts w:ascii="Arial" w:hAnsi="Arial" w:cs="Arial"/>
        </w:rPr>
        <w:t xml:space="preserve"> This would improve psychological contract fulfilment, increase employee commitment,</w:t>
      </w:r>
      <w:r w:rsidR="00815A77">
        <w:rPr>
          <w:rFonts w:ascii="Arial" w:hAnsi="Arial" w:cs="Arial"/>
        </w:rPr>
        <w:t xml:space="preserve"> restore open communication</w:t>
      </w:r>
      <w:r w:rsidRPr="00735274">
        <w:rPr>
          <w:rFonts w:ascii="Arial" w:hAnsi="Arial" w:cs="Arial"/>
        </w:rPr>
        <w:t xml:space="preserve"> and ultimately enhance organisational performance</w:t>
      </w:r>
      <w:r w:rsidR="001C2D20" w:rsidRPr="00735274">
        <w:rPr>
          <w:rFonts w:ascii="Arial" w:hAnsi="Arial" w:cs="Arial"/>
        </w:rPr>
        <w:t>.</w:t>
      </w:r>
    </w:p>
    <w:p w14:paraId="7FB1EC91" w14:textId="77777777" w:rsidR="00735274" w:rsidRPr="00735274" w:rsidRDefault="00735274" w:rsidP="00B35B2F">
      <w:pPr>
        <w:rPr>
          <w:rFonts w:ascii="Arial" w:hAnsi="Arial" w:cs="Arial"/>
        </w:rPr>
      </w:pPr>
    </w:p>
    <w:p w14:paraId="4F1D15A8" w14:textId="0ACA73F4" w:rsidR="00735274" w:rsidRPr="00735274" w:rsidRDefault="00735274" w:rsidP="00B35B2F">
      <w:pPr>
        <w:rPr>
          <w:rFonts w:ascii="Arial" w:hAnsi="Arial" w:cs="Arial"/>
        </w:rPr>
      </w:pPr>
      <w:r w:rsidRPr="00735274">
        <w:rPr>
          <w:rFonts w:ascii="Arial" w:hAnsi="Arial" w:cs="Arial"/>
        </w:rPr>
        <w:lastRenderedPageBreak/>
        <w:t xml:space="preserve">Rousseau, D. M. (1989). Psychological and implied contracts in organisations. Employee Responsibilities and Rights Journal, 2(2), 121–139. </w:t>
      </w:r>
      <w:hyperlink r:id="rId4" w:history="1">
        <w:r w:rsidRPr="00735274">
          <w:rPr>
            <w:rStyle w:val="Hyperlink"/>
            <w:rFonts w:ascii="Arial" w:hAnsi="Arial" w:cs="Arial"/>
          </w:rPr>
          <w:t>https://doi.org/10.1007/BF01384942</w:t>
        </w:r>
      </w:hyperlink>
      <w:r w:rsidRPr="00735274">
        <w:rPr>
          <w:rFonts w:ascii="Arial" w:hAnsi="Arial" w:cs="Arial"/>
        </w:rPr>
        <w:t xml:space="preserve"> </w:t>
      </w:r>
    </w:p>
    <w:sectPr w:rsidR="00735274" w:rsidRPr="0073527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B2F"/>
    <w:rsid w:val="001C2D20"/>
    <w:rsid w:val="006C063D"/>
    <w:rsid w:val="00735274"/>
    <w:rsid w:val="00815A77"/>
    <w:rsid w:val="00B35B2F"/>
    <w:rsid w:val="00B81805"/>
  </w:rsids>
  <m:mathPr>
    <m:mathFont m:val="Cambria Math"/>
    <m:brkBin m:val="before"/>
    <m:brkBinSub m:val="--"/>
    <m:smallFrac m:val="0"/>
    <m:dispDef/>
    <m:lMargin m:val="0"/>
    <m:rMargin m:val="0"/>
    <m:defJc m:val="centerGroup"/>
    <m:wrapIndent m:val="1440"/>
    <m:intLim m:val="subSup"/>
    <m:naryLim m:val="undOvr"/>
  </m:mathPr>
  <w:themeFontLang w:val="en-CZ"/>
  <w:clrSchemeMapping w:bg1="light1" w:t1="dark1" w:bg2="light2" w:t2="dark2" w:accent1="accent1" w:accent2="accent2" w:accent3="accent3" w:accent4="accent4" w:accent5="accent5" w:accent6="accent6" w:hyperlink="hyperlink" w:followedHyperlink="followedHyperlink"/>
  <w:decimalSymbol w:val=","/>
  <w:listSeparator w:val=","/>
  <w14:docId w14:val="476AA398"/>
  <w15:chartTrackingRefBased/>
  <w15:docId w15:val="{AE35E421-6C18-AF40-929E-C235E3FF7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Z"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5B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35B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5B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5B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5B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5B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5B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5B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5B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B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35B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5B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5B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5B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5B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5B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5B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5B2F"/>
    <w:rPr>
      <w:rFonts w:eastAsiaTheme="majorEastAsia" w:cstheme="majorBidi"/>
      <w:color w:val="272727" w:themeColor="text1" w:themeTint="D8"/>
    </w:rPr>
  </w:style>
  <w:style w:type="paragraph" w:styleId="Title">
    <w:name w:val="Title"/>
    <w:basedOn w:val="Normal"/>
    <w:next w:val="Normal"/>
    <w:link w:val="TitleChar"/>
    <w:uiPriority w:val="10"/>
    <w:qFormat/>
    <w:rsid w:val="00B35B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5B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5B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5B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5B2F"/>
    <w:pPr>
      <w:spacing w:before="160"/>
      <w:jc w:val="center"/>
    </w:pPr>
    <w:rPr>
      <w:i/>
      <w:iCs/>
      <w:color w:val="404040" w:themeColor="text1" w:themeTint="BF"/>
    </w:rPr>
  </w:style>
  <w:style w:type="character" w:customStyle="1" w:styleId="QuoteChar">
    <w:name w:val="Quote Char"/>
    <w:basedOn w:val="DefaultParagraphFont"/>
    <w:link w:val="Quote"/>
    <w:uiPriority w:val="29"/>
    <w:rsid w:val="00B35B2F"/>
    <w:rPr>
      <w:i/>
      <w:iCs/>
      <w:color w:val="404040" w:themeColor="text1" w:themeTint="BF"/>
    </w:rPr>
  </w:style>
  <w:style w:type="paragraph" w:styleId="ListParagraph">
    <w:name w:val="List Paragraph"/>
    <w:basedOn w:val="Normal"/>
    <w:uiPriority w:val="34"/>
    <w:qFormat/>
    <w:rsid w:val="00B35B2F"/>
    <w:pPr>
      <w:ind w:left="720"/>
      <w:contextualSpacing/>
    </w:pPr>
  </w:style>
  <w:style w:type="character" w:styleId="IntenseEmphasis">
    <w:name w:val="Intense Emphasis"/>
    <w:basedOn w:val="DefaultParagraphFont"/>
    <w:uiPriority w:val="21"/>
    <w:qFormat/>
    <w:rsid w:val="00B35B2F"/>
    <w:rPr>
      <w:i/>
      <w:iCs/>
      <w:color w:val="0F4761" w:themeColor="accent1" w:themeShade="BF"/>
    </w:rPr>
  </w:style>
  <w:style w:type="paragraph" w:styleId="IntenseQuote">
    <w:name w:val="Intense Quote"/>
    <w:basedOn w:val="Normal"/>
    <w:next w:val="Normal"/>
    <w:link w:val="IntenseQuoteChar"/>
    <w:uiPriority w:val="30"/>
    <w:qFormat/>
    <w:rsid w:val="00B35B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5B2F"/>
    <w:rPr>
      <w:i/>
      <w:iCs/>
      <w:color w:val="0F4761" w:themeColor="accent1" w:themeShade="BF"/>
    </w:rPr>
  </w:style>
  <w:style w:type="character" w:styleId="IntenseReference">
    <w:name w:val="Intense Reference"/>
    <w:basedOn w:val="DefaultParagraphFont"/>
    <w:uiPriority w:val="32"/>
    <w:qFormat/>
    <w:rsid w:val="00B35B2F"/>
    <w:rPr>
      <w:b/>
      <w:bCs/>
      <w:smallCaps/>
      <w:color w:val="0F4761" w:themeColor="accent1" w:themeShade="BF"/>
      <w:spacing w:val="5"/>
    </w:rPr>
  </w:style>
  <w:style w:type="character" w:styleId="Hyperlink">
    <w:name w:val="Hyperlink"/>
    <w:basedOn w:val="DefaultParagraphFont"/>
    <w:uiPriority w:val="99"/>
    <w:unhideWhenUsed/>
    <w:rsid w:val="00735274"/>
    <w:rPr>
      <w:color w:val="467886" w:themeColor="hyperlink"/>
      <w:u w:val="single"/>
    </w:rPr>
  </w:style>
  <w:style w:type="character" w:styleId="UnresolvedMention">
    <w:name w:val="Unresolved Mention"/>
    <w:basedOn w:val="DefaultParagraphFont"/>
    <w:uiPriority w:val="99"/>
    <w:semiHidden/>
    <w:unhideWhenUsed/>
    <w:rsid w:val="00735274"/>
    <w:rPr>
      <w:color w:val="605E5C"/>
      <w:shd w:val="clear" w:color="auto" w:fill="E1DFDD"/>
    </w:rPr>
  </w:style>
  <w:style w:type="character" w:styleId="FollowedHyperlink">
    <w:name w:val="FollowedHyperlink"/>
    <w:basedOn w:val="DefaultParagraphFont"/>
    <w:uiPriority w:val="99"/>
    <w:semiHidden/>
    <w:unhideWhenUsed/>
    <w:rsid w:val="0073527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07/BF013849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37</TotalTime>
  <Pages>2</Pages>
  <Words>369</Words>
  <Characters>2108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MOV Memories</dc:creator>
  <cp:keywords/>
  <dc:description/>
  <cp:lastModifiedBy>MOV Memories</cp:lastModifiedBy>
  <cp:revision>2</cp:revision>
  <dcterms:created xsi:type="dcterms:W3CDTF">2026-03-22T12:07:00Z</dcterms:created>
  <dcterms:modified xsi:type="dcterms:W3CDTF">2026-03-22T12:53:00Z</dcterms:modified>
</cp:coreProperties>
</file>