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ascii="Times New Roman" w:eastAsiaTheme="minorEastAsia" w:hAnsi="Times New Roman" w:cs="Times New Roman"/>
          <w:color w:val="auto"/>
        </w:rPr>
      </w:sdtEndPr>
      <w:sdtContent>
        <w:p w14:paraId="5384490A" w14:textId="77777777" w:rsidR="007D1947" w:rsidRDefault="007D1947">
          <w:pPr>
            <w:pStyle w:val="a3"/>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19702C9B" w:rsidR="007D1947" w:rsidRDefault="005B7E56">
              <w:pPr>
                <w:pStyle w:val="a3"/>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130E8B">
                <w:rPr>
                  <w:rFonts w:asciiTheme="majorHAnsi" w:eastAsiaTheme="majorEastAsia" w:hAnsiTheme="majorHAnsi" w:cstheme="majorBidi"/>
                  <w:caps/>
                  <w:color w:val="5B9BD5" w:themeColor="accent1"/>
                  <w:sz w:val="72"/>
                  <w:szCs w:val="72"/>
                </w:rPr>
                <w:t>ANALYSIS</w:t>
              </w:r>
              <w:r w:rsidRPr="005B7E56">
                <w:rPr>
                  <w:rFonts w:asciiTheme="majorHAnsi" w:eastAsiaTheme="majorEastAsia" w:hAnsiTheme="majorHAnsi" w:cstheme="majorBidi"/>
                  <w:caps/>
                  <w:color w:val="5B9BD5" w:themeColor="accent1"/>
                  <w:sz w:val="72"/>
                  <w:szCs w:val="72"/>
                </w:rPr>
                <w:t xml:space="preserve"> </w:t>
              </w:r>
              <w:r>
                <w:rPr>
                  <w:rFonts w:asciiTheme="majorHAnsi" w:eastAsiaTheme="majorEastAsia" w:hAnsiTheme="majorHAnsi" w:cstheme="majorBidi"/>
                  <w:caps/>
                  <w:color w:val="5B9BD5" w:themeColor="accent1"/>
                  <w:sz w:val="72"/>
                  <w:szCs w:val="72"/>
                </w:rPr>
                <w:t xml:space="preserve">of </w:t>
              </w:r>
              <w:r w:rsidRPr="005B7E56">
                <w:rPr>
                  <w:rFonts w:asciiTheme="majorHAnsi" w:eastAsiaTheme="majorEastAsia" w:hAnsiTheme="majorHAnsi" w:cstheme="majorBidi"/>
                  <w:caps/>
                  <w:color w:val="5B9BD5" w:themeColor="accent1"/>
                  <w:sz w:val="72"/>
                  <w:szCs w:val="72"/>
                </w:rPr>
                <w:t xml:space="preserve">Performance Management </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211F85D3" w:rsidR="007D1947" w:rsidRDefault="005B7E56">
              <w:pPr>
                <w:pStyle w:val="a3"/>
                <w:jc w:val="center"/>
                <w:rPr>
                  <w:color w:val="5B9BD5" w:themeColor="accent1"/>
                  <w:sz w:val="28"/>
                  <w:szCs w:val="28"/>
                </w:rPr>
              </w:pPr>
              <w:r>
                <w:rPr>
                  <w:color w:val="5B9BD5" w:themeColor="accent1"/>
                  <w:sz w:val="28"/>
                  <w:szCs w:val="28"/>
                </w:rPr>
                <w:t>[</w:t>
              </w:r>
              <w:r w:rsidRPr="005B7E56">
                <w:rPr>
                  <w:color w:val="5B9BD5" w:themeColor="accent1"/>
                  <w:sz w:val="28"/>
                  <w:szCs w:val="28"/>
                </w:rPr>
                <w:t xml:space="preserve">Performance Analysis of Portal and </w:t>
              </w:r>
              <w:proofErr w:type="spellStart"/>
              <w:r w:rsidRPr="005B7E56">
                <w:rPr>
                  <w:color w:val="5B9BD5" w:themeColor="accent1"/>
                  <w:sz w:val="28"/>
                  <w:szCs w:val="28"/>
                </w:rPr>
                <w:t>Troyland</w:t>
              </w:r>
              <w:proofErr w:type="spellEnd"/>
              <w:r>
                <w:rPr>
                  <w:color w:val="5B9BD5" w:themeColor="accent1"/>
                  <w:sz w:val="28"/>
                  <w:szCs w:val="28"/>
                </w:rPr>
                <w:t>]</w:t>
              </w:r>
            </w:p>
          </w:sdtContent>
        </w:sdt>
        <w:p w14:paraId="1ADC1124" w14:textId="20277CD6" w:rsidR="007D1947" w:rsidRDefault="007D1947">
          <w:pPr>
            <w:pStyle w:val="a3"/>
            <w:spacing w:before="480"/>
            <w:jc w:val="center"/>
            <w:rPr>
              <w:color w:val="5B9BD5" w:themeColor="accent1"/>
            </w:rPr>
          </w:pPr>
          <w:r>
            <w:rPr>
              <w:noProof/>
              <w:color w:val="5B9BD5" w:themeColor="accent1"/>
              <w:lang w:val="en-GB" w:eastAsia="en-GB"/>
            </w:rPr>
            <w:drawing>
              <wp:inline distT="0" distB="0" distL="0" distR="0" wp14:anchorId="4157B111" wp14:editId="6D3439A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25ECD138" w:rsidR="007D1947" w:rsidRDefault="008003FB" w:rsidP="00470715">
          <w:pPr>
            <w:pStyle w:val="1"/>
            <w:spacing w:line="360" w:lineRule="auto"/>
            <w:jc w:val="center"/>
          </w:pPr>
          <w:bookmarkStart w:id="0" w:name="_Toc134635624"/>
          <w:r>
            <w:rPr>
              <w:noProof/>
              <w:color w:val="5B9BD5" w:themeColor="accent1"/>
              <w:lang w:eastAsia="en-GB"/>
            </w:rPr>
            <mc:AlternateContent>
              <mc:Choice Requires="wps">
                <w:drawing>
                  <wp:anchor distT="0" distB="0" distL="114300" distR="114300" simplePos="0" relativeHeight="251659264" behindDoc="0" locked="0" layoutInCell="1" allowOverlap="1" wp14:anchorId="4A6131BB" wp14:editId="1F5BB17C">
                    <wp:simplePos x="0" y="0"/>
                    <wp:positionH relativeFrom="margin">
                      <wp:align>right</wp:align>
                    </wp:positionH>
                    <wp:positionV relativeFrom="page">
                      <wp:posOffset>8205788</wp:posOffset>
                    </wp:positionV>
                    <wp:extent cx="5731510" cy="1470977"/>
                    <wp:effectExtent l="0" t="0" r="2540" b="15240"/>
                    <wp:wrapNone/>
                    <wp:docPr id="142" name="Text Box 142"/>
                    <wp:cNvGraphicFramePr/>
                    <a:graphic xmlns:a="http://schemas.openxmlformats.org/drawingml/2006/main">
                      <a:graphicData uri="http://schemas.microsoft.com/office/word/2010/wordprocessingShape">
                        <wps:wsp>
                          <wps:cNvSpPr txBox="1"/>
                          <wps:spPr>
                            <a:xfrm>
                              <a:off x="0" y="0"/>
                              <a:ext cx="5731510" cy="14709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E5EF3B" w14:textId="4B0F59FF" w:rsidR="008003FB" w:rsidRPr="008003FB" w:rsidRDefault="008003FB" w:rsidP="008003FB">
                                <w:pPr>
                                  <w:pStyle w:val="a3"/>
                                  <w:spacing w:after="40"/>
                                  <w:jc w:val="center"/>
                                  <w:rPr>
                                    <w:caps/>
                                    <w:color w:val="5B9BD5" w:themeColor="accent1"/>
                                    <w:sz w:val="28"/>
                                    <w:szCs w:val="28"/>
                                  </w:rPr>
                                </w:pPr>
                                <w:r w:rsidRPr="008003FB">
                                  <w:rPr>
                                    <w:caps/>
                                    <w:color w:val="5B9BD5" w:themeColor="accent1"/>
                                    <w:sz w:val="28"/>
                                    <w:szCs w:val="28"/>
                                  </w:rPr>
                                  <w:t>STUDENT NAME:      Zengtian Li</w:t>
                                </w:r>
                              </w:p>
                              <w:p w14:paraId="28BCD159" w14:textId="34178E3D" w:rsidR="008003FB" w:rsidRDefault="008003FB" w:rsidP="008003FB">
                                <w:pPr>
                                  <w:pStyle w:val="a3"/>
                                  <w:spacing w:after="40"/>
                                  <w:jc w:val="center"/>
                                  <w:rPr>
                                    <w:caps/>
                                    <w:color w:val="5B9BD5" w:themeColor="accent1"/>
                                    <w:sz w:val="28"/>
                                    <w:szCs w:val="28"/>
                                  </w:rPr>
                                </w:pPr>
                                <w:r w:rsidRPr="008003FB">
                                  <w:rPr>
                                    <w:caps/>
                                    <w:color w:val="5B9BD5" w:themeColor="accent1"/>
                                    <w:sz w:val="28"/>
                                    <w:szCs w:val="28"/>
                                  </w:rPr>
                                  <w:t>STUDENT NUMBER:        2203395</w:t>
                                </w:r>
                              </w:p>
                              <w:p w14:paraId="52BAF8D9" w14:textId="4693A20E" w:rsidR="007D1947" w:rsidRDefault="008003FB">
                                <w:pPr>
                                  <w:pStyle w:val="a3"/>
                                  <w:spacing w:after="40"/>
                                  <w:jc w:val="center"/>
                                  <w:rPr>
                                    <w:caps/>
                                    <w:color w:val="5B9BD5" w:themeColor="accent1"/>
                                    <w:sz w:val="28"/>
                                    <w:szCs w:val="28"/>
                                  </w:rPr>
                                </w:pPr>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10T00:00:00Z">
                                      <w:dateFormat w:val="MMMM d, yyyy"/>
                                      <w:lid w:val="en-US"/>
                                      <w:storeMappedDataAs w:val="dateTime"/>
                                      <w:calendar w:val="gregorian"/>
                                    </w:date>
                                  </w:sdtPr>
                                  <w:sdtContent>
                                    <w:r>
                                      <w:rPr>
                                        <w:caps/>
                                        <w:color w:val="5B9BD5" w:themeColor="accent1"/>
                                        <w:sz w:val="28"/>
                                        <w:szCs w:val="28"/>
                                      </w:rPr>
                                      <w:t>May 10, 2023</w:t>
                                    </w:r>
                                  </w:sdtContent>
                                </w:sdt>
                              </w:p>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400.1pt;margin-top:646.15pt;width:451.3pt;height:115.8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" filled="f" stroked="f" strokeweight=".5pt">
                    <v:textbox inset="0,0,0,0">
                      <w:txbxContent>
                        <w:p w14:paraId="74E5EF3B" w14:textId="4B0F59FF" w:rsidR="008003FB" w:rsidRPr="008003FB" w:rsidRDefault="008003FB" w:rsidP="008003FB">
                          <w:pPr>
                            <w:pStyle w:val="a3"/>
                            <w:spacing w:after="40"/>
                            <w:jc w:val="center"/>
                            <w:rPr>
                              <w:caps/>
                              <w:color w:val="5B9BD5" w:themeColor="accent1"/>
                              <w:sz w:val="28"/>
                              <w:szCs w:val="28"/>
                            </w:rPr>
                          </w:pPr>
                          <w:r w:rsidRPr="008003FB">
                            <w:rPr>
                              <w:caps/>
                              <w:color w:val="5B9BD5" w:themeColor="accent1"/>
                              <w:sz w:val="28"/>
                              <w:szCs w:val="28"/>
                            </w:rPr>
                            <w:t>STUDENT NAME:      Zengtian Li</w:t>
                          </w:r>
                        </w:p>
                        <w:p w14:paraId="28BCD159" w14:textId="34178E3D" w:rsidR="008003FB" w:rsidRDefault="008003FB" w:rsidP="008003FB">
                          <w:pPr>
                            <w:pStyle w:val="a3"/>
                            <w:spacing w:after="40"/>
                            <w:jc w:val="center"/>
                            <w:rPr>
                              <w:caps/>
                              <w:color w:val="5B9BD5" w:themeColor="accent1"/>
                              <w:sz w:val="28"/>
                              <w:szCs w:val="28"/>
                            </w:rPr>
                          </w:pPr>
                          <w:r w:rsidRPr="008003FB">
                            <w:rPr>
                              <w:caps/>
                              <w:color w:val="5B9BD5" w:themeColor="accent1"/>
                              <w:sz w:val="28"/>
                              <w:szCs w:val="28"/>
                            </w:rPr>
                            <w:t>STUDENT NUMBER:        2203395</w:t>
                          </w:r>
                        </w:p>
                        <w:p w14:paraId="52BAF8D9" w14:textId="4693A20E" w:rsidR="007D1947" w:rsidRDefault="008003FB">
                          <w:pPr>
                            <w:pStyle w:val="a3"/>
                            <w:spacing w:after="40"/>
                            <w:jc w:val="center"/>
                            <w:rPr>
                              <w:caps/>
                              <w:color w:val="5B9BD5" w:themeColor="accent1"/>
                              <w:sz w:val="28"/>
                              <w:szCs w:val="28"/>
                            </w:rPr>
                          </w:pPr>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10T00:00:00Z">
                                <w:dateFormat w:val="MMMM d, yyyy"/>
                                <w:lid w:val="en-US"/>
                                <w:storeMappedDataAs w:val="dateTime"/>
                                <w:calendar w:val="gregorian"/>
                              </w:date>
                            </w:sdtPr>
                            <w:sdtContent>
                              <w:r>
                                <w:rPr>
                                  <w:caps/>
                                  <w:color w:val="5B9BD5" w:themeColor="accent1"/>
                                  <w:sz w:val="28"/>
                                  <w:szCs w:val="28"/>
                                </w:rPr>
                                <w:t>May 10, 2023</w:t>
                              </w:r>
                            </w:sdtContent>
                          </w:sdt>
                        </w:p>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007D1947">
            <w:br w:type="page"/>
          </w:r>
          <w:r w:rsidR="007D1947">
            <w:lastRenderedPageBreak/>
            <w:t>Executive Summary</w:t>
          </w:r>
          <w:bookmarkEnd w:id="0"/>
        </w:p>
        <w:p w14:paraId="62AB7F7D" w14:textId="7B13F0D6" w:rsidR="007D1947" w:rsidRDefault="00470715" w:rsidP="00470715">
          <w:pPr>
            <w:spacing w:line="360" w:lineRule="auto"/>
            <w:jc w:val="both"/>
            <w:rPr>
              <w:rFonts w:ascii="Times New Roman" w:hAnsi="Times New Roman" w:cs="Times New Roman"/>
              <w:sz w:val="24"/>
              <w:szCs w:val="24"/>
            </w:rPr>
          </w:pPr>
          <w:r w:rsidRPr="00470715">
            <w:rPr>
              <w:rFonts w:ascii="Times New Roman" w:hAnsi="Times New Roman" w:cs="Times New Roman"/>
              <w:sz w:val="24"/>
              <w:szCs w:val="24"/>
            </w:rPr>
            <w:t xml:space="preserve">The research content of this report includes two parts. The first part mainly </w:t>
          </w:r>
          <w:r w:rsidR="00D7169C">
            <w:rPr>
              <w:rFonts w:ascii="Times New Roman" w:hAnsi="Times New Roman" w:cs="Times New Roman"/>
              <w:sz w:val="24"/>
              <w:szCs w:val="24"/>
            </w:rPr>
            <w:t>analyse</w:t>
          </w:r>
          <w:r w:rsidRPr="00470715">
            <w:rPr>
              <w:rFonts w:ascii="Times New Roman" w:hAnsi="Times New Roman" w:cs="Times New Roman"/>
              <w:sz w:val="24"/>
              <w:szCs w:val="24"/>
            </w:rPr>
            <w:t xml:space="preserve">s Portal Enterprise. Firstly, a performance evaluation was conducted on the two </w:t>
          </w:r>
          <w:r w:rsidR="00914AAF">
            <w:rPr>
              <w:rFonts w:ascii="Times New Roman" w:hAnsi="Times New Roman" w:cs="Times New Roman"/>
              <w:sz w:val="24"/>
              <w:szCs w:val="24"/>
            </w:rPr>
            <w:t>divisions</w:t>
          </w:r>
          <w:r w:rsidRPr="00470715">
            <w:rPr>
              <w:rFonts w:ascii="Times New Roman" w:hAnsi="Times New Roman" w:cs="Times New Roman"/>
              <w:sz w:val="24"/>
              <w:szCs w:val="24"/>
            </w:rPr>
            <w:t xml:space="preserve"> of the enterprise, and it was found that the manufacturing/sales </w:t>
          </w:r>
          <w:r w:rsidR="00914AAF">
            <w:rPr>
              <w:rFonts w:ascii="Times New Roman" w:hAnsi="Times New Roman" w:cs="Times New Roman"/>
              <w:sz w:val="24"/>
              <w:szCs w:val="24"/>
            </w:rPr>
            <w:t>division</w:t>
          </w:r>
          <w:r w:rsidRPr="00470715">
            <w:rPr>
              <w:rFonts w:ascii="Times New Roman" w:hAnsi="Times New Roman" w:cs="Times New Roman"/>
              <w:sz w:val="24"/>
              <w:szCs w:val="24"/>
            </w:rPr>
            <w:t xml:space="preserve"> had good performance indicators in all aspects, creating a considerable amount of value for the enterprise. However, the service </w:t>
          </w:r>
          <w:r w:rsidR="00914AAF">
            <w:rPr>
              <w:rFonts w:ascii="Times New Roman" w:hAnsi="Times New Roman" w:cs="Times New Roman"/>
              <w:sz w:val="24"/>
              <w:szCs w:val="24"/>
            </w:rPr>
            <w:t>division</w:t>
          </w:r>
          <w:r w:rsidRPr="00470715">
            <w:rPr>
              <w:rFonts w:ascii="Times New Roman" w:hAnsi="Times New Roman" w:cs="Times New Roman"/>
              <w:sz w:val="24"/>
              <w:szCs w:val="24"/>
            </w:rPr>
            <w:t xml:space="preserve"> performed mediocrely and created relatively low value. In terms of transfer pricing, through analysis, it is found that the market price method may be more suitable for maintenance within the warranty period, while the </w:t>
          </w:r>
          <w:proofErr w:type="gramStart"/>
          <w:r w:rsidRPr="00470715">
            <w:rPr>
              <w:rFonts w:ascii="Times New Roman" w:hAnsi="Times New Roman" w:cs="Times New Roman"/>
              <w:sz w:val="24"/>
              <w:szCs w:val="24"/>
            </w:rPr>
            <w:t>cost plus</w:t>
          </w:r>
          <w:proofErr w:type="gramEnd"/>
          <w:r w:rsidRPr="00470715">
            <w:rPr>
              <w:rFonts w:ascii="Times New Roman" w:hAnsi="Times New Roman" w:cs="Times New Roman"/>
              <w:sz w:val="24"/>
              <w:szCs w:val="24"/>
            </w:rPr>
            <w:t xml:space="preserve"> method is more suitable for maintenance beyond the warranty period. Afterwards, the impact of the new execution information system on enterprise performance management was discussed, mainly reflected in four aspects: integrating strategy, promoting performance management implementation, improving performance management efficiency, and supporting decision-making through performance analysis. The second part analy</w:t>
          </w:r>
          <w:r>
            <w:rPr>
              <w:rFonts w:ascii="Times New Roman" w:hAnsi="Times New Roman" w:cs="Times New Roman" w:hint="eastAsia"/>
              <w:sz w:val="24"/>
              <w:szCs w:val="24"/>
              <w:lang w:eastAsia="zh-CN"/>
            </w:rPr>
            <w:t>s</w:t>
          </w:r>
          <w:r w:rsidRPr="00470715">
            <w:rPr>
              <w:rFonts w:ascii="Times New Roman" w:hAnsi="Times New Roman" w:cs="Times New Roman"/>
              <w:sz w:val="24"/>
              <w:szCs w:val="24"/>
            </w:rPr>
            <w:t xml:space="preserve">es the performance status of </w:t>
          </w:r>
          <w:proofErr w:type="spellStart"/>
          <w:r w:rsidRPr="00470715">
            <w:rPr>
              <w:rFonts w:ascii="Times New Roman" w:hAnsi="Times New Roman" w:cs="Times New Roman"/>
              <w:sz w:val="24"/>
              <w:szCs w:val="24"/>
            </w:rPr>
            <w:t>Troyland</w:t>
          </w:r>
          <w:proofErr w:type="spellEnd"/>
          <w:r w:rsidRPr="00470715">
            <w:rPr>
              <w:rFonts w:ascii="Times New Roman" w:hAnsi="Times New Roman" w:cs="Times New Roman"/>
              <w:sz w:val="24"/>
              <w:szCs w:val="24"/>
            </w:rPr>
            <w:t xml:space="preserve"> Limited. Through analysis, it was found that the company is currently facing various growth crises, including incomplete management systems, increased costs, weak risk resistance, policy changes, fierce market competition, and economic downturn. Afterwards, a balanced scorecard was used to analy</w:t>
          </w:r>
          <w:r>
            <w:rPr>
              <w:rFonts w:ascii="Times New Roman" w:hAnsi="Times New Roman" w:cs="Times New Roman" w:hint="eastAsia"/>
              <w:sz w:val="24"/>
              <w:szCs w:val="24"/>
              <w:lang w:eastAsia="zh-CN"/>
            </w:rPr>
            <w:t>s</w:t>
          </w:r>
          <w:r w:rsidRPr="00470715">
            <w:rPr>
              <w:rFonts w:ascii="Times New Roman" w:hAnsi="Times New Roman" w:cs="Times New Roman"/>
              <w:sz w:val="24"/>
              <w:szCs w:val="24"/>
            </w:rPr>
            <w:t>e the company's performance, and it was found that the company performed poorly in three dimensions: finance, customers, and internal business processes, with significant room for improvement. Finally, this report believes that the company needs to carry out business process reengineering, which mainly includes three reasons: the need for strategic adjustment, the need to improve market competitiveness, and the need to improve internal business processes.</w:t>
          </w:r>
        </w:p>
        <w:p w14:paraId="58FEF4D2" w14:textId="365E0E01" w:rsidR="00EF168B" w:rsidRDefault="00EF168B" w:rsidP="00470715">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eastAsiaTheme="minorEastAsia"/>
              <w:b/>
              <w:bCs/>
              <w:noProof/>
            </w:rPr>
          </w:sdtEndPr>
          <w:sdtContent>
            <w:p w14:paraId="1DFECD67" w14:textId="77777777" w:rsidR="007D1947" w:rsidRDefault="007D1947" w:rsidP="00D47140">
              <w:pPr>
                <w:pStyle w:val="TOC"/>
                <w:jc w:val="center"/>
              </w:pPr>
              <w:r>
                <w:t>Table of Contents</w:t>
              </w:r>
            </w:p>
            <w:p w14:paraId="1AF52E7B" w14:textId="1623CEC3" w:rsidR="00E6270F" w:rsidRDefault="007D1947">
              <w:pPr>
                <w:pStyle w:val="TOC1"/>
                <w:tabs>
                  <w:tab w:val="right" w:leader="dot" w:pos="9016"/>
                </w:tabs>
                <w:rPr>
                  <w:noProof/>
                  <w:kern w:val="2"/>
                  <w:sz w:val="21"/>
                  <w:lang w:val="en-US" w:eastAsia="zh-CN"/>
                  <w14:ligatures w14:val="standardContextual"/>
                </w:rPr>
              </w:pPr>
              <w:r w:rsidRPr="00D47140">
                <w:rPr>
                  <w:sz w:val="24"/>
                  <w:szCs w:val="24"/>
                </w:rPr>
                <w:fldChar w:fldCharType="begin"/>
              </w:r>
              <w:r w:rsidRPr="00D47140">
                <w:rPr>
                  <w:sz w:val="24"/>
                  <w:szCs w:val="24"/>
                </w:rPr>
                <w:instrText xml:space="preserve"> TOC \o "1-3" \h \z \u </w:instrText>
              </w:r>
              <w:r w:rsidRPr="00D47140">
                <w:rPr>
                  <w:sz w:val="24"/>
                  <w:szCs w:val="24"/>
                </w:rPr>
                <w:fldChar w:fldCharType="separate"/>
              </w:r>
              <w:hyperlink w:anchor="_Toc134635624" w:history="1">
                <w:r w:rsidR="00E6270F" w:rsidRPr="00AE63B6">
                  <w:rPr>
                    <w:rStyle w:val="a5"/>
                    <w:noProof/>
                  </w:rPr>
                  <w:t>Executive Summary</w:t>
                </w:r>
                <w:r w:rsidR="00E6270F">
                  <w:rPr>
                    <w:noProof/>
                    <w:webHidden/>
                  </w:rPr>
                  <w:tab/>
                  <w:t>1</w:t>
                </w:r>
              </w:hyperlink>
            </w:p>
            <w:p w14:paraId="4B04F6CE" w14:textId="24ABDCE1" w:rsidR="00E6270F" w:rsidRDefault="00E6270F">
              <w:pPr>
                <w:pStyle w:val="TOC1"/>
                <w:tabs>
                  <w:tab w:val="right" w:leader="dot" w:pos="9016"/>
                </w:tabs>
                <w:rPr>
                  <w:noProof/>
                  <w:kern w:val="2"/>
                  <w:sz w:val="21"/>
                  <w:lang w:val="en-US" w:eastAsia="zh-CN"/>
                  <w14:ligatures w14:val="standardContextual"/>
                </w:rPr>
              </w:pPr>
              <w:hyperlink w:anchor="_Toc134635625" w:history="1">
                <w:r w:rsidRPr="00AE63B6">
                  <w:rPr>
                    <w:rStyle w:val="a5"/>
                    <w:noProof/>
                  </w:rPr>
                  <w:t>Introduction</w:t>
                </w:r>
                <w:r>
                  <w:rPr>
                    <w:noProof/>
                    <w:webHidden/>
                  </w:rPr>
                  <w:tab/>
                </w:r>
                <w:r>
                  <w:rPr>
                    <w:noProof/>
                    <w:webHidden/>
                  </w:rPr>
                  <w:fldChar w:fldCharType="begin"/>
                </w:r>
                <w:r>
                  <w:rPr>
                    <w:noProof/>
                    <w:webHidden/>
                  </w:rPr>
                  <w:instrText xml:space="preserve"> PAGEREF _Toc134635625 \h </w:instrText>
                </w:r>
                <w:r>
                  <w:rPr>
                    <w:noProof/>
                    <w:webHidden/>
                  </w:rPr>
                </w:r>
                <w:r>
                  <w:rPr>
                    <w:noProof/>
                    <w:webHidden/>
                  </w:rPr>
                  <w:fldChar w:fldCharType="separate"/>
                </w:r>
                <w:r>
                  <w:rPr>
                    <w:noProof/>
                    <w:webHidden/>
                  </w:rPr>
                  <w:t>3</w:t>
                </w:r>
                <w:r>
                  <w:rPr>
                    <w:noProof/>
                    <w:webHidden/>
                  </w:rPr>
                  <w:fldChar w:fldCharType="end"/>
                </w:r>
              </w:hyperlink>
            </w:p>
            <w:p w14:paraId="187D19AD" w14:textId="163EC0CA" w:rsidR="00E6270F" w:rsidRDefault="00E6270F">
              <w:pPr>
                <w:pStyle w:val="TOC1"/>
                <w:tabs>
                  <w:tab w:val="right" w:leader="dot" w:pos="9016"/>
                </w:tabs>
                <w:rPr>
                  <w:noProof/>
                  <w:kern w:val="2"/>
                  <w:sz w:val="21"/>
                  <w:lang w:val="en-US" w:eastAsia="zh-CN"/>
                  <w14:ligatures w14:val="standardContextual"/>
                </w:rPr>
              </w:pPr>
              <w:hyperlink w:anchor="_Toc134635626" w:history="1">
                <w:r w:rsidRPr="00AE63B6">
                  <w:rPr>
                    <w:rStyle w:val="a5"/>
                    <w:noProof/>
                  </w:rPr>
                  <w:t>Main Findings</w:t>
                </w:r>
                <w:r>
                  <w:rPr>
                    <w:noProof/>
                    <w:webHidden/>
                  </w:rPr>
                  <w:tab/>
                </w:r>
                <w:r>
                  <w:rPr>
                    <w:noProof/>
                    <w:webHidden/>
                  </w:rPr>
                  <w:fldChar w:fldCharType="begin"/>
                </w:r>
                <w:r>
                  <w:rPr>
                    <w:noProof/>
                    <w:webHidden/>
                  </w:rPr>
                  <w:instrText xml:space="preserve"> PAGEREF _Toc134635626 \h </w:instrText>
                </w:r>
                <w:r>
                  <w:rPr>
                    <w:noProof/>
                    <w:webHidden/>
                  </w:rPr>
                </w:r>
                <w:r>
                  <w:rPr>
                    <w:noProof/>
                    <w:webHidden/>
                  </w:rPr>
                  <w:fldChar w:fldCharType="separate"/>
                </w:r>
                <w:r>
                  <w:rPr>
                    <w:noProof/>
                    <w:webHidden/>
                  </w:rPr>
                  <w:t>4</w:t>
                </w:r>
                <w:r>
                  <w:rPr>
                    <w:noProof/>
                    <w:webHidden/>
                  </w:rPr>
                  <w:fldChar w:fldCharType="end"/>
                </w:r>
              </w:hyperlink>
            </w:p>
            <w:p w14:paraId="124EB759" w14:textId="36689C5C" w:rsidR="00E6270F" w:rsidRDefault="00E6270F">
              <w:pPr>
                <w:pStyle w:val="TOC2"/>
                <w:tabs>
                  <w:tab w:val="right" w:leader="dot" w:pos="9016"/>
                </w:tabs>
                <w:rPr>
                  <w:noProof/>
                  <w:kern w:val="2"/>
                  <w:sz w:val="21"/>
                  <w:lang w:val="en-US" w:eastAsia="zh-CN"/>
                  <w14:ligatures w14:val="standardContextual"/>
                </w:rPr>
              </w:pPr>
              <w:hyperlink w:anchor="_Toc134635627" w:history="1">
                <w:r w:rsidRPr="00AE63B6">
                  <w:rPr>
                    <w:rStyle w:val="a5"/>
                    <w:b/>
                    <w:bCs/>
                    <w:noProof/>
                  </w:rPr>
                  <w:t>Task 1 – Portal Fabrication PLC</w:t>
                </w:r>
                <w:r>
                  <w:rPr>
                    <w:noProof/>
                    <w:webHidden/>
                  </w:rPr>
                  <w:tab/>
                </w:r>
                <w:r>
                  <w:rPr>
                    <w:noProof/>
                    <w:webHidden/>
                  </w:rPr>
                  <w:fldChar w:fldCharType="begin"/>
                </w:r>
                <w:r>
                  <w:rPr>
                    <w:noProof/>
                    <w:webHidden/>
                  </w:rPr>
                  <w:instrText xml:space="preserve"> PAGEREF _Toc134635627 \h </w:instrText>
                </w:r>
                <w:r>
                  <w:rPr>
                    <w:noProof/>
                    <w:webHidden/>
                  </w:rPr>
                </w:r>
                <w:r>
                  <w:rPr>
                    <w:noProof/>
                    <w:webHidden/>
                  </w:rPr>
                  <w:fldChar w:fldCharType="separate"/>
                </w:r>
                <w:r>
                  <w:rPr>
                    <w:noProof/>
                    <w:webHidden/>
                  </w:rPr>
                  <w:t>5</w:t>
                </w:r>
                <w:r>
                  <w:rPr>
                    <w:noProof/>
                    <w:webHidden/>
                  </w:rPr>
                  <w:fldChar w:fldCharType="end"/>
                </w:r>
              </w:hyperlink>
            </w:p>
            <w:p w14:paraId="70DC9F54" w14:textId="6C0BC55C" w:rsidR="00E6270F" w:rsidRDefault="00E6270F">
              <w:pPr>
                <w:pStyle w:val="TOC2"/>
                <w:tabs>
                  <w:tab w:val="right" w:leader="dot" w:pos="9016"/>
                </w:tabs>
                <w:rPr>
                  <w:noProof/>
                  <w:kern w:val="2"/>
                  <w:sz w:val="21"/>
                  <w:lang w:val="en-US" w:eastAsia="zh-CN"/>
                  <w14:ligatures w14:val="standardContextual"/>
                </w:rPr>
              </w:pPr>
              <w:hyperlink w:anchor="_Toc134635628" w:history="1">
                <w:r w:rsidRPr="00AE63B6">
                  <w:rPr>
                    <w:rStyle w:val="a5"/>
                    <w:noProof/>
                  </w:rPr>
                  <w:t>Task 2 – Troy Brands</w:t>
                </w:r>
                <w:r>
                  <w:rPr>
                    <w:noProof/>
                    <w:webHidden/>
                  </w:rPr>
                  <w:tab/>
                </w:r>
                <w:r>
                  <w:rPr>
                    <w:noProof/>
                    <w:webHidden/>
                  </w:rPr>
                  <w:fldChar w:fldCharType="begin"/>
                </w:r>
                <w:r>
                  <w:rPr>
                    <w:noProof/>
                    <w:webHidden/>
                  </w:rPr>
                  <w:instrText xml:space="preserve"> PAGEREF _Toc134635628 \h </w:instrText>
                </w:r>
                <w:r>
                  <w:rPr>
                    <w:noProof/>
                    <w:webHidden/>
                  </w:rPr>
                </w:r>
                <w:r>
                  <w:rPr>
                    <w:noProof/>
                    <w:webHidden/>
                  </w:rPr>
                  <w:fldChar w:fldCharType="separate"/>
                </w:r>
                <w:r>
                  <w:rPr>
                    <w:noProof/>
                    <w:webHidden/>
                  </w:rPr>
                  <w:t>9</w:t>
                </w:r>
                <w:r>
                  <w:rPr>
                    <w:noProof/>
                    <w:webHidden/>
                  </w:rPr>
                  <w:fldChar w:fldCharType="end"/>
                </w:r>
              </w:hyperlink>
            </w:p>
            <w:p w14:paraId="5AD95D17" w14:textId="3C91C4C3" w:rsidR="00E6270F" w:rsidRDefault="00E6270F">
              <w:pPr>
                <w:pStyle w:val="TOC1"/>
                <w:tabs>
                  <w:tab w:val="right" w:leader="dot" w:pos="9016"/>
                </w:tabs>
                <w:rPr>
                  <w:noProof/>
                  <w:kern w:val="2"/>
                  <w:sz w:val="21"/>
                  <w:lang w:val="en-US" w:eastAsia="zh-CN"/>
                  <w14:ligatures w14:val="standardContextual"/>
                </w:rPr>
              </w:pPr>
              <w:hyperlink w:anchor="_Toc134635629" w:history="1">
                <w:r w:rsidRPr="00AE63B6">
                  <w:rPr>
                    <w:rStyle w:val="a5"/>
                    <w:noProof/>
                  </w:rPr>
                  <w:t>Conclusion (average of 10% of word count)</w:t>
                </w:r>
                <w:r>
                  <w:rPr>
                    <w:noProof/>
                    <w:webHidden/>
                  </w:rPr>
                  <w:tab/>
                </w:r>
                <w:r>
                  <w:rPr>
                    <w:noProof/>
                    <w:webHidden/>
                  </w:rPr>
                  <w:fldChar w:fldCharType="begin"/>
                </w:r>
                <w:r>
                  <w:rPr>
                    <w:noProof/>
                    <w:webHidden/>
                  </w:rPr>
                  <w:instrText xml:space="preserve"> PAGEREF _Toc134635629 \h </w:instrText>
                </w:r>
                <w:r>
                  <w:rPr>
                    <w:noProof/>
                    <w:webHidden/>
                  </w:rPr>
                </w:r>
                <w:r>
                  <w:rPr>
                    <w:noProof/>
                    <w:webHidden/>
                  </w:rPr>
                  <w:fldChar w:fldCharType="separate"/>
                </w:r>
                <w:r>
                  <w:rPr>
                    <w:noProof/>
                    <w:webHidden/>
                  </w:rPr>
                  <w:t>15</w:t>
                </w:r>
                <w:r>
                  <w:rPr>
                    <w:noProof/>
                    <w:webHidden/>
                  </w:rPr>
                  <w:fldChar w:fldCharType="end"/>
                </w:r>
              </w:hyperlink>
            </w:p>
            <w:p w14:paraId="5FD513B2" w14:textId="76A3167B" w:rsidR="00E6270F" w:rsidRDefault="00E6270F">
              <w:pPr>
                <w:pStyle w:val="TOC1"/>
                <w:tabs>
                  <w:tab w:val="right" w:leader="dot" w:pos="9016"/>
                </w:tabs>
                <w:rPr>
                  <w:noProof/>
                  <w:kern w:val="2"/>
                  <w:sz w:val="21"/>
                  <w:lang w:val="en-US" w:eastAsia="zh-CN"/>
                  <w14:ligatures w14:val="standardContextual"/>
                </w:rPr>
              </w:pPr>
              <w:hyperlink w:anchor="_Toc134635630" w:history="1">
                <w:r w:rsidRPr="00AE63B6">
                  <w:rPr>
                    <w:rStyle w:val="a5"/>
                    <w:noProof/>
                  </w:rPr>
                  <w:t>Bibliography</w:t>
                </w:r>
                <w:r>
                  <w:rPr>
                    <w:noProof/>
                    <w:webHidden/>
                  </w:rPr>
                  <w:tab/>
                </w:r>
                <w:r>
                  <w:rPr>
                    <w:noProof/>
                    <w:webHidden/>
                  </w:rPr>
                  <w:fldChar w:fldCharType="begin"/>
                </w:r>
                <w:r>
                  <w:rPr>
                    <w:noProof/>
                    <w:webHidden/>
                  </w:rPr>
                  <w:instrText xml:space="preserve"> PAGEREF _Toc134635630 \h </w:instrText>
                </w:r>
                <w:r>
                  <w:rPr>
                    <w:noProof/>
                    <w:webHidden/>
                  </w:rPr>
                </w:r>
                <w:r>
                  <w:rPr>
                    <w:noProof/>
                    <w:webHidden/>
                  </w:rPr>
                  <w:fldChar w:fldCharType="separate"/>
                </w:r>
                <w:r>
                  <w:rPr>
                    <w:noProof/>
                    <w:webHidden/>
                  </w:rPr>
                  <w:t>16</w:t>
                </w:r>
                <w:r>
                  <w:rPr>
                    <w:noProof/>
                    <w:webHidden/>
                  </w:rPr>
                  <w:fldChar w:fldCharType="end"/>
                </w:r>
              </w:hyperlink>
            </w:p>
            <w:p w14:paraId="655F29CA" w14:textId="0C61736D" w:rsidR="007D1947" w:rsidRDefault="007D1947">
              <w:r w:rsidRPr="00D47140">
                <w:rPr>
                  <w:b/>
                  <w:bCs/>
                  <w:noProof/>
                  <w:sz w:val="24"/>
                  <w:szCs w:val="24"/>
                </w:rPr>
                <w:fldChar w:fldCharType="end"/>
              </w:r>
            </w:p>
          </w:sdtContent>
        </w:sdt>
        <w:p w14:paraId="30643298" w14:textId="77777777" w:rsidR="00EF168B" w:rsidRDefault="00EF168B" w:rsidP="00D7169C">
          <w:pPr>
            <w:pStyle w:val="1"/>
            <w:spacing w:line="360" w:lineRule="auto"/>
          </w:pPr>
          <w:r>
            <w:br w:type="page"/>
          </w:r>
        </w:p>
        <w:p w14:paraId="0ED321E6" w14:textId="06958035" w:rsidR="007D1947" w:rsidRDefault="007D1947" w:rsidP="00D7169C">
          <w:pPr>
            <w:pStyle w:val="1"/>
            <w:spacing w:line="360" w:lineRule="auto"/>
          </w:pPr>
          <w:bookmarkStart w:id="1" w:name="_Toc134635625"/>
          <w:r>
            <w:lastRenderedPageBreak/>
            <w:t>Introduction</w:t>
          </w:r>
          <w:bookmarkEnd w:id="1"/>
          <w:r w:rsidR="00480872">
            <w:t xml:space="preserve"> </w:t>
          </w:r>
          <w:r w:rsidR="00E91208">
            <w:t xml:space="preserve"> </w:t>
          </w:r>
        </w:p>
        <w:p w14:paraId="5DBAD65B" w14:textId="0B5EFAE8" w:rsidR="004A11F6" w:rsidRPr="00D7169C" w:rsidRDefault="00D7169C" w:rsidP="00D7169C">
          <w:pPr>
            <w:spacing w:line="360" w:lineRule="auto"/>
            <w:jc w:val="both"/>
            <w:rPr>
              <w:rFonts w:ascii="Times New Roman" w:hAnsi="Times New Roman" w:cs="Times New Roman"/>
              <w:color w:val="222222"/>
              <w:sz w:val="24"/>
              <w:szCs w:val="24"/>
              <w:shd w:val="clear" w:color="auto" w:fill="FFFFFF"/>
            </w:rPr>
          </w:pPr>
          <w:r w:rsidRPr="00D7169C">
            <w:rPr>
              <w:rFonts w:ascii="Times New Roman" w:hAnsi="Times New Roman" w:cs="Times New Roman"/>
              <w:color w:val="222222"/>
              <w:sz w:val="24"/>
              <w:szCs w:val="24"/>
              <w:shd w:val="clear" w:color="auto" w:fill="FFFFFF"/>
            </w:rPr>
            <w:t xml:space="preserve">This report mainly studies the content of two parts. The first part mainly </w:t>
          </w:r>
          <w:r>
            <w:rPr>
              <w:rFonts w:ascii="Times New Roman" w:hAnsi="Times New Roman" w:cs="Times New Roman"/>
              <w:color w:val="222222"/>
              <w:sz w:val="24"/>
              <w:szCs w:val="24"/>
              <w:shd w:val="clear" w:color="auto" w:fill="FFFFFF"/>
            </w:rPr>
            <w:t>analyse</w:t>
          </w:r>
          <w:r w:rsidRPr="00D7169C">
            <w:rPr>
              <w:rFonts w:ascii="Times New Roman" w:hAnsi="Times New Roman" w:cs="Times New Roman"/>
              <w:color w:val="222222"/>
              <w:sz w:val="24"/>
              <w:szCs w:val="24"/>
              <w:shd w:val="clear" w:color="auto" w:fill="FFFFFF"/>
            </w:rPr>
            <w:t xml:space="preserve">s Portal Enterprise. Firstly, a performance evaluation was conducted on the two </w:t>
          </w:r>
          <w:r w:rsidR="00914AAF">
            <w:rPr>
              <w:rFonts w:ascii="Times New Roman" w:hAnsi="Times New Roman" w:cs="Times New Roman"/>
              <w:color w:val="222222"/>
              <w:sz w:val="24"/>
              <w:szCs w:val="24"/>
              <w:shd w:val="clear" w:color="auto" w:fill="FFFFFF"/>
            </w:rPr>
            <w:t>divisions</w:t>
          </w:r>
          <w:r w:rsidRPr="00D7169C">
            <w:rPr>
              <w:rFonts w:ascii="Times New Roman" w:hAnsi="Times New Roman" w:cs="Times New Roman"/>
              <w:color w:val="222222"/>
              <w:sz w:val="24"/>
              <w:szCs w:val="24"/>
              <w:shd w:val="clear" w:color="auto" w:fill="FFFFFF"/>
            </w:rPr>
            <w:t xml:space="preserve"> of the enterprise to assess their performance in terms of performance. Then, two different transfer pricing methods and their applicability were discussed. Subsequently, the impact of the new execution information system on enterprise performance management was discussed.</w:t>
          </w:r>
          <w:r>
            <w:rPr>
              <w:rFonts w:ascii="Times New Roman" w:hAnsi="Times New Roman" w:cs="Times New Roman"/>
              <w:color w:val="222222"/>
              <w:sz w:val="24"/>
              <w:szCs w:val="24"/>
              <w:shd w:val="clear" w:color="auto" w:fill="FFFFFF"/>
            </w:rPr>
            <w:t xml:space="preserve"> </w:t>
          </w:r>
          <w:r w:rsidRPr="00D7169C">
            <w:rPr>
              <w:rFonts w:ascii="Times New Roman" w:hAnsi="Times New Roman" w:cs="Times New Roman"/>
              <w:color w:val="222222"/>
              <w:sz w:val="24"/>
              <w:szCs w:val="24"/>
              <w:shd w:val="clear" w:color="auto" w:fill="FFFFFF"/>
            </w:rPr>
            <w:t xml:space="preserve">The second part </w:t>
          </w:r>
          <w:r>
            <w:rPr>
              <w:rFonts w:ascii="Times New Roman" w:hAnsi="Times New Roman" w:cs="Times New Roman"/>
              <w:color w:val="222222"/>
              <w:sz w:val="24"/>
              <w:szCs w:val="24"/>
              <w:shd w:val="clear" w:color="auto" w:fill="FFFFFF"/>
            </w:rPr>
            <w:t>analyse</w:t>
          </w:r>
          <w:r w:rsidRPr="00D7169C">
            <w:rPr>
              <w:rFonts w:ascii="Times New Roman" w:hAnsi="Times New Roman" w:cs="Times New Roman"/>
              <w:color w:val="222222"/>
              <w:sz w:val="24"/>
              <w:szCs w:val="24"/>
              <w:shd w:val="clear" w:color="auto" w:fill="FFFFFF"/>
            </w:rPr>
            <w:t xml:space="preserve">s the performance status of </w:t>
          </w:r>
          <w:proofErr w:type="spellStart"/>
          <w:r w:rsidRPr="00D7169C">
            <w:rPr>
              <w:rFonts w:ascii="Times New Roman" w:hAnsi="Times New Roman" w:cs="Times New Roman"/>
              <w:color w:val="222222"/>
              <w:sz w:val="24"/>
              <w:szCs w:val="24"/>
              <w:shd w:val="clear" w:color="auto" w:fill="FFFFFF"/>
            </w:rPr>
            <w:t>Troyland</w:t>
          </w:r>
          <w:proofErr w:type="spellEnd"/>
          <w:r w:rsidRPr="00D7169C">
            <w:rPr>
              <w:rFonts w:ascii="Times New Roman" w:hAnsi="Times New Roman" w:cs="Times New Roman"/>
              <w:color w:val="222222"/>
              <w:sz w:val="24"/>
              <w:szCs w:val="24"/>
              <w:shd w:val="clear" w:color="auto" w:fill="FFFFFF"/>
            </w:rPr>
            <w:t xml:space="preserve"> Limited. Firstly, the growth crisis faced by the company was </w:t>
          </w:r>
          <w:r>
            <w:rPr>
              <w:rFonts w:ascii="Times New Roman" w:hAnsi="Times New Roman" w:cs="Times New Roman"/>
              <w:color w:val="222222"/>
              <w:sz w:val="24"/>
              <w:szCs w:val="24"/>
              <w:shd w:val="clear" w:color="auto" w:fill="FFFFFF"/>
            </w:rPr>
            <w:t>analyse</w:t>
          </w:r>
          <w:r w:rsidRPr="00D7169C">
            <w:rPr>
              <w:rFonts w:ascii="Times New Roman" w:hAnsi="Times New Roman" w:cs="Times New Roman"/>
              <w:color w:val="222222"/>
              <w:sz w:val="24"/>
              <w:szCs w:val="24"/>
              <w:shd w:val="clear" w:color="auto" w:fill="FFFFFF"/>
            </w:rPr>
            <w:t xml:space="preserve">d. Afterwards, a balanced scorecard was used to </w:t>
          </w:r>
          <w:r>
            <w:rPr>
              <w:rFonts w:ascii="Times New Roman" w:hAnsi="Times New Roman" w:cs="Times New Roman"/>
              <w:color w:val="222222"/>
              <w:sz w:val="24"/>
              <w:szCs w:val="24"/>
              <w:shd w:val="clear" w:color="auto" w:fill="FFFFFF"/>
            </w:rPr>
            <w:t>analyse</w:t>
          </w:r>
          <w:r w:rsidRPr="00D7169C">
            <w:rPr>
              <w:rFonts w:ascii="Times New Roman" w:hAnsi="Times New Roman" w:cs="Times New Roman"/>
              <w:color w:val="222222"/>
              <w:sz w:val="24"/>
              <w:szCs w:val="24"/>
              <w:shd w:val="clear" w:color="auto" w:fill="FFFFFF"/>
            </w:rPr>
            <w:t xml:space="preserve"> the company's performance, mainly from four aspects: finance, customers, internal business processes, and learning and growth. Finally, based on the above analysis, </w:t>
          </w:r>
          <w:r>
            <w:rPr>
              <w:rFonts w:ascii="Times New Roman" w:hAnsi="Times New Roman" w:cs="Times New Roman" w:hint="eastAsia"/>
              <w:color w:val="222222"/>
              <w:sz w:val="24"/>
              <w:szCs w:val="24"/>
              <w:shd w:val="clear" w:color="auto" w:fill="FFFFFF"/>
              <w:lang w:eastAsia="zh-CN"/>
            </w:rPr>
            <w:t>this</w:t>
          </w:r>
          <w:r>
            <w:rPr>
              <w:rFonts w:ascii="Times New Roman" w:hAnsi="Times New Roman" w:cs="Times New Roman"/>
              <w:color w:val="222222"/>
              <w:sz w:val="24"/>
              <w:szCs w:val="24"/>
              <w:shd w:val="clear" w:color="auto" w:fill="FFFFFF"/>
            </w:rPr>
            <w:t xml:space="preserve"> </w:t>
          </w:r>
          <w:r>
            <w:rPr>
              <w:rFonts w:ascii="Times New Roman" w:hAnsi="Times New Roman" w:cs="Times New Roman" w:hint="eastAsia"/>
              <w:color w:val="222222"/>
              <w:sz w:val="24"/>
              <w:szCs w:val="24"/>
              <w:shd w:val="clear" w:color="auto" w:fill="FFFFFF"/>
              <w:lang w:eastAsia="zh-CN"/>
            </w:rPr>
            <w:t>report</w:t>
          </w:r>
          <w:r>
            <w:rPr>
              <w:rFonts w:ascii="Times New Roman" w:hAnsi="Times New Roman" w:cs="Times New Roman"/>
              <w:color w:val="222222"/>
              <w:sz w:val="24"/>
              <w:szCs w:val="24"/>
              <w:shd w:val="clear" w:color="auto" w:fill="FFFFFF"/>
            </w:rPr>
            <w:t xml:space="preserve"> analyse</w:t>
          </w:r>
          <w:r>
            <w:rPr>
              <w:rFonts w:ascii="Times New Roman" w:hAnsi="Times New Roman" w:cs="Times New Roman" w:hint="eastAsia"/>
              <w:color w:val="222222"/>
              <w:sz w:val="24"/>
              <w:szCs w:val="24"/>
              <w:shd w:val="clear" w:color="auto" w:fill="FFFFFF"/>
              <w:lang w:eastAsia="zh-CN"/>
            </w:rPr>
            <w:t>s</w:t>
          </w:r>
          <w:r w:rsidRPr="00D7169C">
            <w:rPr>
              <w:rFonts w:ascii="Times New Roman" w:hAnsi="Times New Roman" w:cs="Times New Roman"/>
              <w:color w:val="222222"/>
              <w:sz w:val="24"/>
              <w:szCs w:val="24"/>
              <w:shd w:val="clear" w:color="auto" w:fill="FFFFFF"/>
            </w:rPr>
            <w:t xml:space="preserve"> whether the company needs to conduct business process reengineering and </w:t>
          </w:r>
          <w:r>
            <w:rPr>
              <w:rFonts w:ascii="Times New Roman" w:hAnsi="Times New Roman" w:cs="Times New Roman"/>
              <w:color w:val="222222"/>
              <w:sz w:val="24"/>
              <w:szCs w:val="24"/>
              <w:shd w:val="clear" w:color="auto" w:fill="FFFFFF"/>
            </w:rPr>
            <w:t>analyse</w:t>
          </w:r>
          <w:r w:rsidRPr="00D7169C">
            <w:rPr>
              <w:rFonts w:ascii="Times New Roman" w:hAnsi="Times New Roman" w:cs="Times New Roman"/>
              <w:color w:val="222222"/>
              <w:sz w:val="24"/>
              <w:szCs w:val="24"/>
              <w:shd w:val="clear" w:color="auto" w:fill="FFFFFF"/>
            </w:rPr>
            <w:t xml:space="preserve"> its reasons.</w:t>
          </w:r>
        </w:p>
        <w:p w14:paraId="66F16B74" w14:textId="77777777" w:rsidR="00EF168B" w:rsidRDefault="00EF168B" w:rsidP="003648BD">
          <w:pPr>
            <w:pStyle w:val="1"/>
            <w:spacing w:line="360" w:lineRule="auto"/>
          </w:pPr>
          <w:r>
            <w:br w:type="page"/>
          </w:r>
        </w:p>
        <w:p w14:paraId="2E293EB9" w14:textId="6344F17E" w:rsidR="00480872" w:rsidRDefault="00480872" w:rsidP="003648BD">
          <w:pPr>
            <w:pStyle w:val="1"/>
            <w:spacing w:line="360" w:lineRule="auto"/>
          </w:pPr>
          <w:bookmarkStart w:id="2" w:name="_Toc134635626"/>
          <w:r>
            <w:lastRenderedPageBreak/>
            <w:t xml:space="preserve">Main </w:t>
          </w:r>
          <w:r w:rsidRPr="008D4C45">
            <w:t>Findings</w:t>
          </w:r>
          <w:bookmarkEnd w:id="2"/>
        </w:p>
        <w:p w14:paraId="0D335135" w14:textId="3F8B273A" w:rsidR="00DF3B0A" w:rsidRPr="00E6270F" w:rsidRDefault="003648BD" w:rsidP="003648BD">
          <w:pPr>
            <w:spacing w:line="360" w:lineRule="auto"/>
            <w:jc w:val="both"/>
            <w:rPr>
              <w:rFonts w:ascii="Times New Roman" w:hAnsi="Times New Roman" w:cs="Times New Roman"/>
              <w:sz w:val="24"/>
              <w:szCs w:val="24"/>
            </w:rPr>
          </w:pPr>
          <w:r w:rsidRPr="00E6270F">
            <w:rPr>
              <w:rFonts w:ascii="Times New Roman" w:hAnsi="Times New Roman" w:cs="Times New Roman"/>
              <w:sz w:val="24"/>
              <w:szCs w:val="24"/>
            </w:rPr>
            <w:t xml:space="preserve">Rogers and </w:t>
          </w:r>
          <w:proofErr w:type="spellStart"/>
          <w:r w:rsidRPr="00E6270F">
            <w:rPr>
              <w:rFonts w:ascii="Times New Roman" w:hAnsi="Times New Roman" w:cs="Times New Roman"/>
              <w:sz w:val="24"/>
              <w:szCs w:val="24"/>
            </w:rPr>
            <w:t>Bredrup</w:t>
          </w:r>
          <w:proofErr w:type="spellEnd"/>
          <w:r w:rsidRPr="00E6270F">
            <w:rPr>
              <w:rFonts w:ascii="Times New Roman" w:hAnsi="Times New Roman" w:cs="Times New Roman"/>
              <w:sz w:val="24"/>
              <w:szCs w:val="24"/>
            </w:rPr>
            <w:t xml:space="preserve"> believe that performance management is the process of managing organizational performance. According to </w:t>
          </w:r>
          <w:proofErr w:type="spellStart"/>
          <w:r w:rsidRPr="00E6270F">
            <w:rPr>
              <w:rFonts w:ascii="Times New Roman" w:hAnsi="Times New Roman" w:cs="Times New Roman"/>
              <w:sz w:val="24"/>
              <w:szCs w:val="24"/>
            </w:rPr>
            <w:t>Bredrup</w:t>
          </w:r>
          <w:proofErr w:type="spellEnd"/>
          <w:r w:rsidRPr="00E6270F">
            <w:rPr>
              <w:rFonts w:ascii="Times New Roman" w:hAnsi="Times New Roman" w:cs="Times New Roman"/>
              <w:sz w:val="24"/>
              <w:szCs w:val="24"/>
            </w:rPr>
            <w:t xml:space="preserve"> (1995), performance management should include three processes: planning, improvement, and evaluation. Performance plans include systematically elaborating on the organization's expectations and strategies, defining performance, etc; Performance improvement is a process that includes activities such as business process restructuring, continuous process improvement, benchmarking, and total quality management; Performance evaluation includes performance measurement standards and evaluations. The core of this viewpoint lies in determining organizational strategy and implementing it through organizational structure, technology, business systems, and procedures. It mainly considers goal setting, performance improvement, and evaluation from the perspective of the organization. Although employees may be affected, they are not the main consideration objects. Ainsworth and Smith (1993), Heisler (1987), Quinn (1988), Torrington and Hall (1995) proposed that performance management is the combination of organizational needs to guide and support employees, in order to achieve the greatest possible results with the highest possible efficiency. This indicates that we must conduct performance management at several levels, at one extreme managing organizational performance and at the other extreme managing employee performance. A more comprehensive model should involve organizations, individuals, and various levels in between. From the disciplinary nature of psychology, more attention is paid to individual performance. From an organizational perspective, the purpose of performance management is to improve organizational performance and achieve the overall goals of the organization.</w:t>
          </w:r>
        </w:p>
        <w:p w14:paraId="6EDDE019" w14:textId="77777777" w:rsidR="00EF168B" w:rsidRDefault="00EF168B" w:rsidP="003648BD">
          <w:pPr>
            <w:pStyle w:val="2"/>
            <w:spacing w:line="360" w:lineRule="auto"/>
          </w:pPr>
          <w:r>
            <w:br w:type="page"/>
          </w:r>
        </w:p>
        <w:p w14:paraId="7D4FC40A" w14:textId="62298B9D" w:rsidR="00480872" w:rsidRPr="00A129D9" w:rsidRDefault="00DF3B0A" w:rsidP="00EF168B">
          <w:pPr>
            <w:pStyle w:val="2"/>
            <w:spacing w:line="360" w:lineRule="auto"/>
            <w:rPr>
              <w:b/>
              <w:bCs/>
            </w:rPr>
          </w:pPr>
          <w:bookmarkStart w:id="3" w:name="_Toc134635627"/>
          <w:r w:rsidRPr="00A129D9">
            <w:rPr>
              <w:b/>
              <w:bCs/>
            </w:rPr>
            <w:lastRenderedPageBreak/>
            <w:t>Task 1 – Portal Fabrication PLC</w:t>
          </w:r>
          <w:bookmarkEnd w:id="3"/>
        </w:p>
        <w:p w14:paraId="7A4C6158" w14:textId="53D3620E" w:rsidR="00EF168B" w:rsidRPr="00A129D9" w:rsidRDefault="00EF168B"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 xml:space="preserve">1.1 </w:t>
          </w:r>
          <w:r w:rsidR="00914AAF">
            <w:rPr>
              <w:rFonts w:ascii="Times New Roman" w:hAnsi="Times New Roman" w:cs="Times New Roman"/>
              <w:b/>
              <w:bCs/>
              <w:sz w:val="24"/>
              <w:szCs w:val="24"/>
            </w:rPr>
            <w:t>Division</w:t>
          </w:r>
          <w:r w:rsidRPr="00A129D9">
            <w:rPr>
              <w:rFonts w:ascii="Times New Roman" w:hAnsi="Times New Roman" w:cs="Times New Roman"/>
              <w:b/>
              <w:bCs/>
              <w:sz w:val="24"/>
              <w:szCs w:val="24"/>
            </w:rPr>
            <w:t xml:space="preserve"> Performance Evaluation</w:t>
          </w:r>
        </w:p>
        <w:p w14:paraId="5F3F5558" w14:textId="77777777" w:rsidR="00EF168B" w:rsidRPr="00A129D9" w:rsidRDefault="00EF168B"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1.1.1 ROI method</w:t>
          </w:r>
        </w:p>
        <w:p w14:paraId="1BB9EBDC" w14:textId="192D57D4" w:rsidR="00EF168B" w:rsidRPr="00A129D9" w:rsidRDefault="00EF168B"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The board of directors uses the return on investment as the main relative indicator to measure the performance of the two </w:t>
          </w:r>
          <w:r w:rsidR="00914AAF">
            <w:rPr>
              <w:rFonts w:ascii="Times New Roman" w:hAnsi="Times New Roman" w:cs="Times New Roman"/>
              <w:sz w:val="24"/>
              <w:szCs w:val="24"/>
            </w:rPr>
            <w:t>divisions</w:t>
          </w:r>
          <w:r w:rsidRPr="00A129D9">
            <w:rPr>
              <w:rFonts w:ascii="Times New Roman" w:hAnsi="Times New Roman" w:cs="Times New Roman"/>
              <w:sz w:val="24"/>
              <w:szCs w:val="24"/>
            </w:rPr>
            <w:t xml:space="preserve"> of the company</w:t>
          </w:r>
          <w:r w:rsidR="00EB0BF8">
            <w:rPr>
              <w:rFonts w:ascii="Times New Roman" w:hAnsi="Times New Roman" w:cs="Times New Roman"/>
              <w:sz w:val="24"/>
              <w:szCs w:val="24"/>
            </w:rPr>
            <w:t xml:space="preserve"> </w:t>
          </w:r>
          <w:r w:rsidR="00EB0BF8" w:rsidRPr="00EB0BF8">
            <w:rPr>
              <w:rFonts w:ascii="Times New Roman" w:hAnsi="Times New Roman" w:cs="Times New Roman"/>
              <w:sz w:val="24"/>
              <w:szCs w:val="24"/>
            </w:rPr>
            <w:t>(</w:t>
          </w:r>
          <w:proofErr w:type="spellStart"/>
          <w:r w:rsidR="00EB0BF8" w:rsidRPr="00EB0BF8">
            <w:rPr>
              <w:rFonts w:ascii="Times New Roman" w:hAnsi="Times New Roman" w:cs="Times New Roman"/>
              <w:sz w:val="24"/>
              <w:szCs w:val="24"/>
            </w:rPr>
            <w:t>Jasson</w:t>
          </w:r>
          <w:proofErr w:type="spellEnd"/>
          <w:r w:rsidR="00EB0BF8">
            <w:rPr>
              <w:rFonts w:ascii="Times New Roman" w:hAnsi="Times New Roman" w:cs="Times New Roman"/>
              <w:sz w:val="24"/>
              <w:szCs w:val="24"/>
            </w:rPr>
            <w:t xml:space="preserve"> </w:t>
          </w:r>
          <w:r w:rsidR="00EB0BF8" w:rsidRPr="00EB0BF8">
            <w:rPr>
              <w:rFonts w:ascii="Times New Roman" w:hAnsi="Times New Roman" w:cs="Times New Roman"/>
              <w:sz w:val="24"/>
              <w:szCs w:val="24"/>
            </w:rPr>
            <w:t>and Govender, 2017)</w:t>
          </w:r>
          <w:r w:rsidRPr="00A129D9">
            <w:rPr>
              <w:rFonts w:ascii="Times New Roman" w:hAnsi="Times New Roman" w:cs="Times New Roman"/>
              <w:sz w:val="24"/>
              <w:szCs w:val="24"/>
            </w:rPr>
            <w:t>. The return on investment refers to the ratio of returns obtained through investment to the investment amount. It is the economic return that a company receives from an investment in a commercial activity, the ratio used to measure the profitability of a company, and a comprehensive indicator to measure the effectiveness and efficiency of a company's operations</w:t>
          </w:r>
          <w:r w:rsidR="002A4EA1" w:rsidRPr="002A4EA1">
            <w:rPr>
              <w:rFonts w:ascii="Times New Roman" w:hAnsi="Times New Roman" w:cs="Times New Roman"/>
              <w:sz w:val="24"/>
              <w:szCs w:val="24"/>
            </w:rPr>
            <w:t xml:space="preserve"> (Dimson et al., 2009)</w:t>
          </w:r>
          <w:r w:rsidRPr="00A129D9">
            <w:rPr>
              <w:rFonts w:ascii="Times New Roman" w:hAnsi="Times New Roman" w:cs="Times New Roman"/>
              <w:sz w:val="24"/>
              <w:szCs w:val="24"/>
            </w:rPr>
            <w:t>. The calculation method is: investment return rate</w:t>
          </w:r>
          <w:proofErr w:type="gramStart"/>
          <w:r w:rsidRPr="00A129D9">
            <w:rPr>
              <w:rFonts w:ascii="Times New Roman" w:hAnsi="Times New Roman" w:cs="Times New Roman"/>
              <w:sz w:val="24"/>
              <w:szCs w:val="24"/>
            </w:rPr>
            <w:t>=(</w:t>
          </w:r>
          <w:proofErr w:type="gramEnd"/>
          <w:r w:rsidRPr="00A129D9">
            <w:rPr>
              <w:rFonts w:ascii="Times New Roman" w:hAnsi="Times New Roman" w:cs="Times New Roman"/>
              <w:sz w:val="24"/>
              <w:szCs w:val="24"/>
            </w:rPr>
            <w:t>controllable profit/controllable investment amount) × 100%</w:t>
          </w:r>
          <w:r w:rsidRPr="00A129D9">
            <w:rPr>
              <w:rFonts w:ascii="Times New Roman" w:hAnsi="Times New Roman" w:cs="Times New Roman"/>
              <w:sz w:val="24"/>
              <w:szCs w:val="24"/>
            </w:rPr>
            <w:t>。</w:t>
          </w:r>
          <w:r w:rsidRPr="00A129D9">
            <w:rPr>
              <w:rFonts w:ascii="Times New Roman" w:hAnsi="Times New Roman" w:cs="Times New Roman"/>
              <w:sz w:val="24"/>
              <w:szCs w:val="24"/>
            </w:rPr>
            <w:t xml:space="preserve"> The investment return rate is a relative number that displays the investment return ability of a project or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in the form of a percentage, excluding non</w:t>
          </w:r>
          <w:r w:rsidRPr="00A129D9">
            <w:rPr>
              <w:rFonts w:ascii="Times New Roman" w:hAnsi="Times New Roman" w:cs="Times New Roman"/>
              <w:sz w:val="24"/>
              <w:szCs w:val="24"/>
              <w:lang w:eastAsia="zh-CN"/>
            </w:rPr>
            <w:t>-</w:t>
          </w:r>
          <w:r w:rsidRPr="00A129D9">
            <w:rPr>
              <w:rFonts w:ascii="Times New Roman" w:hAnsi="Times New Roman" w:cs="Times New Roman"/>
              <w:sz w:val="24"/>
              <w:szCs w:val="24"/>
            </w:rPr>
            <w:t xml:space="preserve">comparable factors with different investment amounts, and thus has horizontal comparability. When comparing the performance of different sized divisions, a clear relative number is more appropriate. Through calculation, the investment return rate of the manufacturing/sales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can be obtained: ROI=386/1294 * 100%=29.83%. It can be seen that the investment return rate of the manufacturing/sales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is very high, indicating that the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has strong profitability and can help company shareholders create high investment returns. Similarly, the return on investment of the service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can be calculated as ROI=6/38 * 100%=15.79%. The service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has a relatively high return on investment and strong profitability. However, compared to the manufacturing/sales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the return on investment of the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is much lower, indicating that its profitability is also much lower than that of the manufacturing/sales </w:t>
          </w:r>
          <w:r w:rsidR="00914AAF">
            <w:rPr>
              <w:rFonts w:ascii="Times New Roman" w:hAnsi="Times New Roman" w:cs="Times New Roman"/>
              <w:sz w:val="24"/>
              <w:szCs w:val="24"/>
            </w:rPr>
            <w:t>division</w:t>
          </w:r>
          <w:r w:rsidRPr="00A129D9">
            <w:rPr>
              <w:rFonts w:ascii="Times New Roman" w:hAnsi="Times New Roman" w:cs="Times New Roman"/>
              <w:sz w:val="24"/>
              <w:szCs w:val="24"/>
            </w:rPr>
            <w:t>.</w:t>
          </w:r>
        </w:p>
        <w:p w14:paraId="469A170F" w14:textId="77777777" w:rsidR="00EF168B" w:rsidRPr="00A129D9" w:rsidRDefault="00EF168B"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1.1.2 RI and EVA methods</w:t>
          </w:r>
        </w:p>
        <w:p w14:paraId="207386DF" w14:textId="743DCB15" w:rsidR="00EF168B" w:rsidRPr="00A129D9" w:rsidRDefault="00EF168B"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The proposed methods for measuring </w:t>
          </w:r>
          <w:r w:rsidR="00914AAF">
            <w:rPr>
              <w:rFonts w:ascii="Times New Roman" w:hAnsi="Times New Roman" w:cs="Times New Roman"/>
              <w:sz w:val="24"/>
              <w:szCs w:val="24"/>
            </w:rPr>
            <w:t>division</w:t>
          </w:r>
          <w:r w:rsidRPr="00A129D9">
            <w:rPr>
              <w:rFonts w:ascii="Times New Roman" w:hAnsi="Times New Roman" w:cs="Times New Roman"/>
              <w:sz w:val="24"/>
              <w:szCs w:val="24"/>
            </w:rPr>
            <w:t>al performance include RI and EVA.</w:t>
          </w:r>
        </w:p>
        <w:p w14:paraId="0B09EC7C" w14:textId="5734D826" w:rsidR="00EF168B" w:rsidRPr="00A129D9" w:rsidRDefault="00EF168B"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Among them, residual income refers to the profit obtained from investment, minus the investment amount (or net asset occupancy) and the balance calculated according to the prescribed (or expected) minimum return rate of investment income, that is, the balance after deducting the cost of capital from the profit obtained by the enterprise after investment</w:t>
          </w:r>
          <w:r w:rsidR="00893A5A" w:rsidRPr="00893A5A">
            <w:rPr>
              <w:rFonts w:ascii="Times New Roman" w:hAnsi="Times New Roman" w:cs="Times New Roman"/>
              <w:sz w:val="24"/>
              <w:szCs w:val="24"/>
            </w:rPr>
            <w:t xml:space="preserve"> (</w:t>
          </w:r>
          <w:proofErr w:type="spellStart"/>
          <w:r w:rsidR="00893A5A" w:rsidRPr="00893A5A">
            <w:rPr>
              <w:rFonts w:ascii="Times New Roman" w:hAnsi="Times New Roman" w:cs="Times New Roman"/>
              <w:sz w:val="24"/>
              <w:szCs w:val="24"/>
            </w:rPr>
            <w:t>Magni</w:t>
          </w:r>
          <w:proofErr w:type="spellEnd"/>
          <w:r w:rsidR="00893A5A" w:rsidRPr="00893A5A">
            <w:rPr>
              <w:rFonts w:ascii="Times New Roman" w:hAnsi="Times New Roman" w:cs="Times New Roman"/>
              <w:sz w:val="24"/>
              <w:szCs w:val="24"/>
            </w:rPr>
            <w:t>, 2021)</w:t>
          </w:r>
          <w:r w:rsidRPr="00A129D9">
            <w:rPr>
              <w:rFonts w:ascii="Times New Roman" w:hAnsi="Times New Roman" w:cs="Times New Roman"/>
              <w:sz w:val="24"/>
              <w:szCs w:val="24"/>
            </w:rPr>
            <w:t xml:space="preserve">. It is the part of a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's operating profit that exceeds its expected minimum income. Residual income can make performance evaluation consistent with the enterprise's goals, </w:t>
          </w:r>
          <w:proofErr w:type="gramStart"/>
          <w:r w:rsidRPr="00A129D9">
            <w:rPr>
              <w:rFonts w:ascii="Times New Roman" w:hAnsi="Times New Roman" w:cs="Times New Roman"/>
              <w:sz w:val="24"/>
              <w:szCs w:val="24"/>
            </w:rPr>
            <w:t>But</w:t>
          </w:r>
          <w:proofErr w:type="gramEnd"/>
          <w:r w:rsidRPr="00A129D9">
            <w:rPr>
              <w:rFonts w:ascii="Times New Roman" w:hAnsi="Times New Roman" w:cs="Times New Roman"/>
              <w:sz w:val="24"/>
              <w:szCs w:val="24"/>
            </w:rPr>
            <w:t xml:space="preserve"> it is not suitable for comparison between different </w:t>
          </w:r>
          <w:r w:rsidR="00914AAF">
            <w:rPr>
              <w:rFonts w:ascii="Times New Roman" w:hAnsi="Times New Roman" w:cs="Times New Roman"/>
              <w:sz w:val="24"/>
              <w:szCs w:val="24"/>
            </w:rPr>
            <w:t>divisions</w:t>
          </w:r>
          <w:r w:rsidRPr="00A129D9">
            <w:rPr>
              <w:rFonts w:ascii="Times New Roman" w:hAnsi="Times New Roman" w:cs="Times New Roman"/>
              <w:sz w:val="24"/>
              <w:szCs w:val="24"/>
            </w:rPr>
            <w:t xml:space="preserve">, especially when there is a significant difference in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si</w:t>
          </w:r>
          <w:r w:rsidRPr="00893A5A">
            <w:rPr>
              <w:rFonts w:ascii="Times New Roman" w:hAnsi="Times New Roman" w:cs="Times New Roman"/>
              <w:sz w:val="24"/>
              <w:szCs w:val="24"/>
            </w:rPr>
            <w:t>ze</w:t>
          </w:r>
          <w:r w:rsidR="00893A5A" w:rsidRPr="00893A5A">
            <w:rPr>
              <w:rFonts w:ascii="Times New Roman" w:hAnsi="Times New Roman" w:cs="Times New Roman"/>
            </w:rPr>
            <w:t xml:space="preserve"> (</w:t>
          </w:r>
          <w:proofErr w:type="spellStart"/>
          <w:r w:rsidR="00893A5A" w:rsidRPr="00893A5A">
            <w:rPr>
              <w:rFonts w:ascii="Times New Roman" w:hAnsi="Times New Roman" w:cs="Times New Roman"/>
            </w:rPr>
            <w:t>Magni</w:t>
          </w:r>
          <w:proofErr w:type="spellEnd"/>
          <w:r w:rsidR="00893A5A" w:rsidRPr="00893A5A">
            <w:rPr>
              <w:rFonts w:ascii="Times New Roman" w:hAnsi="Times New Roman" w:cs="Times New Roman"/>
            </w:rPr>
            <w:t>, 2009)</w:t>
          </w:r>
          <w:r w:rsidRPr="00893A5A">
            <w:rPr>
              <w:rFonts w:ascii="Times New Roman" w:hAnsi="Times New Roman" w:cs="Times New Roman"/>
              <w:sz w:val="24"/>
              <w:szCs w:val="24"/>
            </w:rPr>
            <w:t>. The</w:t>
          </w:r>
          <w:r w:rsidRPr="00A129D9">
            <w:rPr>
              <w:rFonts w:ascii="Times New Roman" w:hAnsi="Times New Roman" w:cs="Times New Roman"/>
              <w:sz w:val="24"/>
              <w:szCs w:val="24"/>
            </w:rPr>
            <w:t xml:space="preserve"> calculation method is: residual </w:t>
          </w:r>
          <w:r w:rsidRPr="00A129D9">
            <w:rPr>
              <w:rFonts w:ascii="Times New Roman" w:hAnsi="Times New Roman" w:cs="Times New Roman"/>
              <w:sz w:val="24"/>
              <w:szCs w:val="24"/>
            </w:rPr>
            <w:lastRenderedPageBreak/>
            <w:t xml:space="preserve">income=profit from investment - (investment amount * expected minimum return). Through calculation, it can be concluded that the residual income of the manufacturing/sales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is RI=386- (1294 * 9%)</w:t>
          </w:r>
          <w:r w:rsidR="00A129D9">
            <w:rPr>
              <w:rFonts w:ascii="Times New Roman" w:hAnsi="Times New Roman" w:cs="Times New Roman"/>
              <w:sz w:val="24"/>
              <w:szCs w:val="24"/>
            </w:rPr>
            <w:t xml:space="preserve"> </w:t>
          </w:r>
          <w:r w:rsidRPr="00A129D9">
            <w:rPr>
              <w:rFonts w:ascii="Times New Roman" w:hAnsi="Times New Roman" w:cs="Times New Roman"/>
              <w:sz w:val="24"/>
              <w:szCs w:val="24"/>
            </w:rPr>
            <w:t>=</w:t>
          </w:r>
          <w:r w:rsidR="00A129D9">
            <w:rPr>
              <w:rFonts w:ascii="Times New Roman" w:hAnsi="Times New Roman" w:cs="Times New Roman"/>
              <w:sz w:val="24"/>
              <w:szCs w:val="24"/>
            </w:rPr>
            <w:t xml:space="preserve"> </w:t>
          </w:r>
          <w:r w:rsidRPr="00A129D9">
            <w:rPr>
              <w:rFonts w:ascii="Times New Roman" w:hAnsi="Times New Roman" w:cs="Times New Roman"/>
              <w:sz w:val="24"/>
              <w:szCs w:val="24"/>
            </w:rPr>
            <w:t xml:space="preserve">269.54. It can be seen that the residual income of the manufacturing/sales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is very high, indicating that the profitability of the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is strong and the value created is much higher than the market income. Similarly, the remaining revenue of the service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can be calculated as RI=6- (38 * 9%)</w:t>
          </w:r>
          <w:r w:rsidR="00A129D9">
            <w:rPr>
              <w:rFonts w:ascii="Times New Roman" w:hAnsi="Times New Roman" w:cs="Times New Roman"/>
              <w:sz w:val="24"/>
              <w:szCs w:val="24"/>
            </w:rPr>
            <w:t xml:space="preserve"> </w:t>
          </w:r>
          <w:r w:rsidRPr="00A129D9">
            <w:rPr>
              <w:rFonts w:ascii="Times New Roman" w:hAnsi="Times New Roman" w:cs="Times New Roman"/>
              <w:sz w:val="24"/>
              <w:szCs w:val="24"/>
            </w:rPr>
            <w:t>=</w:t>
          </w:r>
          <w:r w:rsidR="00A129D9">
            <w:rPr>
              <w:rFonts w:ascii="Times New Roman" w:hAnsi="Times New Roman" w:cs="Times New Roman"/>
              <w:sz w:val="24"/>
              <w:szCs w:val="24"/>
            </w:rPr>
            <w:t xml:space="preserve"> </w:t>
          </w:r>
          <w:r w:rsidRPr="00A129D9">
            <w:rPr>
              <w:rFonts w:ascii="Times New Roman" w:hAnsi="Times New Roman" w:cs="Times New Roman"/>
              <w:sz w:val="24"/>
              <w:szCs w:val="24"/>
            </w:rPr>
            <w:t xml:space="preserve">2.58. From the data, the revenue of the service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is average.</w:t>
          </w:r>
        </w:p>
        <w:p w14:paraId="7C5ED029" w14:textId="5AA44CBE" w:rsidR="00DF3B0A" w:rsidRPr="00A129D9" w:rsidRDefault="00EF168B"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In addition, additional economic value refers to the remaining income after deducting the cost of all invested capital from the net operating profit after tax. Economic value added is an important indicator for comprehensively evaluating the effective use of capital by operators and creating value for enterprises</w:t>
          </w:r>
          <w:r w:rsidR="00BC525C">
            <w:rPr>
              <w:rFonts w:ascii="Times New Roman" w:hAnsi="Times New Roman" w:cs="Times New Roman"/>
              <w:sz w:val="24"/>
              <w:szCs w:val="24"/>
            </w:rPr>
            <w:t xml:space="preserve"> </w:t>
          </w:r>
          <w:r w:rsidR="00BC525C" w:rsidRPr="00BC525C">
            <w:rPr>
              <w:rFonts w:ascii="Times New Roman" w:hAnsi="Times New Roman" w:cs="Times New Roman"/>
              <w:sz w:val="24"/>
              <w:szCs w:val="24"/>
            </w:rPr>
            <w:t>(</w:t>
          </w:r>
          <w:proofErr w:type="spellStart"/>
          <w:r w:rsidR="00BC525C" w:rsidRPr="00BC525C">
            <w:rPr>
              <w:rFonts w:ascii="Times New Roman" w:hAnsi="Times New Roman" w:cs="Times New Roman"/>
              <w:sz w:val="24"/>
              <w:szCs w:val="24"/>
            </w:rPr>
            <w:t>Sloof</w:t>
          </w:r>
          <w:proofErr w:type="spellEnd"/>
          <w:r w:rsidR="00BC525C" w:rsidRPr="00BC525C">
            <w:rPr>
              <w:rFonts w:ascii="Times New Roman" w:hAnsi="Times New Roman" w:cs="Times New Roman"/>
              <w:sz w:val="24"/>
              <w:szCs w:val="24"/>
            </w:rPr>
            <w:t xml:space="preserve"> and </w:t>
          </w:r>
          <w:proofErr w:type="spellStart"/>
          <w:r w:rsidR="00BC525C" w:rsidRPr="00BC525C">
            <w:rPr>
              <w:rFonts w:ascii="Times New Roman" w:hAnsi="Times New Roman" w:cs="Times New Roman"/>
              <w:sz w:val="24"/>
              <w:szCs w:val="24"/>
            </w:rPr>
            <w:t>Praag</w:t>
          </w:r>
          <w:proofErr w:type="spellEnd"/>
          <w:r w:rsidR="00BC525C" w:rsidRPr="00BC525C">
            <w:rPr>
              <w:rFonts w:ascii="Times New Roman" w:hAnsi="Times New Roman" w:cs="Times New Roman"/>
              <w:sz w:val="24"/>
              <w:szCs w:val="24"/>
            </w:rPr>
            <w:t>, 2015)</w:t>
          </w:r>
          <w:r w:rsidRPr="00A129D9">
            <w:rPr>
              <w:rFonts w:ascii="Times New Roman" w:hAnsi="Times New Roman" w:cs="Times New Roman"/>
              <w:sz w:val="24"/>
              <w:szCs w:val="24"/>
            </w:rPr>
            <w:t>.</w:t>
          </w:r>
          <w:r w:rsidR="00BC525C">
            <w:rPr>
              <w:rFonts w:ascii="Times New Roman" w:hAnsi="Times New Roman" w:cs="Times New Roman" w:hint="eastAsia"/>
              <w:sz w:val="24"/>
              <w:szCs w:val="24"/>
              <w:lang w:eastAsia="zh-CN"/>
            </w:rPr>
            <w:t xml:space="preserve"> </w:t>
          </w:r>
          <w:r w:rsidRPr="00A129D9">
            <w:rPr>
              <w:rFonts w:ascii="Times New Roman" w:hAnsi="Times New Roman" w:cs="Times New Roman"/>
              <w:sz w:val="24"/>
              <w:szCs w:val="24"/>
            </w:rPr>
            <w:t xml:space="preserve">The basic principle followed is to maximize shareholder value, but it is not applicable to measuring </w:t>
          </w:r>
          <w:r w:rsidR="00914AAF">
            <w:rPr>
              <w:rFonts w:ascii="Times New Roman" w:hAnsi="Times New Roman" w:cs="Times New Roman"/>
              <w:sz w:val="24"/>
              <w:szCs w:val="24"/>
            </w:rPr>
            <w:t>division</w:t>
          </w:r>
          <w:r w:rsidRPr="00A129D9">
            <w:rPr>
              <w:rFonts w:ascii="Times New Roman" w:hAnsi="Times New Roman" w:cs="Times New Roman"/>
              <w:sz w:val="24"/>
              <w:szCs w:val="24"/>
            </w:rPr>
            <w:t>al performance</w:t>
          </w:r>
          <w:r w:rsidR="00BC525C">
            <w:rPr>
              <w:rFonts w:ascii="Times New Roman" w:hAnsi="Times New Roman" w:cs="Times New Roman"/>
              <w:sz w:val="24"/>
              <w:szCs w:val="24"/>
            </w:rPr>
            <w:t xml:space="preserve"> </w:t>
          </w:r>
          <w:r w:rsidR="00BC525C" w:rsidRPr="00BC525C">
            <w:rPr>
              <w:rFonts w:ascii="Times New Roman" w:hAnsi="Times New Roman" w:cs="Times New Roman"/>
              <w:sz w:val="24"/>
              <w:szCs w:val="24"/>
            </w:rPr>
            <w:t xml:space="preserve">(MUNTEANU and </w:t>
          </w:r>
          <w:proofErr w:type="spellStart"/>
          <w:r w:rsidR="00BC525C" w:rsidRPr="00BC525C">
            <w:rPr>
              <w:rFonts w:ascii="Times New Roman" w:hAnsi="Times New Roman" w:cs="Times New Roman"/>
              <w:sz w:val="24"/>
              <w:szCs w:val="24"/>
            </w:rPr>
            <w:t>Guni</w:t>
          </w:r>
          <w:proofErr w:type="spellEnd"/>
          <w:r w:rsidR="00BC525C">
            <w:rPr>
              <w:rFonts w:ascii="Times New Roman" w:hAnsi="Times New Roman" w:cs="Times New Roman"/>
              <w:sz w:val="24"/>
              <w:szCs w:val="24"/>
            </w:rPr>
            <w:t>,</w:t>
          </w:r>
          <w:r w:rsidR="00BC525C" w:rsidRPr="00BC525C">
            <w:rPr>
              <w:rFonts w:ascii="Times New Roman" w:hAnsi="Times New Roman" w:cs="Times New Roman"/>
              <w:sz w:val="24"/>
              <w:szCs w:val="24"/>
            </w:rPr>
            <w:t xml:space="preserve"> 2014)</w:t>
          </w:r>
          <w:r w:rsidRPr="00A129D9">
            <w:rPr>
              <w:rFonts w:ascii="Times New Roman" w:hAnsi="Times New Roman" w:cs="Times New Roman"/>
              <w:sz w:val="24"/>
              <w:szCs w:val="24"/>
            </w:rPr>
            <w:t xml:space="preserve">. The calculation formula is: Additional Economic Value (EVA)=Pre interest and </w:t>
          </w:r>
          <w:proofErr w:type="spellStart"/>
          <w:r w:rsidRPr="00A129D9">
            <w:rPr>
              <w:rFonts w:ascii="Times New Roman" w:hAnsi="Times New Roman" w:cs="Times New Roman"/>
              <w:sz w:val="24"/>
              <w:szCs w:val="24"/>
            </w:rPr>
            <w:t>post tax</w:t>
          </w:r>
          <w:proofErr w:type="spellEnd"/>
          <w:r w:rsidRPr="00A129D9">
            <w:rPr>
              <w:rFonts w:ascii="Times New Roman" w:hAnsi="Times New Roman" w:cs="Times New Roman"/>
              <w:sz w:val="24"/>
              <w:szCs w:val="24"/>
            </w:rPr>
            <w:t xml:space="preserve"> profit - </w:t>
          </w:r>
          <w:r w:rsidR="00E85F36">
            <w:rPr>
              <w:rFonts w:ascii="Times New Roman" w:hAnsi="Times New Roman" w:cs="Times New Roman" w:hint="eastAsia"/>
              <w:sz w:val="24"/>
              <w:szCs w:val="24"/>
              <w:lang w:eastAsia="zh-CN"/>
            </w:rPr>
            <w:t>t</w:t>
          </w:r>
          <w:r w:rsidRPr="00A129D9">
            <w:rPr>
              <w:rFonts w:ascii="Times New Roman" w:hAnsi="Times New Roman" w:cs="Times New Roman"/>
              <w:sz w:val="24"/>
              <w:szCs w:val="24"/>
            </w:rPr>
            <w:t xml:space="preserve">otal cost of funds. Through calculation, it can be concluded that the additional economic value of the manufacturing/sales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is EVA=301- (1294-1294 * 5.5%) * 9%=190.95, indicating that the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has created significant economic value for shareholders. Similarly, the additional economic value of the service sector can be calculated as EVA=5- (38-38 * 5.5%) * 9%=1.77, while the economic value created by this sector is relatively small.</w:t>
          </w:r>
        </w:p>
        <w:p w14:paraId="7E1922E4"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1.2 Transfer Pricing</w:t>
          </w:r>
        </w:p>
        <w:p w14:paraId="3291483C" w14:textId="0B714CD3" w:rsidR="00CE2FDF" w:rsidRPr="00CE2FDF" w:rsidRDefault="00A129D9" w:rsidP="00CE2FDF">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Transfer pricing refers to the price set by affiliated enterprises when selling goods, providing services, transferring intangible assets, etc. It can be understood as the procedure followed by organizations when transferring goods or goods from one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to the next </w:t>
          </w:r>
          <w:r w:rsidR="00914AAF">
            <w:rPr>
              <w:rFonts w:ascii="Times New Roman" w:hAnsi="Times New Roman" w:cs="Times New Roman"/>
              <w:sz w:val="24"/>
              <w:szCs w:val="24"/>
            </w:rPr>
            <w:t>division</w:t>
          </w:r>
          <w:r w:rsidRPr="00A129D9">
            <w:rPr>
              <w:rFonts w:ascii="Times New Roman" w:hAnsi="Times New Roman" w:cs="Times New Roman"/>
              <w:sz w:val="24"/>
              <w:szCs w:val="24"/>
            </w:rPr>
            <w:t>, subsidiary, or any related party</w:t>
          </w:r>
          <w:r w:rsidR="00482376" w:rsidRPr="00482376">
            <w:rPr>
              <w:rFonts w:ascii="Times New Roman" w:hAnsi="Times New Roman" w:cs="Times New Roman"/>
              <w:sz w:val="24"/>
              <w:szCs w:val="24"/>
            </w:rPr>
            <w:t xml:space="preserve"> (Rogers</w:t>
          </w:r>
          <w:r w:rsidR="00482376">
            <w:rPr>
              <w:rFonts w:ascii="Times New Roman" w:hAnsi="Times New Roman" w:cs="Times New Roman"/>
              <w:sz w:val="24"/>
              <w:szCs w:val="24"/>
            </w:rPr>
            <w:t xml:space="preserve"> </w:t>
          </w:r>
          <w:r w:rsidR="00482376" w:rsidRPr="00482376">
            <w:rPr>
              <w:rFonts w:ascii="Times New Roman" w:hAnsi="Times New Roman" w:cs="Times New Roman"/>
              <w:sz w:val="24"/>
              <w:szCs w:val="24"/>
            </w:rPr>
            <w:t>and Oats, 2022)</w:t>
          </w:r>
          <w:r w:rsidRPr="00A129D9">
            <w:rPr>
              <w:rFonts w:ascii="Times New Roman" w:hAnsi="Times New Roman" w:cs="Times New Roman"/>
              <w:sz w:val="24"/>
              <w:szCs w:val="24"/>
            </w:rPr>
            <w:t>.</w:t>
          </w:r>
          <w:r w:rsidR="00482376">
            <w:rPr>
              <w:rFonts w:ascii="Times New Roman" w:hAnsi="Times New Roman" w:cs="Times New Roman"/>
              <w:sz w:val="24"/>
              <w:szCs w:val="24"/>
            </w:rPr>
            <w:t xml:space="preserve"> </w:t>
          </w:r>
          <w:r w:rsidRPr="00A129D9">
            <w:rPr>
              <w:rFonts w:ascii="Times New Roman" w:hAnsi="Times New Roman" w:cs="Times New Roman"/>
              <w:sz w:val="24"/>
              <w:szCs w:val="24"/>
            </w:rPr>
            <w:t>Transfer pricing includes the consideration for transferring property, rights, interests, etc., including four major types of transactions: tangible assets, intangible assets, labo</w:t>
          </w:r>
          <w:r w:rsidR="00E85F36">
            <w:rPr>
              <w:rFonts w:ascii="Times New Roman" w:hAnsi="Times New Roman" w:cs="Times New Roman" w:hint="eastAsia"/>
              <w:sz w:val="24"/>
              <w:szCs w:val="24"/>
              <w:lang w:eastAsia="zh-CN"/>
            </w:rPr>
            <w:t>u</w:t>
          </w:r>
          <w:r w:rsidRPr="00A129D9">
            <w:rPr>
              <w:rFonts w:ascii="Times New Roman" w:hAnsi="Times New Roman" w:cs="Times New Roman"/>
              <w:sz w:val="24"/>
              <w:szCs w:val="24"/>
            </w:rPr>
            <w:t>r services, financing, etc</w:t>
          </w:r>
          <w:r w:rsidR="00CE2FDF" w:rsidRPr="00CE2FDF">
            <w:rPr>
              <w:rFonts w:ascii="Times New Roman" w:hAnsi="Times New Roman" w:cs="Times New Roman"/>
              <w:sz w:val="24"/>
              <w:szCs w:val="24"/>
            </w:rPr>
            <w:t xml:space="preserve"> (Kumar, et al.</w:t>
          </w:r>
          <w:r w:rsidR="00CE2FDF">
            <w:rPr>
              <w:rFonts w:ascii="Times New Roman" w:hAnsi="Times New Roman" w:cs="Times New Roman"/>
              <w:sz w:val="24"/>
              <w:szCs w:val="24"/>
            </w:rPr>
            <w:t>,</w:t>
          </w:r>
          <w:r w:rsidR="00CE2FDF" w:rsidRPr="00CE2FDF">
            <w:rPr>
              <w:rFonts w:ascii="Times New Roman" w:hAnsi="Times New Roman" w:cs="Times New Roman"/>
              <w:sz w:val="24"/>
              <w:szCs w:val="24"/>
            </w:rPr>
            <w:t xml:space="preserve"> 2021)</w:t>
          </w:r>
          <w:r w:rsidRPr="00A129D9">
            <w:rPr>
              <w:rFonts w:ascii="Times New Roman" w:hAnsi="Times New Roman" w:cs="Times New Roman"/>
              <w:sz w:val="24"/>
              <w:szCs w:val="24"/>
            </w:rPr>
            <w:t>.</w:t>
          </w:r>
        </w:p>
        <w:p w14:paraId="68F55AD3"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1.2.1 Transfer Pricing System Standards</w:t>
          </w:r>
        </w:p>
        <w:p w14:paraId="27AA3C67" w14:textId="4C3305D5"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Transfer pricing refers to the process followed by an organization when transferring goods or goods from one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to the next, subsidiary, or any related party. In this case, the transfer pricing system is used to allocate profits and losses to each individual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of the company, and the transfer pricing system should comply with the following principles</w:t>
          </w:r>
          <w:r w:rsidR="00403A3A">
            <w:rPr>
              <w:rFonts w:ascii="Times New Roman" w:hAnsi="Times New Roman" w:cs="Times New Roman"/>
              <w:sz w:val="24"/>
              <w:szCs w:val="24"/>
            </w:rPr>
            <w:t xml:space="preserve"> </w:t>
          </w:r>
          <w:r w:rsidR="00403A3A" w:rsidRPr="00403A3A">
            <w:rPr>
              <w:rFonts w:ascii="Times New Roman" w:hAnsi="Times New Roman" w:cs="Times New Roman"/>
              <w:sz w:val="24"/>
              <w:szCs w:val="24"/>
            </w:rPr>
            <w:t xml:space="preserve">(Brugger, F. and </w:t>
          </w:r>
          <w:proofErr w:type="spellStart"/>
          <w:r w:rsidR="00403A3A" w:rsidRPr="00403A3A">
            <w:rPr>
              <w:rFonts w:ascii="Times New Roman" w:hAnsi="Times New Roman" w:cs="Times New Roman"/>
              <w:sz w:val="24"/>
              <w:szCs w:val="24"/>
            </w:rPr>
            <w:t>Engebretsen</w:t>
          </w:r>
          <w:proofErr w:type="spellEnd"/>
          <w:r w:rsidR="00403A3A" w:rsidRPr="00403A3A">
            <w:rPr>
              <w:rFonts w:ascii="Times New Roman" w:hAnsi="Times New Roman" w:cs="Times New Roman"/>
              <w:sz w:val="24"/>
              <w:szCs w:val="24"/>
            </w:rPr>
            <w:t>, R.</w:t>
          </w:r>
          <w:r w:rsidR="005E207B">
            <w:rPr>
              <w:rFonts w:ascii="Times New Roman" w:hAnsi="Times New Roman" w:cs="Times New Roman"/>
              <w:sz w:val="24"/>
              <w:szCs w:val="24"/>
            </w:rPr>
            <w:t>,</w:t>
          </w:r>
          <w:r w:rsidR="00403A3A" w:rsidRPr="00403A3A">
            <w:rPr>
              <w:rFonts w:ascii="Times New Roman" w:hAnsi="Times New Roman" w:cs="Times New Roman"/>
              <w:sz w:val="24"/>
              <w:szCs w:val="24"/>
            </w:rPr>
            <w:t xml:space="preserve"> 2022)</w:t>
          </w:r>
          <w:r w:rsidRPr="00A129D9">
            <w:rPr>
              <w:rFonts w:ascii="Times New Roman" w:hAnsi="Times New Roman" w:cs="Times New Roman"/>
              <w:sz w:val="24"/>
              <w:szCs w:val="24"/>
            </w:rPr>
            <w:t>.</w:t>
          </w:r>
          <w:r w:rsidR="00403A3A" w:rsidRPr="00403A3A">
            <w:rPr>
              <w:rFonts w:ascii="Times New Roman" w:hAnsi="Times New Roman" w:cs="Times New Roman"/>
              <w:sz w:val="24"/>
              <w:szCs w:val="24"/>
            </w:rPr>
            <w:t xml:space="preserve"> </w:t>
          </w:r>
        </w:p>
        <w:p w14:paraId="5AE99BAD" w14:textId="77777777" w:rsidR="009A6214"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lastRenderedPageBreak/>
            <w:t xml:space="preserve">Legal compliance. The establishment of a transfer pricing system must comply with laws and regulations. Legal norms are the foundation for the smooth operation and development of a company, so the system must comply with the requirements of laws and policies in order to ensure the normal operation of </w:t>
          </w:r>
          <w:r w:rsidR="00914AAF">
            <w:rPr>
              <w:rFonts w:ascii="Times New Roman" w:hAnsi="Times New Roman" w:cs="Times New Roman"/>
              <w:sz w:val="24"/>
              <w:szCs w:val="24"/>
            </w:rPr>
            <w:t>divisions</w:t>
          </w:r>
          <w:r w:rsidRPr="00A129D9">
            <w:rPr>
              <w:rFonts w:ascii="Times New Roman" w:hAnsi="Times New Roman" w:cs="Times New Roman"/>
              <w:sz w:val="24"/>
              <w:szCs w:val="24"/>
            </w:rPr>
            <w:t xml:space="preserve"> and the company, and to ensure the long-term interests of company shareholders</w:t>
          </w:r>
          <w:r w:rsidR="009A6214">
            <w:rPr>
              <w:rFonts w:ascii="Times New Roman" w:hAnsi="Times New Roman" w:cs="Times New Roman"/>
              <w:sz w:val="24"/>
              <w:szCs w:val="24"/>
            </w:rPr>
            <w:t xml:space="preserve"> </w:t>
          </w:r>
          <w:r w:rsidR="009A6214" w:rsidRPr="009A6214">
            <w:rPr>
              <w:rFonts w:ascii="Times New Roman" w:hAnsi="Times New Roman" w:cs="Times New Roman"/>
              <w:sz w:val="24"/>
              <w:szCs w:val="24"/>
            </w:rPr>
            <w:t>(Sikka, P. and Willmott, H. 2010)</w:t>
          </w:r>
          <w:r w:rsidRPr="00A129D9">
            <w:rPr>
              <w:rFonts w:ascii="Times New Roman" w:hAnsi="Times New Roman" w:cs="Times New Roman"/>
              <w:sz w:val="24"/>
              <w:szCs w:val="24"/>
            </w:rPr>
            <w:t>.</w:t>
          </w:r>
        </w:p>
        <w:p w14:paraId="398DCBAC" w14:textId="25C03CCF"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Reasonable pricing. The transfer pricing system must use reasonable pricing methods, which can ensure the effective operation of the system and ensure a reasonable evaluation of the actual performance of each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Only reasonable pricing can help to allocate revenue and costs to the two </w:t>
          </w:r>
          <w:r w:rsidR="00914AAF">
            <w:rPr>
              <w:rFonts w:ascii="Times New Roman" w:hAnsi="Times New Roman" w:cs="Times New Roman"/>
              <w:sz w:val="24"/>
              <w:szCs w:val="24"/>
            </w:rPr>
            <w:t>divisions</w:t>
          </w:r>
          <w:r w:rsidRPr="00A129D9">
            <w:rPr>
              <w:rFonts w:ascii="Times New Roman" w:hAnsi="Times New Roman" w:cs="Times New Roman"/>
              <w:sz w:val="24"/>
              <w:szCs w:val="24"/>
            </w:rPr>
            <w:t xml:space="preserve"> in the correct way. At the same time, it is conducive to achieving the company's goals, thereby maximizing the interests of shareholders.</w:t>
          </w:r>
        </w:p>
        <w:p w14:paraId="0FCB6087" w14:textId="77777777"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Reflect the overall goals of the company. The transfer pricing system established by the company must reflect the overall goals of the company. In the case, the company's goal is to maximize shareholder profits, so the company's transfer pricing system must meet the principle of maximizing shareholder interests and help shareholders obtain maximum profits.</w:t>
          </w:r>
        </w:p>
        <w:p w14:paraId="0842C2C2"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1.2.2 Evaluation of Transfer Pricing Methods</w:t>
          </w:r>
        </w:p>
        <w:p w14:paraId="04364A4C"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 Cost plus method</w:t>
          </w:r>
        </w:p>
        <w:p w14:paraId="7EB02566" w14:textId="7D718A64"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The </w:t>
          </w:r>
          <w:proofErr w:type="gramStart"/>
          <w:r w:rsidRPr="00A129D9">
            <w:rPr>
              <w:rFonts w:ascii="Times New Roman" w:hAnsi="Times New Roman" w:cs="Times New Roman"/>
              <w:sz w:val="24"/>
              <w:szCs w:val="24"/>
            </w:rPr>
            <w:t>cost plus</w:t>
          </w:r>
          <w:proofErr w:type="gramEnd"/>
          <w:r w:rsidRPr="00A129D9">
            <w:rPr>
              <w:rFonts w:ascii="Times New Roman" w:hAnsi="Times New Roman" w:cs="Times New Roman"/>
              <w:sz w:val="24"/>
              <w:szCs w:val="24"/>
            </w:rPr>
            <w:t xml:space="preserve"> method uses the reasonable cost incurred in related party transactions plus gross profit as the fair transaction price for related party transactions. The </w:t>
          </w:r>
          <w:proofErr w:type="gramStart"/>
          <w:r w:rsidRPr="00A129D9">
            <w:rPr>
              <w:rFonts w:ascii="Times New Roman" w:hAnsi="Times New Roman" w:cs="Times New Roman"/>
              <w:sz w:val="24"/>
              <w:szCs w:val="24"/>
            </w:rPr>
            <w:t>cost plus</w:t>
          </w:r>
          <w:proofErr w:type="gramEnd"/>
          <w:r w:rsidRPr="00A129D9">
            <w:rPr>
              <w:rFonts w:ascii="Times New Roman" w:hAnsi="Times New Roman" w:cs="Times New Roman"/>
              <w:sz w:val="24"/>
              <w:szCs w:val="24"/>
            </w:rPr>
            <w:t xml:space="preserve"> method is usually applicable to the purchase, sale, transfer, and use of tangible assets, as well as related transactions related to the provision of labo</w:t>
          </w:r>
          <w:r w:rsidR="001549FF">
            <w:rPr>
              <w:rFonts w:ascii="Times New Roman" w:hAnsi="Times New Roman" w:cs="Times New Roman" w:hint="eastAsia"/>
              <w:sz w:val="24"/>
              <w:szCs w:val="24"/>
              <w:lang w:eastAsia="zh-CN"/>
            </w:rPr>
            <w:t>u</w:t>
          </w:r>
          <w:r w:rsidRPr="00A129D9">
            <w:rPr>
              <w:rFonts w:ascii="Times New Roman" w:hAnsi="Times New Roman" w:cs="Times New Roman"/>
              <w:sz w:val="24"/>
              <w:szCs w:val="24"/>
            </w:rPr>
            <w:t>r services or financing</w:t>
          </w:r>
          <w:r w:rsidR="00895905" w:rsidRPr="00895905">
            <w:rPr>
              <w:rFonts w:ascii="Times New Roman" w:hAnsi="Times New Roman" w:cs="Times New Roman"/>
              <w:sz w:val="24"/>
              <w:szCs w:val="24"/>
            </w:rPr>
            <w:t xml:space="preserve"> (</w:t>
          </w:r>
          <w:proofErr w:type="spellStart"/>
          <w:r w:rsidR="00895905" w:rsidRPr="00895905">
            <w:rPr>
              <w:rFonts w:ascii="Times New Roman" w:hAnsi="Times New Roman" w:cs="Times New Roman"/>
              <w:sz w:val="24"/>
              <w:szCs w:val="24"/>
            </w:rPr>
            <w:t>Jasson</w:t>
          </w:r>
          <w:proofErr w:type="spellEnd"/>
          <w:r w:rsidR="00895905" w:rsidRPr="00895905">
            <w:rPr>
              <w:rFonts w:ascii="Times New Roman" w:hAnsi="Times New Roman" w:cs="Times New Roman"/>
              <w:sz w:val="24"/>
              <w:szCs w:val="24"/>
            </w:rPr>
            <w:t>, C.C. and Govender, C.M.</w:t>
          </w:r>
          <w:r w:rsidR="00895905">
            <w:rPr>
              <w:rFonts w:ascii="Times New Roman" w:hAnsi="Times New Roman" w:cs="Times New Roman"/>
              <w:sz w:val="24"/>
              <w:szCs w:val="24"/>
            </w:rPr>
            <w:t>,</w:t>
          </w:r>
          <w:r w:rsidR="00895905" w:rsidRPr="00895905">
            <w:rPr>
              <w:rFonts w:ascii="Times New Roman" w:hAnsi="Times New Roman" w:cs="Times New Roman"/>
              <w:sz w:val="24"/>
              <w:szCs w:val="24"/>
            </w:rPr>
            <w:t xml:space="preserve"> 2017)</w:t>
          </w:r>
          <w:r w:rsidRPr="00A129D9">
            <w:rPr>
              <w:rFonts w:ascii="Times New Roman" w:hAnsi="Times New Roman" w:cs="Times New Roman"/>
              <w:sz w:val="24"/>
              <w:szCs w:val="24"/>
            </w:rPr>
            <w:t>. The calculation formula is as follows: fair transaction price=reasonable cost of related transactions × (1+cost markup rate).</w:t>
          </w:r>
        </w:p>
        <w:p w14:paraId="5E3EAF1C" w14:textId="152EDD7B" w:rsidR="00A129D9" w:rsidRPr="00E6270F" w:rsidRDefault="00A129D9" w:rsidP="00A129D9">
          <w:pPr>
            <w:spacing w:after="0" w:line="240" w:lineRule="auto"/>
            <w:jc w:val="center"/>
            <w:rPr>
              <w:rFonts w:ascii="Times New Roman" w:hAnsi="Times New Roman" w:cs="Times New Roman"/>
              <w:sz w:val="21"/>
              <w:szCs w:val="21"/>
            </w:rPr>
          </w:pPr>
          <w:r w:rsidRPr="00E6270F">
            <w:rPr>
              <w:rFonts w:ascii="Times New Roman" w:hAnsi="Times New Roman" w:cs="Times New Roman"/>
              <w:sz w:val="21"/>
              <w:szCs w:val="21"/>
            </w:rPr>
            <w:t>Table 1</w:t>
          </w:r>
          <w:r w:rsidRPr="00E6270F">
            <w:rPr>
              <w:rFonts w:ascii="Times New Roman" w:hAnsi="Times New Roman" w:cs="Times New Roman"/>
              <w:sz w:val="21"/>
              <w:szCs w:val="21"/>
              <w:lang w:eastAsia="zh-CN"/>
            </w:rPr>
            <w:t>.</w:t>
          </w:r>
          <w:r w:rsidRPr="00E6270F">
            <w:rPr>
              <w:rFonts w:ascii="Times New Roman" w:hAnsi="Times New Roman" w:cs="Times New Roman"/>
              <w:sz w:val="21"/>
              <w:szCs w:val="21"/>
            </w:rPr>
            <w:t xml:space="preserve"> </w:t>
          </w:r>
          <w:r w:rsidRPr="00E6270F">
            <w:rPr>
              <w:rFonts w:ascii="Times New Roman" w:hAnsi="Times New Roman" w:cs="Times New Roman"/>
              <w:sz w:val="21"/>
              <w:szCs w:val="21"/>
            </w:rPr>
            <w:t>The service costs within the service division</w:t>
          </w:r>
        </w:p>
        <w:tbl>
          <w:tblPr>
            <w:tblStyle w:val="a6"/>
            <w:tblW w:w="0" w:type="auto"/>
            <w:tblInd w:w="704" w:type="dxa"/>
            <w:tblBorders>
              <w:left w:val="none" w:sz="0" w:space="0" w:color="auto"/>
              <w:right w:val="none" w:sz="0" w:space="0" w:color="auto"/>
            </w:tblBorders>
            <w:tblLook w:val="04A0" w:firstRow="1" w:lastRow="0" w:firstColumn="1" w:lastColumn="0" w:noHBand="0" w:noVBand="1"/>
          </w:tblPr>
          <w:tblGrid>
            <w:gridCol w:w="3969"/>
            <w:gridCol w:w="3623"/>
          </w:tblGrid>
          <w:tr w:rsidR="00A129D9" w14:paraId="1A53FC96" w14:textId="77777777" w:rsidTr="00A129D9">
            <w:tc>
              <w:tcPr>
                <w:tcW w:w="3969" w:type="dxa"/>
                <w:vAlign w:val="center"/>
              </w:tcPr>
              <w:p w14:paraId="25D0B2A5" w14:textId="77777777" w:rsidR="00A129D9" w:rsidRPr="00A129D9" w:rsidRDefault="00A129D9" w:rsidP="00A129D9">
                <w:pPr>
                  <w:jc w:val="center"/>
                  <w:rPr>
                    <w:rFonts w:ascii="Times New Roman" w:hAnsi="Times New Roman" w:cs="Times New Roman"/>
                  </w:rPr>
                </w:pPr>
              </w:p>
            </w:tc>
            <w:tc>
              <w:tcPr>
                <w:tcW w:w="3623" w:type="dxa"/>
                <w:vAlign w:val="center"/>
              </w:tcPr>
              <w:p w14:paraId="526225E1" w14:textId="77777777" w:rsidR="00A129D9" w:rsidRPr="00A129D9" w:rsidRDefault="00A129D9" w:rsidP="00A129D9">
                <w:pPr>
                  <w:jc w:val="center"/>
                  <w:rPr>
                    <w:rFonts w:ascii="Times New Roman" w:hAnsi="Times New Roman" w:cs="Times New Roman"/>
                  </w:rPr>
                </w:pPr>
                <w:r w:rsidRPr="00A129D9">
                  <w:rPr>
                    <w:rFonts w:ascii="Times New Roman" w:hAnsi="Times New Roman" w:cs="Times New Roman"/>
                  </w:rPr>
                  <w:t>£</w:t>
                </w:r>
              </w:p>
            </w:tc>
          </w:tr>
          <w:tr w:rsidR="00A129D9" w14:paraId="03F7D846" w14:textId="77777777" w:rsidTr="00A129D9">
            <w:tc>
              <w:tcPr>
                <w:tcW w:w="3969" w:type="dxa"/>
                <w:vAlign w:val="center"/>
              </w:tcPr>
              <w:p w14:paraId="230DC3C9" w14:textId="1E261B8F" w:rsidR="00A129D9" w:rsidRPr="00A129D9" w:rsidRDefault="00A129D9" w:rsidP="00A129D9">
                <w:pPr>
                  <w:jc w:val="center"/>
                  <w:rPr>
                    <w:rFonts w:ascii="Times New Roman" w:hAnsi="Times New Roman" w:cs="Times New Roman"/>
                  </w:rPr>
                </w:pPr>
                <w:proofErr w:type="spellStart"/>
                <w:r w:rsidRPr="00A129D9">
                  <w:rPr>
                    <w:rFonts w:ascii="Times New Roman" w:hAnsi="Times New Roman" w:cs="Times New Roman"/>
                  </w:rPr>
                  <w:t>Labour</w:t>
                </w:r>
                <w:proofErr w:type="spellEnd"/>
                <w:r w:rsidRPr="00A129D9">
                  <w:rPr>
                    <w:rFonts w:ascii="Times New Roman" w:hAnsi="Times New Roman" w:cs="Times New Roman"/>
                  </w:rPr>
                  <w:t xml:space="preserve"> (per hour)</w:t>
                </w:r>
              </w:p>
            </w:tc>
            <w:tc>
              <w:tcPr>
                <w:tcW w:w="3623" w:type="dxa"/>
                <w:vAlign w:val="center"/>
              </w:tcPr>
              <w:p w14:paraId="621CBFD2" w14:textId="77777777" w:rsidR="00A129D9" w:rsidRPr="00A129D9" w:rsidRDefault="00A129D9" w:rsidP="00A129D9">
                <w:pPr>
                  <w:jc w:val="center"/>
                  <w:rPr>
                    <w:rFonts w:ascii="Times New Roman" w:hAnsi="Times New Roman" w:cs="Times New Roman"/>
                  </w:rPr>
                </w:pPr>
                <w:r w:rsidRPr="00A129D9">
                  <w:rPr>
                    <w:rFonts w:ascii="Times New Roman" w:hAnsi="Times New Roman" w:cs="Times New Roman"/>
                  </w:rPr>
                  <w:t>18</w:t>
                </w:r>
              </w:p>
            </w:tc>
          </w:tr>
          <w:tr w:rsidR="00A129D9" w14:paraId="50877C57" w14:textId="77777777" w:rsidTr="00A129D9">
            <w:tc>
              <w:tcPr>
                <w:tcW w:w="3969" w:type="dxa"/>
                <w:vAlign w:val="center"/>
              </w:tcPr>
              <w:p w14:paraId="5630A801" w14:textId="77777777" w:rsidR="00A129D9" w:rsidRPr="00A129D9" w:rsidRDefault="00A129D9" w:rsidP="00A129D9">
                <w:pPr>
                  <w:jc w:val="center"/>
                  <w:rPr>
                    <w:rFonts w:ascii="Times New Roman" w:hAnsi="Times New Roman" w:cs="Times New Roman"/>
                  </w:rPr>
                </w:pPr>
                <w:r w:rsidRPr="00A129D9">
                  <w:rPr>
                    <w:rFonts w:ascii="Times New Roman" w:hAnsi="Times New Roman" w:cs="Times New Roman"/>
                  </w:rPr>
                  <w:t>Variable divisional overhead (per hour)</w:t>
                </w:r>
              </w:p>
            </w:tc>
            <w:tc>
              <w:tcPr>
                <w:tcW w:w="3623" w:type="dxa"/>
                <w:vAlign w:val="center"/>
              </w:tcPr>
              <w:p w14:paraId="23AA1F82" w14:textId="77777777" w:rsidR="00A129D9" w:rsidRPr="00A129D9" w:rsidRDefault="00A129D9" w:rsidP="00A129D9">
                <w:pPr>
                  <w:jc w:val="center"/>
                  <w:rPr>
                    <w:rFonts w:ascii="Times New Roman" w:hAnsi="Times New Roman" w:cs="Times New Roman"/>
                  </w:rPr>
                </w:pPr>
                <w:r w:rsidRPr="00A129D9">
                  <w:rPr>
                    <w:rFonts w:ascii="Times New Roman" w:hAnsi="Times New Roman" w:cs="Times New Roman"/>
                  </w:rPr>
                  <w:t>12</w:t>
                </w:r>
              </w:p>
            </w:tc>
          </w:tr>
          <w:tr w:rsidR="00A129D9" w14:paraId="355790FC" w14:textId="77777777" w:rsidTr="00A129D9">
            <w:tc>
              <w:tcPr>
                <w:tcW w:w="3969" w:type="dxa"/>
                <w:vAlign w:val="center"/>
              </w:tcPr>
              <w:p w14:paraId="78BA05B2" w14:textId="77777777" w:rsidR="00A129D9" w:rsidRPr="00A129D9" w:rsidRDefault="00A129D9" w:rsidP="00A129D9">
                <w:pPr>
                  <w:jc w:val="center"/>
                  <w:rPr>
                    <w:rFonts w:ascii="Times New Roman" w:hAnsi="Times New Roman" w:cs="Times New Roman"/>
                  </w:rPr>
                </w:pPr>
                <w:r w:rsidRPr="00A129D9">
                  <w:rPr>
                    <w:rFonts w:ascii="Times New Roman" w:hAnsi="Times New Roman" w:cs="Times New Roman"/>
                  </w:rPr>
                  <w:t>Fixed divisional overhead (per hour)</w:t>
                </w:r>
              </w:p>
            </w:tc>
            <w:tc>
              <w:tcPr>
                <w:tcW w:w="3623" w:type="dxa"/>
                <w:vAlign w:val="center"/>
              </w:tcPr>
              <w:p w14:paraId="137973AE" w14:textId="77777777" w:rsidR="00A129D9" w:rsidRPr="00A129D9" w:rsidRDefault="00A129D9" w:rsidP="00A129D9">
                <w:pPr>
                  <w:jc w:val="center"/>
                  <w:rPr>
                    <w:rFonts w:ascii="Times New Roman" w:hAnsi="Times New Roman" w:cs="Times New Roman"/>
                  </w:rPr>
                </w:pPr>
                <w:r w:rsidRPr="00A129D9">
                  <w:rPr>
                    <w:rFonts w:ascii="Times New Roman" w:hAnsi="Times New Roman" w:cs="Times New Roman"/>
                  </w:rPr>
                  <w:t>25</w:t>
                </w:r>
              </w:p>
            </w:tc>
          </w:tr>
        </w:tbl>
        <w:p w14:paraId="7825BA37" w14:textId="77777777" w:rsidR="00A129D9" w:rsidRDefault="00A129D9" w:rsidP="00A129D9">
          <w:pPr>
            <w:spacing w:after="0" w:line="360" w:lineRule="auto"/>
            <w:jc w:val="both"/>
            <w:rPr>
              <w:sz w:val="24"/>
              <w:szCs w:val="24"/>
            </w:rPr>
          </w:pPr>
        </w:p>
        <w:p w14:paraId="15F1E139" w14:textId="7016B886"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It is known that the average cost of replacing parts is 85 pounds, and the average repair time is 4 hours. Therefore, the average cost of each repair is 85+(18+12+25) * 4=305 pounds. After that, an appropriate cost markup needs to be added to obtain the final transfer price, which needs to be negotiated between the two </w:t>
          </w:r>
          <w:r w:rsidR="00914AAF">
            <w:rPr>
              <w:rFonts w:ascii="Times New Roman" w:hAnsi="Times New Roman" w:cs="Times New Roman"/>
              <w:sz w:val="24"/>
              <w:szCs w:val="24"/>
            </w:rPr>
            <w:t>divisions</w:t>
          </w:r>
          <w:r w:rsidRPr="00A129D9">
            <w:rPr>
              <w:rFonts w:ascii="Times New Roman" w:hAnsi="Times New Roman" w:cs="Times New Roman"/>
              <w:sz w:val="24"/>
              <w:szCs w:val="24"/>
            </w:rPr>
            <w:t xml:space="preserve">. This method can ensure that the cost of the service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is fully covered and has a reasonable profit margin, while also ensuring that the costs paid by the manufacturing/sales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are within a reasonable range.</w:t>
          </w:r>
        </w:p>
        <w:p w14:paraId="7B59FC27"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(2) Market price method</w:t>
          </w:r>
        </w:p>
        <w:p w14:paraId="462B6A11" w14:textId="09801921"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lastRenderedPageBreak/>
            <w:t>The market price method is an evaluation method that uses the recent transaction prices of the same or similar assets in the market to determine the value of the evaluation object through direct comparison or analogy analysis. The market price method is applicable to the asset value evaluation when the same or similar non related comparable transaction information can be found in the market</w:t>
          </w:r>
          <w:r w:rsidR="00D87A74">
            <w:rPr>
              <w:rFonts w:ascii="Times New Roman" w:hAnsi="Times New Roman" w:cs="Times New Roman"/>
              <w:sz w:val="24"/>
              <w:szCs w:val="24"/>
            </w:rPr>
            <w:t xml:space="preserve"> </w:t>
          </w:r>
          <w:r w:rsidR="00D87A74" w:rsidRPr="00D87A74">
            <w:rPr>
              <w:rFonts w:ascii="Times New Roman" w:hAnsi="Times New Roman" w:cs="Times New Roman"/>
              <w:sz w:val="24"/>
              <w:szCs w:val="24"/>
            </w:rPr>
            <w:t>(Markose, S. et al.</w:t>
          </w:r>
          <w:r w:rsidR="00D87A74">
            <w:rPr>
              <w:rFonts w:ascii="Times New Roman" w:hAnsi="Times New Roman" w:cs="Times New Roman"/>
              <w:sz w:val="24"/>
              <w:szCs w:val="24"/>
            </w:rPr>
            <w:t>,</w:t>
          </w:r>
          <w:r w:rsidR="00D87A74" w:rsidRPr="00D87A74">
            <w:rPr>
              <w:rFonts w:ascii="Times New Roman" w:hAnsi="Times New Roman" w:cs="Times New Roman"/>
              <w:sz w:val="24"/>
              <w:szCs w:val="24"/>
            </w:rPr>
            <w:t xml:space="preserve"> 2021</w:t>
          </w:r>
          <w:proofErr w:type="gramStart"/>
          <w:r w:rsidR="00D87A74" w:rsidRPr="00D87A74">
            <w:rPr>
              <w:rFonts w:ascii="Times New Roman" w:hAnsi="Times New Roman" w:cs="Times New Roman"/>
              <w:sz w:val="24"/>
              <w:szCs w:val="24"/>
            </w:rPr>
            <w:t xml:space="preserve">) </w:t>
          </w:r>
          <w:r w:rsidRPr="00A129D9">
            <w:rPr>
              <w:rFonts w:ascii="Times New Roman" w:hAnsi="Times New Roman" w:cs="Times New Roman"/>
              <w:sz w:val="24"/>
              <w:szCs w:val="24"/>
            </w:rPr>
            <w:t>.It</w:t>
          </w:r>
          <w:proofErr w:type="gramEnd"/>
          <w:r w:rsidRPr="00A129D9">
            <w:rPr>
              <w:rFonts w:ascii="Times New Roman" w:hAnsi="Times New Roman" w:cs="Times New Roman"/>
              <w:sz w:val="24"/>
              <w:szCs w:val="24"/>
            </w:rPr>
            <w:t xml:space="preserve"> is known that a local engineering company is quoting £ 200 per repair service, provided that it obtains all repair and repair contracts from Portal Company. Therefore, the transfer price in the market price method is 200 pounds, which of course does not apply to conditions beyond the warranty period. In general, the market price method may be more suitable for the maintenance within the warranty period, while the </w:t>
          </w:r>
          <w:proofErr w:type="gramStart"/>
          <w:r w:rsidRPr="00A129D9">
            <w:rPr>
              <w:rFonts w:ascii="Times New Roman" w:hAnsi="Times New Roman" w:cs="Times New Roman"/>
              <w:sz w:val="24"/>
              <w:szCs w:val="24"/>
            </w:rPr>
            <w:t>cost plus</w:t>
          </w:r>
          <w:proofErr w:type="gramEnd"/>
          <w:r w:rsidRPr="00A129D9">
            <w:rPr>
              <w:rFonts w:ascii="Times New Roman" w:hAnsi="Times New Roman" w:cs="Times New Roman"/>
              <w:sz w:val="24"/>
              <w:szCs w:val="24"/>
            </w:rPr>
            <w:t xml:space="preserve"> method is more suitable for the maintenance beyond the warranty period.</w:t>
          </w:r>
        </w:p>
        <w:p w14:paraId="0A90D86F"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1.3 Impact of Implementing Information Systems on Performance Management</w:t>
          </w:r>
        </w:p>
        <w:p w14:paraId="71CBCE06" w14:textId="032FC7E2"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Implementing an information system can help managers break free from trivial tasks and focus more on management work. At the same time, it will also bring greater value to the achievement of performance goals and employee growth of the enterprise. The specific impacts are as follows</w:t>
          </w:r>
          <w:r w:rsidR="00903241" w:rsidRPr="00903241">
            <w:t xml:space="preserve"> </w:t>
          </w:r>
          <w:r w:rsidR="00903241" w:rsidRPr="00903241">
            <w:rPr>
              <w:rFonts w:ascii="Times New Roman" w:hAnsi="Times New Roman" w:cs="Times New Roman"/>
              <w:sz w:val="24"/>
              <w:szCs w:val="24"/>
            </w:rPr>
            <w:t>(Wang, J. 2013)</w:t>
          </w:r>
          <w:r w:rsidRPr="00A129D9">
            <w:rPr>
              <w:rFonts w:ascii="Times New Roman" w:hAnsi="Times New Roman" w:cs="Times New Roman"/>
              <w:sz w:val="24"/>
              <w:szCs w:val="24"/>
            </w:rPr>
            <w:t>.</w:t>
          </w:r>
        </w:p>
        <w:p w14:paraId="32ABA2C2"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1.3.1 Integration strategy</w:t>
          </w:r>
        </w:p>
        <w:p w14:paraId="7D8FB993" w14:textId="2FE02FDB"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Establishing an execution information system can help enterprises integrate relevant information from various </w:t>
          </w:r>
          <w:r w:rsidR="00914AAF">
            <w:rPr>
              <w:rFonts w:ascii="Times New Roman" w:hAnsi="Times New Roman" w:cs="Times New Roman"/>
              <w:sz w:val="24"/>
              <w:szCs w:val="24"/>
            </w:rPr>
            <w:t>divisions</w:t>
          </w:r>
          <w:r w:rsidRPr="00A129D9">
            <w:rPr>
              <w:rFonts w:ascii="Times New Roman" w:hAnsi="Times New Roman" w:cs="Times New Roman"/>
              <w:sz w:val="24"/>
              <w:szCs w:val="24"/>
            </w:rPr>
            <w:t>, including strategy, planning, budgeting, forecasting, team performance, and employee performance, and help enterprises carry out better strategic planning. However, this system also has more skill requirements for users.</w:t>
          </w:r>
        </w:p>
        <w:p w14:paraId="0DCF3916"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1.3.2 Promoting the Implementation of Performance Management</w:t>
          </w:r>
        </w:p>
        <w:p w14:paraId="61CDBE0F" w14:textId="688E919C"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This system can significantly reduce the execution cost of performance management and standardize the actual operation of performance management through informatization, including all </w:t>
          </w:r>
          <w:r w:rsidR="00914AAF">
            <w:rPr>
              <w:rFonts w:ascii="Times New Roman" w:hAnsi="Times New Roman" w:cs="Times New Roman"/>
              <w:sz w:val="24"/>
              <w:szCs w:val="24"/>
            </w:rPr>
            <w:t>divisions</w:t>
          </w:r>
          <w:r w:rsidRPr="00A129D9">
            <w:rPr>
              <w:rFonts w:ascii="Times New Roman" w:hAnsi="Times New Roman" w:cs="Times New Roman"/>
              <w:sz w:val="24"/>
              <w:szCs w:val="24"/>
            </w:rPr>
            <w:t xml:space="preserve"> and employees in the performance management process, promoting the effective implementation of performance management from concept to system, and achieving full participation and interaction among all employees in this execution process, continuously improving the performance management level of managers.</w:t>
          </w:r>
        </w:p>
        <w:p w14:paraId="2D0120B7"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1.3.3 Improving Performance Management Efficiency</w:t>
          </w:r>
        </w:p>
        <w:p w14:paraId="1F50C91A" w14:textId="77777777"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The establishment of this system can eliminate a lot of manual work in performance management. Managers can quickly obtain the necessary data information from the system and improve the efficiency of performance management.</w:t>
          </w:r>
        </w:p>
        <w:p w14:paraId="793F9BE5"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1.3.4 Performance analysis to support decision-making</w:t>
          </w:r>
        </w:p>
        <w:p w14:paraId="0A42E420" w14:textId="184C9BE7"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lastRenderedPageBreak/>
            <w:t>As performance data accumulates over time, companies can conduct vertical and horizontal analysis using single or multiple indicators, single or multiple individuals, and present it in various ways to support individual improvement and organizational decision-making.</w:t>
          </w:r>
        </w:p>
        <w:p w14:paraId="0C4D48A3" w14:textId="77777777" w:rsidR="00E6270F" w:rsidRDefault="00E6270F" w:rsidP="006D5DAE">
          <w:pPr>
            <w:pStyle w:val="2"/>
            <w:spacing w:before="0" w:line="360" w:lineRule="auto"/>
          </w:pPr>
          <w:bookmarkStart w:id="4" w:name="_Toc134635628"/>
          <w:r>
            <w:br w:type="page"/>
          </w:r>
        </w:p>
        <w:p w14:paraId="6504F871" w14:textId="392645B7" w:rsidR="00480872" w:rsidRPr="00467E89" w:rsidRDefault="00DF3B0A" w:rsidP="006D5DAE">
          <w:pPr>
            <w:pStyle w:val="2"/>
            <w:spacing w:before="0" w:line="360" w:lineRule="auto"/>
            <w:rPr>
              <w:b/>
              <w:bCs/>
            </w:rPr>
          </w:pPr>
          <w:r w:rsidRPr="00467E89">
            <w:rPr>
              <w:b/>
              <w:bCs/>
            </w:rPr>
            <w:lastRenderedPageBreak/>
            <w:t>Task 2 – Troy Brands</w:t>
          </w:r>
          <w:bookmarkEnd w:id="4"/>
        </w:p>
        <w:p w14:paraId="22325E47" w14:textId="77777777" w:rsidR="006D5DAE" w:rsidRPr="006D5DAE" w:rsidRDefault="006D5DAE" w:rsidP="006D5DAE">
          <w:pPr>
            <w:spacing w:after="0" w:line="360" w:lineRule="auto"/>
            <w:jc w:val="both"/>
            <w:rPr>
              <w:rFonts w:ascii="Times New Roman" w:hAnsi="Times New Roman" w:cs="Times New Roman"/>
              <w:b/>
              <w:bCs/>
              <w:sz w:val="24"/>
              <w:szCs w:val="24"/>
            </w:rPr>
          </w:pPr>
          <w:r w:rsidRPr="006D5DAE">
            <w:rPr>
              <w:rFonts w:ascii="Times New Roman" w:hAnsi="Times New Roman" w:cs="Times New Roman"/>
              <w:b/>
              <w:bCs/>
              <w:sz w:val="24"/>
              <w:szCs w:val="24"/>
            </w:rPr>
            <w:t>2.1 Growth Crisis</w:t>
          </w:r>
        </w:p>
        <w:p w14:paraId="01579314" w14:textId="77777777" w:rsidR="006D5DAE" w:rsidRPr="006D5DAE" w:rsidRDefault="006D5DAE" w:rsidP="006D5DAE">
          <w:pPr>
            <w:spacing w:after="0" w:line="360" w:lineRule="auto"/>
            <w:jc w:val="both"/>
            <w:rPr>
              <w:rFonts w:ascii="Times New Roman" w:hAnsi="Times New Roman" w:cs="Times New Roman"/>
              <w:sz w:val="24"/>
              <w:szCs w:val="24"/>
            </w:rPr>
          </w:pPr>
          <w:r w:rsidRPr="006D5DAE">
            <w:rPr>
              <w:rFonts w:ascii="Times New Roman" w:hAnsi="Times New Roman" w:cs="Times New Roman"/>
              <w:sz w:val="24"/>
              <w:szCs w:val="24"/>
            </w:rPr>
            <w:t>The growth crisis of the company is mainly divided into two aspects: internal crisis and external crisis. Internal crisis mainly includes imperfect management systems, increased costs, and weak risk resistance, while external crisis mainly includes policy changes, macroeconomic downturn, and fierce market competition.</w:t>
          </w:r>
        </w:p>
        <w:p w14:paraId="17B20C1B" w14:textId="77777777" w:rsidR="006D5DAE" w:rsidRPr="006D5DAE" w:rsidRDefault="006D5DAE" w:rsidP="006D5DAE">
          <w:pPr>
            <w:spacing w:after="0" w:line="360" w:lineRule="auto"/>
            <w:jc w:val="both"/>
            <w:rPr>
              <w:rFonts w:ascii="Times New Roman" w:hAnsi="Times New Roman" w:cs="Times New Roman"/>
              <w:b/>
              <w:bCs/>
              <w:sz w:val="24"/>
              <w:szCs w:val="24"/>
            </w:rPr>
          </w:pPr>
          <w:r w:rsidRPr="006D5DAE">
            <w:rPr>
              <w:rFonts w:ascii="Times New Roman" w:hAnsi="Times New Roman" w:cs="Times New Roman"/>
              <w:b/>
              <w:bCs/>
              <w:sz w:val="24"/>
              <w:szCs w:val="24"/>
            </w:rPr>
            <w:t>2.1.1 Incomplete management system</w:t>
          </w:r>
        </w:p>
        <w:p w14:paraId="2487373C" w14:textId="634C36F2" w:rsidR="006D5DAE" w:rsidRPr="006D5DAE" w:rsidRDefault="006D5DAE" w:rsidP="006D5DAE">
          <w:pPr>
            <w:spacing w:after="0" w:line="360" w:lineRule="auto"/>
            <w:jc w:val="both"/>
            <w:rPr>
              <w:rFonts w:ascii="Times New Roman" w:hAnsi="Times New Roman" w:cs="Times New Roman"/>
              <w:sz w:val="24"/>
              <w:szCs w:val="24"/>
            </w:rPr>
          </w:pPr>
          <w:r w:rsidRPr="006D5DAE">
            <w:rPr>
              <w:rFonts w:ascii="Times New Roman" w:hAnsi="Times New Roman" w:cs="Times New Roman"/>
              <w:sz w:val="24"/>
              <w:szCs w:val="24"/>
            </w:rPr>
            <w:t xml:space="preserve">The company currently has 4 </w:t>
          </w:r>
          <w:r w:rsidR="00914AAF">
            <w:rPr>
              <w:rFonts w:ascii="Times New Roman" w:hAnsi="Times New Roman" w:cs="Times New Roman"/>
              <w:sz w:val="24"/>
              <w:szCs w:val="24"/>
            </w:rPr>
            <w:t>divisions</w:t>
          </w:r>
          <w:r w:rsidRPr="006D5DAE">
            <w:rPr>
              <w:rFonts w:ascii="Times New Roman" w:hAnsi="Times New Roman" w:cs="Times New Roman"/>
              <w:sz w:val="24"/>
              <w:szCs w:val="24"/>
            </w:rPr>
            <w:t xml:space="preserve"> and 16 employees, all of whom need to report directly to Evelyn. This flat structure is very reasonable and efficient in the early stages of entrepreneurship. However, if the company wants to further expand, it needs to recruit more employees, and the increase in personnel has higher requirements for the company's management system. The existing system will not be able to meet the future expansion of the company. Therefore, in order to further develop, </w:t>
          </w:r>
          <w:proofErr w:type="gramStart"/>
          <w:r w:rsidRPr="006D5DAE">
            <w:rPr>
              <w:rFonts w:ascii="Times New Roman" w:hAnsi="Times New Roman" w:cs="Times New Roman"/>
              <w:sz w:val="24"/>
              <w:szCs w:val="24"/>
            </w:rPr>
            <w:t>The</w:t>
          </w:r>
          <w:proofErr w:type="gramEnd"/>
          <w:r w:rsidRPr="006D5DAE">
            <w:rPr>
              <w:rFonts w:ascii="Times New Roman" w:hAnsi="Times New Roman" w:cs="Times New Roman"/>
              <w:sz w:val="24"/>
              <w:szCs w:val="24"/>
            </w:rPr>
            <w:t xml:space="preserve"> company needs to further improve its management system.</w:t>
          </w:r>
        </w:p>
        <w:p w14:paraId="725ECC74" w14:textId="77777777" w:rsidR="006D5DAE" w:rsidRPr="006D5DAE" w:rsidRDefault="006D5DAE" w:rsidP="006D5DAE">
          <w:pPr>
            <w:spacing w:after="0" w:line="360" w:lineRule="auto"/>
            <w:jc w:val="both"/>
            <w:rPr>
              <w:rFonts w:ascii="Times New Roman" w:hAnsi="Times New Roman" w:cs="Times New Roman"/>
              <w:b/>
              <w:bCs/>
              <w:sz w:val="24"/>
              <w:szCs w:val="24"/>
            </w:rPr>
          </w:pPr>
          <w:r w:rsidRPr="006D5DAE">
            <w:rPr>
              <w:rFonts w:ascii="Times New Roman" w:hAnsi="Times New Roman" w:cs="Times New Roman"/>
              <w:b/>
              <w:bCs/>
              <w:sz w:val="24"/>
              <w:szCs w:val="24"/>
            </w:rPr>
            <w:t>2.1.2 Cost increase</w:t>
          </w:r>
        </w:p>
        <w:p w14:paraId="39D6638F" w14:textId="77777777" w:rsidR="006D5DAE" w:rsidRPr="006D5DAE" w:rsidRDefault="006D5DAE" w:rsidP="006D5DAE">
          <w:pPr>
            <w:spacing w:after="0" w:line="360" w:lineRule="auto"/>
            <w:jc w:val="both"/>
            <w:rPr>
              <w:rFonts w:ascii="Times New Roman" w:hAnsi="Times New Roman" w:cs="Times New Roman"/>
              <w:sz w:val="24"/>
              <w:szCs w:val="24"/>
            </w:rPr>
          </w:pPr>
          <w:r w:rsidRPr="006D5DAE">
            <w:rPr>
              <w:rFonts w:ascii="Times New Roman" w:hAnsi="Times New Roman" w:cs="Times New Roman"/>
              <w:sz w:val="24"/>
              <w:szCs w:val="24"/>
            </w:rPr>
            <w:t>Due to the government's ban on raw material procurement in Uzbekistan, the company had to purchase raw materials from other places, which directly led to an increase in company costs. The increase in costs increased the pressure on the company's funds and reduced the profits generated, posing challenges to the company's future survival and development.</w:t>
          </w:r>
        </w:p>
        <w:p w14:paraId="70B625E9" w14:textId="77777777" w:rsidR="006D5DAE" w:rsidRPr="006D5DAE" w:rsidRDefault="006D5DAE" w:rsidP="006D5DAE">
          <w:pPr>
            <w:spacing w:after="0" w:line="360" w:lineRule="auto"/>
            <w:jc w:val="both"/>
            <w:rPr>
              <w:rFonts w:ascii="Times New Roman" w:hAnsi="Times New Roman" w:cs="Times New Roman"/>
              <w:b/>
              <w:bCs/>
              <w:sz w:val="24"/>
              <w:szCs w:val="24"/>
            </w:rPr>
          </w:pPr>
          <w:r w:rsidRPr="006D5DAE">
            <w:rPr>
              <w:rFonts w:ascii="Times New Roman" w:hAnsi="Times New Roman" w:cs="Times New Roman"/>
              <w:b/>
              <w:bCs/>
              <w:sz w:val="24"/>
              <w:szCs w:val="24"/>
            </w:rPr>
            <w:t>2.1.3 Weak risk resistance</w:t>
          </w:r>
        </w:p>
        <w:p w14:paraId="16D947FE" w14:textId="77777777" w:rsidR="006D5DAE" w:rsidRPr="006D5DAE" w:rsidRDefault="006D5DAE" w:rsidP="006D5DAE">
          <w:pPr>
            <w:spacing w:after="0" w:line="360" w:lineRule="auto"/>
            <w:jc w:val="both"/>
            <w:rPr>
              <w:rFonts w:ascii="Times New Roman" w:hAnsi="Times New Roman" w:cs="Times New Roman"/>
              <w:sz w:val="24"/>
              <w:szCs w:val="24"/>
            </w:rPr>
          </w:pPr>
          <w:r w:rsidRPr="006D5DAE">
            <w:rPr>
              <w:rFonts w:ascii="Times New Roman" w:hAnsi="Times New Roman" w:cs="Times New Roman"/>
              <w:sz w:val="24"/>
              <w:szCs w:val="24"/>
            </w:rPr>
            <w:t>According to the information in the table, the current assets of the company in 2021 were £ 282000 and the current liabilities were £ 237000, which can be calculated as a current ratio of 118.99%. It can be seen that the company's current ratio is relatively low, indicating its weak short-term solvency and poor risk resistance, which is not conducive to the company's further development.</w:t>
          </w:r>
        </w:p>
        <w:p w14:paraId="28ABA7ED" w14:textId="77777777" w:rsidR="006D5DAE" w:rsidRPr="006D5DAE" w:rsidRDefault="006D5DAE" w:rsidP="006D5DAE">
          <w:pPr>
            <w:spacing w:after="0" w:line="360" w:lineRule="auto"/>
            <w:jc w:val="both"/>
            <w:rPr>
              <w:rFonts w:ascii="Times New Roman" w:hAnsi="Times New Roman" w:cs="Times New Roman"/>
              <w:b/>
              <w:bCs/>
              <w:sz w:val="24"/>
              <w:szCs w:val="24"/>
            </w:rPr>
          </w:pPr>
          <w:r w:rsidRPr="006D5DAE">
            <w:rPr>
              <w:rFonts w:ascii="Times New Roman" w:hAnsi="Times New Roman" w:cs="Times New Roman"/>
              <w:b/>
              <w:bCs/>
              <w:sz w:val="24"/>
              <w:szCs w:val="24"/>
            </w:rPr>
            <w:t>2.1.4 Policy changes</w:t>
          </w:r>
        </w:p>
        <w:p w14:paraId="5C5601F8" w14:textId="77777777" w:rsidR="006D5DAE" w:rsidRPr="006D5DAE" w:rsidRDefault="006D5DAE" w:rsidP="006D5DAE">
          <w:pPr>
            <w:spacing w:after="0" w:line="360" w:lineRule="auto"/>
            <w:jc w:val="both"/>
            <w:rPr>
              <w:rFonts w:ascii="Times New Roman" w:hAnsi="Times New Roman" w:cs="Times New Roman"/>
              <w:sz w:val="24"/>
              <w:szCs w:val="24"/>
            </w:rPr>
          </w:pPr>
          <w:r w:rsidRPr="006D5DAE">
            <w:rPr>
              <w:rFonts w:ascii="Times New Roman" w:hAnsi="Times New Roman" w:cs="Times New Roman"/>
              <w:sz w:val="24"/>
              <w:szCs w:val="24"/>
            </w:rPr>
            <w:t>The company is affected by the Brexit policy in the UK, and as an important customer of the company, the European continent is one of the important sources of revenue. The policy changes have led to a significant decrease in the number of orders the company has placed in Europe, which is bound to have a negative impact on the company's future development.</w:t>
          </w:r>
        </w:p>
        <w:p w14:paraId="6A965CE2" w14:textId="77777777" w:rsidR="006D5DAE" w:rsidRPr="006D5DAE" w:rsidRDefault="006D5DAE" w:rsidP="006D5DAE">
          <w:pPr>
            <w:spacing w:after="0" w:line="360" w:lineRule="auto"/>
            <w:jc w:val="both"/>
            <w:rPr>
              <w:rFonts w:ascii="Times New Roman" w:hAnsi="Times New Roman" w:cs="Times New Roman"/>
              <w:b/>
              <w:bCs/>
              <w:sz w:val="24"/>
              <w:szCs w:val="24"/>
            </w:rPr>
          </w:pPr>
          <w:r w:rsidRPr="006D5DAE">
            <w:rPr>
              <w:rFonts w:ascii="Times New Roman" w:hAnsi="Times New Roman" w:cs="Times New Roman"/>
              <w:b/>
              <w:bCs/>
              <w:sz w:val="24"/>
              <w:szCs w:val="24"/>
            </w:rPr>
            <w:t>2.1.5 Economic downturn</w:t>
          </w:r>
        </w:p>
        <w:p w14:paraId="2576497B" w14:textId="77777777" w:rsidR="006D5DAE" w:rsidRPr="006D5DAE" w:rsidRDefault="006D5DAE" w:rsidP="006D5DAE">
          <w:pPr>
            <w:spacing w:after="0" w:line="360" w:lineRule="auto"/>
            <w:jc w:val="both"/>
            <w:rPr>
              <w:rFonts w:ascii="Times New Roman" w:hAnsi="Times New Roman" w:cs="Times New Roman"/>
              <w:sz w:val="24"/>
              <w:szCs w:val="24"/>
            </w:rPr>
          </w:pPr>
          <w:r w:rsidRPr="006D5DAE">
            <w:rPr>
              <w:rFonts w:ascii="Times New Roman" w:hAnsi="Times New Roman" w:cs="Times New Roman"/>
              <w:sz w:val="24"/>
              <w:szCs w:val="24"/>
            </w:rPr>
            <w:t xml:space="preserve">The arrival of the COVID-19 has had a huge impact on the global economy. As a result, many companies have declined in sales or even closed down. As a traditional footwear company, this </w:t>
          </w:r>
          <w:r w:rsidRPr="006D5DAE">
            <w:rPr>
              <w:rFonts w:ascii="Times New Roman" w:hAnsi="Times New Roman" w:cs="Times New Roman"/>
              <w:sz w:val="24"/>
              <w:szCs w:val="24"/>
            </w:rPr>
            <w:lastRenderedPageBreak/>
            <w:t>company will also be affected by the COVID-19, which will lead to a decline in the number of orders. In addition, the decline of the macro-economy will lead to a decline in consumer spending power, which will also have a negative impact on the future market share, which is not conducive to the future development of the company.</w:t>
          </w:r>
        </w:p>
        <w:p w14:paraId="45EDC56E" w14:textId="77777777" w:rsidR="006D5DAE" w:rsidRPr="006D5DAE" w:rsidRDefault="006D5DAE" w:rsidP="006D5DAE">
          <w:pPr>
            <w:spacing w:after="0" w:line="360" w:lineRule="auto"/>
            <w:jc w:val="both"/>
            <w:rPr>
              <w:rFonts w:ascii="Times New Roman" w:hAnsi="Times New Roman" w:cs="Times New Roman"/>
              <w:b/>
              <w:bCs/>
              <w:sz w:val="24"/>
              <w:szCs w:val="24"/>
            </w:rPr>
          </w:pPr>
          <w:r w:rsidRPr="006D5DAE">
            <w:rPr>
              <w:rFonts w:ascii="Times New Roman" w:hAnsi="Times New Roman" w:cs="Times New Roman"/>
              <w:b/>
              <w:bCs/>
              <w:sz w:val="24"/>
              <w:szCs w:val="24"/>
            </w:rPr>
            <w:t>2.1.6 Intense Market Competition</w:t>
          </w:r>
        </w:p>
        <w:p w14:paraId="4DBBED51" w14:textId="77777777" w:rsidR="006D5DAE" w:rsidRPr="006D5DAE" w:rsidRDefault="006D5DAE" w:rsidP="006D5DAE">
          <w:pPr>
            <w:spacing w:after="0" w:line="360" w:lineRule="auto"/>
            <w:jc w:val="both"/>
            <w:rPr>
              <w:rFonts w:ascii="Times New Roman" w:hAnsi="Times New Roman" w:cs="Times New Roman"/>
              <w:sz w:val="24"/>
              <w:szCs w:val="24"/>
            </w:rPr>
          </w:pPr>
          <w:r w:rsidRPr="006D5DAE">
            <w:rPr>
              <w:rFonts w:ascii="Times New Roman" w:hAnsi="Times New Roman" w:cs="Times New Roman"/>
              <w:sz w:val="24"/>
              <w:szCs w:val="24"/>
            </w:rPr>
            <w:t>As a traditional footwear company, based on its market share, it can be seen that the company faces fierce competition from competitors in the same industry. The fierce competition indicates that the company needs to spend more energy to attract its consumers, while also facing the risk of consumers being snatched by its competitors. This indicates that the company needs to face significant challenges in its future development.</w:t>
          </w:r>
        </w:p>
        <w:p w14:paraId="3D8C2CE5" w14:textId="77777777" w:rsidR="006D5DAE" w:rsidRPr="006D5DAE" w:rsidRDefault="006D5DAE" w:rsidP="006D5DAE">
          <w:pPr>
            <w:spacing w:after="0" w:line="360" w:lineRule="auto"/>
            <w:jc w:val="both"/>
            <w:rPr>
              <w:rFonts w:ascii="Times New Roman" w:hAnsi="Times New Roman" w:cs="Times New Roman"/>
              <w:b/>
              <w:bCs/>
              <w:sz w:val="24"/>
              <w:szCs w:val="24"/>
            </w:rPr>
          </w:pPr>
          <w:r w:rsidRPr="006D5DAE">
            <w:rPr>
              <w:rFonts w:ascii="Times New Roman" w:hAnsi="Times New Roman" w:cs="Times New Roman"/>
              <w:b/>
              <w:bCs/>
              <w:sz w:val="24"/>
              <w:szCs w:val="24"/>
            </w:rPr>
            <w:t>2.2 Performance Analysis</w:t>
          </w:r>
        </w:p>
        <w:p w14:paraId="45A31952" w14:textId="738B2528" w:rsidR="006D5DAE" w:rsidRPr="006D5DAE" w:rsidRDefault="006D5DAE" w:rsidP="006D5DAE">
          <w:pPr>
            <w:spacing w:after="0" w:line="360" w:lineRule="auto"/>
            <w:jc w:val="both"/>
            <w:rPr>
              <w:rFonts w:ascii="Times New Roman" w:hAnsi="Times New Roman" w:cs="Times New Roman"/>
              <w:sz w:val="24"/>
              <w:szCs w:val="24"/>
            </w:rPr>
          </w:pPr>
          <w:r w:rsidRPr="006D5DAE">
            <w:rPr>
              <w:rFonts w:ascii="Times New Roman" w:hAnsi="Times New Roman" w:cs="Times New Roman"/>
              <w:sz w:val="24"/>
              <w:szCs w:val="24"/>
            </w:rPr>
            <w:t>The Balanced Scorecard is an advanced tool for performance measurement. The balanced scorecard divides the strategy into four different operational objectives, and designs appropriate performance measurement indicators based on these four perspectives</w:t>
          </w:r>
          <w:r w:rsidR="008C7A4A">
            <w:rPr>
              <w:rFonts w:ascii="Times New Roman" w:hAnsi="Times New Roman" w:cs="Times New Roman"/>
              <w:sz w:val="24"/>
              <w:szCs w:val="24"/>
            </w:rPr>
            <w:t xml:space="preserve"> </w:t>
          </w:r>
          <w:r w:rsidR="008C7A4A" w:rsidRPr="008C7A4A">
            <w:rPr>
              <w:rFonts w:ascii="Times New Roman" w:hAnsi="Times New Roman" w:cs="Times New Roman"/>
              <w:sz w:val="24"/>
              <w:szCs w:val="24"/>
            </w:rPr>
            <w:t>(</w:t>
          </w:r>
          <w:proofErr w:type="spellStart"/>
          <w:r w:rsidR="008C7A4A" w:rsidRPr="008C7A4A">
            <w:rPr>
              <w:rFonts w:ascii="Times New Roman" w:hAnsi="Times New Roman" w:cs="Times New Roman"/>
              <w:sz w:val="24"/>
              <w:szCs w:val="24"/>
            </w:rPr>
            <w:t>Wiraeus</w:t>
          </w:r>
          <w:proofErr w:type="spellEnd"/>
          <w:r w:rsidR="008C7A4A" w:rsidRPr="008C7A4A">
            <w:rPr>
              <w:rFonts w:ascii="Times New Roman" w:hAnsi="Times New Roman" w:cs="Times New Roman"/>
              <w:sz w:val="24"/>
              <w:szCs w:val="24"/>
            </w:rPr>
            <w:t>, D. and Creelman, J.</w:t>
          </w:r>
          <w:r w:rsidR="008C7A4A">
            <w:rPr>
              <w:rFonts w:ascii="Times New Roman" w:hAnsi="Times New Roman" w:cs="Times New Roman"/>
              <w:sz w:val="24"/>
              <w:szCs w:val="24"/>
            </w:rPr>
            <w:t>,</w:t>
          </w:r>
          <w:r w:rsidR="008C7A4A" w:rsidRPr="008C7A4A">
            <w:rPr>
              <w:rFonts w:ascii="Times New Roman" w:hAnsi="Times New Roman" w:cs="Times New Roman"/>
              <w:sz w:val="24"/>
              <w:szCs w:val="24"/>
            </w:rPr>
            <w:t xml:space="preserve"> 2019)</w:t>
          </w:r>
          <w:r w:rsidRPr="006D5DAE">
            <w:rPr>
              <w:rFonts w:ascii="Times New Roman" w:hAnsi="Times New Roman" w:cs="Times New Roman"/>
              <w:sz w:val="24"/>
              <w:szCs w:val="24"/>
            </w:rPr>
            <w:t>.Therefore, it not only provides various information necessary for effective operation of enterprises, overcomes the interference of information complexity and asymmetry, but more importantly, the indicators it provides for enterprises are quantifiable, measurable, and evaluable, which is more conducive to comprehensive and systematic monitoring of enterprises, promoting the achievement of enterprise strategies and long-term goals.</w:t>
          </w:r>
        </w:p>
        <w:p w14:paraId="1D0F273F" w14:textId="155DABE2" w:rsidR="006D5DAE" w:rsidRPr="006D5DAE" w:rsidRDefault="006D5DAE" w:rsidP="006D5DAE">
          <w:pPr>
            <w:spacing w:after="0" w:line="360" w:lineRule="auto"/>
            <w:jc w:val="both"/>
            <w:rPr>
              <w:rFonts w:ascii="Times New Roman" w:hAnsi="Times New Roman" w:cs="Times New Roman"/>
              <w:sz w:val="24"/>
              <w:szCs w:val="24"/>
            </w:rPr>
          </w:pPr>
          <w:r w:rsidRPr="006D5DAE">
            <w:rPr>
              <w:rFonts w:ascii="Times New Roman" w:hAnsi="Times New Roman" w:cs="Times New Roman"/>
              <w:sz w:val="24"/>
              <w:szCs w:val="24"/>
            </w:rPr>
            <w:t>The implementation of the Balanced Scorecard requires enterprises to have a clear organizational strategy: senior managers have the ability and willingness to decompose and communicate strategies; Middle and senior managers have the ability and willingness to innovate indicators</w:t>
          </w:r>
          <w:r w:rsidR="00D94BF4" w:rsidRPr="00D94BF4">
            <w:rPr>
              <w:rFonts w:ascii="Times New Roman" w:hAnsi="Times New Roman" w:cs="Times New Roman"/>
              <w:sz w:val="24"/>
              <w:szCs w:val="24"/>
            </w:rPr>
            <w:t xml:space="preserve"> (</w:t>
          </w:r>
          <w:proofErr w:type="spellStart"/>
          <w:r w:rsidR="00D94BF4" w:rsidRPr="00D94BF4">
            <w:rPr>
              <w:rFonts w:ascii="Times New Roman" w:hAnsi="Times New Roman" w:cs="Times New Roman"/>
              <w:sz w:val="24"/>
              <w:szCs w:val="24"/>
            </w:rPr>
            <w:t>Hegazy</w:t>
          </w:r>
          <w:proofErr w:type="spellEnd"/>
          <w:r w:rsidR="00D94BF4" w:rsidRPr="00D94BF4">
            <w:rPr>
              <w:rFonts w:ascii="Times New Roman" w:hAnsi="Times New Roman" w:cs="Times New Roman"/>
              <w:sz w:val="24"/>
              <w:szCs w:val="24"/>
            </w:rPr>
            <w:t xml:space="preserve">, </w:t>
          </w:r>
          <w:proofErr w:type="spellStart"/>
          <w:r w:rsidR="00D94BF4" w:rsidRPr="00D94BF4">
            <w:rPr>
              <w:rFonts w:ascii="Times New Roman" w:hAnsi="Times New Roman" w:cs="Times New Roman"/>
              <w:sz w:val="24"/>
              <w:szCs w:val="24"/>
            </w:rPr>
            <w:t>Hegazy</w:t>
          </w:r>
          <w:proofErr w:type="spellEnd"/>
          <w:r w:rsidR="00D94BF4" w:rsidRPr="00D94BF4">
            <w:rPr>
              <w:rFonts w:ascii="Times New Roman" w:hAnsi="Times New Roman" w:cs="Times New Roman"/>
              <w:sz w:val="24"/>
              <w:szCs w:val="24"/>
            </w:rPr>
            <w:t xml:space="preserve"> and </w:t>
          </w:r>
          <w:proofErr w:type="spellStart"/>
          <w:r w:rsidR="00D94BF4" w:rsidRPr="00D94BF4">
            <w:rPr>
              <w:rFonts w:ascii="Times New Roman" w:hAnsi="Times New Roman" w:cs="Times New Roman"/>
              <w:sz w:val="24"/>
              <w:szCs w:val="24"/>
            </w:rPr>
            <w:t>Eldeeb</w:t>
          </w:r>
          <w:proofErr w:type="spellEnd"/>
          <w:r w:rsidR="00D94BF4" w:rsidRPr="00D94BF4">
            <w:rPr>
              <w:rFonts w:ascii="Times New Roman" w:hAnsi="Times New Roman" w:cs="Times New Roman"/>
              <w:sz w:val="24"/>
              <w:szCs w:val="24"/>
            </w:rPr>
            <w:t>, 2022)</w:t>
          </w:r>
          <w:r w:rsidRPr="006D5DAE">
            <w:rPr>
              <w:rFonts w:ascii="Times New Roman" w:hAnsi="Times New Roman" w:cs="Times New Roman"/>
              <w:sz w:val="24"/>
              <w:szCs w:val="24"/>
            </w:rPr>
            <w:t xml:space="preserve">. Therefore, enterprises with poor management foundation cannot directly introduce the Balanced Scorecard. They must first improve their management level before gradually introducing the Balanced Scorecard. </w:t>
          </w:r>
          <w:proofErr w:type="gramStart"/>
          <w:r w:rsidRPr="006D5DAE">
            <w:rPr>
              <w:rFonts w:ascii="Times New Roman" w:hAnsi="Times New Roman" w:cs="Times New Roman"/>
              <w:sz w:val="24"/>
              <w:szCs w:val="24"/>
            </w:rPr>
            <w:t>So</w:t>
          </w:r>
          <w:proofErr w:type="gramEnd"/>
          <w:r w:rsidRPr="006D5DAE">
            <w:rPr>
              <w:rFonts w:ascii="Times New Roman" w:hAnsi="Times New Roman" w:cs="Times New Roman"/>
              <w:sz w:val="24"/>
              <w:szCs w:val="24"/>
            </w:rPr>
            <w:t xml:space="preserve"> for the company in this case, this article mainly uses the Balanced Scorecard as a means of measuring company performance, examining the company's performance from four different dimensions, but does not use the Balanced Scorecard as a means of strategic management for the company.</w:t>
          </w:r>
        </w:p>
        <w:p w14:paraId="3BECC254" w14:textId="69616829" w:rsidR="005014C5" w:rsidRPr="006D5DAE" w:rsidRDefault="006D5DAE" w:rsidP="006D5DAE">
          <w:pPr>
            <w:spacing w:after="0" w:line="360" w:lineRule="auto"/>
            <w:jc w:val="both"/>
            <w:rPr>
              <w:rFonts w:ascii="Times New Roman" w:hAnsi="Times New Roman" w:cs="Times New Roman"/>
              <w:sz w:val="24"/>
              <w:szCs w:val="24"/>
            </w:rPr>
          </w:pPr>
          <w:r w:rsidRPr="006D5DAE">
            <w:rPr>
              <w:rFonts w:ascii="Times New Roman" w:hAnsi="Times New Roman" w:cs="Times New Roman"/>
              <w:sz w:val="24"/>
              <w:szCs w:val="24"/>
            </w:rPr>
            <w:t xml:space="preserve">The content of the balanced scorecard used for different industries and enterprises of different sizes may vary. This case study focuses on a small-scale footwear company targeting middle to high income groups. After studying the balanced scorecards set up by different companies and considering the actual situation of the company, this article lists the following balanced </w:t>
          </w:r>
          <w:r w:rsidRPr="006D5DAE">
            <w:rPr>
              <w:rFonts w:ascii="Times New Roman" w:hAnsi="Times New Roman" w:cs="Times New Roman"/>
              <w:sz w:val="24"/>
              <w:szCs w:val="24"/>
            </w:rPr>
            <w:lastRenderedPageBreak/>
            <w:t>scorecards and uses a combination of quantitative and qualitative indicators to measure the actual performance of the company.</w:t>
          </w:r>
        </w:p>
        <w:p w14:paraId="225336C4" w14:textId="54F785DF" w:rsidR="00DF3B0A" w:rsidRPr="00E6270F" w:rsidRDefault="006D5DAE" w:rsidP="00B952D4">
          <w:pPr>
            <w:spacing w:after="0" w:line="240" w:lineRule="auto"/>
            <w:jc w:val="center"/>
            <w:rPr>
              <w:rFonts w:ascii="Times New Roman" w:hAnsi="Times New Roman" w:cs="Times New Roman"/>
              <w:sz w:val="21"/>
              <w:szCs w:val="21"/>
              <w:lang w:eastAsia="zh-CN"/>
            </w:rPr>
          </w:pPr>
          <w:r w:rsidRPr="00E6270F">
            <w:rPr>
              <w:rFonts w:ascii="Times New Roman" w:hAnsi="Times New Roman" w:cs="Times New Roman"/>
              <w:sz w:val="21"/>
              <w:szCs w:val="21"/>
              <w:lang w:eastAsia="zh-CN"/>
            </w:rPr>
            <w:t>Table 2</w:t>
          </w:r>
          <w:r w:rsidR="00E6270F">
            <w:rPr>
              <w:rFonts w:ascii="Times New Roman" w:hAnsi="Times New Roman" w:cs="Times New Roman"/>
              <w:sz w:val="21"/>
              <w:szCs w:val="21"/>
              <w:lang w:eastAsia="zh-CN"/>
            </w:rPr>
            <w:t>.</w:t>
          </w:r>
          <w:r w:rsidRPr="00E6270F">
            <w:rPr>
              <w:rFonts w:ascii="Times New Roman" w:hAnsi="Times New Roman" w:cs="Times New Roman"/>
              <w:sz w:val="21"/>
              <w:szCs w:val="21"/>
              <w:lang w:eastAsia="zh-CN"/>
            </w:rPr>
            <w:t xml:space="preserve"> Balanced Scorecard</w:t>
          </w:r>
        </w:p>
        <w:tbl>
          <w:tblPr>
            <w:tblStyle w:val="a6"/>
            <w:tblW w:w="8931" w:type="dxa"/>
            <w:tblInd w:w="-5" w:type="dxa"/>
            <w:tblBorders>
              <w:left w:val="none" w:sz="0" w:space="0" w:color="auto"/>
              <w:right w:val="none" w:sz="0" w:space="0" w:color="auto"/>
            </w:tblBorders>
            <w:tblLook w:val="04A0" w:firstRow="1" w:lastRow="0" w:firstColumn="1" w:lastColumn="0" w:noHBand="0" w:noVBand="1"/>
          </w:tblPr>
          <w:tblGrid>
            <w:gridCol w:w="1719"/>
            <w:gridCol w:w="3810"/>
            <w:gridCol w:w="3402"/>
          </w:tblGrid>
          <w:tr w:rsidR="00BB2E06" w:rsidRPr="00D44385" w14:paraId="3340EDF9" w14:textId="77777777" w:rsidTr="00D44385">
            <w:trPr>
              <w:trHeight w:val="380"/>
            </w:trPr>
            <w:tc>
              <w:tcPr>
                <w:tcW w:w="1719" w:type="dxa"/>
                <w:vAlign w:val="center"/>
              </w:tcPr>
              <w:p w14:paraId="2F4D7561" w14:textId="7A7FF0F8" w:rsidR="00BB2E06" w:rsidRPr="00D44385" w:rsidRDefault="00BB2E06" w:rsidP="00D44385">
                <w:pPr>
                  <w:jc w:val="center"/>
                  <w:rPr>
                    <w:rFonts w:ascii="Times New Roman" w:hAnsi="Times New Roman" w:cs="Times New Roman"/>
                    <w:b/>
                    <w:bCs/>
                  </w:rPr>
                </w:pPr>
                <w:r w:rsidRPr="00D44385">
                  <w:rPr>
                    <w:rFonts w:ascii="Times New Roman" w:hAnsi="Times New Roman" w:cs="Times New Roman"/>
                    <w:b/>
                    <w:bCs/>
                  </w:rPr>
                  <w:t>Dimension</w:t>
                </w:r>
              </w:p>
            </w:tc>
            <w:tc>
              <w:tcPr>
                <w:tcW w:w="3810" w:type="dxa"/>
                <w:vAlign w:val="center"/>
              </w:tcPr>
              <w:p w14:paraId="499CCA74" w14:textId="018FBCE9" w:rsidR="00BB2E06" w:rsidRPr="00D44385" w:rsidRDefault="00FD0387" w:rsidP="00D44385">
                <w:pPr>
                  <w:jc w:val="center"/>
                  <w:rPr>
                    <w:rFonts w:ascii="Times New Roman" w:hAnsi="Times New Roman" w:cs="Times New Roman"/>
                    <w:b/>
                    <w:bCs/>
                  </w:rPr>
                </w:pPr>
                <w:r w:rsidRPr="00D44385">
                  <w:rPr>
                    <w:rFonts w:ascii="Times New Roman" w:hAnsi="Times New Roman" w:cs="Times New Roman"/>
                    <w:b/>
                    <w:bCs/>
                  </w:rPr>
                  <w:t>Specific indicator content</w:t>
                </w:r>
              </w:p>
            </w:tc>
            <w:tc>
              <w:tcPr>
                <w:tcW w:w="3402" w:type="dxa"/>
                <w:vAlign w:val="center"/>
              </w:tcPr>
              <w:p w14:paraId="1F0F912B" w14:textId="02FDF7AA" w:rsidR="00BB2E06" w:rsidRPr="00D44385" w:rsidRDefault="00FD0387" w:rsidP="00D44385">
                <w:pPr>
                  <w:jc w:val="center"/>
                  <w:rPr>
                    <w:rFonts w:ascii="Times New Roman" w:hAnsi="Times New Roman" w:cs="Times New Roman"/>
                    <w:b/>
                    <w:bCs/>
                  </w:rPr>
                </w:pPr>
                <w:r w:rsidRPr="00D44385">
                  <w:rPr>
                    <w:rFonts w:ascii="Times New Roman" w:hAnsi="Times New Roman" w:cs="Times New Roman"/>
                    <w:b/>
                    <w:bCs/>
                  </w:rPr>
                  <w:t>Indicator completion status</w:t>
                </w:r>
              </w:p>
            </w:tc>
          </w:tr>
          <w:tr w:rsidR="00D44385" w:rsidRPr="00D44385" w14:paraId="5620D960" w14:textId="77777777" w:rsidTr="00D44385">
            <w:tc>
              <w:tcPr>
                <w:tcW w:w="1719" w:type="dxa"/>
                <w:vMerge w:val="restart"/>
                <w:vAlign w:val="center"/>
              </w:tcPr>
              <w:p w14:paraId="5CF62AA5" w14:textId="51CE0A61" w:rsidR="00D44385" w:rsidRPr="00D44385" w:rsidRDefault="00D44385" w:rsidP="00D44385">
                <w:pPr>
                  <w:jc w:val="center"/>
                  <w:rPr>
                    <w:rFonts w:ascii="Times New Roman" w:hAnsi="Times New Roman" w:cs="Times New Roman"/>
                    <w:b/>
                    <w:bCs/>
                  </w:rPr>
                </w:pPr>
                <w:r w:rsidRPr="00D44385">
                  <w:rPr>
                    <w:rFonts w:ascii="Times New Roman" w:hAnsi="Times New Roman" w:cs="Times New Roman"/>
                    <w:b/>
                    <w:bCs/>
                  </w:rPr>
                  <w:t>F</w:t>
                </w:r>
                <w:r w:rsidRPr="00D44385">
                  <w:rPr>
                    <w:rFonts w:ascii="Times New Roman" w:hAnsi="Times New Roman" w:cs="Times New Roman"/>
                    <w:b/>
                    <w:bCs/>
                  </w:rPr>
                  <w:t>inance</w:t>
                </w:r>
              </w:p>
            </w:tc>
            <w:tc>
              <w:tcPr>
                <w:tcW w:w="3810" w:type="dxa"/>
                <w:vAlign w:val="center"/>
              </w:tcPr>
              <w:p w14:paraId="6ACED6D4" w14:textId="6C29CE9A" w:rsidR="00D44385" w:rsidRPr="00D44385" w:rsidRDefault="00D44385" w:rsidP="00D44385">
                <w:pPr>
                  <w:jc w:val="center"/>
                  <w:rPr>
                    <w:rFonts w:ascii="Times New Roman" w:hAnsi="Times New Roman" w:cs="Times New Roman"/>
                  </w:rPr>
                </w:pPr>
                <w:r w:rsidRPr="00D44385">
                  <w:rPr>
                    <w:rFonts w:ascii="Times New Roman" w:hAnsi="Times New Roman" w:cs="Times New Roman"/>
                  </w:rPr>
                  <w:t xml:space="preserve">Various financial indicators: gross profit rate, cost profit rate, net return on assets, </w:t>
                </w:r>
                <w:proofErr w:type="spellStart"/>
                <w:r w:rsidRPr="00D44385">
                  <w:rPr>
                    <w:rFonts w:ascii="Times New Roman" w:hAnsi="Times New Roman" w:cs="Times New Roman"/>
                  </w:rPr>
                  <w:t>etc</w:t>
                </w:r>
                <w:proofErr w:type="spellEnd"/>
              </w:p>
            </w:tc>
            <w:tc>
              <w:tcPr>
                <w:tcW w:w="3402" w:type="dxa"/>
                <w:vAlign w:val="center"/>
              </w:tcPr>
              <w:p w14:paraId="1C146985" w14:textId="72415682" w:rsidR="00D44385" w:rsidRPr="00D44385" w:rsidRDefault="00D44385" w:rsidP="00D44385">
                <w:pPr>
                  <w:jc w:val="center"/>
                  <w:rPr>
                    <w:rFonts w:ascii="Times New Roman" w:hAnsi="Times New Roman" w:cs="Times New Roman"/>
                  </w:rPr>
                </w:pPr>
                <w:r w:rsidRPr="00D44385">
                  <w:rPr>
                    <w:rFonts w:ascii="Times New Roman" w:hAnsi="Times New Roman" w:cs="Times New Roman"/>
                  </w:rPr>
                  <w:t>Poor completion status, significant decline in all indicators</w:t>
                </w:r>
              </w:p>
            </w:tc>
          </w:tr>
          <w:tr w:rsidR="00D44385" w:rsidRPr="00D44385" w14:paraId="53C2EAF0" w14:textId="77777777" w:rsidTr="00D44385">
            <w:tc>
              <w:tcPr>
                <w:tcW w:w="1719" w:type="dxa"/>
                <w:vMerge/>
                <w:vAlign w:val="center"/>
              </w:tcPr>
              <w:p w14:paraId="45400B58" w14:textId="77777777" w:rsidR="00D44385" w:rsidRPr="00D44385" w:rsidRDefault="00D44385" w:rsidP="00D44385">
                <w:pPr>
                  <w:jc w:val="center"/>
                  <w:rPr>
                    <w:rFonts w:ascii="Times New Roman" w:hAnsi="Times New Roman" w:cs="Times New Roman"/>
                    <w:b/>
                    <w:bCs/>
                  </w:rPr>
                </w:pPr>
              </w:p>
            </w:tc>
            <w:tc>
              <w:tcPr>
                <w:tcW w:w="3810" w:type="dxa"/>
                <w:vAlign w:val="center"/>
              </w:tcPr>
              <w:p w14:paraId="45001625" w14:textId="26FB1400" w:rsidR="00D44385" w:rsidRPr="00D44385" w:rsidRDefault="00D44385" w:rsidP="00D44385">
                <w:pPr>
                  <w:jc w:val="center"/>
                  <w:rPr>
                    <w:rFonts w:ascii="Times New Roman" w:hAnsi="Times New Roman" w:cs="Times New Roman"/>
                  </w:rPr>
                </w:pPr>
                <w:r w:rsidRPr="00D44385">
                  <w:rPr>
                    <w:rFonts w:ascii="Times New Roman" w:hAnsi="Times New Roman" w:cs="Times New Roman"/>
                  </w:rPr>
                  <w:t>Sales growth in existing markets</w:t>
                </w:r>
              </w:p>
            </w:tc>
            <w:tc>
              <w:tcPr>
                <w:tcW w:w="3402" w:type="dxa"/>
                <w:vAlign w:val="center"/>
              </w:tcPr>
              <w:p w14:paraId="2F5E67DA" w14:textId="3698CBD0" w:rsidR="00D44385" w:rsidRPr="00D44385" w:rsidRDefault="00D44385" w:rsidP="00D44385">
                <w:pPr>
                  <w:jc w:val="center"/>
                  <w:rPr>
                    <w:rFonts w:ascii="Times New Roman" w:hAnsi="Times New Roman" w:cs="Times New Roman"/>
                  </w:rPr>
                </w:pPr>
                <w:r w:rsidRPr="00D44385">
                  <w:rPr>
                    <w:rFonts w:ascii="Times New Roman" w:hAnsi="Times New Roman" w:cs="Times New Roman"/>
                  </w:rPr>
                  <w:t>Poor completion status and continuous decline in market share</w:t>
                </w:r>
              </w:p>
            </w:tc>
          </w:tr>
          <w:tr w:rsidR="00D44385" w:rsidRPr="00D44385" w14:paraId="0BF78FE7" w14:textId="77777777" w:rsidTr="00D44385">
            <w:tc>
              <w:tcPr>
                <w:tcW w:w="1719" w:type="dxa"/>
                <w:vMerge/>
                <w:vAlign w:val="center"/>
              </w:tcPr>
              <w:p w14:paraId="77BBE3BC" w14:textId="77777777" w:rsidR="00D44385" w:rsidRPr="00D44385" w:rsidRDefault="00D44385" w:rsidP="00D44385">
                <w:pPr>
                  <w:jc w:val="center"/>
                  <w:rPr>
                    <w:rFonts w:ascii="Times New Roman" w:hAnsi="Times New Roman" w:cs="Times New Roman"/>
                    <w:b/>
                    <w:bCs/>
                  </w:rPr>
                </w:pPr>
              </w:p>
            </w:tc>
            <w:tc>
              <w:tcPr>
                <w:tcW w:w="3810" w:type="dxa"/>
                <w:vAlign w:val="center"/>
              </w:tcPr>
              <w:p w14:paraId="7E1C885F" w14:textId="4C243F2E" w:rsidR="00D44385" w:rsidRPr="00D44385" w:rsidRDefault="00D44385" w:rsidP="00D44385">
                <w:pPr>
                  <w:jc w:val="center"/>
                  <w:rPr>
                    <w:rFonts w:ascii="Times New Roman" w:hAnsi="Times New Roman" w:cs="Times New Roman"/>
                  </w:rPr>
                </w:pPr>
                <w:r w:rsidRPr="00D44385">
                  <w:rPr>
                    <w:rFonts w:ascii="Times New Roman" w:hAnsi="Times New Roman" w:cs="Times New Roman"/>
                  </w:rPr>
                  <w:t>New Market Sales Growth</w:t>
                </w:r>
              </w:p>
            </w:tc>
            <w:tc>
              <w:tcPr>
                <w:tcW w:w="3402" w:type="dxa"/>
                <w:vAlign w:val="center"/>
              </w:tcPr>
              <w:p w14:paraId="27A8A611" w14:textId="7B119E68" w:rsidR="00D44385" w:rsidRPr="00D44385" w:rsidRDefault="00D44385" w:rsidP="00D44385">
                <w:pPr>
                  <w:jc w:val="center"/>
                  <w:rPr>
                    <w:rFonts w:ascii="Times New Roman" w:hAnsi="Times New Roman" w:cs="Times New Roman"/>
                  </w:rPr>
                </w:pPr>
                <w:r w:rsidRPr="00D44385">
                  <w:rPr>
                    <w:rFonts w:ascii="Times New Roman" w:hAnsi="Times New Roman" w:cs="Times New Roman"/>
                  </w:rPr>
                  <w:t>Relatively successful, with increasing revenue in new market segments</w:t>
                </w:r>
              </w:p>
            </w:tc>
          </w:tr>
          <w:tr w:rsidR="00D44385" w:rsidRPr="00D44385" w14:paraId="76A6621B" w14:textId="77777777" w:rsidTr="00D44385">
            <w:tc>
              <w:tcPr>
                <w:tcW w:w="1719" w:type="dxa"/>
                <w:vMerge w:val="restart"/>
                <w:vAlign w:val="center"/>
              </w:tcPr>
              <w:p w14:paraId="33584D76" w14:textId="53F37564" w:rsidR="00D44385" w:rsidRPr="00D44385" w:rsidRDefault="00D44385" w:rsidP="00D44385">
                <w:pPr>
                  <w:jc w:val="center"/>
                  <w:rPr>
                    <w:rFonts w:ascii="Times New Roman" w:hAnsi="Times New Roman" w:cs="Times New Roman"/>
                    <w:b/>
                    <w:bCs/>
                  </w:rPr>
                </w:pPr>
                <w:r w:rsidRPr="00D44385">
                  <w:rPr>
                    <w:rFonts w:ascii="Times New Roman" w:hAnsi="Times New Roman" w:cs="Times New Roman"/>
                    <w:b/>
                    <w:bCs/>
                  </w:rPr>
                  <w:t>C</w:t>
                </w:r>
                <w:r w:rsidRPr="00D44385">
                  <w:rPr>
                    <w:rFonts w:ascii="Times New Roman" w:hAnsi="Times New Roman" w:cs="Times New Roman"/>
                    <w:b/>
                    <w:bCs/>
                  </w:rPr>
                  <w:t>ustomer</w:t>
                </w:r>
              </w:p>
            </w:tc>
            <w:tc>
              <w:tcPr>
                <w:tcW w:w="3810" w:type="dxa"/>
                <w:vAlign w:val="center"/>
              </w:tcPr>
              <w:p w14:paraId="5DA078B7" w14:textId="2ADC1EDB" w:rsidR="00D44385" w:rsidRPr="00D44385" w:rsidRDefault="00D44385" w:rsidP="00D44385">
                <w:pPr>
                  <w:jc w:val="center"/>
                  <w:rPr>
                    <w:rFonts w:ascii="Times New Roman" w:hAnsi="Times New Roman" w:cs="Times New Roman"/>
                  </w:rPr>
                </w:pPr>
                <w:r w:rsidRPr="00D44385">
                  <w:rPr>
                    <w:rFonts w:ascii="Times New Roman" w:hAnsi="Times New Roman" w:cs="Times New Roman"/>
                  </w:rPr>
                  <w:t xml:space="preserve">Website </w:t>
                </w:r>
                <w:r w:rsidRPr="00D44385">
                  <w:rPr>
                    <w:rFonts w:ascii="Times New Roman" w:hAnsi="Times New Roman" w:cs="Times New Roman"/>
                  </w:rPr>
                  <w:t>hits</w:t>
                </w:r>
                <w:r w:rsidRPr="00D44385">
                  <w:rPr>
                    <w:rFonts w:ascii="Times New Roman" w:hAnsi="Times New Roman" w:cs="Times New Roman"/>
                  </w:rPr>
                  <w:t xml:space="preserve"> through volume</w:t>
                </w:r>
              </w:p>
            </w:tc>
            <w:tc>
              <w:tcPr>
                <w:tcW w:w="3402" w:type="dxa"/>
                <w:vAlign w:val="center"/>
              </w:tcPr>
              <w:p w14:paraId="7043DDF1" w14:textId="7E15F9D1" w:rsidR="00D44385" w:rsidRPr="00D44385" w:rsidRDefault="00D44385" w:rsidP="00D44385">
                <w:pPr>
                  <w:jc w:val="center"/>
                  <w:rPr>
                    <w:rFonts w:ascii="Times New Roman" w:hAnsi="Times New Roman" w:cs="Times New Roman"/>
                  </w:rPr>
                </w:pPr>
                <w:r w:rsidRPr="00D44385">
                  <w:rPr>
                    <w:rFonts w:ascii="Times New Roman" w:hAnsi="Times New Roman" w:cs="Times New Roman"/>
                  </w:rPr>
                  <w:t>I</w:t>
                </w:r>
                <w:r w:rsidRPr="00D44385">
                  <w:rPr>
                    <w:rFonts w:ascii="Times New Roman" w:hAnsi="Times New Roman" w:cs="Times New Roman"/>
                  </w:rPr>
                  <w:t>ncrease year after year</w:t>
                </w:r>
              </w:p>
            </w:tc>
          </w:tr>
          <w:tr w:rsidR="00D44385" w:rsidRPr="00D44385" w14:paraId="18C46A7C" w14:textId="77777777" w:rsidTr="00D44385">
            <w:tc>
              <w:tcPr>
                <w:tcW w:w="1719" w:type="dxa"/>
                <w:vMerge/>
                <w:vAlign w:val="center"/>
              </w:tcPr>
              <w:p w14:paraId="680E93E0" w14:textId="77777777" w:rsidR="00D44385" w:rsidRPr="00D44385" w:rsidRDefault="00D44385" w:rsidP="00D44385">
                <w:pPr>
                  <w:jc w:val="center"/>
                  <w:rPr>
                    <w:rFonts w:ascii="Times New Roman" w:hAnsi="Times New Roman" w:cs="Times New Roman"/>
                    <w:b/>
                    <w:bCs/>
                  </w:rPr>
                </w:pPr>
              </w:p>
            </w:tc>
            <w:tc>
              <w:tcPr>
                <w:tcW w:w="3810" w:type="dxa"/>
                <w:vAlign w:val="center"/>
              </w:tcPr>
              <w:p w14:paraId="124BF223" w14:textId="2A00D70E" w:rsidR="00D44385" w:rsidRPr="00D44385" w:rsidRDefault="00D44385" w:rsidP="00D44385">
                <w:pPr>
                  <w:jc w:val="center"/>
                  <w:rPr>
                    <w:rFonts w:ascii="Times New Roman" w:hAnsi="Times New Roman" w:cs="Times New Roman"/>
                  </w:rPr>
                </w:pPr>
                <w:r w:rsidRPr="00D44385">
                  <w:rPr>
                    <w:rFonts w:ascii="Times New Roman" w:hAnsi="Times New Roman" w:cs="Times New Roman"/>
                  </w:rPr>
                  <w:t>Website traffic conversion rate</w:t>
                </w:r>
              </w:p>
            </w:tc>
            <w:tc>
              <w:tcPr>
                <w:tcW w:w="3402" w:type="dxa"/>
                <w:vAlign w:val="center"/>
              </w:tcPr>
              <w:p w14:paraId="0694E290" w14:textId="1A44278B" w:rsidR="00D44385" w:rsidRPr="00D44385" w:rsidRDefault="00D44385" w:rsidP="00D44385">
                <w:pPr>
                  <w:jc w:val="center"/>
                  <w:rPr>
                    <w:rFonts w:ascii="Times New Roman" w:hAnsi="Times New Roman" w:cs="Times New Roman"/>
                  </w:rPr>
                </w:pPr>
                <w:r w:rsidRPr="00D44385">
                  <w:rPr>
                    <w:rFonts w:ascii="Times New Roman" w:hAnsi="Times New Roman" w:cs="Times New Roman"/>
                  </w:rPr>
                  <w:t>I</w:t>
                </w:r>
                <w:r w:rsidRPr="00D44385">
                  <w:rPr>
                    <w:rFonts w:ascii="Times New Roman" w:hAnsi="Times New Roman" w:cs="Times New Roman"/>
                  </w:rPr>
                  <w:t>ncrease year after year</w:t>
                </w:r>
              </w:p>
            </w:tc>
          </w:tr>
          <w:tr w:rsidR="00D44385" w:rsidRPr="00D44385" w14:paraId="6B22016A" w14:textId="77777777" w:rsidTr="00D44385">
            <w:tc>
              <w:tcPr>
                <w:tcW w:w="1719" w:type="dxa"/>
                <w:vMerge/>
                <w:vAlign w:val="center"/>
              </w:tcPr>
              <w:p w14:paraId="4235C50E" w14:textId="77777777" w:rsidR="00D44385" w:rsidRPr="00D44385" w:rsidRDefault="00D44385" w:rsidP="00D44385">
                <w:pPr>
                  <w:jc w:val="center"/>
                  <w:rPr>
                    <w:rFonts w:ascii="Times New Roman" w:hAnsi="Times New Roman" w:cs="Times New Roman"/>
                    <w:b/>
                    <w:bCs/>
                  </w:rPr>
                </w:pPr>
              </w:p>
            </w:tc>
            <w:tc>
              <w:tcPr>
                <w:tcW w:w="3810" w:type="dxa"/>
                <w:vAlign w:val="center"/>
              </w:tcPr>
              <w:p w14:paraId="23D571CB" w14:textId="78954A3E" w:rsidR="00D44385" w:rsidRPr="00D44385" w:rsidRDefault="00D44385" w:rsidP="00D44385">
                <w:pPr>
                  <w:jc w:val="center"/>
                  <w:rPr>
                    <w:rFonts w:ascii="Times New Roman" w:hAnsi="Times New Roman" w:cs="Times New Roman"/>
                  </w:rPr>
                </w:pPr>
                <w:r w:rsidRPr="00D44385">
                  <w:rPr>
                    <w:rFonts w:ascii="Times New Roman" w:hAnsi="Times New Roman" w:cs="Times New Roman"/>
                  </w:rPr>
                  <w:t>Customer satisfaction</w:t>
                </w:r>
              </w:p>
            </w:tc>
            <w:tc>
              <w:tcPr>
                <w:tcW w:w="3402" w:type="dxa"/>
                <w:vAlign w:val="center"/>
              </w:tcPr>
              <w:p w14:paraId="4E7B4C11" w14:textId="6A256D9A" w:rsidR="00D44385" w:rsidRPr="00D44385" w:rsidRDefault="00D44385" w:rsidP="00D44385">
                <w:pPr>
                  <w:jc w:val="center"/>
                  <w:rPr>
                    <w:rFonts w:ascii="Times New Roman" w:hAnsi="Times New Roman" w:cs="Times New Roman"/>
                  </w:rPr>
                </w:pPr>
                <w:r w:rsidRPr="00D44385">
                  <w:rPr>
                    <w:rFonts w:ascii="Times New Roman" w:hAnsi="Times New Roman" w:cs="Times New Roman"/>
                  </w:rPr>
                  <w:t>I</w:t>
                </w:r>
                <w:r w:rsidRPr="00D44385">
                  <w:rPr>
                    <w:rFonts w:ascii="Times New Roman" w:hAnsi="Times New Roman" w:cs="Times New Roman"/>
                  </w:rPr>
                  <w:t>ncrease year after year</w:t>
                </w:r>
              </w:p>
            </w:tc>
          </w:tr>
          <w:tr w:rsidR="00D44385" w:rsidRPr="00D44385" w14:paraId="0FEDA8CC" w14:textId="77777777" w:rsidTr="00D44385">
            <w:tc>
              <w:tcPr>
                <w:tcW w:w="1719" w:type="dxa"/>
                <w:vMerge/>
                <w:vAlign w:val="center"/>
              </w:tcPr>
              <w:p w14:paraId="129D262A" w14:textId="77777777" w:rsidR="00D44385" w:rsidRPr="00D44385" w:rsidRDefault="00D44385" w:rsidP="00D44385">
                <w:pPr>
                  <w:jc w:val="center"/>
                  <w:rPr>
                    <w:rFonts w:ascii="Times New Roman" w:hAnsi="Times New Roman" w:cs="Times New Roman"/>
                    <w:b/>
                    <w:bCs/>
                  </w:rPr>
                </w:pPr>
              </w:p>
            </w:tc>
            <w:tc>
              <w:tcPr>
                <w:tcW w:w="3810" w:type="dxa"/>
                <w:vAlign w:val="center"/>
              </w:tcPr>
              <w:p w14:paraId="31CDC70A" w14:textId="0F34D327" w:rsidR="00D44385" w:rsidRPr="00D44385" w:rsidRDefault="00D44385" w:rsidP="00D44385">
                <w:pPr>
                  <w:jc w:val="center"/>
                  <w:rPr>
                    <w:rFonts w:ascii="Times New Roman" w:hAnsi="Times New Roman" w:cs="Times New Roman"/>
                  </w:rPr>
                </w:pPr>
                <w:r w:rsidRPr="00D44385">
                  <w:rPr>
                    <w:rFonts w:ascii="Times New Roman" w:hAnsi="Times New Roman" w:cs="Times New Roman"/>
                  </w:rPr>
                  <w:t>Increase in new customers</w:t>
                </w:r>
              </w:p>
            </w:tc>
            <w:tc>
              <w:tcPr>
                <w:tcW w:w="3402" w:type="dxa"/>
                <w:vAlign w:val="center"/>
              </w:tcPr>
              <w:p w14:paraId="3E59A3CC" w14:textId="642C402C" w:rsidR="00D44385" w:rsidRPr="00D44385" w:rsidRDefault="00D44385" w:rsidP="00D44385">
                <w:pPr>
                  <w:jc w:val="center"/>
                  <w:rPr>
                    <w:rFonts w:ascii="Times New Roman" w:hAnsi="Times New Roman" w:cs="Times New Roman"/>
                  </w:rPr>
                </w:pPr>
                <w:r w:rsidRPr="00D44385">
                  <w:rPr>
                    <w:rFonts w:ascii="Times New Roman" w:hAnsi="Times New Roman" w:cs="Times New Roman"/>
                  </w:rPr>
                  <w:t>I</w:t>
                </w:r>
                <w:r w:rsidRPr="00D44385">
                  <w:rPr>
                    <w:rFonts w:ascii="Times New Roman" w:hAnsi="Times New Roman" w:cs="Times New Roman"/>
                  </w:rPr>
                  <w:t>ncrease year after year</w:t>
                </w:r>
              </w:p>
            </w:tc>
          </w:tr>
          <w:tr w:rsidR="00D44385" w:rsidRPr="00D44385" w14:paraId="62C7BADD" w14:textId="77777777" w:rsidTr="00D44385">
            <w:tc>
              <w:tcPr>
                <w:tcW w:w="1719" w:type="dxa"/>
                <w:vMerge/>
                <w:vAlign w:val="center"/>
              </w:tcPr>
              <w:p w14:paraId="2B714BDD" w14:textId="77777777" w:rsidR="00D44385" w:rsidRPr="00D44385" w:rsidRDefault="00D44385" w:rsidP="00D44385">
                <w:pPr>
                  <w:jc w:val="center"/>
                  <w:rPr>
                    <w:rFonts w:ascii="Times New Roman" w:hAnsi="Times New Roman" w:cs="Times New Roman"/>
                    <w:b/>
                    <w:bCs/>
                  </w:rPr>
                </w:pPr>
              </w:p>
            </w:tc>
            <w:tc>
              <w:tcPr>
                <w:tcW w:w="3810" w:type="dxa"/>
                <w:vAlign w:val="center"/>
              </w:tcPr>
              <w:p w14:paraId="34782824" w14:textId="706D5261" w:rsidR="00D44385" w:rsidRPr="00D44385" w:rsidRDefault="00D44385" w:rsidP="00D44385">
                <w:pPr>
                  <w:jc w:val="center"/>
                  <w:rPr>
                    <w:rFonts w:ascii="Times New Roman" w:hAnsi="Times New Roman" w:cs="Times New Roman"/>
                  </w:rPr>
                </w:pPr>
                <w:r w:rsidRPr="00D44385">
                  <w:rPr>
                    <w:rFonts w:ascii="Times New Roman" w:hAnsi="Times New Roman" w:cs="Times New Roman"/>
                  </w:rPr>
                  <w:t>Profit margin obtained from customers</w:t>
                </w:r>
              </w:p>
            </w:tc>
            <w:tc>
              <w:tcPr>
                <w:tcW w:w="3402" w:type="dxa"/>
                <w:vAlign w:val="center"/>
              </w:tcPr>
              <w:p w14:paraId="00A8B22B" w14:textId="05B1490A" w:rsidR="00D44385" w:rsidRPr="00D44385" w:rsidRDefault="00D44385" w:rsidP="00D44385">
                <w:pPr>
                  <w:jc w:val="center"/>
                  <w:rPr>
                    <w:rFonts w:ascii="Times New Roman" w:hAnsi="Times New Roman" w:cs="Times New Roman"/>
                  </w:rPr>
                </w:pPr>
                <w:r w:rsidRPr="00D44385">
                  <w:rPr>
                    <w:rFonts w:ascii="Times New Roman" w:hAnsi="Times New Roman" w:cs="Times New Roman"/>
                  </w:rPr>
                  <w:t>Rising costs and declining profits</w:t>
                </w:r>
              </w:p>
            </w:tc>
          </w:tr>
          <w:tr w:rsidR="00D44385" w:rsidRPr="00D44385" w14:paraId="5BD994C0" w14:textId="77777777" w:rsidTr="00D44385">
            <w:tc>
              <w:tcPr>
                <w:tcW w:w="1719" w:type="dxa"/>
                <w:vMerge w:val="restart"/>
                <w:vAlign w:val="center"/>
              </w:tcPr>
              <w:p w14:paraId="2358A6AD" w14:textId="632EAB3B" w:rsidR="00D44385" w:rsidRPr="00D44385" w:rsidRDefault="00D44385" w:rsidP="00D44385">
                <w:pPr>
                  <w:jc w:val="center"/>
                  <w:rPr>
                    <w:rFonts w:ascii="Times New Roman" w:hAnsi="Times New Roman" w:cs="Times New Roman"/>
                    <w:b/>
                    <w:bCs/>
                  </w:rPr>
                </w:pPr>
                <w:r w:rsidRPr="00D44385">
                  <w:rPr>
                    <w:rFonts w:ascii="Times New Roman" w:hAnsi="Times New Roman" w:cs="Times New Roman"/>
                    <w:b/>
                    <w:bCs/>
                  </w:rPr>
                  <w:t>Internal business processes</w:t>
                </w:r>
              </w:p>
            </w:tc>
            <w:tc>
              <w:tcPr>
                <w:tcW w:w="3810" w:type="dxa"/>
                <w:vAlign w:val="center"/>
              </w:tcPr>
              <w:p w14:paraId="1AFEF97E" w14:textId="74970E26" w:rsidR="00D44385" w:rsidRPr="00D44385" w:rsidRDefault="00D44385" w:rsidP="00D44385">
                <w:pPr>
                  <w:jc w:val="center"/>
                  <w:rPr>
                    <w:rFonts w:ascii="Times New Roman" w:hAnsi="Times New Roman" w:cs="Times New Roman"/>
                  </w:rPr>
                </w:pPr>
                <w:r w:rsidRPr="00D44385">
                  <w:rPr>
                    <w:rFonts w:ascii="Times New Roman" w:hAnsi="Times New Roman" w:cs="Times New Roman"/>
                  </w:rPr>
                  <w:t>Profit and market share of each product</w:t>
                </w:r>
              </w:p>
            </w:tc>
            <w:tc>
              <w:tcPr>
                <w:tcW w:w="3402" w:type="dxa"/>
                <w:vAlign w:val="center"/>
              </w:tcPr>
              <w:p w14:paraId="42B6048E" w14:textId="0A72BD73" w:rsidR="00D44385" w:rsidRPr="00D44385" w:rsidRDefault="00D44385" w:rsidP="00D44385">
                <w:pPr>
                  <w:jc w:val="center"/>
                  <w:rPr>
                    <w:rFonts w:ascii="Times New Roman" w:hAnsi="Times New Roman" w:cs="Times New Roman"/>
                  </w:rPr>
                </w:pPr>
                <w:r w:rsidRPr="00D44385">
                  <w:rPr>
                    <w:rFonts w:ascii="Times New Roman" w:hAnsi="Times New Roman" w:cs="Times New Roman"/>
                  </w:rPr>
                  <w:t>Poor completion, decreasing year by year</w:t>
                </w:r>
              </w:p>
            </w:tc>
          </w:tr>
          <w:tr w:rsidR="00D44385" w:rsidRPr="00D44385" w14:paraId="088E955E" w14:textId="77777777" w:rsidTr="00D44385">
            <w:tc>
              <w:tcPr>
                <w:tcW w:w="1719" w:type="dxa"/>
                <w:vMerge/>
                <w:vAlign w:val="center"/>
              </w:tcPr>
              <w:p w14:paraId="452C696F" w14:textId="77777777" w:rsidR="00D44385" w:rsidRPr="00D44385" w:rsidRDefault="00D44385" w:rsidP="00D44385">
                <w:pPr>
                  <w:jc w:val="center"/>
                  <w:rPr>
                    <w:rFonts w:ascii="Times New Roman" w:hAnsi="Times New Roman" w:cs="Times New Roman"/>
                    <w:b/>
                    <w:bCs/>
                  </w:rPr>
                </w:pPr>
              </w:p>
            </w:tc>
            <w:tc>
              <w:tcPr>
                <w:tcW w:w="3810" w:type="dxa"/>
                <w:vAlign w:val="center"/>
              </w:tcPr>
              <w:p w14:paraId="53D59F70" w14:textId="047BA352" w:rsidR="00D44385" w:rsidRPr="00D44385" w:rsidRDefault="00D44385" w:rsidP="00D44385">
                <w:pPr>
                  <w:jc w:val="center"/>
                  <w:rPr>
                    <w:rFonts w:ascii="Times New Roman" w:hAnsi="Times New Roman" w:cs="Times New Roman"/>
                  </w:rPr>
                </w:pPr>
                <w:r w:rsidRPr="00D44385">
                  <w:rPr>
                    <w:rFonts w:ascii="Times New Roman" w:hAnsi="Times New Roman" w:cs="Times New Roman"/>
                  </w:rPr>
                  <w:t>Ratio of new products to total revenue</w:t>
                </w:r>
              </w:p>
            </w:tc>
            <w:tc>
              <w:tcPr>
                <w:tcW w:w="3402" w:type="dxa"/>
                <w:vAlign w:val="center"/>
              </w:tcPr>
              <w:p w14:paraId="45527CE7" w14:textId="02D12032" w:rsidR="00D44385" w:rsidRPr="00D44385" w:rsidRDefault="00D44385" w:rsidP="00D44385">
                <w:pPr>
                  <w:jc w:val="center"/>
                  <w:rPr>
                    <w:rFonts w:ascii="Times New Roman" w:hAnsi="Times New Roman" w:cs="Times New Roman"/>
                  </w:rPr>
                </w:pPr>
                <w:r w:rsidRPr="00D44385">
                  <w:rPr>
                    <w:rFonts w:ascii="Times New Roman" w:hAnsi="Times New Roman" w:cs="Times New Roman"/>
                  </w:rPr>
                  <w:t>I</w:t>
                </w:r>
                <w:r w:rsidRPr="00D44385">
                  <w:rPr>
                    <w:rFonts w:ascii="Times New Roman" w:hAnsi="Times New Roman" w:cs="Times New Roman"/>
                  </w:rPr>
                  <w:t>ncrease year after year</w:t>
                </w:r>
              </w:p>
            </w:tc>
          </w:tr>
          <w:tr w:rsidR="00D44385" w:rsidRPr="00D44385" w14:paraId="1296A1CC" w14:textId="77777777" w:rsidTr="00D44385">
            <w:tc>
              <w:tcPr>
                <w:tcW w:w="1719" w:type="dxa"/>
                <w:vMerge/>
                <w:vAlign w:val="center"/>
              </w:tcPr>
              <w:p w14:paraId="6104FCC1" w14:textId="77777777" w:rsidR="00D44385" w:rsidRPr="00D44385" w:rsidRDefault="00D44385" w:rsidP="00D44385">
                <w:pPr>
                  <w:jc w:val="center"/>
                  <w:rPr>
                    <w:rFonts w:ascii="Times New Roman" w:hAnsi="Times New Roman" w:cs="Times New Roman"/>
                    <w:b/>
                    <w:bCs/>
                  </w:rPr>
                </w:pPr>
              </w:p>
            </w:tc>
            <w:tc>
              <w:tcPr>
                <w:tcW w:w="3810" w:type="dxa"/>
                <w:vAlign w:val="center"/>
              </w:tcPr>
              <w:p w14:paraId="17616E81" w14:textId="4FAD0B78" w:rsidR="00D44385" w:rsidRPr="00D44385" w:rsidRDefault="00D44385" w:rsidP="00D44385">
                <w:pPr>
                  <w:jc w:val="center"/>
                  <w:rPr>
                    <w:rFonts w:ascii="Times New Roman" w:hAnsi="Times New Roman" w:cs="Times New Roman"/>
                  </w:rPr>
                </w:pPr>
                <w:r w:rsidRPr="00D44385">
                  <w:rPr>
                    <w:rFonts w:ascii="Times New Roman" w:hAnsi="Times New Roman" w:cs="Times New Roman"/>
                  </w:rPr>
                  <w:t xml:space="preserve">Convenience of communication among </w:t>
                </w:r>
                <w:r w:rsidR="00914AAF">
                  <w:rPr>
                    <w:rFonts w:ascii="Times New Roman" w:hAnsi="Times New Roman" w:cs="Times New Roman"/>
                  </w:rPr>
                  <w:t>divisions</w:t>
                </w:r>
              </w:p>
            </w:tc>
            <w:tc>
              <w:tcPr>
                <w:tcW w:w="3402" w:type="dxa"/>
                <w:vAlign w:val="center"/>
              </w:tcPr>
              <w:p w14:paraId="0FD8FE0B" w14:textId="248BE274" w:rsidR="00D44385" w:rsidRPr="00D44385" w:rsidRDefault="00D44385" w:rsidP="00D44385">
                <w:pPr>
                  <w:jc w:val="center"/>
                  <w:rPr>
                    <w:rFonts w:ascii="Times New Roman" w:hAnsi="Times New Roman" w:cs="Times New Roman"/>
                  </w:rPr>
                </w:pPr>
                <w:r w:rsidRPr="00D44385">
                  <w:rPr>
                    <w:rFonts w:ascii="Times New Roman" w:hAnsi="Times New Roman" w:cs="Times New Roman"/>
                  </w:rPr>
                  <w:t>Flat structure with good performance</w:t>
                </w:r>
              </w:p>
            </w:tc>
          </w:tr>
          <w:tr w:rsidR="00D44385" w:rsidRPr="00D44385" w14:paraId="389043EC" w14:textId="77777777" w:rsidTr="00D44385">
            <w:tc>
              <w:tcPr>
                <w:tcW w:w="1719" w:type="dxa"/>
                <w:vMerge w:val="restart"/>
                <w:vAlign w:val="center"/>
              </w:tcPr>
              <w:p w14:paraId="37C9D29F" w14:textId="240B935D" w:rsidR="00D44385" w:rsidRPr="00D44385" w:rsidRDefault="00D44385" w:rsidP="00D44385">
                <w:pPr>
                  <w:jc w:val="center"/>
                  <w:rPr>
                    <w:rFonts w:ascii="Times New Roman" w:hAnsi="Times New Roman" w:cs="Times New Roman"/>
                    <w:b/>
                    <w:bCs/>
                  </w:rPr>
                </w:pPr>
                <w:r w:rsidRPr="00D44385">
                  <w:rPr>
                    <w:rFonts w:ascii="Times New Roman" w:hAnsi="Times New Roman" w:cs="Times New Roman"/>
                    <w:b/>
                    <w:bCs/>
                  </w:rPr>
                  <w:t>Learning and Growth</w:t>
                </w:r>
              </w:p>
            </w:tc>
            <w:tc>
              <w:tcPr>
                <w:tcW w:w="3810" w:type="dxa"/>
                <w:vAlign w:val="center"/>
              </w:tcPr>
              <w:p w14:paraId="54A1EA7D" w14:textId="2D457FC2" w:rsidR="00D44385" w:rsidRPr="00D44385" w:rsidRDefault="00D44385" w:rsidP="00D44385">
                <w:pPr>
                  <w:jc w:val="center"/>
                  <w:rPr>
                    <w:rFonts w:ascii="Times New Roman" w:hAnsi="Times New Roman" w:cs="Times New Roman"/>
                  </w:rPr>
                </w:pPr>
                <w:r w:rsidRPr="00D44385">
                  <w:rPr>
                    <w:rFonts w:ascii="Times New Roman" w:hAnsi="Times New Roman" w:cs="Times New Roman"/>
                  </w:rPr>
                  <w:t>Employee retention rate</w:t>
                </w:r>
              </w:p>
            </w:tc>
            <w:tc>
              <w:tcPr>
                <w:tcW w:w="3402" w:type="dxa"/>
                <w:vAlign w:val="center"/>
              </w:tcPr>
              <w:p w14:paraId="62AD973F" w14:textId="4241173E" w:rsidR="00D44385" w:rsidRPr="00D44385" w:rsidRDefault="00D44385" w:rsidP="00D44385">
                <w:pPr>
                  <w:jc w:val="center"/>
                  <w:rPr>
                    <w:rFonts w:ascii="Times New Roman" w:hAnsi="Times New Roman" w:cs="Times New Roman"/>
                  </w:rPr>
                </w:pPr>
                <w:r w:rsidRPr="00D44385">
                  <w:rPr>
                    <w:rFonts w:ascii="Times New Roman" w:hAnsi="Times New Roman" w:cs="Times New Roman"/>
                  </w:rPr>
                  <w:t>Increase year after year</w:t>
                </w:r>
              </w:p>
            </w:tc>
          </w:tr>
          <w:tr w:rsidR="00D44385" w:rsidRPr="00D44385" w14:paraId="40A3FB41" w14:textId="77777777" w:rsidTr="00D44385">
            <w:tc>
              <w:tcPr>
                <w:tcW w:w="1719" w:type="dxa"/>
                <w:vMerge/>
                <w:vAlign w:val="center"/>
              </w:tcPr>
              <w:p w14:paraId="118A8E21" w14:textId="77777777" w:rsidR="00D44385" w:rsidRPr="00D44385" w:rsidRDefault="00D44385" w:rsidP="00D44385">
                <w:pPr>
                  <w:jc w:val="center"/>
                  <w:rPr>
                    <w:rFonts w:ascii="Times New Roman" w:hAnsi="Times New Roman" w:cs="Times New Roman"/>
                  </w:rPr>
                </w:pPr>
              </w:p>
            </w:tc>
            <w:tc>
              <w:tcPr>
                <w:tcW w:w="3810" w:type="dxa"/>
                <w:vAlign w:val="center"/>
              </w:tcPr>
              <w:p w14:paraId="0B7B2FDB" w14:textId="2F315C52" w:rsidR="00D44385" w:rsidRPr="00D44385" w:rsidRDefault="00D44385" w:rsidP="00D44385">
                <w:pPr>
                  <w:jc w:val="center"/>
                  <w:rPr>
                    <w:rFonts w:ascii="Times New Roman" w:hAnsi="Times New Roman" w:cs="Times New Roman"/>
                  </w:rPr>
                </w:pPr>
                <w:r w:rsidRPr="00D44385">
                  <w:rPr>
                    <w:rFonts w:ascii="Times New Roman" w:hAnsi="Times New Roman" w:cs="Times New Roman"/>
                  </w:rPr>
                  <w:t>Task error rate</w:t>
                </w:r>
              </w:p>
            </w:tc>
            <w:tc>
              <w:tcPr>
                <w:tcW w:w="3402" w:type="dxa"/>
                <w:vAlign w:val="center"/>
              </w:tcPr>
              <w:p w14:paraId="0FE789F3" w14:textId="6A7FF73C" w:rsidR="00D44385" w:rsidRPr="00D44385" w:rsidRDefault="00D44385" w:rsidP="00D44385">
                <w:pPr>
                  <w:jc w:val="center"/>
                  <w:rPr>
                    <w:rFonts w:ascii="Times New Roman" w:hAnsi="Times New Roman" w:cs="Times New Roman"/>
                  </w:rPr>
                </w:pPr>
                <w:r w:rsidRPr="00D44385">
                  <w:rPr>
                    <w:rFonts w:ascii="Times New Roman" w:hAnsi="Times New Roman" w:cs="Times New Roman"/>
                  </w:rPr>
                  <w:t>D</w:t>
                </w:r>
                <w:r w:rsidRPr="00D44385">
                  <w:rPr>
                    <w:rFonts w:ascii="Times New Roman" w:hAnsi="Times New Roman" w:cs="Times New Roman"/>
                  </w:rPr>
                  <w:t>ecreased year by year</w:t>
                </w:r>
              </w:p>
            </w:tc>
          </w:tr>
          <w:tr w:rsidR="00D44385" w:rsidRPr="00D44385" w14:paraId="1E6F2EEE" w14:textId="77777777" w:rsidTr="00D44385">
            <w:tc>
              <w:tcPr>
                <w:tcW w:w="1719" w:type="dxa"/>
                <w:vMerge/>
                <w:vAlign w:val="center"/>
              </w:tcPr>
              <w:p w14:paraId="6DEACD7E" w14:textId="77777777" w:rsidR="00D44385" w:rsidRPr="00D44385" w:rsidRDefault="00D44385" w:rsidP="00D44385">
                <w:pPr>
                  <w:jc w:val="center"/>
                  <w:rPr>
                    <w:rFonts w:ascii="Times New Roman" w:hAnsi="Times New Roman" w:cs="Times New Roman"/>
                  </w:rPr>
                </w:pPr>
              </w:p>
            </w:tc>
            <w:tc>
              <w:tcPr>
                <w:tcW w:w="3810" w:type="dxa"/>
                <w:vAlign w:val="center"/>
              </w:tcPr>
              <w:p w14:paraId="63DA55A7" w14:textId="540ABABA" w:rsidR="00D44385" w:rsidRPr="00D44385" w:rsidRDefault="00D44385" w:rsidP="00D44385">
                <w:pPr>
                  <w:jc w:val="center"/>
                  <w:rPr>
                    <w:rFonts w:ascii="Times New Roman" w:hAnsi="Times New Roman" w:cs="Times New Roman"/>
                  </w:rPr>
                </w:pPr>
                <w:r w:rsidRPr="00D44385">
                  <w:rPr>
                    <w:rFonts w:ascii="Times New Roman" w:hAnsi="Times New Roman" w:cs="Times New Roman"/>
                  </w:rPr>
                  <w:t>Number of CPDs attended by employees</w:t>
                </w:r>
              </w:p>
            </w:tc>
            <w:tc>
              <w:tcPr>
                <w:tcW w:w="3402" w:type="dxa"/>
                <w:vAlign w:val="center"/>
              </w:tcPr>
              <w:p w14:paraId="4A14E3AD" w14:textId="68CC87E6" w:rsidR="00D44385" w:rsidRPr="00D44385" w:rsidRDefault="00D44385" w:rsidP="00D44385">
                <w:pPr>
                  <w:jc w:val="center"/>
                  <w:rPr>
                    <w:rFonts w:ascii="Times New Roman" w:hAnsi="Times New Roman" w:cs="Times New Roman"/>
                  </w:rPr>
                </w:pPr>
                <w:r w:rsidRPr="00D44385">
                  <w:rPr>
                    <w:rFonts w:ascii="Times New Roman" w:hAnsi="Times New Roman" w:cs="Times New Roman"/>
                  </w:rPr>
                  <w:t>Increase year after year</w:t>
                </w:r>
              </w:p>
            </w:tc>
          </w:tr>
          <w:tr w:rsidR="00D44385" w:rsidRPr="00D44385" w14:paraId="2F31BFC5" w14:textId="77777777" w:rsidTr="00D44385">
            <w:tc>
              <w:tcPr>
                <w:tcW w:w="1719" w:type="dxa"/>
                <w:vMerge/>
                <w:vAlign w:val="center"/>
              </w:tcPr>
              <w:p w14:paraId="2A681417" w14:textId="77777777" w:rsidR="00D44385" w:rsidRPr="00D44385" w:rsidRDefault="00D44385" w:rsidP="00D44385">
                <w:pPr>
                  <w:jc w:val="center"/>
                  <w:rPr>
                    <w:rFonts w:ascii="Times New Roman" w:hAnsi="Times New Roman" w:cs="Times New Roman"/>
                  </w:rPr>
                </w:pPr>
              </w:p>
            </w:tc>
            <w:tc>
              <w:tcPr>
                <w:tcW w:w="3810" w:type="dxa"/>
                <w:vAlign w:val="center"/>
              </w:tcPr>
              <w:p w14:paraId="75D76F99" w14:textId="2B82EC9B" w:rsidR="00D44385" w:rsidRPr="00D44385" w:rsidRDefault="00D44385" w:rsidP="00D44385">
                <w:pPr>
                  <w:jc w:val="center"/>
                  <w:rPr>
                    <w:rFonts w:ascii="Times New Roman" w:hAnsi="Times New Roman" w:cs="Times New Roman"/>
                  </w:rPr>
                </w:pPr>
                <w:r w:rsidRPr="00D44385">
                  <w:rPr>
                    <w:rFonts w:ascii="Times New Roman" w:hAnsi="Times New Roman" w:cs="Times New Roman"/>
                  </w:rPr>
                  <w:t>Average work completion time</w:t>
                </w:r>
              </w:p>
            </w:tc>
            <w:tc>
              <w:tcPr>
                <w:tcW w:w="3402" w:type="dxa"/>
                <w:vAlign w:val="center"/>
              </w:tcPr>
              <w:p w14:paraId="64E13817" w14:textId="65E88C65" w:rsidR="00D44385" w:rsidRPr="00D44385" w:rsidRDefault="00D44385" w:rsidP="00D44385">
                <w:pPr>
                  <w:jc w:val="center"/>
                  <w:rPr>
                    <w:rFonts w:ascii="Times New Roman" w:hAnsi="Times New Roman" w:cs="Times New Roman"/>
                  </w:rPr>
                </w:pPr>
                <w:r w:rsidRPr="00D44385">
                  <w:rPr>
                    <w:rFonts w:ascii="Times New Roman" w:hAnsi="Times New Roman" w:cs="Times New Roman"/>
                  </w:rPr>
                  <w:t>Decreased year by year</w:t>
                </w:r>
              </w:p>
            </w:tc>
          </w:tr>
        </w:tbl>
        <w:p w14:paraId="69C3D607" w14:textId="63FB6C15" w:rsidR="00DF3B0A" w:rsidRPr="00D44385" w:rsidRDefault="00DF3B0A" w:rsidP="005014C5">
          <w:pPr>
            <w:rPr>
              <w:rFonts w:ascii="Times New Roman" w:hAnsi="Times New Roman" w:cs="Times New Roman"/>
              <w:sz w:val="24"/>
              <w:szCs w:val="24"/>
            </w:rPr>
          </w:pPr>
        </w:p>
        <w:p w14:paraId="02BA395E" w14:textId="77777777" w:rsidR="00721B49" w:rsidRPr="00721B49" w:rsidRDefault="00721B49" w:rsidP="00721B49">
          <w:pPr>
            <w:spacing w:after="0" w:line="360" w:lineRule="auto"/>
            <w:jc w:val="both"/>
            <w:rPr>
              <w:rFonts w:ascii="Times New Roman" w:hAnsi="Times New Roman" w:cs="Times New Roman"/>
              <w:b/>
              <w:bCs/>
              <w:sz w:val="24"/>
              <w:szCs w:val="24"/>
              <w:lang w:eastAsia="zh-CN"/>
            </w:rPr>
          </w:pPr>
          <w:r w:rsidRPr="00721B49">
            <w:rPr>
              <w:rFonts w:ascii="Times New Roman" w:hAnsi="Times New Roman" w:cs="Times New Roman"/>
              <w:b/>
              <w:bCs/>
              <w:sz w:val="24"/>
              <w:szCs w:val="24"/>
              <w:lang w:eastAsia="zh-CN"/>
            </w:rPr>
            <w:t>2.2.1 Financial dimensions</w:t>
          </w:r>
        </w:p>
        <w:p w14:paraId="3D37836C" w14:textId="77777777" w:rsidR="00721B49"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 xml:space="preserve">Quantitative analysis was conducted on the financial situation of the company by calculating relevant financial indicators. Among them, the net return on assets decreased from 30.9% in 2019 to 8.7% in 2020, indicating that the return on the company's asset investment has declined significantly. The cost profit margin was 22.1% in 2018, 21.8% in 2019, and rapidly decreased to 6.4% in 2020, indicating that the company's cost control ability is insufficient, largely due to the impact of national policies in materials, leading to an increase in costs. The gross profit margin indicator is also decreasing year by year, with a gross profit margin of 50% in 2018, 46.9% in 2019, and 41.2% in 2020, indicating a significant decline in the company's profitability. Based on various quantitative indicators, the company's financial performance is deteriorating year by year, indicating that the company's cost control and profitability are weakening year by year, which is not conducive to the company's future survival and development. From the existing indicators of sales growth in the market, according to the data in the materials, it can be seen that the company's market share is continuously declining, indicating that the market competitiveness of the company's products is constantly weakening, and the existing market is gradually being eroded by competitors, posing a serious threat to the </w:t>
          </w:r>
          <w:r w:rsidRPr="00721B49">
            <w:rPr>
              <w:rFonts w:ascii="Times New Roman" w:hAnsi="Times New Roman" w:cs="Times New Roman"/>
              <w:sz w:val="24"/>
              <w:szCs w:val="24"/>
              <w:lang w:eastAsia="zh-CN"/>
            </w:rPr>
            <w:lastRenderedPageBreak/>
            <w:t>company's future development. From the perspective of sales growth in new markets, the company has been relatively successful in new products, and the revenue in new segmented markets is constantly increasing, indicating that the company has performed well in opening up new markets.</w:t>
          </w:r>
        </w:p>
        <w:p w14:paraId="15B98986" w14:textId="77777777" w:rsidR="00721B49"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Overall, the company's financial performance is poor, its market competitiveness is gradually weakening, and its future survival and development are threatened. However, the company has performed well in the development of new products and new markets.</w:t>
          </w:r>
        </w:p>
        <w:p w14:paraId="09DDA882" w14:textId="77777777" w:rsidR="00721B49" w:rsidRPr="00721B49" w:rsidRDefault="00721B49" w:rsidP="00721B49">
          <w:pPr>
            <w:spacing w:after="0" w:line="360" w:lineRule="auto"/>
            <w:jc w:val="both"/>
            <w:rPr>
              <w:rFonts w:ascii="Times New Roman" w:hAnsi="Times New Roman" w:cs="Times New Roman"/>
              <w:b/>
              <w:bCs/>
              <w:sz w:val="24"/>
              <w:szCs w:val="24"/>
              <w:lang w:eastAsia="zh-CN"/>
            </w:rPr>
          </w:pPr>
          <w:r w:rsidRPr="00721B49">
            <w:rPr>
              <w:rFonts w:ascii="Times New Roman" w:hAnsi="Times New Roman" w:cs="Times New Roman"/>
              <w:b/>
              <w:bCs/>
              <w:sz w:val="24"/>
              <w:szCs w:val="24"/>
              <w:lang w:eastAsia="zh-CN"/>
            </w:rPr>
            <w:t>2.2.2 Customer dimension</w:t>
          </w:r>
        </w:p>
        <w:p w14:paraId="17963A00" w14:textId="77777777" w:rsidR="00721B49"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 xml:space="preserve">According to Appendix 4 of the materials, it can be seen that the company performs well in the customer dimension. Among them, the company's website </w:t>
          </w:r>
          <w:proofErr w:type="gramStart"/>
          <w:r w:rsidRPr="00721B49">
            <w:rPr>
              <w:rFonts w:ascii="Times New Roman" w:hAnsi="Times New Roman" w:cs="Times New Roman"/>
              <w:sz w:val="24"/>
              <w:szCs w:val="24"/>
              <w:lang w:eastAsia="zh-CN"/>
            </w:rPr>
            <w:t>click</w:t>
          </w:r>
          <w:proofErr w:type="gramEnd"/>
          <w:r w:rsidRPr="00721B49">
            <w:rPr>
              <w:rFonts w:ascii="Times New Roman" w:hAnsi="Times New Roman" w:cs="Times New Roman"/>
              <w:sz w:val="24"/>
              <w:szCs w:val="24"/>
              <w:lang w:eastAsia="zh-CN"/>
            </w:rPr>
            <w:t xml:space="preserve"> through volume, website traffic conversion rate, customer satisfaction, and number of new customers are increasing every year, indicating that the company performs well in the customer dimension, and customer stickiness and conversion rate are constantly improving. However, due to the increase in costs, the profit margin obtained from customers has decreased.</w:t>
          </w:r>
        </w:p>
        <w:p w14:paraId="793BE35E" w14:textId="77777777" w:rsidR="00721B49" w:rsidRPr="00721B49" w:rsidRDefault="00721B49" w:rsidP="00721B49">
          <w:pPr>
            <w:spacing w:after="0" w:line="360" w:lineRule="auto"/>
            <w:jc w:val="both"/>
            <w:rPr>
              <w:rFonts w:ascii="Times New Roman" w:hAnsi="Times New Roman" w:cs="Times New Roman"/>
              <w:b/>
              <w:bCs/>
              <w:sz w:val="24"/>
              <w:szCs w:val="24"/>
              <w:lang w:eastAsia="zh-CN"/>
            </w:rPr>
          </w:pPr>
          <w:r w:rsidRPr="00721B49">
            <w:rPr>
              <w:rFonts w:ascii="Times New Roman" w:hAnsi="Times New Roman" w:cs="Times New Roman"/>
              <w:b/>
              <w:bCs/>
              <w:sz w:val="24"/>
              <w:szCs w:val="24"/>
              <w:lang w:eastAsia="zh-CN"/>
            </w:rPr>
            <w:t>2.2.3 Internal business processes</w:t>
          </w:r>
        </w:p>
        <w:p w14:paraId="098E9765" w14:textId="6570043E" w:rsidR="00721B49"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The financial indicators to a certain extent reflect the company's operating ability. From the various financial indicators of the company, it can be seen that the company's various financial indicators have performed poorly, indicating that the company's operating ability is poor and there is still great room for improvement</w:t>
          </w:r>
          <w:r w:rsidR="00900D71">
            <w:rPr>
              <w:rFonts w:ascii="Times New Roman" w:hAnsi="Times New Roman" w:cs="Times New Roman"/>
              <w:sz w:val="24"/>
              <w:szCs w:val="24"/>
              <w:lang w:eastAsia="zh-CN"/>
            </w:rPr>
            <w:t xml:space="preserve"> </w:t>
          </w:r>
          <w:r w:rsidR="00703901" w:rsidRPr="00703901">
            <w:rPr>
              <w:rFonts w:ascii="Times New Roman" w:hAnsi="Times New Roman" w:cs="Times New Roman"/>
              <w:sz w:val="24"/>
              <w:szCs w:val="24"/>
              <w:lang w:eastAsia="zh-CN"/>
            </w:rPr>
            <w:t xml:space="preserve">(Quesada, H. and </w:t>
          </w:r>
          <w:proofErr w:type="spellStart"/>
          <w:r w:rsidR="00703901" w:rsidRPr="00703901">
            <w:rPr>
              <w:rFonts w:ascii="Times New Roman" w:hAnsi="Times New Roman" w:cs="Times New Roman"/>
              <w:sz w:val="24"/>
              <w:szCs w:val="24"/>
              <w:lang w:eastAsia="zh-CN"/>
            </w:rPr>
            <w:t>Gazo</w:t>
          </w:r>
          <w:proofErr w:type="spellEnd"/>
          <w:r w:rsidR="00703901" w:rsidRPr="00703901">
            <w:rPr>
              <w:rFonts w:ascii="Times New Roman" w:hAnsi="Times New Roman" w:cs="Times New Roman"/>
              <w:sz w:val="24"/>
              <w:szCs w:val="24"/>
              <w:lang w:eastAsia="zh-CN"/>
            </w:rPr>
            <w:t>, R.</w:t>
          </w:r>
          <w:r w:rsidR="00703901">
            <w:rPr>
              <w:rFonts w:ascii="Times New Roman" w:hAnsi="Times New Roman" w:cs="Times New Roman"/>
              <w:sz w:val="24"/>
              <w:szCs w:val="24"/>
              <w:lang w:eastAsia="zh-CN"/>
            </w:rPr>
            <w:t>,</w:t>
          </w:r>
          <w:r w:rsidR="00703901" w:rsidRPr="00703901">
            <w:rPr>
              <w:rFonts w:ascii="Times New Roman" w:hAnsi="Times New Roman" w:cs="Times New Roman"/>
              <w:sz w:val="24"/>
              <w:szCs w:val="24"/>
              <w:lang w:eastAsia="zh-CN"/>
            </w:rPr>
            <w:t xml:space="preserve"> 2007)</w:t>
          </w:r>
          <w:r w:rsidRPr="00721B49">
            <w:rPr>
              <w:rFonts w:ascii="Times New Roman" w:hAnsi="Times New Roman" w:cs="Times New Roman"/>
              <w:sz w:val="24"/>
              <w:szCs w:val="24"/>
              <w:lang w:eastAsia="zh-CN"/>
            </w:rPr>
            <w:t xml:space="preserve">. From the specific indicators of internal business processes, firstly, the profit and market share of the company's various products are showing a decreasing trend year by year, indicating that the competitiveness of the company's products is constantly declining. From the proportion of new products in total revenue, the proportion of new products in total revenue has been increasing year by year, indicating that the company has performed well in developing new products and new markets. In addition, the company has a flat management structure with a simple management structure, which facilitates efficient communication among various </w:t>
          </w:r>
          <w:r w:rsidR="00914AAF">
            <w:rPr>
              <w:rFonts w:ascii="Times New Roman" w:hAnsi="Times New Roman" w:cs="Times New Roman"/>
              <w:sz w:val="24"/>
              <w:szCs w:val="24"/>
              <w:lang w:eastAsia="zh-CN"/>
            </w:rPr>
            <w:t>divisions</w:t>
          </w:r>
          <w:r w:rsidRPr="00721B49">
            <w:rPr>
              <w:rFonts w:ascii="Times New Roman" w:hAnsi="Times New Roman" w:cs="Times New Roman"/>
              <w:sz w:val="24"/>
              <w:szCs w:val="24"/>
              <w:lang w:eastAsia="zh-CN"/>
            </w:rPr>
            <w:t xml:space="preserve"> of the company.</w:t>
          </w:r>
        </w:p>
        <w:p w14:paraId="3E52B61D" w14:textId="77777777" w:rsidR="00721B49"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Overall, there are still significant issues with the company's internal business processes that require further improvement, but the company has performed well in terms of new product development and management structure.</w:t>
          </w:r>
        </w:p>
        <w:p w14:paraId="062147C3" w14:textId="77777777" w:rsidR="00721B49" w:rsidRPr="00721B49" w:rsidRDefault="00721B49" w:rsidP="00721B49">
          <w:pPr>
            <w:spacing w:after="0" w:line="360" w:lineRule="auto"/>
            <w:jc w:val="both"/>
            <w:rPr>
              <w:rFonts w:ascii="Times New Roman" w:hAnsi="Times New Roman" w:cs="Times New Roman"/>
              <w:b/>
              <w:bCs/>
              <w:sz w:val="24"/>
              <w:szCs w:val="24"/>
              <w:lang w:eastAsia="zh-CN"/>
            </w:rPr>
          </w:pPr>
          <w:r w:rsidRPr="00721B49">
            <w:rPr>
              <w:rFonts w:ascii="Times New Roman" w:hAnsi="Times New Roman" w:cs="Times New Roman"/>
              <w:b/>
              <w:bCs/>
              <w:sz w:val="24"/>
              <w:szCs w:val="24"/>
              <w:lang w:eastAsia="zh-CN"/>
            </w:rPr>
            <w:t>2.2.4 Learning and Growth Dimensions</w:t>
          </w:r>
        </w:p>
        <w:p w14:paraId="45CAB36B" w14:textId="77777777" w:rsidR="00721B49"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 xml:space="preserve">The dimensions of learning and growth are mainly measured from four aspects: employee retention rate, task error rate, number of CPDs participated by employees, and average work completion time. These four indicators of the company are improving year by year, indicating </w:t>
          </w:r>
          <w:r w:rsidRPr="00721B49">
            <w:rPr>
              <w:rFonts w:ascii="Times New Roman" w:hAnsi="Times New Roman" w:cs="Times New Roman"/>
              <w:sz w:val="24"/>
              <w:szCs w:val="24"/>
              <w:lang w:eastAsia="zh-CN"/>
            </w:rPr>
            <w:lastRenderedPageBreak/>
            <w:t>that the company performs well in the learning and growth dimensions. The company focuses on employee growth and long-term development, which is conducive to the company's long-term development.</w:t>
          </w:r>
        </w:p>
        <w:p w14:paraId="0C51F6D3" w14:textId="77777777" w:rsidR="00721B49" w:rsidRPr="00914AAF" w:rsidRDefault="00721B49" w:rsidP="00721B49">
          <w:pPr>
            <w:spacing w:after="0" w:line="360" w:lineRule="auto"/>
            <w:jc w:val="both"/>
            <w:rPr>
              <w:rFonts w:ascii="Times New Roman" w:hAnsi="Times New Roman" w:cs="Times New Roman"/>
              <w:b/>
              <w:bCs/>
              <w:sz w:val="24"/>
              <w:szCs w:val="24"/>
              <w:lang w:eastAsia="zh-CN"/>
            </w:rPr>
          </w:pPr>
          <w:r w:rsidRPr="00914AAF">
            <w:rPr>
              <w:rFonts w:ascii="Times New Roman" w:hAnsi="Times New Roman" w:cs="Times New Roman"/>
              <w:b/>
              <w:bCs/>
              <w:sz w:val="24"/>
              <w:szCs w:val="24"/>
              <w:lang w:eastAsia="zh-CN"/>
            </w:rPr>
            <w:t>2.3. Business Process Reengineering</w:t>
          </w:r>
        </w:p>
        <w:p w14:paraId="4A9CCDA3" w14:textId="5DEFD143" w:rsidR="00721B49"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Business process reengineering is a fundamental reflection and thorough reconstruction of business processes, with the aim of achieving significant improvements in cost, quality, service, and efficiency, enabling enterprises to adapt to the modern enterprise environment characterized by customers, competition, and change to the maximum extent possible</w:t>
          </w:r>
          <w:r w:rsidR="007E67B9">
            <w:rPr>
              <w:rFonts w:ascii="Times New Roman" w:hAnsi="Times New Roman" w:cs="Times New Roman"/>
              <w:sz w:val="24"/>
              <w:szCs w:val="24"/>
              <w:lang w:eastAsia="zh-CN"/>
            </w:rPr>
            <w:t xml:space="preserve"> </w:t>
          </w:r>
          <w:r w:rsidR="007E67B9" w:rsidRPr="007E67B9">
            <w:rPr>
              <w:rFonts w:ascii="Times New Roman" w:hAnsi="Times New Roman" w:cs="Times New Roman"/>
              <w:sz w:val="24"/>
              <w:szCs w:val="24"/>
              <w:lang w:eastAsia="zh-CN"/>
            </w:rPr>
            <w:t>(Khosrow, 2006)</w:t>
          </w:r>
          <w:r w:rsidRPr="00721B49">
            <w:rPr>
              <w:rFonts w:ascii="Times New Roman" w:hAnsi="Times New Roman" w:cs="Times New Roman"/>
              <w:sz w:val="24"/>
              <w:szCs w:val="24"/>
              <w:lang w:eastAsia="zh-CN"/>
            </w:rPr>
            <w:t>.Whether to carry out business process reengineering depends on the current situation and future development needs of the company. In this case, the company needs to carry out business process reengineering, mainly due to three reasons: the need for strategic adjustment, the need to improve market competitiveness, and the need to improve internal business processes.</w:t>
          </w:r>
        </w:p>
        <w:p w14:paraId="7C89CFA3" w14:textId="77777777" w:rsidR="00721B49" w:rsidRPr="00914AAF" w:rsidRDefault="00721B49" w:rsidP="00721B49">
          <w:pPr>
            <w:spacing w:after="0" w:line="360" w:lineRule="auto"/>
            <w:jc w:val="both"/>
            <w:rPr>
              <w:rFonts w:ascii="Times New Roman" w:hAnsi="Times New Roman" w:cs="Times New Roman"/>
              <w:b/>
              <w:bCs/>
              <w:sz w:val="24"/>
              <w:szCs w:val="24"/>
              <w:lang w:eastAsia="zh-CN"/>
            </w:rPr>
          </w:pPr>
          <w:r w:rsidRPr="00914AAF">
            <w:rPr>
              <w:rFonts w:ascii="Times New Roman" w:hAnsi="Times New Roman" w:cs="Times New Roman"/>
              <w:b/>
              <w:bCs/>
              <w:sz w:val="24"/>
              <w:szCs w:val="24"/>
              <w:lang w:eastAsia="zh-CN"/>
            </w:rPr>
            <w:t>2.3.1 The need for strategic adjustment</w:t>
          </w:r>
        </w:p>
        <w:p w14:paraId="4DEF8FDC" w14:textId="238B4579" w:rsidR="00721B49"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The company's future expansion plan is currently at a crossroads. Whether it is choosing a strategy of penetration pricing or a strategy of new business development, the company needs to adjust its existing strategy accordingly</w:t>
          </w:r>
          <w:r w:rsidR="00E9521C" w:rsidRPr="00E9521C">
            <w:t xml:space="preserve"> </w:t>
          </w:r>
          <w:r w:rsidR="00E9521C" w:rsidRPr="00E9521C">
            <w:rPr>
              <w:rFonts w:ascii="Times New Roman" w:hAnsi="Times New Roman" w:cs="Times New Roman"/>
              <w:sz w:val="24"/>
              <w:szCs w:val="24"/>
              <w:lang w:eastAsia="zh-CN"/>
            </w:rPr>
            <w:t>(</w:t>
          </w:r>
          <w:proofErr w:type="spellStart"/>
          <w:r w:rsidR="00E9521C" w:rsidRPr="00E9521C">
            <w:rPr>
              <w:rFonts w:ascii="Times New Roman" w:hAnsi="Times New Roman" w:cs="Times New Roman"/>
              <w:sz w:val="24"/>
              <w:szCs w:val="24"/>
              <w:lang w:eastAsia="zh-CN"/>
            </w:rPr>
            <w:t>Schindehutte</w:t>
          </w:r>
          <w:proofErr w:type="spellEnd"/>
          <w:r w:rsidR="00E9521C" w:rsidRPr="00E9521C">
            <w:rPr>
              <w:rFonts w:ascii="Times New Roman" w:hAnsi="Times New Roman" w:cs="Times New Roman"/>
              <w:sz w:val="24"/>
              <w:szCs w:val="24"/>
              <w:lang w:eastAsia="zh-CN"/>
            </w:rPr>
            <w:t>, M. and Morris, M.H.</w:t>
          </w:r>
          <w:r w:rsidR="00E9521C">
            <w:rPr>
              <w:rFonts w:ascii="Times New Roman" w:hAnsi="Times New Roman" w:cs="Times New Roman"/>
              <w:sz w:val="24"/>
              <w:szCs w:val="24"/>
              <w:lang w:eastAsia="zh-CN"/>
            </w:rPr>
            <w:t>,</w:t>
          </w:r>
          <w:r w:rsidR="00E9521C" w:rsidRPr="00E9521C">
            <w:rPr>
              <w:rFonts w:ascii="Times New Roman" w:hAnsi="Times New Roman" w:cs="Times New Roman"/>
              <w:sz w:val="24"/>
              <w:szCs w:val="24"/>
              <w:lang w:eastAsia="zh-CN"/>
            </w:rPr>
            <w:t xml:space="preserve"> 2001)</w:t>
          </w:r>
          <w:r w:rsidRPr="00721B49">
            <w:rPr>
              <w:rFonts w:ascii="Times New Roman" w:hAnsi="Times New Roman" w:cs="Times New Roman"/>
              <w:sz w:val="24"/>
              <w:szCs w:val="24"/>
              <w:lang w:eastAsia="zh-CN"/>
            </w:rPr>
            <w:t>. In this case, the company needs to reengineer its business processes based on the adjusted strategy, so that the company's business processes can align with the company's strategy, and only in this way can the realization of the company's strategy be guaranteed.</w:t>
          </w:r>
        </w:p>
        <w:p w14:paraId="7A6EB745" w14:textId="77777777" w:rsidR="00721B49" w:rsidRPr="00914AAF" w:rsidRDefault="00721B49" w:rsidP="00721B49">
          <w:pPr>
            <w:spacing w:after="0" w:line="360" w:lineRule="auto"/>
            <w:jc w:val="both"/>
            <w:rPr>
              <w:rFonts w:ascii="Times New Roman" w:hAnsi="Times New Roman" w:cs="Times New Roman"/>
              <w:b/>
              <w:bCs/>
              <w:sz w:val="24"/>
              <w:szCs w:val="24"/>
              <w:lang w:eastAsia="zh-CN"/>
            </w:rPr>
          </w:pPr>
          <w:r w:rsidRPr="00914AAF">
            <w:rPr>
              <w:rFonts w:ascii="Times New Roman" w:hAnsi="Times New Roman" w:cs="Times New Roman"/>
              <w:b/>
              <w:bCs/>
              <w:sz w:val="24"/>
              <w:szCs w:val="24"/>
              <w:lang w:eastAsia="zh-CN"/>
            </w:rPr>
            <w:t>2.3.2 The need to improve market competitiveness</w:t>
          </w:r>
        </w:p>
        <w:p w14:paraId="0479D5CB" w14:textId="77777777" w:rsidR="00721B49"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From the perspective of various financial performance indicators, the company's performance in various financial indicators is poor, indicating that the company's profitability and cost control ability are weak. This also indirectly reflects the insufficient market competitiveness of the company's products, which will pose challenges to the company's future survival and development. In order to enhance the market competitiveness of the company's products and increase their market share, business process reengineering is an effective and necessary means. Appropriate business process reengineering can help the company standardize processes, improve operational efficiency, and achieve double performance and long-term stable development.</w:t>
          </w:r>
        </w:p>
        <w:p w14:paraId="510B8CCF" w14:textId="77777777" w:rsidR="00721B49" w:rsidRPr="00914AAF" w:rsidRDefault="00721B49" w:rsidP="00721B49">
          <w:pPr>
            <w:spacing w:after="0" w:line="360" w:lineRule="auto"/>
            <w:jc w:val="both"/>
            <w:rPr>
              <w:rFonts w:ascii="Times New Roman" w:hAnsi="Times New Roman" w:cs="Times New Roman"/>
              <w:b/>
              <w:bCs/>
              <w:sz w:val="24"/>
              <w:szCs w:val="24"/>
              <w:lang w:eastAsia="zh-CN"/>
            </w:rPr>
          </w:pPr>
          <w:r w:rsidRPr="00914AAF">
            <w:rPr>
              <w:rFonts w:ascii="Times New Roman" w:hAnsi="Times New Roman" w:cs="Times New Roman"/>
              <w:b/>
              <w:bCs/>
              <w:sz w:val="24"/>
              <w:szCs w:val="24"/>
              <w:lang w:eastAsia="zh-CN"/>
            </w:rPr>
            <w:t>2.3.3 The need to improve internal business processes</w:t>
          </w:r>
        </w:p>
        <w:p w14:paraId="3F6E529F" w14:textId="4325C6A7" w:rsidR="00DF3B0A"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 xml:space="preserve">From the analysis above, it can be seen that there are still many problems in the internal business processes of the company. Therefore, in order to improve the operational efficiency of the company and meet the needs of its future development, the company needs to adopt the </w:t>
          </w:r>
          <w:r w:rsidRPr="00721B49">
            <w:rPr>
              <w:rFonts w:ascii="Times New Roman" w:hAnsi="Times New Roman" w:cs="Times New Roman"/>
              <w:sz w:val="24"/>
              <w:szCs w:val="24"/>
              <w:lang w:eastAsia="zh-CN"/>
            </w:rPr>
            <w:lastRenderedPageBreak/>
            <w:t>means of business process reengineering to ensure its safe survival in the fiercely competitive market and achieve further development in the future.</w:t>
          </w:r>
        </w:p>
        <w:p w14:paraId="500FC838" w14:textId="77777777" w:rsidR="00914AAF" w:rsidRDefault="00914AAF" w:rsidP="00AA2A91">
          <w:pPr>
            <w:pStyle w:val="1"/>
          </w:pPr>
          <w:r>
            <w:br w:type="page"/>
          </w:r>
        </w:p>
        <w:p w14:paraId="5C67928C" w14:textId="6AEE390E" w:rsidR="00AA2A91" w:rsidRDefault="00AA2A91" w:rsidP="00AA2A91">
          <w:pPr>
            <w:pStyle w:val="1"/>
          </w:pPr>
          <w:bookmarkStart w:id="5" w:name="_Toc134635629"/>
          <w:r>
            <w:lastRenderedPageBreak/>
            <w:t>Conclusion</w:t>
          </w:r>
          <w:r w:rsidR="00D854A5">
            <w:t xml:space="preserve"> </w:t>
          </w:r>
          <w:r w:rsidR="00D854A5" w:rsidRPr="00D854A5">
            <w:t>(average of 10% of word count)</w:t>
          </w:r>
          <w:bookmarkEnd w:id="5"/>
        </w:p>
        <w:p w14:paraId="0ABC39D3" w14:textId="74F0B89C" w:rsidR="00AA2A91" w:rsidRPr="00466C53" w:rsidRDefault="00A70118" w:rsidP="00466C53">
          <w:pPr>
            <w:spacing w:after="0" w:line="360" w:lineRule="auto"/>
            <w:jc w:val="both"/>
            <w:rPr>
              <w:rFonts w:ascii="Times New Roman" w:hAnsi="Times New Roman" w:cs="Times New Roman"/>
              <w:sz w:val="24"/>
              <w:szCs w:val="24"/>
            </w:rPr>
          </w:pPr>
          <w:r w:rsidRPr="00EA05EF">
            <w:rPr>
              <w:rFonts w:ascii="Times New Roman" w:hAnsi="Times New Roman" w:cs="Times New Roman"/>
              <w:sz w:val="24"/>
              <w:szCs w:val="24"/>
            </w:rPr>
            <w:t xml:space="preserve">The research content of this report includes two parts. The first part </w:t>
          </w:r>
          <w:r w:rsidR="00EA05EF">
            <w:rPr>
              <w:rFonts w:ascii="Times New Roman" w:hAnsi="Times New Roman" w:cs="Times New Roman"/>
              <w:sz w:val="24"/>
              <w:szCs w:val="24"/>
            </w:rPr>
            <w:t>analyse</w:t>
          </w:r>
          <w:r w:rsidRPr="00EA05EF">
            <w:rPr>
              <w:rFonts w:ascii="Times New Roman" w:hAnsi="Times New Roman" w:cs="Times New Roman"/>
              <w:sz w:val="24"/>
              <w:szCs w:val="24"/>
            </w:rPr>
            <w:t xml:space="preserve">s the Portal enterprise and finds that the performance indicators of the manufacturing/sales department are very good in all aspects, creating a considerable amount of value for the enterprise, while the service department performs average and creates low value. In terms of transfer pricing, this report believes that it is more suitable to use the market price method for maintenance within the warranty period, while it is more suitable to use the </w:t>
          </w:r>
          <w:proofErr w:type="gramStart"/>
          <w:r w:rsidRPr="00EA05EF">
            <w:rPr>
              <w:rFonts w:ascii="Times New Roman" w:hAnsi="Times New Roman" w:cs="Times New Roman"/>
              <w:sz w:val="24"/>
              <w:szCs w:val="24"/>
            </w:rPr>
            <w:t>cost plus</w:t>
          </w:r>
          <w:proofErr w:type="gramEnd"/>
          <w:r w:rsidRPr="00EA05EF">
            <w:rPr>
              <w:rFonts w:ascii="Times New Roman" w:hAnsi="Times New Roman" w:cs="Times New Roman"/>
              <w:sz w:val="24"/>
              <w:szCs w:val="24"/>
            </w:rPr>
            <w:t xml:space="preserve"> method for maintenance beyond the warranty period. Afterwards, the impact of the new execution information system on enterprise performance management was discussed, mainly reflected in four aspects: integrating strategy, promoting performance management implementation, improving performance management efficiency, and supporting decision-making through performance analysis. The second part </w:t>
          </w:r>
          <w:r w:rsidR="00EA05EF">
            <w:rPr>
              <w:rFonts w:ascii="Times New Roman" w:hAnsi="Times New Roman" w:cs="Times New Roman"/>
              <w:sz w:val="24"/>
              <w:szCs w:val="24"/>
            </w:rPr>
            <w:t>analyse</w:t>
          </w:r>
          <w:r w:rsidRPr="00EA05EF">
            <w:rPr>
              <w:rFonts w:ascii="Times New Roman" w:hAnsi="Times New Roman" w:cs="Times New Roman"/>
              <w:sz w:val="24"/>
              <w:szCs w:val="24"/>
            </w:rPr>
            <w:t xml:space="preserve">s the performance status of </w:t>
          </w:r>
          <w:proofErr w:type="spellStart"/>
          <w:r w:rsidRPr="00EA05EF">
            <w:rPr>
              <w:rFonts w:ascii="Times New Roman" w:hAnsi="Times New Roman" w:cs="Times New Roman"/>
              <w:sz w:val="24"/>
              <w:szCs w:val="24"/>
            </w:rPr>
            <w:t>Troyland</w:t>
          </w:r>
          <w:proofErr w:type="spellEnd"/>
          <w:r w:rsidRPr="00EA05EF">
            <w:rPr>
              <w:rFonts w:ascii="Times New Roman" w:hAnsi="Times New Roman" w:cs="Times New Roman"/>
              <w:sz w:val="24"/>
              <w:szCs w:val="24"/>
            </w:rPr>
            <w:t xml:space="preserve"> Limited. Through analysis, it was found that the company is currently facing various growth crises, including incomplete management systems, increased costs, weak risk resistance, policy changes, fierce market competition, and economic downturn. Afterwards, a balanced scorecard was used to </w:t>
          </w:r>
          <w:r w:rsidR="00EA05EF">
            <w:rPr>
              <w:rFonts w:ascii="Times New Roman" w:hAnsi="Times New Roman" w:cs="Times New Roman"/>
              <w:sz w:val="24"/>
              <w:szCs w:val="24"/>
            </w:rPr>
            <w:t>analyse</w:t>
          </w:r>
          <w:r w:rsidRPr="00EA05EF">
            <w:rPr>
              <w:rFonts w:ascii="Times New Roman" w:hAnsi="Times New Roman" w:cs="Times New Roman"/>
              <w:sz w:val="24"/>
              <w:szCs w:val="24"/>
            </w:rPr>
            <w:t xml:space="preserve"> the company's performance, and it was found that the company performed poorly in three dimensions: finance, customers, and internal business processes, with significant room for improvement. Finally, this report believes that the company needs to carry out business process reengineering, mainly due to the need for strategic adjustment, the need to improve market competitiveness, and the need to improve internal business processes.</w:t>
          </w:r>
        </w:p>
        <w:p w14:paraId="0F64F832" w14:textId="77777777" w:rsidR="00466C53" w:rsidRDefault="00466C53" w:rsidP="00AA2A91">
          <w:pPr>
            <w:pStyle w:val="1"/>
          </w:pPr>
          <w:r>
            <w:br w:type="page"/>
          </w:r>
        </w:p>
        <w:p w14:paraId="5409C544" w14:textId="0EE81E43" w:rsidR="001030A5" w:rsidRDefault="00AA2A91" w:rsidP="00582037">
          <w:pPr>
            <w:pStyle w:val="1"/>
          </w:pPr>
          <w:bookmarkStart w:id="6" w:name="_Toc134635630"/>
          <w:r>
            <w:lastRenderedPageBreak/>
            <w:t>Bibliography</w:t>
          </w:r>
          <w:bookmarkEnd w:id="6"/>
        </w:p>
        <w:p w14:paraId="5C8B292F" w14:textId="7217DF9A" w:rsidR="005A2E4C" w:rsidRPr="00206899" w:rsidRDefault="001030A5"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Argyres</w:t>
          </w:r>
          <w:proofErr w:type="spellEnd"/>
          <w:r w:rsidRPr="00206899">
            <w:rPr>
              <w:rFonts w:ascii="Times New Roman" w:hAnsi="Times New Roman" w:cs="Times New Roman"/>
            </w:rPr>
            <w:t>, N., Mahoney, J.T. and Nickerson, J. (2019) ‘Strategic responses to shocks: Comparative adjustment costs, transaction costs, and opportunity costs’, Strategic management journal, 40(3), pp. 357–376. Available at: https://doi.org/10.1002/smj.2984.</w:t>
          </w:r>
        </w:p>
        <w:p w14:paraId="7A44A6D1" w14:textId="3F7D0919" w:rsidR="00B304AE" w:rsidRPr="00206899" w:rsidRDefault="00B304AE"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Bernardin, H.J. (1986) ‘Subordinate appraisal: A valuable source of information about managers’, Human resource management, 25(3), pp. 421–439. Available at: https://doi.org/10.1002/hrm.3930250307.</w:t>
          </w:r>
          <w:r w:rsidRPr="00206899">
            <w:rPr>
              <w:rFonts w:ascii="Times New Roman" w:hAnsi="Times New Roman" w:cs="Times New Roman"/>
            </w:rPr>
            <w:t xml:space="preserve"> </w:t>
          </w:r>
        </w:p>
        <w:p w14:paraId="752D278F" w14:textId="6948C7A9" w:rsidR="00403A3A" w:rsidRPr="00206899" w:rsidRDefault="004E0F2E"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Bateman, T.S. and Organ, D.W. (1983) ‘Job Satisfaction and the Good Soldier: The Relationship between Affect and Employee “Citizenship”’, Academy of Management journal, 26(4), pp. 587–595. Available at: https://doi.org/10.5465/255908.</w:t>
          </w:r>
          <w:r w:rsidRPr="00206899">
            <w:rPr>
              <w:rFonts w:ascii="Times New Roman" w:hAnsi="Times New Roman" w:cs="Times New Roman"/>
            </w:rPr>
            <w:t xml:space="preserve"> </w:t>
          </w:r>
        </w:p>
      </w:sdtContent>
    </w:sdt>
    <w:p w14:paraId="392AF4B6" w14:textId="77777777" w:rsidR="00206899" w:rsidRPr="00206899" w:rsidRDefault="00403A3A" w:rsidP="00206899">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Brugger, F. and </w:t>
      </w:r>
      <w:proofErr w:type="spellStart"/>
      <w:r w:rsidRPr="00206899">
        <w:rPr>
          <w:rFonts w:ascii="Times New Roman" w:hAnsi="Times New Roman" w:cs="Times New Roman"/>
        </w:rPr>
        <w:t>Engebretsen</w:t>
      </w:r>
      <w:proofErr w:type="spellEnd"/>
      <w:r w:rsidRPr="00206899">
        <w:rPr>
          <w:rFonts w:ascii="Times New Roman" w:hAnsi="Times New Roman" w:cs="Times New Roman"/>
        </w:rPr>
        <w:t xml:space="preserve">, R. (2022) ‘Defenders of the status quo: making sense of the international discourse on transfer pricing methodologies’, Review of international political </w:t>
      </w:r>
      <w:proofErr w:type="gramStart"/>
      <w:r w:rsidRPr="00206899">
        <w:rPr>
          <w:rFonts w:ascii="Times New Roman" w:hAnsi="Times New Roman" w:cs="Times New Roman"/>
        </w:rPr>
        <w:t>economy :</w:t>
      </w:r>
      <w:proofErr w:type="gramEnd"/>
      <w:r w:rsidRPr="00206899">
        <w:rPr>
          <w:rFonts w:ascii="Times New Roman" w:hAnsi="Times New Roman" w:cs="Times New Roman"/>
        </w:rPr>
        <w:t xml:space="preserve"> RIPE, 29(1), pp. 307–335. Available at: https://doi.org/10.1080/09692290.2020.1807386.</w:t>
      </w:r>
    </w:p>
    <w:p w14:paraId="60636F28" w14:textId="0EB0088C" w:rsidR="00DD571D" w:rsidRPr="00206899" w:rsidRDefault="00206899" w:rsidP="00206899">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 Cokins, G. (2009) Performance management integrating strategy execution, methodologies, risk, and analytics. Hoboken, N.J: Wiley.</w:t>
      </w:r>
    </w:p>
    <w:p w14:paraId="5323448C" w14:textId="3B3FF475" w:rsidR="00AC6DF1" w:rsidRPr="00206899" w:rsidRDefault="00DD571D"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Dimson, E. et al. (2009) Triumph of the </w:t>
      </w:r>
      <w:proofErr w:type="gramStart"/>
      <w:r w:rsidRPr="00206899">
        <w:rPr>
          <w:rFonts w:ascii="Times New Roman" w:hAnsi="Times New Roman" w:cs="Times New Roman"/>
        </w:rPr>
        <w:t>Optimists :</w:t>
      </w:r>
      <w:proofErr w:type="gramEnd"/>
      <w:r w:rsidRPr="00206899">
        <w:rPr>
          <w:rFonts w:ascii="Times New Roman" w:hAnsi="Times New Roman" w:cs="Times New Roman"/>
        </w:rPr>
        <w:t xml:space="preserve"> 101 Years of Global Investment Returns. Course Book. Princeton, NJ: Princeton University </w:t>
      </w:r>
      <w:proofErr w:type="gramStart"/>
      <w:r w:rsidRPr="00206899">
        <w:rPr>
          <w:rFonts w:ascii="Times New Roman" w:hAnsi="Times New Roman" w:cs="Times New Roman"/>
        </w:rPr>
        <w:t>Press,.</w:t>
      </w:r>
      <w:proofErr w:type="gramEnd"/>
      <w:r w:rsidRPr="00206899">
        <w:rPr>
          <w:rFonts w:ascii="Times New Roman" w:hAnsi="Times New Roman" w:cs="Times New Roman"/>
        </w:rPr>
        <w:t xml:space="preserve"> Available at: https://doi.org/10.1515/9781400829477.</w:t>
      </w:r>
    </w:p>
    <w:p w14:paraId="37CBC528" w14:textId="681C0660" w:rsidR="001030A5" w:rsidRPr="00206899" w:rsidRDefault="00AC6DF1"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Enterprise information systems concepts, methodologies, tools and applications. Volume 1 (2011). Hershey, Pa: Information Science Reference.</w:t>
      </w:r>
    </w:p>
    <w:p w14:paraId="37EAC867" w14:textId="01FCB007" w:rsidR="00AC6DF1" w:rsidRPr="00206899" w:rsidRDefault="001030A5"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Fandray</w:t>
      </w:r>
      <w:proofErr w:type="spellEnd"/>
      <w:r w:rsidRPr="00206899">
        <w:rPr>
          <w:rFonts w:ascii="Times New Roman" w:hAnsi="Times New Roman" w:cs="Times New Roman"/>
        </w:rPr>
        <w:t xml:space="preserve">, D. (2001) ‘The New Thinking in Performance Appraisals’, Workforce (Costa Mesa, Calif.), 80(5), p. 36–. </w:t>
      </w:r>
    </w:p>
    <w:p w14:paraId="1666FB39" w14:textId="5D9F0C40" w:rsidR="00D94BF4" w:rsidRPr="00206899" w:rsidRDefault="0008425B"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Guilding</w:t>
      </w:r>
      <w:proofErr w:type="spellEnd"/>
      <w:r w:rsidRPr="00206899">
        <w:rPr>
          <w:rFonts w:ascii="Times New Roman" w:hAnsi="Times New Roman" w:cs="Times New Roman"/>
        </w:rPr>
        <w:t xml:space="preserve">, C., Drury, C. and </w:t>
      </w:r>
      <w:proofErr w:type="spellStart"/>
      <w:r w:rsidRPr="00206899">
        <w:rPr>
          <w:rFonts w:ascii="Times New Roman" w:hAnsi="Times New Roman" w:cs="Times New Roman"/>
        </w:rPr>
        <w:t>Tayles</w:t>
      </w:r>
      <w:proofErr w:type="spellEnd"/>
      <w:r w:rsidRPr="00206899">
        <w:rPr>
          <w:rFonts w:ascii="Times New Roman" w:hAnsi="Times New Roman" w:cs="Times New Roman"/>
        </w:rPr>
        <w:t>, M. (2005) ‘An empirical investigation of the importance of cost-plus pricing’, Managerial auditing journal, 20(2), pp. 125–137. Available at: https://doi.org/10.1108/02686900510574548.</w:t>
      </w:r>
    </w:p>
    <w:p w14:paraId="598AF76F" w14:textId="34892ADB" w:rsidR="00D94BF4" w:rsidRPr="00206899" w:rsidRDefault="00D94BF4"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Hegazy</w:t>
      </w:r>
      <w:proofErr w:type="spellEnd"/>
      <w:r w:rsidRPr="00206899">
        <w:rPr>
          <w:rFonts w:ascii="Times New Roman" w:hAnsi="Times New Roman" w:cs="Times New Roman"/>
        </w:rPr>
        <w:t xml:space="preserve">, M., </w:t>
      </w:r>
      <w:proofErr w:type="spellStart"/>
      <w:r w:rsidRPr="00206899">
        <w:rPr>
          <w:rFonts w:ascii="Times New Roman" w:hAnsi="Times New Roman" w:cs="Times New Roman"/>
        </w:rPr>
        <w:t>Hegazy</w:t>
      </w:r>
      <w:proofErr w:type="spellEnd"/>
      <w:r w:rsidRPr="00206899">
        <w:rPr>
          <w:rFonts w:ascii="Times New Roman" w:hAnsi="Times New Roman" w:cs="Times New Roman"/>
        </w:rPr>
        <w:t xml:space="preserve">, K. and </w:t>
      </w:r>
      <w:proofErr w:type="spellStart"/>
      <w:r w:rsidRPr="00206899">
        <w:rPr>
          <w:rFonts w:ascii="Times New Roman" w:hAnsi="Times New Roman" w:cs="Times New Roman"/>
        </w:rPr>
        <w:t>Eldeeb</w:t>
      </w:r>
      <w:proofErr w:type="spellEnd"/>
      <w:r w:rsidRPr="00206899">
        <w:rPr>
          <w:rFonts w:ascii="Times New Roman" w:hAnsi="Times New Roman" w:cs="Times New Roman"/>
        </w:rPr>
        <w:t>, M. (2022) ‘The Balanced Scorecard: Measures That Drive Performance Evaluation in Auditing Firms’, Journal of accounting, auditing &amp; finance, 37(4), pp. 902–927. Available at: https://doi.org/10.1177/0148558X20962915.</w:t>
      </w:r>
    </w:p>
    <w:p w14:paraId="6D935CF7" w14:textId="50F34D20" w:rsidR="00C02137" w:rsidRPr="00206899" w:rsidRDefault="00591DC9"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Jasson</w:t>
      </w:r>
      <w:proofErr w:type="spellEnd"/>
      <w:r w:rsidRPr="00206899">
        <w:rPr>
          <w:rFonts w:ascii="Times New Roman" w:hAnsi="Times New Roman" w:cs="Times New Roman"/>
        </w:rPr>
        <w:t xml:space="preserve">, C.C. and Govender, C.M. (2017) ‘Measuring return on investment and risk in training – a business training evaluation model for managers and leaders’, Acta </w:t>
      </w:r>
      <w:proofErr w:type="spellStart"/>
      <w:r w:rsidRPr="00206899">
        <w:rPr>
          <w:rFonts w:ascii="Times New Roman" w:hAnsi="Times New Roman" w:cs="Times New Roman"/>
        </w:rPr>
        <w:t>commercii</w:t>
      </w:r>
      <w:proofErr w:type="spellEnd"/>
      <w:r w:rsidRPr="00206899">
        <w:rPr>
          <w:rFonts w:ascii="Times New Roman" w:hAnsi="Times New Roman" w:cs="Times New Roman"/>
        </w:rPr>
        <w:t>, 17(1), pp. 1–9. Available at: https://doi.org/10.4102/ac.v17i1.401.</w:t>
      </w:r>
    </w:p>
    <w:p w14:paraId="5321C4BD" w14:textId="6C404788" w:rsidR="00C02137" w:rsidRPr="00206899" w:rsidRDefault="00C02137"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Khosrow-pour and Khosrow-Pour, M. (2006) Cases on Information Technology and Business Process Reengineering. Place of publication not identified: IGI Global.</w:t>
      </w:r>
    </w:p>
    <w:p w14:paraId="3B4E93DA" w14:textId="5FE7AD8C" w:rsidR="00001FAA" w:rsidRPr="00206899" w:rsidRDefault="00001FAA"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Kumar, S. et al. (2021) ‘What do we know about transfer pricing? Insights from bibliometric analysis’, Journal of business research, 134, pp. 275–287. Available at: https://doi.org/10.1016/j.jbusres.2021.05.041.</w:t>
      </w:r>
    </w:p>
    <w:p w14:paraId="7D02C7C2" w14:textId="1FB742EA" w:rsidR="00893A5A" w:rsidRPr="00206899" w:rsidRDefault="00F066B9"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Magni</w:t>
      </w:r>
      <w:proofErr w:type="spellEnd"/>
      <w:r w:rsidRPr="00206899">
        <w:rPr>
          <w:rFonts w:ascii="Times New Roman" w:hAnsi="Times New Roman" w:cs="Times New Roman"/>
        </w:rPr>
        <w:t>, C.A. (2009) ‘Splitting up value: A critical review of residual income theories’, European journal of operational research, 198(1), pp. 1–22. Available at: https://doi.org/10.1016/j.ejor.2008.09.018.</w:t>
      </w:r>
    </w:p>
    <w:p w14:paraId="6544BC41" w14:textId="7D91A316" w:rsidR="00D87A74" w:rsidRPr="00206899" w:rsidRDefault="00893A5A"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Magni</w:t>
      </w:r>
      <w:proofErr w:type="spellEnd"/>
      <w:r w:rsidRPr="00206899">
        <w:rPr>
          <w:rFonts w:ascii="Times New Roman" w:hAnsi="Times New Roman" w:cs="Times New Roman"/>
        </w:rPr>
        <w:t>, C.A. (2021) ‘Economic profitability and (non)additivity of residual income’, Annals of finance, 17(4), pp. 471–499. Available at: https://doi.org/10.1007/s10436-021-00388-2.</w:t>
      </w:r>
    </w:p>
    <w:p w14:paraId="285F15F9" w14:textId="6316B3E8" w:rsidR="00D87A74" w:rsidRPr="00206899" w:rsidRDefault="00D87A74"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lastRenderedPageBreak/>
        <w:t>Markose, S. et al. (2021) ‘Early warning of systemic risk in global banking: eigen-pair R number for financial contagion and market price-based methods’, Annals of operations research [Preprint]. Available at: https://doi.org/10.1007/s10479-021-04120-1.</w:t>
      </w:r>
    </w:p>
    <w:p w14:paraId="3DA59E54" w14:textId="7E59FC47" w:rsidR="001030A5" w:rsidRPr="00206899" w:rsidRDefault="00BC525C"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MUNTEANU, V. and </w:t>
      </w:r>
      <w:proofErr w:type="spellStart"/>
      <w:r w:rsidRPr="00206899">
        <w:rPr>
          <w:rFonts w:ascii="Times New Roman" w:hAnsi="Times New Roman" w:cs="Times New Roman"/>
        </w:rPr>
        <w:t>Guni</w:t>
      </w:r>
      <w:proofErr w:type="spellEnd"/>
      <w:r w:rsidRPr="00206899">
        <w:rPr>
          <w:rFonts w:ascii="Times New Roman" w:hAnsi="Times New Roman" w:cs="Times New Roman"/>
        </w:rPr>
        <w:t>, C.N. (2014) ‘THE ADDED ECONOMIC VALUE – AN INSTRUMENT FOR THE PERFORMANCE MEASUREMENT’, Economics, Management, and Financial Markets, 9(4), pp. 167–174.</w:t>
      </w:r>
    </w:p>
    <w:p w14:paraId="1E1BE166" w14:textId="7996FF90" w:rsidR="00BC525C" w:rsidRPr="00206899" w:rsidRDefault="001030A5"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Othman, A.R.M. (2002) The relevance of adopting business process reengineering (BPR) and service quality management (SQ) in </w:t>
      </w:r>
      <w:proofErr w:type="gramStart"/>
      <w:r w:rsidRPr="00206899">
        <w:rPr>
          <w:rFonts w:ascii="Times New Roman" w:hAnsi="Times New Roman" w:cs="Times New Roman"/>
        </w:rPr>
        <w:t>Islamic  bank</w:t>
      </w:r>
      <w:proofErr w:type="gramEnd"/>
      <w:r w:rsidRPr="00206899">
        <w:rPr>
          <w:rFonts w:ascii="Times New Roman" w:hAnsi="Times New Roman" w:cs="Times New Roman"/>
        </w:rPr>
        <w:t xml:space="preserve"> management : a case study in Kuwait.</w:t>
      </w:r>
    </w:p>
    <w:p w14:paraId="3F12F48C" w14:textId="3FAFCDFE" w:rsidR="00703901" w:rsidRPr="00206899" w:rsidRDefault="001030A5"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Pamenter</w:t>
      </w:r>
      <w:proofErr w:type="spellEnd"/>
      <w:r w:rsidRPr="00206899">
        <w:rPr>
          <w:rFonts w:ascii="Times New Roman" w:hAnsi="Times New Roman" w:cs="Times New Roman"/>
        </w:rPr>
        <w:t xml:space="preserve">, F. (2000) ‘Moving from Appraisals to EMPLOYEE ENHANCEMENT’, Canadian manager, 25(1), p. 13–. </w:t>
      </w:r>
    </w:p>
    <w:p w14:paraId="478ABC89" w14:textId="4688A8B9" w:rsidR="00582037" w:rsidRPr="00206899" w:rsidRDefault="00703901"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Quesada, H. and </w:t>
      </w:r>
      <w:proofErr w:type="spellStart"/>
      <w:r w:rsidRPr="00206899">
        <w:rPr>
          <w:rFonts w:ascii="Times New Roman" w:hAnsi="Times New Roman" w:cs="Times New Roman"/>
        </w:rPr>
        <w:t>Gazo</w:t>
      </w:r>
      <w:proofErr w:type="spellEnd"/>
      <w:r w:rsidRPr="00206899">
        <w:rPr>
          <w:rFonts w:ascii="Times New Roman" w:hAnsi="Times New Roman" w:cs="Times New Roman"/>
        </w:rPr>
        <w:t>, R. (2007) ‘Methodology for determining key internal business processes based on critical success factors: A case study in furniture industry’, Business process management journal, 13(1), pp. 5–20. Available at: https://doi.org/10.1108/14637150710721104.</w:t>
      </w:r>
    </w:p>
    <w:p w14:paraId="1204A67E" w14:textId="306FBA59" w:rsidR="00582037" w:rsidRPr="00206899" w:rsidRDefault="00582037"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  Ramirez, R. and Arvidsson, N. (2005) ‘Aesthetics of business innovation: Experiencing “internal process” versus “external jolts”’, Innovation (North Sydney), 7(4), pp. 373–388. Available at: https://doi.org/10.5172/impp.2005.7.4.373.</w:t>
      </w:r>
    </w:p>
    <w:p w14:paraId="52C00CC1" w14:textId="12E58860" w:rsidR="00482376" w:rsidRPr="00206899" w:rsidRDefault="00482376"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Rogers, H. and Oats, L. (2022) ‘Transfer pricing: changing views in changing times’, </w:t>
      </w:r>
      <w:proofErr w:type="gramStart"/>
      <w:r w:rsidRPr="00206899">
        <w:rPr>
          <w:rFonts w:ascii="Times New Roman" w:hAnsi="Times New Roman" w:cs="Times New Roman"/>
        </w:rPr>
        <w:t>Accounting</w:t>
      </w:r>
      <w:proofErr w:type="gramEnd"/>
      <w:r w:rsidRPr="00206899">
        <w:rPr>
          <w:rFonts w:ascii="Times New Roman" w:hAnsi="Times New Roman" w:cs="Times New Roman"/>
        </w:rPr>
        <w:t xml:space="preserve"> forum, 46(1), pp. 83–107. Available at: https://doi.org/10.1080/01559982.2021.1926778.</w:t>
      </w:r>
    </w:p>
    <w:p w14:paraId="07323D30" w14:textId="1BD556F4" w:rsidR="00E9521C" w:rsidRPr="00206899" w:rsidRDefault="00591DC9"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Schechner</w:t>
      </w:r>
      <w:proofErr w:type="spellEnd"/>
      <w:r w:rsidRPr="00206899">
        <w:rPr>
          <w:rFonts w:ascii="Times New Roman" w:hAnsi="Times New Roman" w:cs="Times New Roman"/>
        </w:rPr>
        <w:t>, R. (2004). Performance theory. Routledge.</w:t>
      </w:r>
    </w:p>
    <w:p w14:paraId="64A5A3C4" w14:textId="13715A87" w:rsidR="00482376" w:rsidRPr="00206899" w:rsidRDefault="00E9521C"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Schindehutte</w:t>
      </w:r>
      <w:proofErr w:type="spellEnd"/>
      <w:r w:rsidRPr="00206899">
        <w:rPr>
          <w:rFonts w:ascii="Times New Roman" w:hAnsi="Times New Roman" w:cs="Times New Roman"/>
        </w:rPr>
        <w:t xml:space="preserve">, M. and Morris, M.H. (2001) ‘Understanding strategic adaptation in small firms’, </w:t>
      </w:r>
      <w:proofErr w:type="gramStart"/>
      <w:r w:rsidRPr="00206899">
        <w:rPr>
          <w:rFonts w:ascii="Times New Roman" w:hAnsi="Times New Roman" w:cs="Times New Roman"/>
        </w:rPr>
        <w:t>International</w:t>
      </w:r>
      <w:proofErr w:type="gramEnd"/>
      <w:r w:rsidRPr="00206899">
        <w:rPr>
          <w:rFonts w:ascii="Times New Roman" w:hAnsi="Times New Roman" w:cs="Times New Roman"/>
        </w:rPr>
        <w:t xml:space="preserve"> journal of entrepreneurial behaviour &amp; research, 7(3), pp. 84–107. Available at: https://doi.org/10.1108/EUM0000000005532.</w:t>
      </w:r>
    </w:p>
    <w:p w14:paraId="0BFA722F" w14:textId="4C8132F8" w:rsidR="009A6214" w:rsidRPr="00206899" w:rsidRDefault="00BC525C"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Sloof</w:t>
      </w:r>
      <w:proofErr w:type="spellEnd"/>
      <w:r w:rsidRPr="00206899">
        <w:rPr>
          <w:rFonts w:ascii="Times New Roman" w:hAnsi="Times New Roman" w:cs="Times New Roman"/>
        </w:rPr>
        <w:t xml:space="preserve">, R. and van </w:t>
      </w:r>
      <w:proofErr w:type="spellStart"/>
      <w:r w:rsidRPr="00206899">
        <w:rPr>
          <w:rFonts w:ascii="Times New Roman" w:hAnsi="Times New Roman" w:cs="Times New Roman"/>
        </w:rPr>
        <w:t>Praag</w:t>
      </w:r>
      <w:proofErr w:type="spellEnd"/>
      <w:r w:rsidRPr="00206899">
        <w:rPr>
          <w:rFonts w:ascii="Times New Roman" w:hAnsi="Times New Roman" w:cs="Times New Roman"/>
        </w:rPr>
        <w:t>, M. (2015) ‘Testing for Distortions in Performance Measures: An Application to Residual Income-Based Measures like Economic Value Added’, Journal of economics &amp; management strategy, 24(1), pp. 74–91. Available at: https://doi.org/10.1111/jems.12080.</w:t>
      </w:r>
    </w:p>
    <w:p w14:paraId="5D26A9EA" w14:textId="2A19A469" w:rsidR="009A6214" w:rsidRPr="00206899" w:rsidRDefault="009A6214"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Sikka, P. and Willmott, H. (2010) ‘The dark side of transfer pricing: Its role in tax avoidance and wealth retentiveness’, Critical perspectives on accounting, 21(4), pp. 342–356. Available at: https://doi.org/10.1016/j.cpa.2010.02.004.</w:t>
      </w:r>
    </w:p>
    <w:p w14:paraId="04954368" w14:textId="254E03CD" w:rsidR="00903241" w:rsidRPr="00206899" w:rsidRDefault="00510DB9"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Theron, C.C. and Spangenberg, H.H. (2001) ‘Adapting the systems model of performance management to major changes in the external and internal organisational environments’, South African journal of business management, 32(1), pp. 35–47. Available at: https://doi.org/10.4102/sajbm.v32i1.713. </w:t>
      </w:r>
    </w:p>
    <w:p w14:paraId="5886C7B9" w14:textId="4809F596" w:rsidR="00206899" w:rsidRPr="00206899" w:rsidRDefault="00903241" w:rsidP="00206899">
      <w:pPr>
        <w:pStyle w:val="a8"/>
        <w:numPr>
          <w:ilvl w:val="0"/>
          <w:numId w:val="1"/>
        </w:numPr>
        <w:ind w:firstLineChars="0"/>
        <w:rPr>
          <w:rFonts w:ascii="Times New Roman" w:hAnsi="Times New Roman" w:cs="Times New Roman"/>
        </w:rPr>
      </w:pPr>
      <w:r w:rsidRPr="00206899">
        <w:rPr>
          <w:rFonts w:ascii="Times New Roman" w:hAnsi="Times New Roman" w:cs="Times New Roman"/>
        </w:rPr>
        <w:t>Wang, J. (2013) Information systems and modern society social change and global development. Hershey, PA: Information Science Reference.</w:t>
      </w:r>
    </w:p>
    <w:p w14:paraId="4E464F9E" w14:textId="45A8E2D7" w:rsidR="00206899" w:rsidRPr="00206899" w:rsidRDefault="00206899" w:rsidP="00206899">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  Varma, A., </w:t>
      </w:r>
      <w:proofErr w:type="spellStart"/>
      <w:r w:rsidRPr="00206899">
        <w:rPr>
          <w:rFonts w:ascii="Times New Roman" w:hAnsi="Times New Roman" w:cs="Times New Roman"/>
        </w:rPr>
        <w:t>Budhwar</w:t>
      </w:r>
      <w:proofErr w:type="spellEnd"/>
      <w:r w:rsidRPr="00206899">
        <w:rPr>
          <w:rFonts w:ascii="Times New Roman" w:hAnsi="Times New Roman" w:cs="Times New Roman"/>
        </w:rPr>
        <w:t xml:space="preserve">, P.S. and </w:t>
      </w:r>
      <w:proofErr w:type="spellStart"/>
      <w:r w:rsidRPr="00206899">
        <w:rPr>
          <w:rFonts w:ascii="Times New Roman" w:hAnsi="Times New Roman" w:cs="Times New Roman"/>
        </w:rPr>
        <w:t>DeNisi</w:t>
      </w:r>
      <w:proofErr w:type="spellEnd"/>
      <w:r w:rsidRPr="00206899">
        <w:rPr>
          <w:rFonts w:ascii="Times New Roman" w:hAnsi="Times New Roman" w:cs="Times New Roman"/>
        </w:rPr>
        <w:t>, A.S. (2007) Performance management systems a global perspective. Abingdon [England</w:t>
      </w:r>
      <w:proofErr w:type="gramStart"/>
      <w:r w:rsidRPr="00206899">
        <w:rPr>
          <w:rFonts w:ascii="Times New Roman" w:hAnsi="Times New Roman" w:cs="Times New Roman"/>
        </w:rPr>
        <w:t>] ;</w:t>
      </w:r>
      <w:proofErr w:type="gramEnd"/>
      <w:r w:rsidRPr="00206899">
        <w:rPr>
          <w:rFonts w:ascii="Times New Roman" w:hAnsi="Times New Roman" w:cs="Times New Roman"/>
        </w:rPr>
        <w:t>: Routledge.</w:t>
      </w:r>
    </w:p>
    <w:p w14:paraId="3B1762C9" w14:textId="59FB3D3D" w:rsidR="00DF3B0A" w:rsidRPr="00206899" w:rsidRDefault="00D94BF4"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Wiraeus</w:t>
      </w:r>
      <w:proofErr w:type="spellEnd"/>
      <w:r w:rsidRPr="00206899">
        <w:rPr>
          <w:rFonts w:ascii="Times New Roman" w:hAnsi="Times New Roman" w:cs="Times New Roman"/>
        </w:rPr>
        <w:t>, D. and Creelman, J. (2019) Agile Strategy Management in the Digital Age How Dynamic Balanced Scorecards Transform Decision Making, Speed and Effectiveness. 1st ed. 2019. Cham: Springer International Publishing. Available at: https://doi.org/10.1007/978-3-319-76309-5.</w:t>
      </w:r>
    </w:p>
    <w:sectPr w:rsidR="00DF3B0A" w:rsidRPr="00206899"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F3E95"/>
    <w:multiLevelType w:val="hybridMultilevel"/>
    <w:tmpl w:val="2FCACC44"/>
    <w:lvl w:ilvl="0" w:tplc="AAEEFCEE">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7504729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FAA"/>
    <w:rsid w:val="000232C6"/>
    <w:rsid w:val="0008425B"/>
    <w:rsid w:val="001030A5"/>
    <w:rsid w:val="00107936"/>
    <w:rsid w:val="00115B96"/>
    <w:rsid w:val="001549FF"/>
    <w:rsid w:val="002038B1"/>
    <w:rsid w:val="00206899"/>
    <w:rsid w:val="00246D28"/>
    <w:rsid w:val="00292977"/>
    <w:rsid w:val="002A4EA1"/>
    <w:rsid w:val="002D7CEF"/>
    <w:rsid w:val="00324CCD"/>
    <w:rsid w:val="003648BD"/>
    <w:rsid w:val="00403A3A"/>
    <w:rsid w:val="00466C53"/>
    <w:rsid w:val="00467E89"/>
    <w:rsid w:val="00470715"/>
    <w:rsid w:val="00480872"/>
    <w:rsid w:val="00482376"/>
    <w:rsid w:val="004A11F6"/>
    <w:rsid w:val="004B3831"/>
    <w:rsid w:val="004D519C"/>
    <w:rsid w:val="004E0F2E"/>
    <w:rsid w:val="005014C5"/>
    <w:rsid w:val="00510DB9"/>
    <w:rsid w:val="00582037"/>
    <w:rsid w:val="00591DC9"/>
    <w:rsid w:val="005A2E4C"/>
    <w:rsid w:val="005B7E56"/>
    <w:rsid w:val="005E207B"/>
    <w:rsid w:val="00681E9B"/>
    <w:rsid w:val="00693E27"/>
    <w:rsid w:val="006D5DAE"/>
    <w:rsid w:val="00703901"/>
    <w:rsid w:val="00721B49"/>
    <w:rsid w:val="007D1947"/>
    <w:rsid w:val="007E67B9"/>
    <w:rsid w:val="008003FB"/>
    <w:rsid w:val="00814FD1"/>
    <w:rsid w:val="00876CA7"/>
    <w:rsid w:val="00893A5A"/>
    <w:rsid w:val="00895905"/>
    <w:rsid w:val="008C7A4A"/>
    <w:rsid w:val="008D4C45"/>
    <w:rsid w:val="00900D71"/>
    <w:rsid w:val="00903241"/>
    <w:rsid w:val="00914AAF"/>
    <w:rsid w:val="00927953"/>
    <w:rsid w:val="00931CAA"/>
    <w:rsid w:val="009A6214"/>
    <w:rsid w:val="00A129D9"/>
    <w:rsid w:val="00A12B58"/>
    <w:rsid w:val="00A37362"/>
    <w:rsid w:val="00A4233F"/>
    <w:rsid w:val="00A70118"/>
    <w:rsid w:val="00AA2A91"/>
    <w:rsid w:val="00AC6DF1"/>
    <w:rsid w:val="00B304AE"/>
    <w:rsid w:val="00B50CB4"/>
    <w:rsid w:val="00B952D4"/>
    <w:rsid w:val="00BB2E06"/>
    <w:rsid w:val="00BC525C"/>
    <w:rsid w:val="00C02137"/>
    <w:rsid w:val="00C96735"/>
    <w:rsid w:val="00CA09F3"/>
    <w:rsid w:val="00CE2FDF"/>
    <w:rsid w:val="00D44385"/>
    <w:rsid w:val="00D47140"/>
    <w:rsid w:val="00D7169C"/>
    <w:rsid w:val="00D854A5"/>
    <w:rsid w:val="00D87A74"/>
    <w:rsid w:val="00D94BF4"/>
    <w:rsid w:val="00DD571D"/>
    <w:rsid w:val="00DF3B0A"/>
    <w:rsid w:val="00DF4260"/>
    <w:rsid w:val="00E6270F"/>
    <w:rsid w:val="00E85F36"/>
    <w:rsid w:val="00E91208"/>
    <w:rsid w:val="00E9521C"/>
    <w:rsid w:val="00EA05EF"/>
    <w:rsid w:val="00EB0BF8"/>
    <w:rsid w:val="00EF168B"/>
    <w:rsid w:val="00F066B9"/>
    <w:rsid w:val="00FA5877"/>
    <w:rsid w:val="00FD03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7D194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TOC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a"/>
    <w:next w:val="a"/>
    <w:autoRedefine/>
    <w:uiPriority w:val="39"/>
    <w:unhideWhenUsed/>
    <w:rsid w:val="00115B96"/>
    <w:pPr>
      <w:spacing w:after="100"/>
      <w:ind w:left="220"/>
    </w:pPr>
  </w:style>
  <w:style w:type="table" w:styleId="a6">
    <w:name w:val="Table Grid"/>
    <w:basedOn w:val="a1"/>
    <w:uiPriority w:val="39"/>
    <w:rsid w:val="00A129D9"/>
    <w:pPr>
      <w:spacing w:after="0" w:line="240" w:lineRule="auto"/>
    </w:pPr>
    <w:rPr>
      <w:kern w:val="2"/>
      <w:sz w:val="21"/>
      <w:lang w:val="en-US"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Unresolved Mention"/>
    <w:basedOn w:val="a0"/>
    <w:uiPriority w:val="99"/>
    <w:semiHidden/>
    <w:unhideWhenUsed/>
    <w:rsid w:val="00B304AE"/>
    <w:rPr>
      <w:color w:val="605E5C"/>
      <w:shd w:val="clear" w:color="auto" w:fill="E1DFDD"/>
    </w:rPr>
  </w:style>
  <w:style w:type="paragraph" w:styleId="a8">
    <w:name w:val="List Paragraph"/>
    <w:basedOn w:val="a"/>
    <w:uiPriority w:val="34"/>
    <w:qFormat/>
    <w:rsid w:val="00582037"/>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284491"/>
    <w:rsid w:val="003203C2"/>
    <w:rsid w:val="004D25D2"/>
    <w:rsid w:val="00565B40"/>
    <w:rsid w:val="009D7389"/>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B15A26-42CA-B54F-9963-1E6D88092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361</TotalTime>
  <Pages>19</Pages>
  <Words>5563</Words>
  <Characters>31712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37201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Performance Management</dc:title>
  <dc:subject>[Performance Analysis of Portal and Troyland]</dc:subject>
  <dc:creator>Marie Pitson</dc:creator>
  <cp:keywords/>
  <dc:description/>
  <cp:lastModifiedBy>增添 李</cp:lastModifiedBy>
  <cp:revision>77</cp:revision>
  <dcterms:created xsi:type="dcterms:W3CDTF">2023-03-10T11:13:00Z</dcterms:created>
  <dcterms:modified xsi:type="dcterms:W3CDTF">2023-05-10T10:30:00Z</dcterms:modified>
</cp:coreProperties>
</file>