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FA93A88" w14:textId="77777777" w:rsidR="00F83C2B" w:rsidRDefault="00F83C2B" w:rsidP="00F83C2B">
      <w:pPr>
        <w:jc w:val="center"/>
        <w:rPr>
          <w:rFonts w:ascii="Arial" w:hAnsi="Arial" w:cs="Arial"/>
          <w:b/>
          <w:bCs/>
          <w:sz w:val="38"/>
          <w:szCs w:val="38"/>
        </w:rPr>
      </w:pPr>
    </w:p>
    <w:p w14:paraId="44C04A07" w14:textId="241473BF" w:rsidR="00F83C2B" w:rsidRPr="009035C1" w:rsidRDefault="00F83C2B" w:rsidP="00F83C2B">
      <w:pPr>
        <w:jc w:val="center"/>
        <w:rPr>
          <w:rFonts w:ascii="Arial" w:hAnsi="Arial" w:cs="Arial"/>
          <w:sz w:val="38"/>
          <w:szCs w:val="38"/>
        </w:rPr>
      </w:pPr>
      <w:r w:rsidRPr="009035C1">
        <w:rPr>
          <w:rFonts w:ascii="Arial" w:hAnsi="Arial" w:cs="Arial"/>
          <w:b/>
          <w:bCs/>
          <w:sz w:val="38"/>
          <w:szCs w:val="38"/>
        </w:rPr>
        <w:t xml:space="preserve">Student Name: </w:t>
      </w:r>
      <w:r w:rsidRPr="009035C1">
        <w:rPr>
          <w:rFonts w:ascii="Arial" w:hAnsi="Arial" w:cs="Arial"/>
          <w:sz w:val="38"/>
          <w:szCs w:val="38"/>
        </w:rPr>
        <w:t>Sandra Adina</w:t>
      </w:r>
      <w:r>
        <w:rPr>
          <w:rFonts w:ascii="Arial" w:hAnsi="Arial" w:cs="Arial"/>
          <w:sz w:val="38"/>
          <w:szCs w:val="38"/>
        </w:rPr>
        <w:t xml:space="preserve"> </w:t>
      </w:r>
      <w:proofErr w:type="spellStart"/>
      <w:r>
        <w:rPr>
          <w:rFonts w:ascii="Arial" w:hAnsi="Arial" w:cs="Arial"/>
          <w:sz w:val="38"/>
          <w:szCs w:val="38"/>
        </w:rPr>
        <w:t>Ontica</w:t>
      </w:r>
      <w:proofErr w:type="spellEnd"/>
    </w:p>
    <w:p w14:paraId="1FE4BF78" w14:textId="77777777" w:rsidR="00F83C2B" w:rsidRPr="009035C1" w:rsidRDefault="00F83C2B" w:rsidP="00F83C2B">
      <w:pPr>
        <w:jc w:val="center"/>
        <w:rPr>
          <w:rFonts w:ascii="Arial" w:hAnsi="Arial" w:cs="Arial"/>
          <w:b/>
          <w:bCs/>
          <w:sz w:val="38"/>
          <w:szCs w:val="38"/>
        </w:rPr>
      </w:pPr>
      <w:r w:rsidRPr="009035C1">
        <w:rPr>
          <w:rFonts w:ascii="Arial" w:hAnsi="Arial" w:cs="Arial"/>
          <w:b/>
          <w:bCs/>
          <w:sz w:val="38"/>
          <w:szCs w:val="38"/>
        </w:rPr>
        <w:t>Student Number:</w:t>
      </w:r>
      <w:r>
        <w:rPr>
          <w:rFonts w:ascii="Arial" w:hAnsi="Arial" w:cs="Arial"/>
          <w:b/>
          <w:bCs/>
          <w:sz w:val="38"/>
          <w:szCs w:val="38"/>
        </w:rPr>
        <w:t xml:space="preserve"> </w:t>
      </w:r>
      <w:r w:rsidRPr="00951ED2">
        <w:rPr>
          <w:rFonts w:ascii="Arial" w:hAnsi="Arial" w:cs="Arial"/>
          <w:sz w:val="38"/>
          <w:szCs w:val="38"/>
        </w:rPr>
        <w:t>2322796</w:t>
      </w:r>
    </w:p>
    <w:p w14:paraId="259218AA" w14:textId="4077339B" w:rsidR="00F83C2B" w:rsidRPr="009035C1" w:rsidRDefault="00F83C2B" w:rsidP="00F83C2B">
      <w:pPr>
        <w:jc w:val="center"/>
        <w:rPr>
          <w:rFonts w:ascii="Arial" w:hAnsi="Arial" w:cs="Arial"/>
          <w:sz w:val="38"/>
          <w:szCs w:val="38"/>
        </w:rPr>
      </w:pPr>
      <w:r w:rsidRPr="009035C1">
        <w:rPr>
          <w:rFonts w:ascii="Arial" w:hAnsi="Arial" w:cs="Arial"/>
          <w:b/>
          <w:bCs/>
          <w:sz w:val="38"/>
          <w:szCs w:val="38"/>
        </w:rPr>
        <w:t xml:space="preserve">Module Code: </w:t>
      </w:r>
      <w:r w:rsidR="00FD1526" w:rsidRPr="00FD1526">
        <w:rPr>
          <w:rFonts w:ascii="Arial" w:hAnsi="Arial" w:cs="Arial"/>
          <w:sz w:val="38"/>
          <w:szCs w:val="38"/>
        </w:rPr>
        <w:t>BMHP5021</w:t>
      </w:r>
    </w:p>
    <w:p w14:paraId="70C902D4" w14:textId="77777777" w:rsidR="00F83C2B" w:rsidRPr="009035C1" w:rsidRDefault="00F83C2B" w:rsidP="00F83C2B">
      <w:pPr>
        <w:jc w:val="center"/>
        <w:rPr>
          <w:rFonts w:ascii="Arial" w:hAnsi="Arial" w:cs="Arial"/>
          <w:sz w:val="38"/>
          <w:szCs w:val="38"/>
        </w:rPr>
      </w:pPr>
      <w:r w:rsidRPr="009035C1">
        <w:rPr>
          <w:rFonts w:ascii="Arial" w:hAnsi="Arial" w:cs="Arial"/>
          <w:b/>
          <w:bCs/>
          <w:sz w:val="38"/>
          <w:szCs w:val="38"/>
        </w:rPr>
        <w:t xml:space="preserve">Module Title: </w:t>
      </w:r>
      <w:r w:rsidRPr="009035C1">
        <w:rPr>
          <w:rFonts w:ascii="Arial" w:hAnsi="Arial" w:cs="Arial"/>
          <w:sz w:val="38"/>
          <w:szCs w:val="38"/>
        </w:rPr>
        <w:t>Protecting and Supporting Families in Health and Care</w:t>
      </w:r>
    </w:p>
    <w:p w14:paraId="6A7E6D62" w14:textId="77777777" w:rsidR="00F83C2B" w:rsidRPr="009035C1" w:rsidRDefault="00F83C2B" w:rsidP="00F83C2B">
      <w:pPr>
        <w:jc w:val="center"/>
        <w:rPr>
          <w:rFonts w:ascii="Arial" w:hAnsi="Arial" w:cs="Arial"/>
          <w:sz w:val="38"/>
          <w:szCs w:val="38"/>
        </w:rPr>
      </w:pPr>
      <w:r w:rsidRPr="009035C1">
        <w:rPr>
          <w:rFonts w:ascii="Arial" w:hAnsi="Arial" w:cs="Arial"/>
          <w:b/>
          <w:bCs/>
          <w:sz w:val="38"/>
          <w:szCs w:val="38"/>
        </w:rPr>
        <w:t xml:space="preserve">Assignment Title: </w:t>
      </w:r>
      <w:r w:rsidRPr="009035C1">
        <w:rPr>
          <w:rFonts w:ascii="Arial" w:hAnsi="Arial" w:cs="Arial"/>
          <w:sz w:val="38"/>
          <w:szCs w:val="38"/>
        </w:rPr>
        <w:t xml:space="preserve">Component 1: Presentation (Round-The-Table Group Discussion </w:t>
      </w:r>
      <w:r w:rsidRPr="009035C1">
        <w:rPr>
          <w:rFonts w:ascii="Arial" w:hAnsi="Arial" w:cs="Arial"/>
          <w:b/>
          <w:bCs/>
          <w:sz w:val="38"/>
          <w:szCs w:val="38"/>
        </w:rPr>
        <w:t xml:space="preserve">– </w:t>
      </w:r>
      <w:r w:rsidRPr="009035C1">
        <w:rPr>
          <w:rFonts w:ascii="Arial" w:hAnsi="Arial" w:cs="Arial"/>
          <w:sz w:val="38"/>
          <w:szCs w:val="38"/>
        </w:rPr>
        <w:t>Case Study: Theo)</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30F05B0" w14:textId="77777777" w:rsidR="00B52BDF" w:rsidRPr="00C526C5" w:rsidRDefault="00B52BDF" w:rsidP="00B52BDF">
      <w:pPr>
        <w:spacing w:after="0" w:line="360" w:lineRule="auto"/>
        <w:jc w:val="both"/>
        <w:rPr>
          <w:rFonts w:ascii="Arial" w:hAnsi="Arial" w:cs="Arial"/>
          <w:b/>
          <w:bCs/>
          <w:sz w:val="22"/>
          <w:szCs w:val="22"/>
        </w:rPr>
      </w:pPr>
      <w:r w:rsidRPr="00C526C5">
        <w:rPr>
          <w:rFonts w:ascii="Arial" w:hAnsi="Arial" w:cs="Arial"/>
          <w:b/>
          <w:bCs/>
          <w:sz w:val="22"/>
          <w:szCs w:val="22"/>
        </w:rPr>
        <w:lastRenderedPageBreak/>
        <w:t>INTRODUCTION TO THE CASE: THEO</w:t>
      </w:r>
    </w:p>
    <w:p w14:paraId="325A1A83" w14:textId="77777777" w:rsidR="00B52BDF" w:rsidRPr="00C526C5" w:rsidRDefault="00B52BDF" w:rsidP="00B52BDF">
      <w:pPr>
        <w:spacing w:after="0" w:line="360" w:lineRule="auto"/>
        <w:jc w:val="both"/>
        <w:rPr>
          <w:rFonts w:ascii="Arial" w:hAnsi="Arial" w:cs="Arial"/>
          <w:sz w:val="22"/>
          <w:szCs w:val="22"/>
        </w:rPr>
      </w:pPr>
      <w:r w:rsidRPr="00C526C5">
        <w:rPr>
          <w:rFonts w:ascii="Arial" w:hAnsi="Arial" w:cs="Arial"/>
          <w:sz w:val="22"/>
          <w:szCs w:val="22"/>
        </w:rPr>
        <w:t xml:space="preserve">Theo was a little boy, who was killed in 2021. His case was examined as a Rapid Review and a Child Safeguarding </w:t>
      </w:r>
      <w:proofErr w:type="spellStart"/>
      <w:r w:rsidRPr="00C526C5">
        <w:rPr>
          <w:rFonts w:ascii="Arial" w:hAnsi="Arial" w:cs="Arial"/>
          <w:sz w:val="22"/>
          <w:szCs w:val="22"/>
        </w:rPr>
        <w:t>Practise</w:t>
      </w:r>
      <w:proofErr w:type="spellEnd"/>
      <w:r w:rsidRPr="00C526C5">
        <w:rPr>
          <w:rFonts w:ascii="Arial" w:hAnsi="Arial" w:cs="Arial"/>
          <w:sz w:val="22"/>
          <w:szCs w:val="22"/>
        </w:rPr>
        <w:t xml:space="preserve"> Review (CSPR). The review stated major failures in multi-agency working, professional to professional communication, and risk factor identification such as domestic abuse, parental substance misuse, and parental neglect. The case also cast important questions concerning information sharing and response to Adverse Childhood Experiences (ACEs) by agencies.</w:t>
      </w:r>
    </w:p>
    <w:p w14:paraId="45B7EACE" w14:textId="77777777" w:rsidR="00B52BDF" w:rsidRPr="00C526C5" w:rsidRDefault="00B52BDF" w:rsidP="00B52BDF">
      <w:pPr>
        <w:spacing w:after="0" w:line="360" w:lineRule="auto"/>
        <w:jc w:val="both"/>
        <w:rPr>
          <w:rFonts w:ascii="Arial" w:hAnsi="Arial" w:cs="Arial"/>
          <w:b/>
          <w:bCs/>
          <w:sz w:val="22"/>
          <w:szCs w:val="22"/>
        </w:rPr>
      </w:pPr>
      <w:r w:rsidRPr="00C526C5">
        <w:rPr>
          <w:rFonts w:ascii="Arial" w:hAnsi="Arial" w:cs="Arial"/>
          <w:b/>
          <w:bCs/>
          <w:sz w:val="22"/>
          <w:szCs w:val="22"/>
        </w:rPr>
        <w:t>ROUND-THE-TABLE DISCUSSION NOTES</w:t>
      </w:r>
    </w:p>
    <w:p w14:paraId="3BB7CB29" w14:textId="77777777" w:rsidR="00B52BDF" w:rsidRPr="00C526C5" w:rsidRDefault="00B52BDF" w:rsidP="00B52BDF">
      <w:pPr>
        <w:spacing w:after="0" w:line="360" w:lineRule="auto"/>
        <w:jc w:val="both"/>
        <w:rPr>
          <w:rFonts w:ascii="Arial" w:hAnsi="Arial" w:cs="Arial"/>
          <w:b/>
          <w:bCs/>
          <w:sz w:val="22"/>
          <w:szCs w:val="22"/>
        </w:rPr>
      </w:pPr>
      <w:r w:rsidRPr="00C526C5">
        <w:rPr>
          <w:rFonts w:ascii="Arial" w:hAnsi="Arial" w:cs="Arial"/>
          <w:b/>
          <w:bCs/>
          <w:sz w:val="22"/>
          <w:szCs w:val="22"/>
        </w:rPr>
        <w:t>Professional Roles (Group of 4):</w:t>
      </w:r>
    </w:p>
    <w:p w14:paraId="14F9B412" w14:textId="77777777" w:rsidR="00B52BDF" w:rsidRPr="00C526C5" w:rsidRDefault="00B52BDF" w:rsidP="00B52BDF">
      <w:pPr>
        <w:pStyle w:val="ListParagraph"/>
        <w:numPr>
          <w:ilvl w:val="1"/>
          <w:numId w:val="2"/>
        </w:numPr>
        <w:spacing w:after="0" w:line="360" w:lineRule="auto"/>
        <w:ind w:left="357" w:hanging="357"/>
        <w:jc w:val="both"/>
        <w:rPr>
          <w:rFonts w:ascii="Arial" w:hAnsi="Arial" w:cs="Arial"/>
          <w:sz w:val="22"/>
          <w:szCs w:val="22"/>
        </w:rPr>
      </w:pPr>
      <w:r w:rsidRPr="00C526C5">
        <w:rPr>
          <w:rFonts w:ascii="Arial" w:hAnsi="Arial" w:cs="Arial"/>
          <w:sz w:val="22"/>
          <w:szCs w:val="22"/>
        </w:rPr>
        <w:t>Student 1: Children Social Worker.</w:t>
      </w:r>
    </w:p>
    <w:p w14:paraId="4A7DD7A7" w14:textId="77777777" w:rsidR="00B52BDF" w:rsidRPr="00C526C5" w:rsidRDefault="00B52BDF" w:rsidP="00B52BDF">
      <w:pPr>
        <w:pStyle w:val="ListParagraph"/>
        <w:numPr>
          <w:ilvl w:val="1"/>
          <w:numId w:val="2"/>
        </w:numPr>
        <w:spacing w:after="0" w:line="360" w:lineRule="auto"/>
        <w:ind w:left="357" w:hanging="357"/>
        <w:jc w:val="both"/>
        <w:rPr>
          <w:rFonts w:ascii="Arial" w:hAnsi="Arial" w:cs="Arial"/>
          <w:sz w:val="22"/>
          <w:szCs w:val="22"/>
        </w:rPr>
      </w:pPr>
      <w:r w:rsidRPr="00C526C5">
        <w:rPr>
          <w:rFonts w:ascii="Arial" w:hAnsi="Arial" w:cs="Arial"/>
          <w:sz w:val="22"/>
          <w:szCs w:val="22"/>
        </w:rPr>
        <w:t xml:space="preserve">Student 2: Nurse / </w:t>
      </w:r>
      <w:proofErr w:type="spellStart"/>
      <w:r w:rsidRPr="00C526C5">
        <w:rPr>
          <w:rFonts w:ascii="Arial" w:hAnsi="Arial" w:cs="Arial"/>
          <w:sz w:val="22"/>
          <w:szCs w:val="22"/>
        </w:rPr>
        <w:t>Paediatric</w:t>
      </w:r>
      <w:proofErr w:type="spellEnd"/>
      <w:r w:rsidRPr="00C526C5">
        <w:rPr>
          <w:rFonts w:ascii="Arial" w:hAnsi="Arial" w:cs="Arial"/>
          <w:sz w:val="22"/>
          <w:szCs w:val="22"/>
        </w:rPr>
        <w:t xml:space="preserve"> Nurse.</w:t>
      </w:r>
    </w:p>
    <w:p w14:paraId="58C6F596" w14:textId="77777777" w:rsidR="00B52BDF" w:rsidRPr="00C526C5" w:rsidRDefault="00B52BDF" w:rsidP="00B52BDF">
      <w:pPr>
        <w:pStyle w:val="ListParagraph"/>
        <w:numPr>
          <w:ilvl w:val="1"/>
          <w:numId w:val="2"/>
        </w:numPr>
        <w:spacing w:after="0" w:line="360" w:lineRule="auto"/>
        <w:ind w:left="357" w:hanging="357"/>
        <w:jc w:val="both"/>
        <w:rPr>
          <w:rFonts w:ascii="Arial" w:hAnsi="Arial" w:cs="Arial"/>
          <w:sz w:val="22"/>
          <w:szCs w:val="22"/>
        </w:rPr>
      </w:pPr>
      <w:r w:rsidRPr="00C526C5">
        <w:rPr>
          <w:rFonts w:ascii="Arial" w:hAnsi="Arial" w:cs="Arial"/>
          <w:sz w:val="22"/>
          <w:szCs w:val="22"/>
        </w:rPr>
        <w:t>Student number 3: Police officer (Safeguarding Unit).</w:t>
      </w:r>
    </w:p>
    <w:p w14:paraId="63C8661D" w14:textId="77777777" w:rsidR="00B52BDF" w:rsidRPr="00C526C5" w:rsidRDefault="00B52BDF" w:rsidP="00B52BDF">
      <w:pPr>
        <w:pStyle w:val="ListParagraph"/>
        <w:numPr>
          <w:ilvl w:val="1"/>
          <w:numId w:val="2"/>
        </w:numPr>
        <w:spacing w:after="0" w:line="360" w:lineRule="auto"/>
        <w:ind w:left="357" w:hanging="357"/>
        <w:jc w:val="both"/>
        <w:rPr>
          <w:rFonts w:ascii="Arial" w:hAnsi="Arial" w:cs="Arial"/>
          <w:sz w:val="22"/>
          <w:szCs w:val="22"/>
        </w:rPr>
      </w:pPr>
      <w:r w:rsidRPr="00C526C5">
        <w:rPr>
          <w:rFonts w:ascii="Arial" w:hAnsi="Arial" w:cs="Arial"/>
          <w:sz w:val="22"/>
          <w:szCs w:val="22"/>
        </w:rPr>
        <w:t>Student 4: Mental Health Specialist/ CAMHS Representative</w:t>
      </w:r>
    </w:p>
    <w:p w14:paraId="1A025296" w14:textId="77777777" w:rsidR="00B52BDF" w:rsidRPr="00C526C5" w:rsidRDefault="00B52BDF" w:rsidP="00B52BDF">
      <w:pPr>
        <w:spacing w:after="0" w:line="360" w:lineRule="auto"/>
        <w:jc w:val="both"/>
        <w:rPr>
          <w:rFonts w:ascii="Arial" w:hAnsi="Arial" w:cs="Arial"/>
          <w:b/>
          <w:bCs/>
          <w:sz w:val="22"/>
          <w:szCs w:val="22"/>
        </w:rPr>
      </w:pPr>
      <w:r w:rsidRPr="00C526C5">
        <w:rPr>
          <w:rFonts w:ascii="Arial" w:hAnsi="Arial" w:cs="Arial"/>
          <w:b/>
          <w:bCs/>
          <w:sz w:val="22"/>
          <w:szCs w:val="22"/>
        </w:rPr>
        <w:t>DISCUSSION FRAMEWORK</w:t>
      </w:r>
    </w:p>
    <w:p w14:paraId="6626F51E" w14:textId="77777777" w:rsidR="00B52BDF" w:rsidRPr="00C526C5" w:rsidRDefault="00B52BDF" w:rsidP="00B52BDF">
      <w:pPr>
        <w:spacing w:after="0" w:line="360" w:lineRule="auto"/>
        <w:jc w:val="both"/>
        <w:rPr>
          <w:rFonts w:ascii="Arial" w:hAnsi="Arial" w:cs="Arial"/>
          <w:b/>
          <w:bCs/>
          <w:sz w:val="22"/>
          <w:szCs w:val="22"/>
        </w:rPr>
      </w:pPr>
      <w:r w:rsidRPr="00C526C5">
        <w:rPr>
          <w:rFonts w:ascii="Arial" w:hAnsi="Arial" w:cs="Arial"/>
          <w:b/>
          <w:bCs/>
          <w:sz w:val="22"/>
          <w:szCs w:val="22"/>
        </w:rPr>
        <w:t>1. Children, Young People and Families' Perception of Well-Being</w:t>
      </w:r>
    </w:p>
    <w:p w14:paraId="7F967BAD" w14:textId="77777777" w:rsidR="00B52BDF" w:rsidRPr="00C526C5" w:rsidRDefault="00B52BDF" w:rsidP="00B52BDF">
      <w:pPr>
        <w:spacing w:after="0" w:line="360" w:lineRule="auto"/>
        <w:jc w:val="both"/>
        <w:rPr>
          <w:rFonts w:ascii="Arial" w:hAnsi="Arial" w:cs="Arial"/>
          <w:sz w:val="22"/>
          <w:szCs w:val="22"/>
        </w:rPr>
      </w:pPr>
      <w:r w:rsidRPr="00C526C5">
        <w:rPr>
          <w:rFonts w:ascii="Arial" w:hAnsi="Arial" w:cs="Arial"/>
          <w:b/>
          <w:bCs/>
          <w:sz w:val="22"/>
          <w:szCs w:val="22"/>
        </w:rPr>
        <w:t>Social Worker:</w:t>
      </w:r>
    </w:p>
    <w:p w14:paraId="4B139EBF" w14:textId="64E10FFF" w:rsidR="00B52BDF" w:rsidRPr="00C526C5" w:rsidRDefault="00B52BDF" w:rsidP="00B52BDF">
      <w:pPr>
        <w:tabs>
          <w:tab w:val="left" w:pos="840"/>
        </w:tabs>
        <w:spacing w:after="0" w:line="360" w:lineRule="auto"/>
        <w:jc w:val="both"/>
        <w:rPr>
          <w:rFonts w:ascii="Arial" w:hAnsi="Arial" w:cs="Arial"/>
          <w:sz w:val="22"/>
          <w:szCs w:val="22"/>
        </w:rPr>
      </w:pPr>
      <w:r w:rsidRPr="00C526C5">
        <w:rPr>
          <w:rFonts w:ascii="Arial" w:hAnsi="Arial" w:cs="Arial"/>
          <w:sz w:val="22"/>
          <w:szCs w:val="22"/>
        </w:rPr>
        <w:t xml:space="preserve">Discussing the case of Theo, we need to first admire what </w:t>
      </w:r>
      <w:r w:rsidR="00272F8A" w:rsidRPr="00C526C5">
        <w:rPr>
          <w:rFonts w:ascii="Arial" w:hAnsi="Arial" w:cs="Arial"/>
          <w:sz w:val="22"/>
          <w:szCs w:val="22"/>
        </w:rPr>
        <w:t>well</w:t>
      </w:r>
      <w:r w:rsidRPr="00C526C5">
        <w:rPr>
          <w:rFonts w:ascii="Arial" w:hAnsi="Arial" w:cs="Arial"/>
          <w:sz w:val="22"/>
          <w:szCs w:val="22"/>
        </w:rPr>
        <w:t>-being was to this child and his family. Both the Children Act 1989 and the Children Act 2004 put the welfare of the child as our major consideration. In section 17 of Children Act 1989 a child in need is defined as a child who would not be able to attain or sustain a reasonable standard of health or development without the services. Theo was at this definition since, at the beginning of his life, he was under the influence of domestic violence and could also be neglected.</w:t>
      </w:r>
    </w:p>
    <w:p w14:paraId="4ABDEBD0" w14:textId="51A7A83B" w:rsidR="00B52BDF" w:rsidRPr="00C526C5" w:rsidRDefault="00B52BDF" w:rsidP="00B52BDF">
      <w:pPr>
        <w:tabs>
          <w:tab w:val="left" w:pos="840"/>
        </w:tabs>
        <w:spacing w:after="0" w:line="360" w:lineRule="auto"/>
        <w:jc w:val="both"/>
        <w:rPr>
          <w:rFonts w:ascii="Arial" w:hAnsi="Arial" w:cs="Arial"/>
          <w:sz w:val="22"/>
          <w:szCs w:val="22"/>
        </w:rPr>
      </w:pPr>
      <w:r w:rsidRPr="00C526C5">
        <w:rPr>
          <w:rFonts w:ascii="Arial" w:hAnsi="Arial" w:cs="Arial"/>
          <w:sz w:val="22"/>
          <w:szCs w:val="22"/>
        </w:rPr>
        <w:t xml:space="preserve">The UK has signed the UN Convention on the Rights of the Child (UNCRC, 1989), and this document states that all children deserve the right not to be harmed (Article 19) and the highest possible standard of health (Article 24). Regarding the family, it might have seemed that </w:t>
      </w:r>
      <w:r w:rsidR="00272F8A" w:rsidRPr="00C526C5">
        <w:rPr>
          <w:rFonts w:ascii="Arial" w:hAnsi="Arial" w:cs="Arial"/>
          <w:sz w:val="22"/>
          <w:szCs w:val="22"/>
        </w:rPr>
        <w:t>well</w:t>
      </w:r>
      <w:r w:rsidRPr="00C526C5">
        <w:rPr>
          <w:rFonts w:ascii="Arial" w:hAnsi="Arial" w:cs="Arial"/>
          <w:sz w:val="22"/>
          <w:szCs w:val="22"/>
        </w:rPr>
        <w:t>-being was satisfactory at first sight during the visits of professionals but here the term disguised compliance is cited, often mentioned in a series of Serious Case Reviews such that in a family, the facade of well-being is provided without addressing any underlying threats (Brandon et al., 2020).</w:t>
      </w:r>
    </w:p>
    <w:p w14:paraId="730C7003" w14:textId="77777777" w:rsidR="00B52BDF" w:rsidRPr="00C526C5" w:rsidRDefault="00B52BDF" w:rsidP="00B52BDF">
      <w:pPr>
        <w:spacing w:after="0" w:line="360" w:lineRule="auto"/>
        <w:jc w:val="both"/>
        <w:rPr>
          <w:rFonts w:ascii="Arial" w:hAnsi="Arial" w:cs="Arial"/>
          <w:sz w:val="22"/>
          <w:szCs w:val="22"/>
        </w:rPr>
      </w:pPr>
      <w:r w:rsidRPr="00C526C5">
        <w:rPr>
          <w:rFonts w:ascii="Arial" w:hAnsi="Arial" w:cs="Arial"/>
          <w:b/>
          <w:bCs/>
          <w:sz w:val="22"/>
          <w:szCs w:val="22"/>
        </w:rPr>
        <w:t>Health Visitor:</w:t>
      </w:r>
    </w:p>
    <w:p w14:paraId="3F32210B" w14:textId="77777777" w:rsidR="00B52BDF" w:rsidRPr="00132EF9" w:rsidRDefault="00B52BDF" w:rsidP="00B52BDF">
      <w:pPr>
        <w:spacing w:after="0" w:line="360" w:lineRule="auto"/>
        <w:jc w:val="both"/>
        <w:rPr>
          <w:rFonts w:ascii="Arial" w:hAnsi="Arial" w:cs="Arial"/>
          <w:sz w:val="22"/>
          <w:szCs w:val="22"/>
        </w:rPr>
      </w:pPr>
      <w:r w:rsidRPr="00132EF9">
        <w:rPr>
          <w:rFonts w:ascii="Arial" w:hAnsi="Arial" w:cs="Arial"/>
          <w:sz w:val="22"/>
          <w:szCs w:val="22"/>
        </w:rPr>
        <w:t xml:space="preserve">According to health perspective, the well-being of young children such as Theo is in terms of developmental milestones, physical health, emotional security and quality of attachment relationships. The framework of EYFS (Early Years Foundation Stage) (DfE, 2021) includes the areas of holistic development practitioners are expected to observe. In the case of Theo, any </w:t>
      </w:r>
      <w:r w:rsidRPr="00132EF9">
        <w:rPr>
          <w:rFonts w:ascii="Arial" w:hAnsi="Arial" w:cs="Arial"/>
          <w:sz w:val="22"/>
          <w:szCs w:val="22"/>
        </w:rPr>
        <w:lastRenderedPageBreak/>
        <w:t>issues found during health reviews ought to have prompted official information exchange in Working Together to Safeguard Children (HM Government, 2023).</w:t>
      </w:r>
    </w:p>
    <w:p w14:paraId="012A89E0" w14:textId="28BDA21C" w:rsidR="00B52BDF" w:rsidRPr="00C526C5" w:rsidRDefault="00B52BDF" w:rsidP="00B52BDF">
      <w:pPr>
        <w:spacing w:after="0" w:line="360" w:lineRule="auto"/>
        <w:jc w:val="both"/>
        <w:rPr>
          <w:rFonts w:ascii="Arial" w:hAnsi="Arial" w:cs="Arial"/>
          <w:sz w:val="22"/>
          <w:szCs w:val="22"/>
        </w:rPr>
      </w:pPr>
      <w:r w:rsidRPr="00132EF9">
        <w:rPr>
          <w:rFonts w:ascii="Arial" w:hAnsi="Arial" w:cs="Arial"/>
          <w:sz w:val="22"/>
          <w:szCs w:val="22"/>
        </w:rPr>
        <w:t xml:space="preserve">It is also due to research on ACEs that </w:t>
      </w:r>
      <w:r w:rsidR="00272F8A" w:rsidRPr="00132EF9">
        <w:rPr>
          <w:rFonts w:ascii="Arial" w:hAnsi="Arial" w:cs="Arial"/>
          <w:sz w:val="22"/>
          <w:szCs w:val="22"/>
        </w:rPr>
        <w:t>exposure</w:t>
      </w:r>
      <w:r w:rsidRPr="00132EF9">
        <w:rPr>
          <w:rFonts w:ascii="Arial" w:hAnsi="Arial" w:cs="Arial"/>
          <w:sz w:val="22"/>
          <w:szCs w:val="22"/>
        </w:rPr>
        <w:t xml:space="preserve"> to domestic violence and parental substance misuse has a tremendous impact on the neurological and emotional development of a child (</w:t>
      </w:r>
      <w:proofErr w:type="spellStart"/>
      <w:r w:rsidRPr="00132EF9">
        <w:rPr>
          <w:rFonts w:ascii="Arial" w:hAnsi="Arial" w:cs="Arial"/>
          <w:sz w:val="22"/>
          <w:szCs w:val="22"/>
        </w:rPr>
        <w:t>Felitti</w:t>
      </w:r>
      <w:proofErr w:type="spellEnd"/>
      <w:r w:rsidRPr="00132EF9">
        <w:rPr>
          <w:rFonts w:ascii="Arial" w:hAnsi="Arial" w:cs="Arial"/>
          <w:sz w:val="22"/>
          <w:szCs w:val="22"/>
        </w:rPr>
        <w:t xml:space="preserve"> et al., 1998; Public Health Wales, 2015). This led to the physical, developmental and psychological impairment of Theo although it may not manifest itself immediately</w:t>
      </w:r>
      <w:r w:rsidRPr="00C526C5">
        <w:rPr>
          <w:rFonts w:ascii="Arial" w:hAnsi="Arial" w:cs="Arial"/>
          <w:sz w:val="22"/>
          <w:szCs w:val="22"/>
        </w:rPr>
        <w:t>.</w:t>
      </w:r>
    </w:p>
    <w:p w14:paraId="57F818E9" w14:textId="77777777" w:rsidR="00B52BDF" w:rsidRPr="00C526C5" w:rsidRDefault="00B52BDF" w:rsidP="00B52BDF">
      <w:pPr>
        <w:spacing w:after="0" w:line="360" w:lineRule="auto"/>
        <w:jc w:val="both"/>
        <w:rPr>
          <w:rFonts w:ascii="Arial" w:hAnsi="Arial" w:cs="Arial"/>
          <w:sz w:val="22"/>
          <w:szCs w:val="22"/>
        </w:rPr>
      </w:pPr>
      <w:r w:rsidRPr="00C526C5">
        <w:rPr>
          <w:rFonts w:ascii="Arial" w:hAnsi="Arial" w:cs="Arial"/>
          <w:b/>
          <w:bCs/>
          <w:sz w:val="22"/>
          <w:szCs w:val="22"/>
        </w:rPr>
        <w:t>Mental Health Specialist:</w:t>
      </w:r>
    </w:p>
    <w:p w14:paraId="63E087DF" w14:textId="77777777" w:rsidR="00B52BDF" w:rsidRPr="00C526C5" w:rsidRDefault="00B52BDF" w:rsidP="00B52BDF">
      <w:pPr>
        <w:spacing w:after="0" w:line="360" w:lineRule="auto"/>
        <w:jc w:val="both"/>
        <w:rPr>
          <w:rFonts w:ascii="Arial" w:hAnsi="Arial" w:cs="Arial"/>
          <w:sz w:val="22"/>
          <w:szCs w:val="22"/>
        </w:rPr>
      </w:pPr>
      <w:r w:rsidRPr="00132EF9">
        <w:rPr>
          <w:rFonts w:ascii="Arial" w:hAnsi="Arial" w:cs="Arial"/>
          <w:sz w:val="22"/>
          <w:szCs w:val="22"/>
        </w:rPr>
        <w:t xml:space="preserve">Wellbeing in this case should equally be addressed with an ecological perspective based on the Bronfenbrenner (1979) model. Theo lived in a microsystem of family relations that significantly affected him through trauma, addiction, and instability. In case families are faced with several misfortunes at the same time, they are much less able to </w:t>
      </w:r>
      <w:proofErr w:type="spellStart"/>
      <w:r w:rsidRPr="00132EF9">
        <w:rPr>
          <w:rFonts w:ascii="Arial" w:hAnsi="Arial" w:cs="Arial"/>
          <w:sz w:val="22"/>
          <w:szCs w:val="22"/>
        </w:rPr>
        <w:t>recognise</w:t>
      </w:r>
      <w:proofErr w:type="spellEnd"/>
      <w:r w:rsidRPr="00132EF9">
        <w:rPr>
          <w:rFonts w:ascii="Arial" w:hAnsi="Arial" w:cs="Arial"/>
          <w:sz w:val="22"/>
          <w:szCs w:val="22"/>
        </w:rPr>
        <w:t xml:space="preserve"> or describe their own needs, not to mention those of their child. The mental health and the wellbeing of the parents directly influenced that of Theo. This is an important fact: the well-being of family cannot be considered independently of child well-being; these concepts are closely related to each other</w:t>
      </w:r>
      <w:r w:rsidRPr="00C526C5">
        <w:rPr>
          <w:rFonts w:ascii="Arial" w:hAnsi="Arial" w:cs="Arial"/>
          <w:sz w:val="22"/>
          <w:szCs w:val="22"/>
        </w:rPr>
        <w:t>.</w:t>
      </w:r>
    </w:p>
    <w:p w14:paraId="37C96A87" w14:textId="77777777" w:rsidR="00B52BDF" w:rsidRPr="00C526C5" w:rsidRDefault="00B52BDF" w:rsidP="00B52BDF">
      <w:pPr>
        <w:spacing w:after="0" w:line="360" w:lineRule="auto"/>
        <w:jc w:val="both"/>
        <w:rPr>
          <w:rFonts w:ascii="Arial" w:hAnsi="Arial" w:cs="Arial"/>
          <w:b/>
          <w:bCs/>
          <w:sz w:val="22"/>
          <w:szCs w:val="22"/>
        </w:rPr>
      </w:pPr>
      <w:r w:rsidRPr="00C526C5">
        <w:rPr>
          <w:rFonts w:ascii="Arial" w:hAnsi="Arial" w:cs="Arial"/>
          <w:b/>
          <w:bCs/>
          <w:sz w:val="22"/>
          <w:szCs w:val="22"/>
        </w:rPr>
        <w:t xml:space="preserve">2. </w:t>
      </w:r>
      <w:r w:rsidRPr="00132EF9">
        <w:rPr>
          <w:rFonts w:ascii="Arial" w:hAnsi="Arial" w:cs="Arial"/>
          <w:b/>
          <w:bCs/>
          <w:sz w:val="22"/>
          <w:szCs w:val="22"/>
        </w:rPr>
        <w:t>The Significance of Teamwork and Work Collaboration</w:t>
      </w:r>
    </w:p>
    <w:p w14:paraId="450881D4" w14:textId="77777777" w:rsidR="00B52BDF" w:rsidRPr="00C526C5" w:rsidRDefault="00B52BDF" w:rsidP="00B52BDF">
      <w:pPr>
        <w:spacing w:after="0" w:line="360" w:lineRule="auto"/>
        <w:jc w:val="both"/>
        <w:rPr>
          <w:rFonts w:ascii="Arial" w:hAnsi="Arial" w:cs="Arial"/>
          <w:sz w:val="22"/>
          <w:szCs w:val="22"/>
        </w:rPr>
      </w:pPr>
      <w:r w:rsidRPr="00C526C5">
        <w:rPr>
          <w:rFonts w:ascii="Arial" w:hAnsi="Arial" w:cs="Arial"/>
          <w:b/>
          <w:bCs/>
          <w:sz w:val="22"/>
          <w:szCs w:val="22"/>
        </w:rPr>
        <w:t>Police Officer:</w:t>
      </w:r>
    </w:p>
    <w:p w14:paraId="7269721C" w14:textId="77777777" w:rsidR="00B52BDF" w:rsidRPr="00132EF9" w:rsidRDefault="00B52BDF" w:rsidP="00B52BDF">
      <w:pPr>
        <w:spacing w:after="0" w:line="360" w:lineRule="auto"/>
        <w:jc w:val="both"/>
        <w:rPr>
          <w:rFonts w:ascii="Arial" w:hAnsi="Arial" w:cs="Arial"/>
          <w:sz w:val="22"/>
          <w:szCs w:val="22"/>
        </w:rPr>
      </w:pPr>
      <w:r w:rsidRPr="00132EF9">
        <w:rPr>
          <w:rFonts w:ascii="Arial" w:hAnsi="Arial" w:cs="Arial"/>
          <w:sz w:val="22"/>
          <w:szCs w:val="22"/>
        </w:rPr>
        <w:t>In the case of Theo, the agencies that were engaged were various and they included police, health visiting, children social care, and Rapid Review revealed that communication between agencies was disjointed. This is not a case specific event; it is one that is being repeated throughout most of the child safeguarding tragedies. Both Victoria Climbie in 2000 and Baby Peter Connelly in 2007 depicted how little communication between agencies leads to disastrous results (Laming, 2003; Munro, 2011).</w:t>
      </w:r>
    </w:p>
    <w:p w14:paraId="524BA30B" w14:textId="105AB4C9" w:rsidR="00B52BDF" w:rsidRPr="00C526C5" w:rsidRDefault="00B52BDF" w:rsidP="00B52BDF">
      <w:pPr>
        <w:spacing w:after="0" w:line="360" w:lineRule="auto"/>
        <w:jc w:val="both"/>
        <w:rPr>
          <w:rFonts w:ascii="Arial" w:hAnsi="Arial" w:cs="Arial"/>
          <w:sz w:val="22"/>
          <w:szCs w:val="22"/>
        </w:rPr>
      </w:pPr>
      <w:r w:rsidRPr="00132EF9">
        <w:rPr>
          <w:rFonts w:ascii="Arial" w:hAnsi="Arial" w:cs="Arial"/>
          <w:sz w:val="22"/>
          <w:szCs w:val="22"/>
        </w:rPr>
        <w:t xml:space="preserve">As a policing issue, it is expected that every domestic abuse call attended at a household with children present should be disseminated to the </w:t>
      </w:r>
      <w:r w:rsidR="00452795" w:rsidRPr="00132EF9">
        <w:rPr>
          <w:rFonts w:ascii="Arial" w:hAnsi="Arial" w:cs="Arial"/>
          <w:sz w:val="22"/>
          <w:szCs w:val="22"/>
        </w:rPr>
        <w:t>children’s</w:t>
      </w:r>
      <w:r w:rsidRPr="00132EF9">
        <w:rPr>
          <w:rFonts w:ascii="Arial" w:hAnsi="Arial" w:cs="Arial"/>
          <w:sz w:val="22"/>
          <w:szCs w:val="22"/>
        </w:rPr>
        <w:t xml:space="preserve"> services as a matter of standard </w:t>
      </w:r>
      <w:proofErr w:type="spellStart"/>
      <w:r w:rsidRPr="00132EF9">
        <w:rPr>
          <w:rFonts w:ascii="Arial" w:hAnsi="Arial" w:cs="Arial"/>
          <w:sz w:val="22"/>
          <w:szCs w:val="22"/>
        </w:rPr>
        <w:t>practise</w:t>
      </w:r>
      <w:proofErr w:type="spellEnd"/>
      <w:r w:rsidRPr="00132EF9">
        <w:rPr>
          <w:rFonts w:ascii="Arial" w:hAnsi="Arial" w:cs="Arial"/>
          <w:sz w:val="22"/>
          <w:szCs w:val="22"/>
        </w:rPr>
        <w:t xml:space="preserve">. The Multi-Agency Safeguarding Hub (MASH) model was created to exactly do this. Nevertheless, the success of MASH will be achieved when all </w:t>
      </w:r>
      <w:r w:rsidR="00452795" w:rsidRPr="00132EF9">
        <w:rPr>
          <w:rFonts w:ascii="Arial" w:hAnsi="Arial" w:cs="Arial"/>
          <w:sz w:val="22"/>
          <w:szCs w:val="22"/>
        </w:rPr>
        <w:t>agencies</w:t>
      </w:r>
      <w:r w:rsidRPr="00132EF9">
        <w:rPr>
          <w:rFonts w:ascii="Arial" w:hAnsi="Arial" w:cs="Arial"/>
          <w:sz w:val="22"/>
          <w:szCs w:val="22"/>
        </w:rPr>
        <w:t xml:space="preserve"> devote themselves to timely and correct information sharing</w:t>
      </w:r>
      <w:r w:rsidRPr="00C526C5">
        <w:rPr>
          <w:rFonts w:ascii="Arial" w:hAnsi="Arial" w:cs="Arial"/>
          <w:sz w:val="22"/>
          <w:szCs w:val="22"/>
        </w:rPr>
        <w:t>.</w:t>
      </w:r>
    </w:p>
    <w:p w14:paraId="3ABAB50A" w14:textId="77777777" w:rsidR="00B52BDF" w:rsidRPr="00C526C5" w:rsidRDefault="00B52BDF" w:rsidP="00B52BDF">
      <w:pPr>
        <w:spacing w:after="0" w:line="360" w:lineRule="auto"/>
        <w:jc w:val="both"/>
        <w:rPr>
          <w:rFonts w:ascii="Arial" w:hAnsi="Arial" w:cs="Arial"/>
          <w:sz w:val="22"/>
          <w:szCs w:val="22"/>
        </w:rPr>
      </w:pPr>
      <w:r w:rsidRPr="00C526C5">
        <w:rPr>
          <w:rFonts w:ascii="Arial" w:hAnsi="Arial" w:cs="Arial"/>
          <w:b/>
          <w:bCs/>
          <w:sz w:val="22"/>
          <w:szCs w:val="22"/>
        </w:rPr>
        <w:t>Social Worker:</w:t>
      </w:r>
    </w:p>
    <w:p w14:paraId="27C00485" w14:textId="6999A899" w:rsidR="00B52BDF" w:rsidRPr="00132EF9" w:rsidRDefault="00B52BDF" w:rsidP="00B52BDF">
      <w:pPr>
        <w:spacing w:after="0" w:line="360" w:lineRule="auto"/>
        <w:jc w:val="both"/>
        <w:rPr>
          <w:rFonts w:ascii="Arial" w:hAnsi="Arial" w:cs="Arial"/>
          <w:sz w:val="22"/>
          <w:szCs w:val="22"/>
        </w:rPr>
      </w:pPr>
      <w:r w:rsidRPr="00132EF9">
        <w:rPr>
          <w:rFonts w:ascii="Arial" w:hAnsi="Arial" w:cs="Arial"/>
          <w:sz w:val="22"/>
          <w:szCs w:val="22"/>
        </w:rPr>
        <w:t xml:space="preserve">The current statutory policy Working Together to Safeguard Children (HM Government, 2023) is categorical: the effective collaboration of the working of agencies is essential in protecting children. The Children Act 2004, section 11, imposes an obligation on various </w:t>
      </w:r>
      <w:proofErr w:type="spellStart"/>
      <w:r w:rsidRPr="00132EF9">
        <w:rPr>
          <w:rFonts w:ascii="Arial" w:hAnsi="Arial" w:cs="Arial"/>
          <w:sz w:val="22"/>
          <w:szCs w:val="22"/>
        </w:rPr>
        <w:t>organisations</w:t>
      </w:r>
      <w:proofErr w:type="spellEnd"/>
      <w:r w:rsidRPr="00132EF9">
        <w:rPr>
          <w:rFonts w:ascii="Arial" w:hAnsi="Arial" w:cs="Arial"/>
          <w:sz w:val="22"/>
          <w:szCs w:val="22"/>
        </w:rPr>
        <w:t xml:space="preserve"> in the context of which their operations must be fulfilled within the framework of the necessity to protect and support the well-being of children. </w:t>
      </w:r>
      <w:r w:rsidR="003D2948" w:rsidRPr="00132EF9">
        <w:rPr>
          <w:rFonts w:ascii="Arial" w:hAnsi="Arial" w:cs="Arial"/>
          <w:sz w:val="22"/>
          <w:szCs w:val="22"/>
        </w:rPr>
        <w:t>This</w:t>
      </w:r>
      <w:r w:rsidRPr="00132EF9">
        <w:rPr>
          <w:rFonts w:ascii="Arial" w:hAnsi="Arial" w:cs="Arial"/>
          <w:sz w:val="22"/>
          <w:szCs w:val="22"/>
        </w:rPr>
        <w:t xml:space="preserve"> brings a legal stature - not just professional desire - to partnership working.</w:t>
      </w:r>
    </w:p>
    <w:p w14:paraId="0C7A2B86" w14:textId="4F8F4547" w:rsidR="00B52BDF" w:rsidRPr="00C526C5" w:rsidRDefault="00B52BDF" w:rsidP="00B52BDF">
      <w:pPr>
        <w:spacing w:after="0" w:line="360" w:lineRule="auto"/>
        <w:jc w:val="both"/>
        <w:rPr>
          <w:rFonts w:ascii="Arial" w:hAnsi="Arial" w:cs="Arial"/>
          <w:sz w:val="22"/>
          <w:szCs w:val="22"/>
        </w:rPr>
      </w:pPr>
      <w:r w:rsidRPr="00132EF9">
        <w:rPr>
          <w:rFonts w:ascii="Arial" w:hAnsi="Arial" w:cs="Arial"/>
          <w:sz w:val="22"/>
          <w:szCs w:val="22"/>
        </w:rPr>
        <w:lastRenderedPageBreak/>
        <w:t xml:space="preserve">The breakdown of partnership in scenarios such as the case of Theo is usually due to professional boundaries, competing priorities, differing intervention threshold, and unwillingness to question the decision of other professionals. An overview of child protection by Eileen Munro (2011) has shown that </w:t>
      </w:r>
      <w:r w:rsidR="00272F8A" w:rsidRPr="00132EF9">
        <w:rPr>
          <w:rFonts w:ascii="Arial" w:hAnsi="Arial" w:cs="Arial"/>
          <w:sz w:val="22"/>
          <w:szCs w:val="22"/>
        </w:rPr>
        <w:t>risk</w:t>
      </w:r>
      <w:r w:rsidRPr="00132EF9">
        <w:rPr>
          <w:rFonts w:ascii="Arial" w:hAnsi="Arial" w:cs="Arial"/>
          <w:sz w:val="22"/>
          <w:szCs w:val="22"/>
        </w:rPr>
        <w:t xml:space="preserve"> aversion and compliance-based cultures may, in fact, decrease the ability of practitioners to think critically and work effectively in collaboration</w:t>
      </w:r>
      <w:r w:rsidRPr="00C526C5">
        <w:rPr>
          <w:rFonts w:ascii="Arial" w:hAnsi="Arial" w:cs="Arial"/>
          <w:sz w:val="22"/>
          <w:szCs w:val="22"/>
        </w:rPr>
        <w:t>.</w:t>
      </w:r>
    </w:p>
    <w:p w14:paraId="45E478EA" w14:textId="77777777" w:rsidR="00B52BDF" w:rsidRPr="00C526C5" w:rsidRDefault="00B52BDF" w:rsidP="00B52BDF">
      <w:pPr>
        <w:spacing w:after="0" w:line="360" w:lineRule="auto"/>
        <w:jc w:val="both"/>
        <w:rPr>
          <w:rFonts w:ascii="Arial" w:hAnsi="Arial" w:cs="Arial"/>
          <w:sz w:val="22"/>
          <w:szCs w:val="22"/>
        </w:rPr>
      </w:pPr>
      <w:r w:rsidRPr="00C526C5">
        <w:rPr>
          <w:rFonts w:ascii="Arial" w:hAnsi="Arial" w:cs="Arial"/>
          <w:b/>
          <w:bCs/>
          <w:sz w:val="22"/>
          <w:szCs w:val="22"/>
        </w:rPr>
        <w:t>Health Visitor:</w:t>
      </w:r>
    </w:p>
    <w:p w14:paraId="68FF7C8D" w14:textId="77777777" w:rsidR="00B52BDF" w:rsidRPr="00132EF9" w:rsidRDefault="00B52BDF" w:rsidP="00B52BDF">
      <w:pPr>
        <w:spacing w:after="0" w:line="360" w:lineRule="auto"/>
        <w:jc w:val="both"/>
        <w:rPr>
          <w:rFonts w:ascii="Arial" w:hAnsi="Arial" w:cs="Arial"/>
          <w:sz w:val="22"/>
          <w:szCs w:val="22"/>
        </w:rPr>
      </w:pPr>
      <w:r w:rsidRPr="00132EF9">
        <w:rPr>
          <w:rFonts w:ascii="Arial" w:hAnsi="Arial" w:cs="Arial"/>
          <w:sz w:val="22"/>
          <w:szCs w:val="22"/>
        </w:rPr>
        <w:t xml:space="preserve">Communication particularly is a crucial area of concern in health areas. Healthy Child </w:t>
      </w:r>
      <w:proofErr w:type="spellStart"/>
      <w:r w:rsidRPr="00132EF9">
        <w:rPr>
          <w:rFonts w:ascii="Arial" w:hAnsi="Arial" w:cs="Arial"/>
          <w:sz w:val="22"/>
          <w:szCs w:val="22"/>
        </w:rPr>
        <w:t>Programme</w:t>
      </w:r>
      <w:proofErr w:type="spellEnd"/>
      <w:r w:rsidRPr="00132EF9">
        <w:rPr>
          <w:rFonts w:ascii="Arial" w:hAnsi="Arial" w:cs="Arial"/>
          <w:sz w:val="22"/>
          <w:szCs w:val="22"/>
        </w:rPr>
        <w:t xml:space="preserve"> (PHE, 2009; updated guidance) is an initiative provided by health visitors and offers scheduled contacts capable of establishing the initial indications of safeguarding issues. Nevertheless, health visitors have big caseloads, and in most localities, these omnipresent contacts have been </w:t>
      </w:r>
      <w:proofErr w:type="spellStart"/>
      <w:r w:rsidRPr="00132EF9">
        <w:rPr>
          <w:rFonts w:ascii="Arial" w:hAnsi="Arial" w:cs="Arial"/>
          <w:sz w:val="22"/>
          <w:szCs w:val="22"/>
        </w:rPr>
        <w:t>minimised</w:t>
      </w:r>
      <w:proofErr w:type="spellEnd"/>
      <w:r w:rsidRPr="00132EF9">
        <w:rPr>
          <w:rFonts w:ascii="Arial" w:hAnsi="Arial" w:cs="Arial"/>
          <w:sz w:val="22"/>
          <w:szCs w:val="22"/>
        </w:rPr>
        <w:t xml:space="preserve"> by austerity, implying that families such as Theo’s might have less contact with health services (Barlow et al., 2021).</w:t>
      </w:r>
    </w:p>
    <w:p w14:paraId="2C5A1B5E" w14:textId="77777777" w:rsidR="00B52BDF" w:rsidRPr="00C526C5" w:rsidRDefault="00B52BDF" w:rsidP="00B52BDF">
      <w:pPr>
        <w:spacing w:after="0" w:line="360" w:lineRule="auto"/>
        <w:jc w:val="both"/>
        <w:rPr>
          <w:rFonts w:ascii="Arial" w:hAnsi="Arial" w:cs="Arial"/>
          <w:sz w:val="22"/>
          <w:szCs w:val="22"/>
        </w:rPr>
      </w:pPr>
      <w:r w:rsidRPr="00132EF9">
        <w:rPr>
          <w:rFonts w:ascii="Arial" w:hAnsi="Arial" w:cs="Arial"/>
          <w:sz w:val="22"/>
          <w:szCs w:val="22"/>
        </w:rPr>
        <w:t>The guidance on information sharing that is set out by the Data Protection Act 2018 and GDPR should not be employed as an obstacle in sharing safeguarding issues. The rationale is obvious: the social concern of the security of a child is more important than the data protection in a real case of protection (ICO, 2023)</w:t>
      </w:r>
      <w:r w:rsidRPr="00C526C5">
        <w:rPr>
          <w:rFonts w:ascii="Arial" w:hAnsi="Arial" w:cs="Arial"/>
          <w:sz w:val="22"/>
          <w:szCs w:val="22"/>
        </w:rPr>
        <w:t>.</w:t>
      </w:r>
    </w:p>
    <w:p w14:paraId="17D8BF71" w14:textId="77777777" w:rsidR="00B52BDF" w:rsidRPr="00C526C5" w:rsidRDefault="00B52BDF" w:rsidP="00B52BDF">
      <w:pPr>
        <w:spacing w:after="0" w:line="360" w:lineRule="auto"/>
        <w:jc w:val="both"/>
        <w:rPr>
          <w:rFonts w:ascii="Arial" w:hAnsi="Arial" w:cs="Arial"/>
          <w:sz w:val="22"/>
          <w:szCs w:val="22"/>
        </w:rPr>
      </w:pPr>
      <w:r w:rsidRPr="00C526C5">
        <w:rPr>
          <w:rFonts w:ascii="Arial" w:hAnsi="Arial" w:cs="Arial"/>
          <w:b/>
          <w:bCs/>
          <w:sz w:val="22"/>
          <w:szCs w:val="22"/>
        </w:rPr>
        <w:t>Mental Health Specialist:</w:t>
      </w:r>
    </w:p>
    <w:p w14:paraId="713500CE" w14:textId="572C5969" w:rsidR="00B52BDF" w:rsidRPr="00C526C5" w:rsidRDefault="00B52BDF" w:rsidP="00B52BDF">
      <w:pPr>
        <w:spacing w:after="0" w:line="360" w:lineRule="auto"/>
        <w:jc w:val="both"/>
        <w:rPr>
          <w:rFonts w:ascii="Arial" w:hAnsi="Arial" w:cs="Arial"/>
          <w:sz w:val="22"/>
          <w:szCs w:val="22"/>
        </w:rPr>
      </w:pPr>
      <w:r w:rsidRPr="00132EF9">
        <w:rPr>
          <w:rFonts w:ascii="Arial" w:hAnsi="Arial" w:cs="Arial"/>
          <w:sz w:val="22"/>
          <w:szCs w:val="22"/>
        </w:rPr>
        <w:t xml:space="preserve">Mentally speaking, to have a good partnership, it needs to be trauma informed. The professionals working with families should be aware of the impacts of trauma on </w:t>
      </w:r>
      <w:r w:rsidR="003D2948" w:rsidRPr="00132EF9">
        <w:rPr>
          <w:rFonts w:ascii="Arial" w:hAnsi="Arial" w:cs="Arial"/>
          <w:sz w:val="22"/>
          <w:szCs w:val="22"/>
        </w:rPr>
        <w:t>parenting</w:t>
      </w:r>
      <w:r w:rsidRPr="00132EF9">
        <w:rPr>
          <w:rFonts w:ascii="Arial" w:hAnsi="Arial" w:cs="Arial"/>
          <w:sz w:val="22"/>
          <w:szCs w:val="22"/>
        </w:rPr>
        <w:t xml:space="preserve"> ability and access to services. A parent who has PTSD unaddressed through domestic abuse, or a parent who is actively addicted, will not engage in services due not only to malice but also to dysregulation and fear. This knowledge should be disseminated amongst </w:t>
      </w:r>
      <w:r w:rsidR="003D2948" w:rsidRPr="00132EF9">
        <w:rPr>
          <w:rFonts w:ascii="Arial" w:hAnsi="Arial" w:cs="Arial"/>
          <w:sz w:val="22"/>
          <w:szCs w:val="22"/>
        </w:rPr>
        <w:t>all</w:t>
      </w:r>
      <w:r w:rsidRPr="00132EF9">
        <w:rPr>
          <w:rFonts w:ascii="Arial" w:hAnsi="Arial" w:cs="Arial"/>
          <w:sz w:val="22"/>
          <w:szCs w:val="22"/>
        </w:rPr>
        <w:t xml:space="preserve"> agencies, and mental health experts need to be incorporated or integrated closely with social care teams, as suggested in the Social Care Review (MacAlister, 2022)</w:t>
      </w:r>
      <w:r w:rsidRPr="00C526C5">
        <w:rPr>
          <w:rFonts w:ascii="Arial" w:hAnsi="Arial" w:cs="Arial"/>
          <w:sz w:val="22"/>
          <w:szCs w:val="22"/>
        </w:rPr>
        <w:t>.</w:t>
      </w:r>
    </w:p>
    <w:p w14:paraId="196CC5DD" w14:textId="77777777" w:rsidR="00B52BDF" w:rsidRPr="00C526C5" w:rsidRDefault="00B52BDF" w:rsidP="00B52BDF">
      <w:pPr>
        <w:spacing w:after="0" w:line="360" w:lineRule="auto"/>
        <w:jc w:val="both"/>
        <w:rPr>
          <w:rFonts w:ascii="Arial" w:hAnsi="Arial" w:cs="Arial"/>
          <w:b/>
          <w:bCs/>
          <w:sz w:val="22"/>
          <w:szCs w:val="22"/>
        </w:rPr>
      </w:pPr>
      <w:r w:rsidRPr="00C526C5">
        <w:rPr>
          <w:rFonts w:ascii="Arial" w:hAnsi="Arial" w:cs="Arial"/>
          <w:b/>
          <w:bCs/>
          <w:sz w:val="22"/>
          <w:szCs w:val="22"/>
        </w:rPr>
        <w:t>3. Critical Analysis of the Case, Legislation, and Professional Intervention</w:t>
      </w:r>
    </w:p>
    <w:p w14:paraId="7CEF7FD4" w14:textId="77777777" w:rsidR="00B52BDF" w:rsidRPr="00C526C5" w:rsidRDefault="00B52BDF" w:rsidP="00B52BDF">
      <w:pPr>
        <w:spacing w:after="0" w:line="360" w:lineRule="auto"/>
        <w:jc w:val="both"/>
        <w:rPr>
          <w:rFonts w:ascii="Arial" w:hAnsi="Arial" w:cs="Arial"/>
          <w:sz w:val="22"/>
          <w:szCs w:val="22"/>
        </w:rPr>
      </w:pPr>
      <w:r w:rsidRPr="00C526C5">
        <w:rPr>
          <w:rFonts w:ascii="Arial" w:hAnsi="Arial" w:cs="Arial"/>
          <w:b/>
          <w:bCs/>
          <w:sz w:val="22"/>
          <w:szCs w:val="22"/>
        </w:rPr>
        <w:t>Social Worker:</w:t>
      </w:r>
    </w:p>
    <w:p w14:paraId="0B07F256" w14:textId="4AE02435" w:rsidR="00B52BDF" w:rsidRPr="00132EF9" w:rsidRDefault="00B52BDF" w:rsidP="00B52BDF">
      <w:pPr>
        <w:spacing w:after="0" w:line="360" w:lineRule="auto"/>
        <w:jc w:val="both"/>
        <w:rPr>
          <w:rFonts w:ascii="Arial" w:hAnsi="Arial" w:cs="Arial"/>
          <w:sz w:val="22"/>
          <w:szCs w:val="22"/>
        </w:rPr>
      </w:pPr>
      <w:r w:rsidRPr="00132EF9">
        <w:rPr>
          <w:rFonts w:ascii="Arial" w:hAnsi="Arial" w:cs="Arial"/>
          <w:sz w:val="22"/>
          <w:szCs w:val="22"/>
        </w:rPr>
        <w:t xml:space="preserve">The case of Theo can be </w:t>
      </w:r>
      <w:proofErr w:type="spellStart"/>
      <w:r w:rsidRPr="00132EF9">
        <w:rPr>
          <w:rFonts w:ascii="Arial" w:hAnsi="Arial" w:cs="Arial"/>
          <w:sz w:val="22"/>
          <w:szCs w:val="22"/>
        </w:rPr>
        <w:t>analysed</w:t>
      </w:r>
      <w:proofErr w:type="spellEnd"/>
      <w:r w:rsidRPr="00132EF9">
        <w:rPr>
          <w:rFonts w:ascii="Arial" w:hAnsi="Arial" w:cs="Arial"/>
          <w:sz w:val="22"/>
          <w:szCs w:val="22"/>
        </w:rPr>
        <w:t xml:space="preserve"> critically, and different failures can be noted to be interconnected. To begin with, a risk assessment scheme seems to have been poorly implemented. Better </w:t>
      </w:r>
      <w:proofErr w:type="spellStart"/>
      <w:r w:rsidRPr="00132EF9">
        <w:rPr>
          <w:rFonts w:ascii="Arial" w:hAnsi="Arial" w:cs="Arial"/>
          <w:sz w:val="22"/>
          <w:szCs w:val="22"/>
        </w:rPr>
        <w:t>organised</w:t>
      </w:r>
      <w:proofErr w:type="spellEnd"/>
      <w:r w:rsidRPr="00132EF9">
        <w:rPr>
          <w:rFonts w:ascii="Arial" w:hAnsi="Arial" w:cs="Arial"/>
          <w:sz w:val="22"/>
          <w:szCs w:val="22"/>
        </w:rPr>
        <w:t xml:space="preserve"> cumulative harm identification might have been offered using tools including Signs of Safety model (Turnell and Edwards, 1999) or the Graded Care Profile (Srivastava and </w:t>
      </w:r>
      <w:proofErr w:type="spellStart"/>
      <w:r w:rsidRPr="00132EF9">
        <w:rPr>
          <w:rFonts w:ascii="Arial" w:hAnsi="Arial" w:cs="Arial"/>
          <w:sz w:val="22"/>
          <w:szCs w:val="22"/>
        </w:rPr>
        <w:t>Polnay</w:t>
      </w:r>
      <w:proofErr w:type="spellEnd"/>
      <w:r w:rsidRPr="00132EF9">
        <w:rPr>
          <w:rFonts w:ascii="Arial" w:hAnsi="Arial" w:cs="Arial"/>
          <w:sz w:val="22"/>
          <w:szCs w:val="22"/>
        </w:rPr>
        <w:t xml:space="preserve">, 1997). This is especially important with cumulative harm: separate events might not seem much on their own, but </w:t>
      </w:r>
      <w:r w:rsidR="003D2948" w:rsidRPr="00132EF9">
        <w:rPr>
          <w:rFonts w:ascii="Arial" w:hAnsi="Arial" w:cs="Arial"/>
          <w:sz w:val="22"/>
          <w:szCs w:val="22"/>
        </w:rPr>
        <w:t>cooperation</w:t>
      </w:r>
      <w:r w:rsidRPr="00132EF9">
        <w:rPr>
          <w:rFonts w:ascii="Arial" w:hAnsi="Arial" w:cs="Arial"/>
          <w:sz w:val="22"/>
          <w:szCs w:val="22"/>
        </w:rPr>
        <w:t xml:space="preserve"> of all of them impacting the development of a child will be devastating (Bromfield and Holzer, 2008).</w:t>
      </w:r>
    </w:p>
    <w:p w14:paraId="4AE88CB5" w14:textId="77777777" w:rsidR="00B52BDF" w:rsidRPr="00C526C5" w:rsidRDefault="00B52BDF" w:rsidP="00B52BDF">
      <w:pPr>
        <w:spacing w:after="0" w:line="360" w:lineRule="auto"/>
        <w:jc w:val="both"/>
        <w:rPr>
          <w:rFonts w:ascii="Arial" w:hAnsi="Arial" w:cs="Arial"/>
          <w:sz w:val="22"/>
          <w:szCs w:val="22"/>
        </w:rPr>
      </w:pPr>
      <w:r w:rsidRPr="00132EF9">
        <w:rPr>
          <w:rFonts w:ascii="Arial" w:hAnsi="Arial" w:cs="Arial"/>
          <w:sz w:val="22"/>
          <w:szCs w:val="22"/>
        </w:rPr>
        <w:lastRenderedPageBreak/>
        <w:t>Of critical importance, Section 47 of the Children Act 1989, that provides the mandatory enquiry in a case where a child is suspected to be in danger of major harm, should be applied with professional confidence. It is indicated that there are instances in which professionals’ default to Section 17 (child in need) support plans in cases where Section 47 enquiries might be more appropriate, or possibly because of the fear of destroying family relationships or lack of resources (Dickens, 2023)</w:t>
      </w:r>
      <w:r w:rsidRPr="00C526C5">
        <w:rPr>
          <w:rFonts w:ascii="Arial" w:hAnsi="Arial" w:cs="Arial"/>
          <w:sz w:val="22"/>
          <w:szCs w:val="22"/>
        </w:rPr>
        <w:t>.</w:t>
      </w:r>
    </w:p>
    <w:p w14:paraId="566ACFD3" w14:textId="77777777" w:rsidR="00B52BDF" w:rsidRPr="00C526C5" w:rsidRDefault="00B52BDF" w:rsidP="00B52BDF">
      <w:pPr>
        <w:spacing w:after="0" w:line="360" w:lineRule="auto"/>
        <w:jc w:val="both"/>
        <w:rPr>
          <w:rFonts w:ascii="Arial" w:hAnsi="Arial" w:cs="Arial"/>
          <w:sz w:val="22"/>
          <w:szCs w:val="22"/>
        </w:rPr>
      </w:pPr>
      <w:r w:rsidRPr="00C526C5">
        <w:rPr>
          <w:rFonts w:ascii="Arial" w:hAnsi="Arial" w:cs="Arial"/>
          <w:b/>
          <w:bCs/>
          <w:sz w:val="22"/>
          <w:szCs w:val="22"/>
        </w:rPr>
        <w:t>Police Officer:</w:t>
      </w:r>
    </w:p>
    <w:p w14:paraId="5AB3A3D9" w14:textId="77777777" w:rsidR="00B52BDF" w:rsidRPr="00132EF9" w:rsidRDefault="00B52BDF" w:rsidP="00B52BDF">
      <w:pPr>
        <w:spacing w:after="0" w:line="360" w:lineRule="auto"/>
        <w:jc w:val="both"/>
        <w:rPr>
          <w:rFonts w:ascii="Arial" w:hAnsi="Arial" w:cs="Arial"/>
          <w:sz w:val="22"/>
          <w:szCs w:val="22"/>
        </w:rPr>
      </w:pPr>
      <w:r w:rsidRPr="00132EF9">
        <w:rPr>
          <w:rFonts w:ascii="Arial" w:hAnsi="Arial" w:cs="Arial"/>
          <w:sz w:val="22"/>
          <w:szCs w:val="22"/>
        </w:rPr>
        <w:t>Law wise, the Domestic Abuse Act 2021 was a historic legislation that established a legal obligation to offer victims of domestic abuse safe accommodation, and more importantly, the legislation acknowledged that children who observe or are victims of domestic abuse are victims themselves. This is because, had the provisions of this legislation been strictly applied in this case of Theo, it would have been stronger in terms of the justification of earlier intervention.</w:t>
      </w:r>
    </w:p>
    <w:p w14:paraId="38A19FA3" w14:textId="77777777" w:rsidR="00B52BDF" w:rsidRPr="00C526C5" w:rsidRDefault="00B52BDF" w:rsidP="00B52BDF">
      <w:pPr>
        <w:spacing w:after="0" w:line="360" w:lineRule="auto"/>
        <w:jc w:val="both"/>
        <w:rPr>
          <w:rFonts w:ascii="Arial" w:hAnsi="Arial" w:cs="Arial"/>
          <w:sz w:val="22"/>
          <w:szCs w:val="22"/>
        </w:rPr>
      </w:pPr>
      <w:r w:rsidRPr="00132EF9">
        <w:rPr>
          <w:rFonts w:ascii="Arial" w:hAnsi="Arial" w:cs="Arial"/>
          <w:sz w:val="22"/>
          <w:szCs w:val="22"/>
        </w:rPr>
        <w:t>It is the norm of the use of Domestic Abuse Stalking and Honour-Based Violence (DASH) risk assessment tools in police response to domestic abuse calls. Nevertheless, such risk assessments should be distributed among the safeguarding partners in a timely manner. In case police discover a high-risk offender in a home with children, the information is important and urgent</w:t>
      </w:r>
      <w:r w:rsidRPr="00C526C5">
        <w:rPr>
          <w:rFonts w:ascii="Arial" w:hAnsi="Arial" w:cs="Arial"/>
          <w:sz w:val="22"/>
          <w:szCs w:val="22"/>
        </w:rPr>
        <w:t>.</w:t>
      </w:r>
    </w:p>
    <w:p w14:paraId="2B7607F5" w14:textId="77777777" w:rsidR="00B52BDF" w:rsidRPr="00C526C5" w:rsidRDefault="00B52BDF" w:rsidP="00B52BDF">
      <w:pPr>
        <w:spacing w:after="0" w:line="360" w:lineRule="auto"/>
        <w:jc w:val="both"/>
        <w:rPr>
          <w:rFonts w:ascii="Arial" w:hAnsi="Arial" w:cs="Arial"/>
          <w:sz w:val="22"/>
          <w:szCs w:val="22"/>
        </w:rPr>
      </w:pPr>
      <w:r w:rsidRPr="00C526C5">
        <w:rPr>
          <w:rFonts w:ascii="Arial" w:hAnsi="Arial" w:cs="Arial"/>
          <w:b/>
          <w:bCs/>
          <w:sz w:val="22"/>
          <w:szCs w:val="22"/>
        </w:rPr>
        <w:t>Health Visitor:</w:t>
      </w:r>
    </w:p>
    <w:p w14:paraId="6A1C1060" w14:textId="77777777" w:rsidR="00B52BDF" w:rsidRPr="00132EF9" w:rsidRDefault="00B52BDF" w:rsidP="00B52BDF">
      <w:pPr>
        <w:spacing w:after="0" w:line="360" w:lineRule="auto"/>
        <w:jc w:val="both"/>
        <w:rPr>
          <w:rFonts w:ascii="Arial" w:hAnsi="Arial" w:cs="Arial"/>
          <w:sz w:val="22"/>
          <w:szCs w:val="22"/>
        </w:rPr>
      </w:pPr>
      <w:r w:rsidRPr="00132EF9">
        <w:rPr>
          <w:rFonts w:ascii="Arial" w:hAnsi="Arial" w:cs="Arial"/>
          <w:sz w:val="22"/>
          <w:szCs w:val="22"/>
        </w:rPr>
        <w:t xml:space="preserve">Professionally, I would like to draw attention to the issue of the rule of optimism, which, according to O’Brien (2012), is the </w:t>
      </w:r>
      <w:proofErr w:type="spellStart"/>
      <w:r w:rsidRPr="00132EF9">
        <w:rPr>
          <w:rFonts w:ascii="Arial" w:hAnsi="Arial" w:cs="Arial"/>
          <w:sz w:val="22"/>
          <w:szCs w:val="22"/>
        </w:rPr>
        <w:t>minimisation</w:t>
      </w:r>
      <w:proofErr w:type="spellEnd"/>
      <w:r w:rsidRPr="00132EF9">
        <w:rPr>
          <w:rFonts w:ascii="Arial" w:hAnsi="Arial" w:cs="Arial"/>
          <w:sz w:val="22"/>
          <w:szCs w:val="22"/>
        </w:rPr>
        <w:t xml:space="preserve"> of risk that is unconscious in professionals and that is being described in the Munro Review (2011): when professionals learn that things are improving, even a little, they become hopeful. In the case of Theo, as in most, there might have been situations when signs were observed but not acted against because the big picture was perceived to be getting better.</w:t>
      </w:r>
    </w:p>
    <w:p w14:paraId="51AD32ED" w14:textId="77777777" w:rsidR="00B52BDF" w:rsidRPr="00C526C5" w:rsidRDefault="00B52BDF" w:rsidP="00B52BDF">
      <w:pPr>
        <w:spacing w:after="0" w:line="360" w:lineRule="auto"/>
        <w:jc w:val="both"/>
        <w:rPr>
          <w:rFonts w:ascii="Arial" w:hAnsi="Arial" w:cs="Arial"/>
          <w:sz w:val="22"/>
          <w:szCs w:val="22"/>
        </w:rPr>
      </w:pPr>
      <w:r w:rsidRPr="00132EF9">
        <w:rPr>
          <w:rFonts w:ascii="Arial" w:hAnsi="Arial" w:cs="Arial"/>
          <w:sz w:val="22"/>
          <w:szCs w:val="22"/>
        </w:rPr>
        <w:t>Integrated care systems (ICSs) as a structural mechanism of joined-up health and social care were strengthened by The Health and Care Act 2022. Theoretically, ICSs will allow improved coordination of early intervention. Nonetheless, studies show that framework integration itself is not a sufficient condition to ensure the effective work of professionals without the required culture change and joint training (Glasby, 2022)</w:t>
      </w:r>
      <w:r w:rsidRPr="00C526C5">
        <w:rPr>
          <w:rFonts w:ascii="Arial" w:hAnsi="Arial" w:cs="Arial"/>
          <w:sz w:val="22"/>
          <w:szCs w:val="22"/>
        </w:rPr>
        <w:t>.</w:t>
      </w:r>
    </w:p>
    <w:p w14:paraId="7C879831" w14:textId="77777777" w:rsidR="00B52BDF" w:rsidRPr="00C526C5" w:rsidRDefault="00B52BDF" w:rsidP="00B52BDF">
      <w:pPr>
        <w:spacing w:after="0" w:line="360" w:lineRule="auto"/>
        <w:jc w:val="both"/>
        <w:rPr>
          <w:rFonts w:ascii="Arial" w:hAnsi="Arial" w:cs="Arial"/>
          <w:sz w:val="22"/>
          <w:szCs w:val="22"/>
        </w:rPr>
      </w:pPr>
      <w:r w:rsidRPr="00C526C5">
        <w:rPr>
          <w:rFonts w:ascii="Arial" w:hAnsi="Arial" w:cs="Arial"/>
          <w:b/>
          <w:bCs/>
          <w:sz w:val="22"/>
          <w:szCs w:val="22"/>
        </w:rPr>
        <w:t>Mental Health Specialist:</w:t>
      </w:r>
    </w:p>
    <w:p w14:paraId="78E697CB" w14:textId="77777777" w:rsidR="00B52BDF" w:rsidRPr="00132EF9" w:rsidRDefault="00B52BDF" w:rsidP="00B52BDF">
      <w:pPr>
        <w:spacing w:after="0" w:line="360" w:lineRule="auto"/>
        <w:jc w:val="both"/>
        <w:rPr>
          <w:rFonts w:ascii="Arial" w:hAnsi="Arial" w:cs="Arial"/>
          <w:sz w:val="22"/>
          <w:szCs w:val="22"/>
        </w:rPr>
      </w:pPr>
      <w:r w:rsidRPr="00132EF9">
        <w:rPr>
          <w:rFonts w:ascii="Arial" w:hAnsi="Arial" w:cs="Arial"/>
          <w:sz w:val="22"/>
          <w:szCs w:val="22"/>
        </w:rPr>
        <w:t xml:space="preserve">Mental health intervention should be culturally sensitive and readily obtainable by any family that is going through multiple hardships. Access to psychological therapies and perinatal mental health services was promised in the Five-Year Forward View of Mental Health (NHS England, 2016) and then in the NHS Long Term Plan (NHS England, 2019). However, families living in high-risk </w:t>
      </w:r>
      <w:r w:rsidRPr="00132EF9">
        <w:rPr>
          <w:rFonts w:ascii="Arial" w:hAnsi="Arial" w:cs="Arial"/>
          <w:sz w:val="22"/>
          <w:szCs w:val="22"/>
        </w:rPr>
        <w:lastRenderedPageBreak/>
        <w:t>groups experience numerous obstacles, such as stigma, waiting lists, and geographic inequality as factors that do not provide them with access to support in time.</w:t>
      </w:r>
    </w:p>
    <w:p w14:paraId="415A3AA9" w14:textId="77777777" w:rsidR="00B52BDF" w:rsidRPr="00C526C5" w:rsidRDefault="00B52BDF" w:rsidP="00B52BDF">
      <w:pPr>
        <w:spacing w:after="0" w:line="360" w:lineRule="auto"/>
        <w:jc w:val="both"/>
        <w:rPr>
          <w:rFonts w:ascii="Arial" w:hAnsi="Arial" w:cs="Arial"/>
          <w:sz w:val="22"/>
          <w:szCs w:val="22"/>
        </w:rPr>
      </w:pPr>
      <w:r w:rsidRPr="00132EF9">
        <w:rPr>
          <w:rFonts w:ascii="Arial" w:hAnsi="Arial" w:cs="Arial"/>
          <w:sz w:val="22"/>
          <w:szCs w:val="22"/>
        </w:rPr>
        <w:t>In the case of Theo, adult mental health services could have been working with the services of children and the health visiting team and a more detailed picture of the risk and protective factors could have been created. The needs of all the family members being addressed together, as addressed by Think Family approaches (DCSF, 2008) are invaluable in complicated situations such as this one</w:t>
      </w:r>
      <w:r w:rsidRPr="00C526C5">
        <w:rPr>
          <w:rFonts w:ascii="Arial" w:hAnsi="Arial" w:cs="Arial"/>
          <w:sz w:val="22"/>
          <w:szCs w:val="22"/>
        </w:rPr>
        <w:t>.</w:t>
      </w:r>
    </w:p>
    <w:p w14:paraId="3D893F3C" w14:textId="77777777" w:rsidR="00B52BDF" w:rsidRPr="00C526C5" w:rsidRDefault="00B52BDF" w:rsidP="00B52BDF">
      <w:pPr>
        <w:spacing w:after="0" w:line="360" w:lineRule="auto"/>
        <w:jc w:val="both"/>
        <w:rPr>
          <w:rFonts w:ascii="Arial" w:hAnsi="Arial" w:cs="Arial"/>
          <w:b/>
          <w:bCs/>
          <w:sz w:val="22"/>
          <w:szCs w:val="22"/>
        </w:rPr>
      </w:pPr>
      <w:r w:rsidRPr="00C526C5">
        <w:rPr>
          <w:rFonts w:ascii="Arial" w:hAnsi="Arial" w:cs="Arial"/>
          <w:b/>
          <w:bCs/>
          <w:sz w:val="22"/>
          <w:szCs w:val="22"/>
        </w:rPr>
        <w:t xml:space="preserve">4. </w:t>
      </w:r>
      <w:r w:rsidRPr="00132EF9">
        <w:rPr>
          <w:rFonts w:ascii="Arial" w:hAnsi="Arial" w:cs="Arial"/>
          <w:b/>
          <w:bCs/>
          <w:sz w:val="22"/>
          <w:szCs w:val="22"/>
        </w:rPr>
        <w:t>Recommendations on Current Policy and Multi-Disciplinary Responses</w:t>
      </w:r>
    </w:p>
    <w:p w14:paraId="554BB278" w14:textId="77777777" w:rsidR="00B52BDF" w:rsidRPr="00C526C5" w:rsidRDefault="00B52BDF" w:rsidP="00B52BDF">
      <w:pPr>
        <w:spacing w:after="0" w:line="360" w:lineRule="auto"/>
        <w:jc w:val="both"/>
        <w:rPr>
          <w:rFonts w:ascii="Arial" w:hAnsi="Arial" w:cs="Arial"/>
          <w:sz w:val="22"/>
          <w:szCs w:val="22"/>
        </w:rPr>
      </w:pPr>
      <w:r w:rsidRPr="00C526C5">
        <w:rPr>
          <w:rFonts w:ascii="Arial" w:hAnsi="Arial" w:cs="Arial"/>
          <w:b/>
          <w:bCs/>
          <w:sz w:val="22"/>
          <w:szCs w:val="22"/>
        </w:rPr>
        <w:t>Social Worker:</w:t>
      </w:r>
    </w:p>
    <w:p w14:paraId="540A7EFB" w14:textId="77777777" w:rsidR="00B52BDF" w:rsidRPr="00132EF9" w:rsidRDefault="00B52BDF" w:rsidP="00B52BDF">
      <w:pPr>
        <w:spacing w:after="0" w:line="360" w:lineRule="auto"/>
        <w:jc w:val="both"/>
        <w:rPr>
          <w:rFonts w:ascii="Arial" w:hAnsi="Arial" w:cs="Arial"/>
          <w:sz w:val="22"/>
          <w:szCs w:val="22"/>
        </w:rPr>
      </w:pPr>
      <w:r w:rsidRPr="00132EF9">
        <w:rPr>
          <w:rFonts w:ascii="Arial" w:hAnsi="Arial" w:cs="Arial"/>
          <w:sz w:val="22"/>
          <w:szCs w:val="22"/>
        </w:rPr>
        <w:t xml:space="preserve">Conclusively, Theo case is a wake-up call to the actual reality that the current policy in as far as it is elaborate in concept can still fail miserably in </w:t>
      </w:r>
      <w:proofErr w:type="spellStart"/>
      <w:r w:rsidRPr="00132EF9">
        <w:rPr>
          <w:rFonts w:ascii="Arial" w:hAnsi="Arial" w:cs="Arial"/>
          <w:sz w:val="22"/>
          <w:szCs w:val="22"/>
        </w:rPr>
        <w:t>practise</w:t>
      </w:r>
      <w:proofErr w:type="spellEnd"/>
      <w:r w:rsidRPr="00132EF9">
        <w:rPr>
          <w:rFonts w:ascii="Arial" w:hAnsi="Arial" w:cs="Arial"/>
          <w:sz w:val="22"/>
          <w:szCs w:val="22"/>
        </w:rPr>
        <w:t>. Working Together to Safeguard Children (HM Government, 2023) is a solid statutory construct and still children are dying in situations that can be prevented. It is not a legislative issue, rather it is largely cultural, structural and resource based.</w:t>
      </w:r>
    </w:p>
    <w:p w14:paraId="31B657C6" w14:textId="324935AD" w:rsidR="00B52BDF" w:rsidRPr="00C526C5" w:rsidRDefault="00B52BDF" w:rsidP="00B52BDF">
      <w:pPr>
        <w:spacing w:after="0" w:line="360" w:lineRule="auto"/>
        <w:jc w:val="both"/>
        <w:rPr>
          <w:rFonts w:ascii="Arial" w:hAnsi="Arial" w:cs="Arial"/>
          <w:sz w:val="22"/>
          <w:szCs w:val="22"/>
        </w:rPr>
      </w:pPr>
      <w:r w:rsidRPr="00132EF9">
        <w:rPr>
          <w:rFonts w:ascii="Arial" w:hAnsi="Arial" w:cs="Arial"/>
          <w:sz w:val="22"/>
          <w:szCs w:val="22"/>
        </w:rPr>
        <w:t xml:space="preserve">The Independent Review of Children's Social Care (MacAlister, 2022) suggested 84 proposals on how to reform the situation: more funding to support families, changes in the assessment process, and a national body to improve children social care. These suggestions are well-timed but need political will and financial resources to be committed to </w:t>
      </w:r>
      <w:r w:rsidR="003D2948" w:rsidRPr="00132EF9">
        <w:rPr>
          <w:rFonts w:ascii="Arial" w:hAnsi="Arial" w:cs="Arial"/>
          <w:sz w:val="22"/>
          <w:szCs w:val="22"/>
        </w:rPr>
        <w:t>making</w:t>
      </w:r>
      <w:r w:rsidRPr="00132EF9">
        <w:rPr>
          <w:rFonts w:ascii="Arial" w:hAnsi="Arial" w:cs="Arial"/>
          <w:sz w:val="22"/>
          <w:szCs w:val="22"/>
        </w:rPr>
        <w:t xml:space="preserve"> them happen</w:t>
      </w:r>
      <w:r w:rsidRPr="00C526C5">
        <w:rPr>
          <w:rFonts w:ascii="Arial" w:hAnsi="Arial" w:cs="Arial"/>
          <w:sz w:val="22"/>
          <w:szCs w:val="22"/>
        </w:rPr>
        <w:t>.</w:t>
      </w:r>
    </w:p>
    <w:p w14:paraId="3B5212AF" w14:textId="77777777" w:rsidR="00B52BDF" w:rsidRPr="00C526C5" w:rsidRDefault="00B52BDF" w:rsidP="00B52BDF">
      <w:pPr>
        <w:spacing w:after="0" w:line="360" w:lineRule="auto"/>
        <w:jc w:val="both"/>
        <w:rPr>
          <w:rFonts w:ascii="Arial" w:hAnsi="Arial" w:cs="Arial"/>
          <w:sz w:val="22"/>
          <w:szCs w:val="22"/>
        </w:rPr>
      </w:pPr>
      <w:r w:rsidRPr="00C526C5">
        <w:rPr>
          <w:rFonts w:ascii="Arial" w:hAnsi="Arial" w:cs="Arial"/>
          <w:b/>
          <w:bCs/>
          <w:sz w:val="22"/>
          <w:szCs w:val="22"/>
        </w:rPr>
        <w:t>Police Officer:</w:t>
      </w:r>
    </w:p>
    <w:p w14:paraId="56A38F8D" w14:textId="53006A3E" w:rsidR="00B52BDF" w:rsidRPr="00C526C5" w:rsidRDefault="00B52BDF" w:rsidP="00B52BDF">
      <w:pPr>
        <w:spacing w:after="0" w:line="360" w:lineRule="auto"/>
        <w:jc w:val="both"/>
        <w:rPr>
          <w:rFonts w:ascii="Arial" w:hAnsi="Arial" w:cs="Arial"/>
          <w:sz w:val="22"/>
          <w:szCs w:val="22"/>
        </w:rPr>
      </w:pPr>
      <w:r w:rsidRPr="00951ED2">
        <w:rPr>
          <w:rFonts w:ascii="Arial" w:hAnsi="Arial" w:cs="Arial"/>
          <w:sz w:val="22"/>
          <w:szCs w:val="22"/>
        </w:rPr>
        <w:t>According to The Safeguarding Children in Families Affected by Domestic Abuse guidance (CAADA/</w:t>
      </w:r>
      <w:proofErr w:type="spellStart"/>
      <w:r w:rsidRPr="00951ED2">
        <w:rPr>
          <w:rFonts w:ascii="Arial" w:hAnsi="Arial" w:cs="Arial"/>
          <w:sz w:val="22"/>
          <w:szCs w:val="22"/>
        </w:rPr>
        <w:t>SafeLives</w:t>
      </w:r>
      <w:proofErr w:type="spellEnd"/>
      <w:r w:rsidRPr="00951ED2">
        <w:rPr>
          <w:rFonts w:ascii="Arial" w:hAnsi="Arial" w:cs="Arial"/>
          <w:sz w:val="22"/>
          <w:szCs w:val="22"/>
        </w:rPr>
        <w:t xml:space="preserve">), co-location of services and joint training is significant to enhance the outcomes. This effect of delayed or missing multi-disciplinary responses in the case of Theo contributed to the tragedy. In the future, the </w:t>
      </w:r>
      <w:r w:rsidR="0030446D" w:rsidRPr="00951ED2">
        <w:rPr>
          <w:rFonts w:ascii="Arial" w:hAnsi="Arial" w:cs="Arial"/>
          <w:sz w:val="22"/>
          <w:szCs w:val="22"/>
        </w:rPr>
        <w:t>practice</w:t>
      </w:r>
      <w:r w:rsidRPr="00951ED2">
        <w:rPr>
          <w:rFonts w:ascii="Arial" w:hAnsi="Arial" w:cs="Arial"/>
          <w:sz w:val="22"/>
          <w:szCs w:val="22"/>
        </w:rPr>
        <w:t xml:space="preserve"> reviews of Child Safeguarding should be done systematically, not just registered, and their recommendations disseminated through regional and national networks</w:t>
      </w:r>
      <w:r w:rsidRPr="00C526C5">
        <w:rPr>
          <w:rFonts w:ascii="Arial" w:hAnsi="Arial" w:cs="Arial"/>
          <w:sz w:val="22"/>
          <w:szCs w:val="22"/>
        </w:rPr>
        <w:t>.</w:t>
      </w:r>
    </w:p>
    <w:p w14:paraId="5BC6F51B" w14:textId="77777777" w:rsidR="00B52BDF" w:rsidRPr="00C526C5" w:rsidRDefault="00B52BDF" w:rsidP="00B52BDF">
      <w:pPr>
        <w:spacing w:after="0" w:line="360" w:lineRule="auto"/>
        <w:jc w:val="both"/>
        <w:rPr>
          <w:rFonts w:ascii="Arial" w:hAnsi="Arial" w:cs="Arial"/>
          <w:sz w:val="22"/>
          <w:szCs w:val="22"/>
        </w:rPr>
      </w:pPr>
      <w:r w:rsidRPr="00C526C5">
        <w:rPr>
          <w:rFonts w:ascii="Arial" w:hAnsi="Arial" w:cs="Arial"/>
          <w:b/>
          <w:bCs/>
          <w:sz w:val="22"/>
          <w:szCs w:val="22"/>
        </w:rPr>
        <w:t>Health Visitor:</w:t>
      </w:r>
    </w:p>
    <w:p w14:paraId="7AB5E153" w14:textId="42124CAE" w:rsidR="00B52BDF" w:rsidRPr="00C526C5" w:rsidRDefault="00B52BDF" w:rsidP="00B52BDF">
      <w:pPr>
        <w:spacing w:after="0" w:line="360" w:lineRule="auto"/>
        <w:jc w:val="both"/>
        <w:rPr>
          <w:rFonts w:ascii="Arial" w:hAnsi="Arial" w:cs="Arial"/>
          <w:sz w:val="22"/>
          <w:szCs w:val="22"/>
        </w:rPr>
      </w:pPr>
      <w:r w:rsidRPr="00951ED2">
        <w:rPr>
          <w:rFonts w:ascii="Arial" w:hAnsi="Arial" w:cs="Arial"/>
          <w:sz w:val="22"/>
          <w:szCs w:val="22"/>
        </w:rPr>
        <w:t xml:space="preserve">The early identification and support of vulnerable families due to the reduction of health visiting capacity through austerity have been </w:t>
      </w:r>
      <w:r w:rsidR="0030446D" w:rsidRPr="00951ED2">
        <w:rPr>
          <w:rFonts w:ascii="Arial" w:hAnsi="Arial" w:cs="Arial"/>
          <w:sz w:val="22"/>
          <w:szCs w:val="22"/>
        </w:rPr>
        <w:t>quantified</w:t>
      </w:r>
      <w:r w:rsidRPr="00951ED2">
        <w:rPr>
          <w:rFonts w:ascii="Arial" w:hAnsi="Arial" w:cs="Arial"/>
          <w:sz w:val="22"/>
          <w:szCs w:val="22"/>
        </w:rPr>
        <w:t>. The research by Barlow et al. (2021) and the Baby Friendly Initiative provided by UNICEF UK both indicate that the sustained contacts in the form of health visiting during the early years are extremely important. We should promote the reinvestments of the universal services as a protective infrastructure</w:t>
      </w:r>
      <w:r w:rsidRPr="00C526C5">
        <w:rPr>
          <w:rFonts w:ascii="Arial" w:hAnsi="Arial" w:cs="Arial"/>
          <w:sz w:val="22"/>
          <w:szCs w:val="22"/>
        </w:rPr>
        <w:t>.</w:t>
      </w:r>
    </w:p>
    <w:p w14:paraId="2E922929" w14:textId="77777777" w:rsidR="00B52BDF" w:rsidRPr="00C526C5" w:rsidRDefault="00B52BDF" w:rsidP="00B52BDF">
      <w:pPr>
        <w:spacing w:after="0" w:line="360" w:lineRule="auto"/>
        <w:jc w:val="both"/>
        <w:rPr>
          <w:rFonts w:ascii="Arial" w:hAnsi="Arial" w:cs="Arial"/>
          <w:sz w:val="22"/>
          <w:szCs w:val="22"/>
        </w:rPr>
      </w:pPr>
      <w:r w:rsidRPr="00C526C5">
        <w:rPr>
          <w:rFonts w:ascii="Arial" w:hAnsi="Arial" w:cs="Arial"/>
          <w:b/>
          <w:bCs/>
          <w:sz w:val="22"/>
          <w:szCs w:val="22"/>
        </w:rPr>
        <w:t>Mental Health Specialist:</w:t>
      </w:r>
    </w:p>
    <w:p w14:paraId="3841D50C" w14:textId="03C6BD97" w:rsidR="00B52BDF" w:rsidRPr="00C526C5" w:rsidRDefault="00B52BDF" w:rsidP="00B52BDF">
      <w:pPr>
        <w:spacing w:after="0" w:line="360" w:lineRule="auto"/>
        <w:jc w:val="both"/>
        <w:rPr>
          <w:rFonts w:ascii="Arial" w:hAnsi="Arial" w:cs="Arial"/>
          <w:sz w:val="22"/>
          <w:szCs w:val="22"/>
        </w:rPr>
      </w:pPr>
      <w:r w:rsidRPr="00951ED2">
        <w:rPr>
          <w:rFonts w:ascii="Arial" w:hAnsi="Arial" w:cs="Arial"/>
          <w:sz w:val="22"/>
          <w:szCs w:val="22"/>
        </w:rPr>
        <w:t xml:space="preserve">The effect of the multi-disciplinary response and the absence of it on the family of Theo cannot be overestimated. The loss trauma with ACEs experienced in the past will be long-term to the </w:t>
      </w:r>
      <w:r w:rsidRPr="00951ED2">
        <w:rPr>
          <w:rFonts w:ascii="Arial" w:hAnsi="Arial" w:cs="Arial"/>
          <w:sz w:val="22"/>
          <w:szCs w:val="22"/>
        </w:rPr>
        <w:lastRenderedPageBreak/>
        <w:t xml:space="preserve">surviving family members, such as siblings. Intervention should now incorporate </w:t>
      </w:r>
      <w:proofErr w:type="gramStart"/>
      <w:r w:rsidRPr="00951ED2">
        <w:rPr>
          <w:rFonts w:ascii="Arial" w:hAnsi="Arial" w:cs="Arial"/>
          <w:sz w:val="22"/>
          <w:szCs w:val="22"/>
        </w:rPr>
        <w:t>trauma-informed</w:t>
      </w:r>
      <w:proofErr w:type="gramEnd"/>
      <w:r w:rsidRPr="00951ED2">
        <w:rPr>
          <w:rFonts w:ascii="Arial" w:hAnsi="Arial" w:cs="Arial"/>
          <w:sz w:val="22"/>
          <w:szCs w:val="22"/>
        </w:rPr>
        <w:t xml:space="preserve"> care of support on all family members, as well as all agencies involved being truthful </w:t>
      </w:r>
      <w:r w:rsidR="0030446D" w:rsidRPr="00951ED2">
        <w:rPr>
          <w:rFonts w:ascii="Arial" w:hAnsi="Arial" w:cs="Arial"/>
          <w:sz w:val="22"/>
          <w:szCs w:val="22"/>
        </w:rPr>
        <w:t>about</w:t>
      </w:r>
      <w:r w:rsidRPr="00951ED2">
        <w:rPr>
          <w:rFonts w:ascii="Arial" w:hAnsi="Arial" w:cs="Arial"/>
          <w:sz w:val="22"/>
          <w:szCs w:val="22"/>
        </w:rPr>
        <w:t xml:space="preserve"> what could have been done differently</w:t>
      </w:r>
      <w:r w:rsidRPr="00C526C5">
        <w:rPr>
          <w:rFonts w:ascii="Arial" w:hAnsi="Arial" w:cs="Arial"/>
          <w:sz w:val="22"/>
          <w:szCs w:val="22"/>
        </w:rPr>
        <w:t>.</w:t>
      </w:r>
    </w:p>
    <w:p w14:paraId="50970E51" w14:textId="77777777" w:rsidR="00B52BDF" w:rsidRPr="00C526C5" w:rsidRDefault="00B52BDF" w:rsidP="00B52BDF">
      <w:pPr>
        <w:spacing w:after="0" w:line="360" w:lineRule="auto"/>
        <w:jc w:val="both"/>
        <w:rPr>
          <w:rFonts w:ascii="Arial" w:hAnsi="Arial" w:cs="Arial"/>
          <w:b/>
          <w:bCs/>
          <w:sz w:val="22"/>
          <w:szCs w:val="22"/>
        </w:rPr>
      </w:pPr>
      <w:r w:rsidRPr="00C526C5">
        <w:rPr>
          <w:rFonts w:ascii="Arial" w:hAnsi="Arial" w:cs="Arial"/>
          <w:b/>
          <w:bCs/>
          <w:sz w:val="22"/>
          <w:szCs w:val="22"/>
        </w:rPr>
        <w:t xml:space="preserve">5. </w:t>
      </w:r>
      <w:r w:rsidRPr="00951ED2">
        <w:rPr>
          <w:rFonts w:ascii="Arial" w:hAnsi="Arial" w:cs="Arial"/>
          <w:b/>
          <w:bCs/>
          <w:sz w:val="22"/>
          <w:szCs w:val="22"/>
        </w:rPr>
        <w:t>Improving Multi and Inter-Disciplinary Services Recommendations</w:t>
      </w:r>
    </w:p>
    <w:p w14:paraId="4E0D14EA" w14:textId="77777777" w:rsidR="00B52BDF" w:rsidRPr="00951ED2" w:rsidRDefault="00B52BDF" w:rsidP="00B52BDF">
      <w:pPr>
        <w:spacing w:after="0" w:line="360" w:lineRule="auto"/>
        <w:jc w:val="both"/>
        <w:rPr>
          <w:rFonts w:ascii="Arial" w:hAnsi="Arial" w:cs="Arial"/>
          <w:sz w:val="22"/>
          <w:szCs w:val="22"/>
        </w:rPr>
      </w:pPr>
      <w:r w:rsidRPr="00951ED2">
        <w:rPr>
          <w:rFonts w:ascii="Arial" w:hAnsi="Arial" w:cs="Arial"/>
          <w:sz w:val="22"/>
          <w:szCs w:val="22"/>
        </w:rPr>
        <w:t>Based on the case of Theo and the general literature, the following recommendations may be offered:</w:t>
      </w:r>
    </w:p>
    <w:p w14:paraId="66E82687" w14:textId="69595348" w:rsidR="00B52BDF" w:rsidRPr="00951ED2" w:rsidRDefault="00B52BDF" w:rsidP="00B52BDF">
      <w:pPr>
        <w:spacing w:after="0" w:line="360" w:lineRule="auto"/>
        <w:jc w:val="both"/>
        <w:rPr>
          <w:rFonts w:ascii="Arial" w:hAnsi="Arial" w:cs="Arial"/>
          <w:sz w:val="22"/>
          <w:szCs w:val="22"/>
        </w:rPr>
      </w:pPr>
      <w:r w:rsidRPr="00951ED2">
        <w:rPr>
          <w:rFonts w:ascii="Arial" w:hAnsi="Arial" w:cs="Arial"/>
          <w:sz w:val="22"/>
          <w:szCs w:val="22"/>
        </w:rPr>
        <w:t>Mandatory Joint Training Across Agencies</w:t>
      </w:r>
      <w:r>
        <w:rPr>
          <w:rFonts w:ascii="Arial" w:hAnsi="Arial" w:cs="Arial"/>
          <w:sz w:val="22"/>
          <w:szCs w:val="22"/>
        </w:rPr>
        <w:t>.</w:t>
      </w:r>
      <w:r w:rsidRPr="00951ED2">
        <w:rPr>
          <w:rFonts w:ascii="Arial" w:hAnsi="Arial" w:cs="Arial"/>
          <w:sz w:val="22"/>
          <w:szCs w:val="22"/>
        </w:rPr>
        <w:t xml:space="preserve"> There should be mandatory joint safeguarding training that involves ACEs awareness, trauma-informed </w:t>
      </w:r>
      <w:r w:rsidR="0030446D" w:rsidRPr="00951ED2">
        <w:rPr>
          <w:rFonts w:ascii="Arial" w:hAnsi="Arial" w:cs="Arial"/>
          <w:sz w:val="22"/>
          <w:szCs w:val="22"/>
        </w:rPr>
        <w:t>practice</w:t>
      </w:r>
      <w:r w:rsidRPr="00951ED2">
        <w:rPr>
          <w:rFonts w:ascii="Arial" w:hAnsi="Arial" w:cs="Arial"/>
          <w:sz w:val="22"/>
          <w:szCs w:val="22"/>
        </w:rPr>
        <w:t>, domestic abuse recognition, and information-sharing legislation to all the professionals working with children and families (HM Government, 2023; MacAlister, 2022).</w:t>
      </w:r>
    </w:p>
    <w:p w14:paraId="731AFADB" w14:textId="77777777" w:rsidR="00B52BDF" w:rsidRPr="00951ED2" w:rsidRDefault="00B52BDF" w:rsidP="00B52BDF">
      <w:pPr>
        <w:spacing w:after="0" w:line="360" w:lineRule="auto"/>
        <w:jc w:val="both"/>
        <w:rPr>
          <w:rFonts w:ascii="Arial" w:hAnsi="Arial" w:cs="Arial"/>
          <w:sz w:val="22"/>
          <w:szCs w:val="22"/>
        </w:rPr>
      </w:pPr>
      <w:r w:rsidRPr="00951ED2">
        <w:rPr>
          <w:rFonts w:ascii="Arial" w:hAnsi="Arial" w:cs="Arial"/>
          <w:sz w:val="22"/>
          <w:szCs w:val="22"/>
        </w:rPr>
        <w:t>The enhancement of MASH Models</w:t>
      </w:r>
      <w:r>
        <w:rPr>
          <w:rFonts w:ascii="Arial" w:hAnsi="Arial" w:cs="Arial"/>
          <w:sz w:val="22"/>
          <w:szCs w:val="22"/>
        </w:rPr>
        <w:t>.</w:t>
      </w:r>
      <w:r w:rsidRPr="00951ED2">
        <w:rPr>
          <w:rFonts w:ascii="Arial" w:hAnsi="Arial" w:cs="Arial"/>
          <w:sz w:val="22"/>
          <w:szCs w:val="22"/>
        </w:rPr>
        <w:t xml:space="preserve"> Multi-Agency Safeguarding Hubs must be regularly installed and resourced in all local authorities and have clear guidelines regarding the sharing of information and the decision-making process (Dickens, 2023).</w:t>
      </w:r>
    </w:p>
    <w:p w14:paraId="6D16A063" w14:textId="77777777" w:rsidR="00B52BDF" w:rsidRPr="00951ED2" w:rsidRDefault="00B52BDF" w:rsidP="00B52BDF">
      <w:pPr>
        <w:spacing w:after="0" w:line="360" w:lineRule="auto"/>
        <w:jc w:val="both"/>
        <w:rPr>
          <w:rFonts w:ascii="Arial" w:hAnsi="Arial" w:cs="Arial"/>
          <w:sz w:val="22"/>
          <w:szCs w:val="22"/>
        </w:rPr>
      </w:pPr>
      <w:r w:rsidRPr="00951ED2">
        <w:rPr>
          <w:rFonts w:ascii="Arial" w:hAnsi="Arial" w:cs="Arial"/>
          <w:sz w:val="22"/>
          <w:szCs w:val="22"/>
        </w:rPr>
        <w:t>Both strategies should be embraced to guarantee that adult-facing services (mental health, substance misuse, domestic abuse) enable the needs of children in the household to be considered by default (DCSF, 2008; MacAlister, 2022).</w:t>
      </w:r>
    </w:p>
    <w:p w14:paraId="1813E77C" w14:textId="77777777" w:rsidR="00B52BDF" w:rsidRPr="00951ED2" w:rsidRDefault="00B52BDF" w:rsidP="00B52BDF">
      <w:pPr>
        <w:spacing w:after="0" w:line="360" w:lineRule="auto"/>
        <w:jc w:val="both"/>
        <w:rPr>
          <w:rFonts w:ascii="Arial" w:hAnsi="Arial" w:cs="Arial"/>
          <w:sz w:val="22"/>
          <w:szCs w:val="22"/>
        </w:rPr>
      </w:pPr>
      <w:r w:rsidRPr="00951ED2">
        <w:rPr>
          <w:rFonts w:ascii="Arial" w:hAnsi="Arial" w:cs="Arial"/>
          <w:sz w:val="22"/>
          <w:szCs w:val="22"/>
        </w:rPr>
        <w:t>Reinvestment in Early Help and Universal Services</w:t>
      </w:r>
      <w:r>
        <w:rPr>
          <w:rFonts w:ascii="Arial" w:hAnsi="Arial" w:cs="Arial"/>
          <w:sz w:val="22"/>
          <w:szCs w:val="22"/>
        </w:rPr>
        <w:t>.</w:t>
      </w:r>
      <w:r w:rsidRPr="00951ED2">
        <w:rPr>
          <w:rFonts w:ascii="Arial" w:hAnsi="Arial" w:cs="Arial"/>
          <w:sz w:val="22"/>
          <w:szCs w:val="22"/>
        </w:rPr>
        <w:t xml:space="preserve"> Governments should restore the early help services, health visiting, and family support in </w:t>
      </w:r>
      <w:proofErr w:type="spellStart"/>
      <w:r w:rsidRPr="00951ED2">
        <w:rPr>
          <w:rFonts w:ascii="Arial" w:hAnsi="Arial" w:cs="Arial"/>
          <w:sz w:val="22"/>
          <w:szCs w:val="22"/>
        </w:rPr>
        <w:t>realisation</w:t>
      </w:r>
      <w:proofErr w:type="spellEnd"/>
      <w:r w:rsidRPr="00951ED2">
        <w:rPr>
          <w:rFonts w:ascii="Arial" w:hAnsi="Arial" w:cs="Arial"/>
          <w:sz w:val="22"/>
          <w:szCs w:val="22"/>
        </w:rPr>
        <w:t xml:space="preserve"> of the preventive role the services play in identifying and dealing with risk before children escalate into a crisis (Barlow et al., 2021; Glasby, 2022).</w:t>
      </w:r>
    </w:p>
    <w:p w14:paraId="4EA43AB7" w14:textId="77777777" w:rsidR="00B52BDF" w:rsidRPr="00951ED2" w:rsidRDefault="00B52BDF" w:rsidP="00B52BDF">
      <w:pPr>
        <w:spacing w:after="0" w:line="360" w:lineRule="auto"/>
        <w:jc w:val="both"/>
        <w:rPr>
          <w:rFonts w:ascii="Arial" w:hAnsi="Arial" w:cs="Arial"/>
          <w:sz w:val="22"/>
          <w:szCs w:val="22"/>
        </w:rPr>
      </w:pPr>
      <w:r w:rsidRPr="00951ED2">
        <w:rPr>
          <w:rFonts w:ascii="Arial" w:hAnsi="Arial" w:cs="Arial"/>
          <w:sz w:val="22"/>
          <w:szCs w:val="22"/>
        </w:rPr>
        <w:t xml:space="preserve">Systemic Learning based on Child Safeguarding </w:t>
      </w:r>
      <w:proofErr w:type="spellStart"/>
      <w:r w:rsidRPr="00951ED2">
        <w:rPr>
          <w:rFonts w:ascii="Arial" w:hAnsi="Arial" w:cs="Arial"/>
          <w:sz w:val="22"/>
          <w:szCs w:val="22"/>
        </w:rPr>
        <w:t>Practise</w:t>
      </w:r>
      <w:proofErr w:type="spellEnd"/>
      <w:r w:rsidRPr="00951ED2">
        <w:rPr>
          <w:rFonts w:ascii="Arial" w:hAnsi="Arial" w:cs="Arial"/>
          <w:sz w:val="22"/>
          <w:szCs w:val="22"/>
        </w:rPr>
        <w:t xml:space="preserve"> Reviews</w:t>
      </w:r>
      <w:r>
        <w:rPr>
          <w:rFonts w:ascii="Arial" w:hAnsi="Arial" w:cs="Arial"/>
          <w:sz w:val="22"/>
          <w:szCs w:val="22"/>
        </w:rPr>
        <w:t>.</w:t>
      </w:r>
      <w:r w:rsidRPr="00951ED2">
        <w:rPr>
          <w:rFonts w:ascii="Arial" w:hAnsi="Arial" w:cs="Arial"/>
          <w:sz w:val="22"/>
          <w:szCs w:val="22"/>
        </w:rPr>
        <w:t xml:space="preserve"> There should be a national, systematic way to disseminate learning based on CSPRs, and go beyond individual </w:t>
      </w:r>
      <w:proofErr w:type="spellStart"/>
      <w:r w:rsidRPr="00951ED2">
        <w:rPr>
          <w:rFonts w:ascii="Arial" w:hAnsi="Arial" w:cs="Arial"/>
          <w:sz w:val="22"/>
          <w:szCs w:val="22"/>
        </w:rPr>
        <w:t>organisational</w:t>
      </w:r>
      <w:proofErr w:type="spellEnd"/>
      <w:r w:rsidRPr="00951ED2">
        <w:rPr>
          <w:rFonts w:ascii="Arial" w:hAnsi="Arial" w:cs="Arial"/>
          <w:sz w:val="22"/>
          <w:szCs w:val="22"/>
        </w:rPr>
        <w:t xml:space="preserve"> response to establish improvement across the sector (HM Government, 2023; Brandon et al., 2020).</w:t>
      </w:r>
    </w:p>
    <w:p w14:paraId="0D6D60F1" w14:textId="3AABD003" w:rsidR="00B52BDF" w:rsidRPr="00C526C5" w:rsidRDefault="00B52BDF" w:rsidP="00B52BDF">
      <w:pPr>
        <w:spacing w:after="0" w:line="360" w:lineRule="auto"/>
        <w:jc w:val="both"/>
        <w:rPr>
          <w:rFonts w:ascii="Arial" w:hAnsi="Arial" w:cs="Arial"/>
          <w:sz w:val="22"/>
          <w:szCs w:val="22"/>
        </w:rPr>
      </w:pPr>
      <w:r w:rsidRPr="00951ED2">
        <w:rPr>
          <w:rFonts w:ascii="Arial" w:hAnsi="Arial" w:cs="Arial"/>
          <w:sz w:val="22"/>
          <w:szCs w:val="22"/>
        </w:rPr>
        <w:t>Trauma-Informed Workforce Development</w:t>
      </w:r>
      <w:r>
        <w:rPr>
          <w:rFonts w:ascii="Arial" w:hAnsi="Arial" w:cs="Arial"/>
          <w:sz w:val="22"/>
          <w:szCs w:val="22"/>
        </w:rPr>
        <w:t>.</w:t>
      </w:r>
      <w:r w:rsidRPr="00951ED2">
        <w:rPr>
          <w:rFonts w:ascii="Arial" w:hAnsi="Arial" w:cs="Arial"/>
          <w:sz w:val="22"/>
          <w:szCs w:val="22"/>
        </w:rPr>
        <w:t xml:space="preserve"> All health and social care workers need to receive training on the use of trauma-informed </w:t>
      </w:r>
      <w:r w:rsidR="004B4177" w:rsidRPr="00951ED2">
        <w:rPr>
          <w:rFonts w:ascii="Arial" w:hAnsi="Arial" w:cs="Arial"/>
          <w:sz w:val="22"/>
          <w:szCs w:val="22"/>
        </w:rPr>
        <w:t>practice</w:t>
      </w:r>
      <w:r w:rsidRPr="00951ED2">
        <w:rPr>
          <w:rFonts w:ascii="Arial" w:hAnsi="Arial" w:cs="Arial"/>
          <w:sz w:val="22"/>
          <w:szCs w:val="22"/>
        </w:rPr>
        <w:t xml:space="preserve"> to comprehend how childhood adversity influences family functioning and service </w:t>
      </w:r>
      <w:proofErr w:type="spellStart"/>
      <w:r w:rsidRPr="00951ED2">
        <w:rPr>
          <w:rFonts w:ascii="Arial" w:hAnsi="Arial" w:cs="Arial"/>
          <w:sz w:val="22"/>
          <w:szCs w:val="22"/>
        </w:rPr>
        <w:t>utilisation</w:t>
      </w:r>
      <w:proofErr w:type="spellEnd"/>
      <w:r w:rsidRPr="00951ED2">
        <w:rPr>
          <w:rFonts w:ascii="Arial" w:hAnsi="Arial" w:cs="Arial"/>
          <w:sz w:val="22"/>
          <w:szCs w:val="22"/>
        </w:rPr>
        <w:t xml:space="preserve"> (NHS England, 2019; </w:t>
      </w:r>
      <w:proofErr w:type="spellStart"/>
      <w:r w:rsidRPr="00951ED2">
        <w:rPr>
          <w:rFonts w:ascii="Arial" w:hAnsi="Arial" w:cs="Arial"/>
          <w:sz w:val="22"/>
          <w:szCs w:val="22"/>
        </w:rPr>
        <w:t>Felitti</w:t>
      </w:r>
      <w:proofErr w:type="spellEnd"/>
      <w:r w:rsidRPr="00951ED2">
        <w:rPr>
          <w:rFonts w:ascii="Arial" w:hAnsi="Arial" w:cs="Arial"/>
          <w:sz w:val="22"/>
          <w:szCs w:val="22"/>
        </w:rPr>
        <w:t xml:space="preserve"> et al., 1998)</w:t>
      </w:r>
      <w:r w:rsidRPr="00C526C5">
        <w:rPr>
          <w:rFonts w:ascii="Arial" w:hAnsi="Arial" w:cs="Arial"/>
          <w:sz w:val="22"/>
          <w:szCs w:val="22"/>
        </w:rPr>
        <w:t>.</w:t>
      </w:r>
    </w:p>
    <w:p w14:paraId="382CA497" w14:textId="77777777" w:rsidR="00B52BDF" w:rsidRPr="00C526C5" w:rsidRDefault="00B52BDF" w:rsidP="00B52BDF">
      <w:pPr>
        <w:spacing w:after="0" w:line="360" w:lineRule="auto"/>
        <w:rPr>
          <w:rFonts w:ascii="Arial" w:hAnsi="Arial" w:cs="Arial"/>
          <w:b/>
          <w:bCs/>
          <w:sz w:val="22"/>
          <w:szCs w:val="22"/>
        </w:rPr>
      </w:pPr>
      <w:r w:rsidRPr="00C526C5">
        <w:rPr>
          <w:rFonts w:ascii="Arial" w:hAnsi="Arial" w:cs="Arial"/>
          <w:b/>
          <w:bCs/>
          <w:sz w:val="22"/>
          <w:szCs w:val="22"/>
        </w:rPr>
        <w:t>INDIVIDUAL REFERENCE LIST</w:t>
      </w:r>
    </w:p>
    <w:p w14:paraId="23B300AF"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Barlow, J., Coe, C. and Redshaw, M. (2021) </w:t>
      </w:r>
      <w:r w:rsidRPr="00C526C5">
        <w:rPr>
          <w:rFonts w:ascii="Arial" w:hAnsi="Arial" w:cs="Arial"/>
          <w:i/>
          <w:iCs/>
          <w:sz w:val="22"/>
          <w:szCs w:val="22"/>
        </w:rPr>
        <w:t>The health visiting contribution to public health: a narrative synthesis</w:t>
      </w:r>
      <w:r w:rsidRPr="00C526C5">
        <w:rPr>
          <w:rFonts w:ascii="Arial" w:hAnsi="Arial" w:cs="Arial"/>
          <w:sz w:val="22"/>
          <w:szCs w:val="22"/>
        </w:rPr>
        <w:t>. London: Public Health England.</w:t>
      </w:r>
    </w:p>
    <w:p w14:paraId="252E0C86" w14:textId="77777777" w:rsidR="00B52BDF" w:rsidRDefault="00B52BDF" w:rsidP="00B52BDF">
      <w:pPr>
        <w:spacing w:after="0" w:line="240" w:lineRule="auto"/>
        <w:rPr>
          <w:rFonts w:ascii="Arial" w:hAnsi="Arial" w:cs="Arial"/>
          <w:sz w:val="22"/>
          <w:szCs w:val="22"/>
        </w:rPr>
      </w:pPr>
    </w:p>
    <w:p w14:paraId="72A32713"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Brandon, M., Sidebotham, P., Belderson, P., Cleaver, H., Dickens, J., Garstang, J., Harris, J., Sorensen, P. and Wate, R. (2020) </w:t>
      </w:r>
      <w:r w:rsidRPr="00C526C5">
        <w:rPr>
          <w:rFonts w:ascii="Arial" w:hAnsi="Arial" w:cs="Arial"/>
          <w:i/>
          <w:iCs/>
          <w:sz w:val="22"/>
          <w:szCs w:val="22"/>
        </w:rPr>
        <w:t>Complexity and Challenge: A Triennial Analysis of SCRs 2014–2017</w:t>
      </w:r>
      <w:r w:rsidRPr="00C526C5">
        <w:rPr>
          <w:rFonts w:ascii="Arial" w:hAnsi="Arial" w:cs="Arial"/>
          <w:sz w:val="22"/>
          <w:szCs w:val="22"/>
        </w:rPr>
        <w:t xml:space="preserve">. London: Department </w:t>
      </w:r>
      <w:proofErr w:type="gramStart"/>
      <w:r w:rsidRPr="00C526C5">
        <w:rPr>
          <w:rFonts w:ascii="Arial" w:hAnsi="Arial" w:cs="Arial"/>
          <w:sz w:val="22"/>
          <w:szCs w:val="22"/>
        </w:rPr>
        <w:t>for</w:t>
      </w:r>
      <w:proofErr w:type="gramEnd"/>
      <w:r w:rsidRPr="00C526C5">
        <w:rPr>
          <w:rFonts w:ascii="Arial" w:hAnsi="Arial" w:cs="Arial"/>
          <w:sz w:val="22"/>
          <w:szCs w:val="22"/>
        </w:rPr>
        <w:t xml:space="preserve"> Education.</w:t>
      </w:r>
    </w:p>
    <w:p w14:paraId="781EFF28" w14:textId="77777777" w:rsidR="00B52BDF" w:rsidRDefault="00B52BDF" w:rsidP="00B52BDF">
      <w:pPr>
        <w:spacing w:after="0" w:line="240" w:lineRule="auto"/>
        <w:rPr>
          <w:rFonts w:ascii="Arial" w:hAnsi="Arial" w:cs="Arial"/>
          <w:sz w:val="22"/>
          <w:szCs w:val="22"/>
        </w:rPr>
      </w:pPr>
    </w:p>
    <w:p w14:paraId="582F9A17"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lastRenderedPageBreak/>
        <w:t xml:space="preserve">Bromfield, L. and Holzer, P. (2008) 'A national approach for child protection: Project report', </w:t>
      </w:r>
      <w:r w:rsidRPr="00C526C5">
        <w:rPr>
          <w:rFonts w:ascii="Arial" w:hAnsi="Arial" w:cs="Arial"/>
          <w:i/>
          <w:iCs/>
          <w:sz w:val="22"/>
          <w:szCs w:val="22"/>
        </w:rPr>
        <w:t>Australian Institute of Family Studies</w:t>
      </w:r>
      <w:r w:rsidRPr="00C526C5">
        <w:rPr>
          <w:rFonts w:ascii="Arial" w:hAnsi="Arial" w:cs="Arial"/>
          <w:sz w:val="22"/>
          <w:szCs w:val="22"/>
        </w:rPr>
        <w:t xml:space="preserve">. Available at: </w:t>
      </w:r>
      <w:hyperlink r:id="rId9" w:tgtFrame="_blank" w:history="1">
        <w:r w:rsidRPr="00C526C5">
          <w:rPr>
            <w:rStyle w:val="Hyperlink"/>
            <w:rFonts w:ascii="Arial" w:hAnsi="Arial" w:cs="Arial"/>
            <w:sz w:val="22"/>
            <w:szCs w:val="22"/>
          </w:rPr>
          <w:t>https://aifs.gov.au</w:t>
        </w:r>
      </w:hyperlink>
      <w:r w:rsidRPr="00C526C5">
        <w:rPr>
          <w:rFonts w:ascii="Arial" w:hAnsi="Arial" w:cs="Arial"/>
          <w:sz w:val="22"/>
          <w:szCs w:val="22"/>
        </w:rPr>
        <w:t xml:space="preserve"> (Accessed: 20 February 2026).</w:t>
      </w:r>
    </w:p>
    <w:p w14:paraId="3537483C" w14:textId="77777777" w:rsidR="00B52BDF" w:rsidRDefault="00B52BDF" w:rsidP="00B52BDF">
      <w:pPr>
        <w:spacing w:after="0" w:line="240" w:lineRule="auto"/>
        <w:rPr>
          <w:rFonts w:ascii="Arial" w:hAnsi="Arial" w:cs="Arial"/>
          <w:sz w:val="22"/>
          <w:szCs w:val="22"/>
        </w:rPr>
      </w:pPr>
    </w:p>
    <w:p w14:paraId="24DB0482"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Bronfenbrenner, U. (1979) </w:t>
      </w:r>
      <w:r w:rsidRPr="00C526C5">
        <w:rPr>
          <w:rFonts w:ascii="Arial" w:hAnsi="Arial" w:cs="Arial"/>
          <w:i/>
          <w:iCs/>
          <w:sz w:val="22"/>
          <w:szCs w:val="22"/>
        </w:rPr>
        <w:t>The Ecology of Human Development: Experiments by Nature and Design</w:t>
      </w:r>
      <w:r w:rsidRPr="00C526C5">
        <w:rPr>
          <w:rFonts w:ascii="Arial" w:hAnsi="Arial" w:cs="Arial"/>
          <w:sz w:val="22"/>
          <w:szCs w:val="22"/>
        </w:rPr>
        <w:t>. Cambridge, MA: Harvard University Press.</w:t>
      </w:r>
    </w:p>
    <w:p w14:paraId="0148B97C" w14:textId="77777777" w:rsidR="00B52BDF" w:rsidRDefault="00B52BDF" w:rsidP="00B52BDF">
      <w:pPr>
        <w:spacing w:after="0" w:line="240" w:lineRule="auto"/>
        <w:rPr>
          <w:rFonts w:ascii="Arial" w:hAnsi="Arial" w:cs="Arial"/>
          <w:sz w:val="22"/>
          <w:szCs w:val="22"/>
        </w:rPr>
      </w:pPr>
    </w:p>
    <w:p w14:paraId="5E007DBF"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Department for Children, Schools and Families (DCSF) (2008) </w:t>
      </w:r>
      <w:r w:rsidRPr="00C526C5">
        <w:rPr>
          <w:rFonts w:ascii="Arial" w:hAnsi="Arial" w:cs="Arial"/>
          <w:i/>
          <w:iCs/>
          <w:sz w:val="22"/>
          <w:szCs w:val="22"/>
        </w:rPr>
        <w:t>Think Family: Improving the Life Chances of Families at Risk</w:t>
      </w:r>
      <w:r w:rsidRPr="00C526C5">
        <w:rPr>
          <w:rFonts w:ascii="Arial" w:hAnsi="Arial" w:cs="Arial"/>
          <w:sz w:val="22"/>
          <w:szCs w:val="22"/>
        </w:rPr>
        <w:t>. London: Cabinet Office.</w:t>
      </w:r>
    </w:p>
    <w:p w14:paraId="53E4EEF7" w14:textId="77777777" w:rsidR="00B52BDF" w:rsidRDefault="00B52BDF" w:rsidP="00B52BDF">
      <w:pPr>
        <w:spacing w:after="0" w:line="240" w:lineRule="auto"/>
        <w:rPr>
          <w:rFonts w:ascii="Arial" w:hAnsi="Arial" w:cs="Arial"/>
          <w:sz w:val="22"/>
          <w:szCs w:val="22"/>
        </w:rPr>
      </w:pPr>
    </w:p>
    <w:p w14:paraId="10B05239"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Department for Education (DfE) (2021) </w:t>
      </w:r>
      <w:r w:rsidRPr="00C526C5">
        <w:rPr>
          <w:rFonts w:ascii="Arial" w:hAnsi="Arial" w:cs="Arial"/>
          <w:i/>
          <w:iCs/>
          <w:sz w:val="22"/>
          <w:szCs w:val="22"/>
        </w:rPr>
        <w:t>Statutory Framework for the Early Years Foundation Stage</w:t>
      </w:r>
      <w:r w:rsidRPr="00C526C5">
        <w:rPr>
          <w:rFonts w:ascii="Arial" w:hAnsi="Arial" w:cs="Arial"/>
          <w:sz w:val="22"/>
          <w:szCs w:val="22"/>
        </w:rPr>
        <w:t>. London: DfE.</w:t>
      </w:r>
    </w:p>
    <w:p w14:paraId="574F1C0A" w14:textId="77777777" w:rsidR="00B52BDF" w:rsidRDefault="00B52BDF" w:rsidP="00B52BDF">
      <w:pPr>
        <w:spacing w:after="0" w:line="240" w:lineRule="auto"/>
        <w:rPr>
          <w:rFonts w:ascii="Arial" w:hAnsi="Arial" w:cs="Arial"/>
          <w:sz w:val="22"/>
          <w:szCs w:val="22"/>
        </w:rPr>
      </w:pPr>
    </w:p>
    <w:p w14:paraId="10F3827A"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Dickens, J. (2023) </w:t>
      </w:r>
      <w:r w:rsidRPr="00C526C5">
        <w:rPr>
          <w:rFonts w:ascii="Arial" w:hAnsi="Arial" w:cs="Arial"/>
          <w:i/>
          <w:iCs/>
          <w:sz w:val="22"/>
          <w:szCs w:val="22"/>
        </w:rPr>
        <w:t>Social Work, Law and Ethics</w:t>
      </w:r>
      <w:r w:rsidRPr="00C526C5">
        <w:rPr>
          <w:rFonts w:ascii="Arial" w:hAnsi="Arial" w:cs="Arial"/>
          <w:sz w:val="22"/>
          <w:szCs w:val="22"/>
        </w:rPr>
        <w:t xml:space="preserve">. 3rd </w:t>
      </w:r>
      <w:proofErr w:type="gramStart"/>
      <w:r w:rsidRPr="00C526C5">
        <w:rPr>
          <w:rFonts w:ascii="Arial" w:hAnsi="Arial" w:cs="Arial"/>
          <w:sz w:val="22"/>
          <w:szCs w:val="22"/>
        </w:rPr>
        <w:t>edn</w:t>
      </w:r>
      <w:proofErr w:type="gramEnd"/>
      <w:r w:rsidRPr="00C526C5">
        <w:rPr>
          <w:rFonts w:ascii="Arial" w:hAnsi="Arial" w:cs="Arial"/>
          <w:sz w:val="22"/>
          <w:szCs w:val="22"/>
        </w:rPr>
        <w:t>. London: Routledge.</w:t>
      </w:r>
    </w:p>
    <w:p w14:paraId="68E149CD"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Domestic Abuse Act 2021. Available at: </w:t>
      </w:r>
      <w:hyperlink r:id="rId10" w:tgtFrame="_blank" w:history="1">
        <w:r w:rsidRPr="00C526C5">
          <w:rPr>
            <w:rStyle w:val="Hyperlink"/>
            <w:rFonts w:ascii="Arial" w:hAnsi="Arial" w:cs="Arial"/>
            <w:sz w:val="22"/>
            <w:szCs w:val="22"/>
          </w:rPr>
          <w:t>https://www.legislation.gov.uk/ukpga/2021/17/contents/enacted</w:t>
        </w:r>
      </w:hyperlink>
      <w:r w:rsidRPr="00C526C5">
        <w:rPr>
          <w:rFonts w:ascii="Arial" w:hAnsi="Arial" w:cs="Arial"/>
          <w:sz w:val="22"/>
          <w:szCs w:val="22"/>
        </w:rPr>
        <w:t xml:space="preserve"> (Accessed: 20 February 2026).</w:t>
      </w:r>
    </w:p>
    <w:p w14:paraId="25D92241" w14:textId="77777777" w:rsidR="00B52BDF" w:rsidRDefault="00B52BDF" w:rsidP="00B52BDF">
      <w:pPr>
        <w:spacing w:after="0" w:line="240" w:lineRule="auto"/>
        <w:rPr>
          <w:rFonts w:ascii="Arial" w:hAnsi="Arial" w:cs="Arial"/>
          <w:sz w:val="22"/>
          <w:szCs w:val="22"/>
        </w:rPr>
      </w:pPr>
    </w:p>
    <w:p w14:paraId="1603D6DB"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Felitti, V.J., Anda, R.F., Nordenberg, D., Williamson, D.F., Spitz, A.M., Edwards, V., Koss, M.P. and Marks, J.S. (1998) 'Relationship of childhood abuse and household dysfunction to many of the leading causes of death in adults', </w:t>
      </w:r>
      <w:r w:rsidRPr="00C526C5">
        <w:rPr>
          <w:rFonts w:ascii="Arial" w:hAnsi="Arial" w:cs="Arial"/>
          <w:i/>
          <w:iCs/>
          <w:sz w:val="22"/>
          <w:szCs w:val="22"/>
        </w:rPr>
        <w:t>American Journal of Preventive Medicine</w:t>
      </w:r>
      <w:r w:rsidRPr="00C526C5">
        <w:rPr>
          <w:rFonts w:ascii="Arial" w:hAnsi="Arial" w:cs="Arial"/>
          <w:sz w:val="22"/>
          <w:szCs w:val="22"/>
        </w:rPr>
        <w:t>, 14(4), pp. 245–258.</w:t>
      </w:r>
    </w:p>
    <w:p w14:paraId="2C564EBA" w14:textId="77777777" w:rsidR="00B52BDF" w:rsidRDefault="00B52BDF" w:rsidP="00B52BDF">
      <w:pPr>
        <w:spacing w:after="0" w:line="240" w:lineRule="auto"/>
        <w:rPr>
          <w:rFonts w:ascii="Arial" w:hAnsi="Arial" w:cs="Arial"/>
          <w:sz w:val="22"/>
          <w:szCs w:val="22"/>
        </w:rPr>
      </w:pPr>
    </w:p>
    <w:p w14:paraId="0616EDC5"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Glasby, J. (2022) </w:t>
      </w:r>
      <w:r w:rsidRPr="00C526C5">
        <w:rPr>
          <w:rFonts w:ascii="Arial" w:hAnsi="Arial" w:cs="Arial"/>
          <w:i/>
          <w:iCs/>
          <w:sz w:val="22"/>
          <w:szCs w:val="22"/>
        </w:rPr>
        <w:t>Understanding Health and Social Care</w:t>
      </w:r>
      <w:r w:rsidRPr="00C526C5">
        <w:rPr>
          <w:rFonts w:ascii="Arial" w:hAnsi="Arial" w:cs="Arial"/>
          <w:sz w:val="22"/>
          <w:szCs w:val="22"/>
        </w:rPr>
        <w:t xml:space="preserve">. 4th </w:t>
      </w:r>
      <w:proofErr w:type="gramStart"/>
      <w:r w:rsidRPr="00C526C5">
        <w:rPr>
          <w:rFonts w:ascii="Arial" w:hAnsi="Arial" w:cs="Arial"/>
          <w:sz w:val="22"/>
          <w:szCs w:val="22"/>
        </w:rPr>
        <w:t>edn</w:t>
      </w:r>
      <w:proofErr w:type="gramEnd"/>
      <w:r w:rsidRPr="00C526C5">
        <w:rPr>
          <w:rFonts w:ascii="Arial" w:hAnsi="Arial" w:cs="Arial"/>
          <w:sz w:val="22"/>
          <w:szCs w:val="22"/>
        </w:rPr>
        <w:t>. Bristol: Policy Press.</w:t>
      </w:r>
    </w:p>
    <w:p w14:paraId="38AC5AE2"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HM Government (2023) </w:t>
      </w:r>
      <w:r w:rsidRPr="00C526C5">
        <w:rPr>
          <w:rFonts w:ascii="Arial" w:hAnsi="Arial" w:cs="Arial"/>
          <w:i/>
          <w:iCs/>
          <w:sz w:val="22"/>
          <w:szCs w:val="22"/>
        </w:rPr>
        <w:t>Working Together to Safeguard Children: A Guide to Multi-Agency Working to Help, Protect and Promote the Welfare of Children</w:t>
      </w:r>
      <w:r w:rsidRPr="00C526C5">
        <w:rPr>
          <w:rFonts w:ascii="Arial" w:hAnsi="Arial" w:cs="Arial"/>
          <w:sz w:val="22"/>
          <w:szCs w:val="22"/>
        </w:rPr>
        <w:t>. London: HMSO.</w:t>
      </w:r>
    </w:p>
    <w:p w14:paraId="47277268" w14:textId="77777777" w:rsidR="00B52BDF" w:rsidRDefault="00B52BDF" w:rsidP="00B52BDF">
      <w:pPr>
        <w:spacing w:after="0" w:line="240" w:lineRule="auto"/>
        <w:rPr>
          <w:rFonts w:ascii="Arial" w:hAnsi="Arial" w:cs="Arial"/>
          <w:sz w:val="22"/>
          <w:szCs w:val="22"/>
        </w:rPr>
      </w:pPr>
    </w:p>
    <w:p w14:paraId="4F5CE59C"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Information Commissioner's Office (ICO) (2023) </w:t>
      </w:r>
      <w:r w:rsidRPr="00C526C5">
        <w:rPr>
          <w:rFonts w:ascii="Arial" w:hAnsi="Arial" w:cs="Arial"/>
          <w:i/>
          <w:iCs/>
          <w:sz w:val="22"/>
          <w:szCs w:val="22"/>
        </w:rPr>
        <w:t>Data Sharing and Safeguarding: Key Principles</w:t>
      </w:r>
      <w:r w:rsidRPr="00C526C5">
        <w:rPr>
          <w:rFonts w:ascii="Arial" w:hAnsi="Arial" w:cs="Arial"/>
          <w:sz w:val="22"/>
          <w:szCs w:val="22"/>
        </w:rPr>
        <w:t xml:space="preserve">. Available at: </w:t>
      </w:r>
      <w:hyperlink r:id="rId11" w:tgtFrame="_blank" w:history="1">
        <w:r w:rsidRPr="00C526C5">
          <w:rPr>
            <w:rStyle w:val="Hyperlink"/>
            <w:rFonts w:ascii="Arial" w:hAnsi="Arial" w:cs="Arial"/>
            <w:sz w:val="22"/>
            <w:szCs w:val="22"/>
          </w:rPr>
          <w:t>https://ico.org.uk</w:t>
        </w:r>
      </w:hyperlink>
      <w:r w:rsidRPr="00C526C5">
        <w:rPr>
          <w:rFonts w:ascii="Arial" w:hAnsi="Arial" w:cs="Arial"/>
          <w:sz w:val="22"/>
          <w:szCs w:val="22"/>
        </w:rPr>
        <w:t xml:space="preserve"> (Accessed: 20 February 2026).</w:t>
      </w:r>
    </w:p>
    <w:p w14:paraId="39E165BE" w14:textId="77777777" w:rsidR="00B52BDF" w:rsidRDefault="00B52BDF" w:rsidP="00B52BDF">
      <w:pPr>
        <w:spacing w:after="0" w:line="240" w:lineRule="auto"/>
        <w:rPr>
          <w:rFonts w:ascii="Arial" w:hAnsi="Arial" w:cs="Arial"/>
          <w:sz w:val="22"/>
          <w:szCs w:val="22"/>
        </w:rPr>
      </w:pPr>
    </w:p>
    <w:p w14:paraId="1708FC39"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Laming, Lord (2003) </w:t>
      </w:r>
      <w:r w:rsidRPr="00C526C5">
        <w:rPr>
          <w:rFonts w:ascii="Arial" w:hAnsi="Arial" w:cs="Arial"/>
          <w:i/>
          <w:iCs/>
          <w:sz w:val="22"/>
          <w:szCs w:val="22"/>
        </w:rPr>
        <w:t>The Victoria Climbié Inquiry: Report of an Inquiry by Lord Laming</w:t>
      </w:r>
      <w:r w:rsidRPr="00C526C5">
        <w:rPr>
          <w:rFonts w:ascii="Arial" w:hAnsi="Arial" w:cs="Arial"/>
          <w:sz w:val="22"/>
          <w:szCs w:val="22"/>
        </w:rPr>
        <w:t>. London: HMSO.</w:t>
      </w:r>
    </w:p>
    <w:p w14:paraId="4EC0D426" w14:textId="77777777" w:rsidR="00B52BDF" w:rsidRDefault="00B52BDF" w:rsidP="00B52BDF">
      <w:pPr>
        <w:spacing w:after="0" w:line="240" w:lineRule="auto"/>
        <w:rPr>
          <w:rFonts w:ascii="Arial" w:hAnsi="Arial" w:cs="Arial"/>
          <w:sz w:val="22"/>
          <w:szCs w:val="22"/>
        </w:rPr>
      </w:pPr>
    </w:p>
    <w:p w14:paraId="56978D8B"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MacAlister, J. (2022) </w:t>
      </w:r>
      <w:r w:rsidRPr="00C526C5">
        <w:rPr>
          <w:rFonts w:ascii="Arial" w:hAnsi="Arial" w:cs="Arial"/>
          <w:i/>
          <w:iCs/>
          <w:sz w:val="22"/>
          <w:szCs w:val="22"/>
        </w:rPr>
        <w:t>The Independent Review of Children's Social Care: Final Report</w:t>
      </w:r>
      <w:r w:rsidRPr="00C526C5">
        <w:rPr>
          <w:rFonts w:ascii="Arial" w:hAnsi="Arial" w:cs="Arial"/>
          <w:sz w:val="22"/>
          <w:szCs w:val="22"/>
        </w:rPr>
        <w:t xml:space="preserve">. London: Department </w:t>
      </w:r>
      <w:proofErr w:type="gramStart"/>
      <w:r w:rsidRPr="00C526C5">
        <w:rPr>
          <w:rFonts w:ascii="Arial" w:hAnsi="Arial" w:cs="Arial"/>
          <w:sz w:val="22"/>
          <w:szCs w:val="22"/>
        </w:rPr>
        <w:t>for</w:t>
      </w:r>
      <w:proofErr w:type="gramEnd"/>
      <w:r w:rsidRPr="00C526C5">
        <w:rPr>
          <w:rFonts w:ascii="Arial" w:hAnsi="Arial" w:cs="Arial"/>
          <w:sz w:val="22"/>
          <w:szCs w:val="22"/>
        </w:rPr>
        <w:t xml:space="preserve"> Education.</w:t>
      </w:r>
    </w:p>
    <w:p w14:paraId="0F1E023D" w14:textId="77777777" w:rsidR="00B52BDF" w:rsidRDefault="00B52BDF" w:rsidP="00B52BDF">
      <w:pPr>
        <w:spacing w:after="0" w:line="240" w:lineRule="auto"/>
        <w:rPr>
          <w:rFonts w:ascii="Arial" w:hAnsi="Arial" w:cs="Arial"/>
          <w:sz w:val="22"/>
          <w:szCs w:val="22"/>
        </w:rPr>
      </w:pPr>
    </w:p>
    <w:p w14:paraId="0D48917D"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Munro, E. (2011) </w:t>
      </w:r>
      <w:r w:rsidRPr="00C526C5">
        <w:rPr>
          <w:rFonts w:ascii="Arial" w:hAnsi="Arial" w:cs="Arial"/>
          <w:i/>
          <w:iCs/>
          <w:sz w:val="22"/>
          <w:szCs w:val="22"/>
        </w:rPr>
        <w:t>The Munro Review of Child Protection: Final Report — A Child-</w:t>
      </w:r>
      <w:proofErr w:type="spellStart"/>
      <w:r w:rsidRPr="00C526C5">
        <w:rPr>
          <w:rFonts w:ascii="Arial" w:hAnsi="Arial" w:cs="Arial"/>
          <w:i/>
          <w:iCs/>
          <w:sz w:val="22"/>
          <w:szCs w:val="22"/>
        </w:rPr>
        <w:t>Centred</w:t>
      </w:r>
      <w:proofErr w:type="spellEnd"/>
      <w:r w:rsidRPr="00C526C5">
        <w:rPr>
          <w:rFonts w:ascii="Arial" w:hAnsi="Arial" w:cs="Arial"/>
          <w:i/>
          <w:iCs/>
          <w:sz w:val="22"/>
          <w:szCs w:val="22"/>
        </w:rPr>
        <w:t xml:space="preserve"> System</w:t>
      </w:r>
      <w:r w:rsidRPr="00C526C5">
        <w:rPr>
          <w:rFonts w:ascii="Arial" w:hAnsi="Arial" w:cs="Arial"/>
          <w:sz w:val="22"/>
          <w:szCs w:val="22"/>
        </w:rPr>
        <w:t xml:space="preserve">. London: Department </w:t>
      </w:r>
      <w:proofErr w:type="gramStart"/>
      <w:r w:rsidRPr="00C526C5">
        <w:rPr>
          <w:rFonts w:ascii="Arial" w:hAnsi="Arial" w:cs="Arial"/>
          <w:sz w:val="22"/>
          <w:szCs w:val="22"/>
        </w:rPr>
        <w:t>for</w:t>
      </w:r>
      <w:proofErr w:type="gramEnd"/>
      <w:r w:rsidRPr="00C526C5">
        <w:rPr>
          <w:rFonts w:ascii="Arial" w:hAnsi="Arial" w:cs="Arial"/>
          <w:sz w:val="22"/>
          <w:szCs w:val="22"/>
        </w:rPr>
        <w:t xml:space="preserve"> Education.</w:t>
      </w:r>
    </w:p>
    <w:p w14:paraId="34022C25" w14:textId="77777777" w:rsidR="00B52BDF" w:rsidRDefault="00B52BDF" w:rsidP="00B52BDF">
      <w:pPr>
        <w:spacing w:after="0" w:line="240" w:lineRule="auto"/>
        <w:rPr>
          <w:rFonts w:ascii="Arial" w:hAnsi="Arial" w:cs="Arial"/>
          <w:sz w:val="22"/>
          <w:szCs w:val="22"/>
        </w:rPr>
      </w:pPr>
    </w:p>
    <w:p w14:paraId="52646912"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NHS England (2016) </w:t>
      </w:r>
      <w:r w:rsidRPr="00C526C5">
        <w:rPr>
          <w:rFonts w:ascii="Arial" w:hAnsi="Arial" w:cs="Arial"/>
          <w:i/>
          <w:iCs/>
          <w:sz w:val="22"/>
          <w:szCs w:val="22"/>
        </w:rPr>
        <w:t>Five Year Forward View for Mental Health</w:t>
      </w:r>
      <w:r w:rsidRPr="00C526C5">
        <w:rPr>
          <w:rFonts w:ascii="Arial" w:hAnsi="Arial" w:cs="Arial"/>
          <w:sz w:val="22"/>
          <w:szCs w:val="22"/>
        </w:rPr>
        <w:t>. London: NHS England.</w:t>
      </w:r>
    </w:p>
    <w:p w14:paraId="711FCB60"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NHS England (2019) </w:t>
      </w:r>
      <w:r w:rsidRPr="00C526C5">
        <w:rPr>
          <w:rFonts w:ascii="Arial" w:hAnsi="Arial" w:cs="Arial"/>
          <w:i/>
          <w:iCs/>
          <w:sz w:val="22"/>
          <w:szCs w:val="22"/>
        </w:rPr>
        <w:t>The NHS Long Term Plan</w:t>
      </w:r>
      <w:r w:rsidRPr="00C526C5">
        <w:rPr>
          <w:rFonts w:ascii="Arial" w:hAnsi="Arial" w:cs="Arial"/>
          <w:sz w:val="22"/>
          <w:szCs w:val="22"/>
        </w:rPr>
        <w:t>. London: NHS England.</w:t>
      </w:r>
    </w:p>
    <w:p w14:paraId="6BCA1B08" w14:textId="77777777" w:rsidR="00B52BDF" w:rsidRDefault="00B52BDF" w:rsidP="00B52BDF">
      <w:pPr>
        <w:spacing w:after="0" w:line="240" w:lineRule="auto"/>
        <w:rPr>
          <w:rFonts w:ascii="Arial" w:hAnsi="Arial" w:cs="Arial"/>
          <w:sz w:val="22"/>
          <w:szCs w:val="22"/>
        </w:rPr>
      </w:pPr>
    </w:p>
    <w:p w14:paraId="437BF72B"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NSPCC (2024) </w:t>
      </w:r>
      <w:r w:rsidRPr="00C526C5">
        <w:rPr>
          <w:rFonts w:ascii="Arial" w:hAnsi="Arial" w:cs="Arial"/>
          <w:i/>
          <w:iCs/>
          <w:sz w:val="22"/>
          <w:szCs w:val="22"/>
        </w:rPr>
        <w:t>Theo: Rapid Review and Child Safeguarding Practice Review</w:t>
      </w:r>
      <w:r w:rsidRPr="00C526C5">
        <w:rPr>
          <w:rFonts w:ascii="Arial" w:hAnsi="Arial" w:cs="Arial"/>
          <w:sz w:val="22"/>
          <w:szCs w:val="22"/>
        </w:rPr>
        <w:t xml:space="preserve">. Available at: </w:t>
      </w:r>
      <w:hyperlink r:id="rId12" w:tgtFrame="_blank" w:history="1">
        <w:r w:rsidRPr="00C526C5">
          <w:rPr>
            <w:rStyle w:val="Hyperlink"/>
            <w:rFonts w:ascii="Arial" w:hAnsi="Arial" w:cs="Arial"/>
            <w:sz w:val="22"/>
            <w:szCs w:val="22"/>
          </w:rPr>
          <w:t>https://learning.nspcc.org.uk/case-reviews/national-case-review-repository</w:t>
        </w:r>
      </w:hyperlink>
      <w:r w:rsidRPr="00C526C5">
        <w:rPr>
          <w:rFonts w:ascii="Arial" w:hAnsi="Arial" w:cs="Arial"/>
          <w:sz w:val="22"/>
          <w:szCs w:val="22"/>
        </w:rPr>
        <w:t xml:space="preserve"> (Accessed: 20 February 2026).</w:t>
      </w:r>
    </w:p>
    <w:p w14:paraId="05C610CE" w14:textId="77777777" w:rsidR="00B52BDF" w:rsidRDefault="00B52BDF" w:rsidP="00B52BDF">
      <w:pPr>
        <w:spacing w:after="0" w:line="240" w:lineRule="auto"/>
        <w:rPr>
          <w:rFonts w:ascii="Arial" w:hAnsi="Arial" w:cs="Arial"/>
          <w:sz w:val="22"/>
          <w:szCs w:val="22"/>
        </w:rPr>
      </w:pPr>
    </w:p>
    <w:p w14:paraId="1A7F5CB2"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Public Health Wales (2015) </w:t>
      </w:r>
      <w:r w:rsidRPr="00C526C5">
        <w:rPr>
          <w:rFonts w:ascii="Arial" w:hAnsi="Arial" w:cs="Arial"/>
          <w:i/>
          <w:iCs/>
          <w:sz w:val="22"/>
          <w:szCs w:val="22"/>
        </w:rPr>
        <w:t xml:space="preserve">Adverse Childhood Experiences and their Impact on Health-Harming </w:t>
      </w:r>
      <w:proofErr w:type="spellStart"/>
      <w:r w:rsidRPr="00C526C5">
        <w:rPr>
          <w:rFonts w:ascii="Arial" w:hAnsi="Arial" w:cs="Arial"/>
          <w:i/>
          <w:iCs/>
          <w:sz w:val="22"/>
          <w:szCs w:val="22"/>
        </w:rPr>
        <w:t>Behaviours</w:t>
      </w:r>
      <w:proofErr w:type="spellEnd"/>
      <w:r w:rsidRPr="00C526C5">
        <w:rPr>
          <w:rFonts w:ascii="Arial" w:hAnsi="Arial" w:cs="Arial"/>
          <w:i/>
          <w:iCs/>
          <w:sz w:val="22"/>
          <w:szCs w:val="22"/>
        </w:rPr>
        <w:t xml:space="preserve"> in the Welsh Adult Population</w:t>
      </w:r>
      <w:r w:rsidRPr="00C526C5">
        <w:rPr>
          <w:rFonts w:ascii="Arial" w:hAnsi="Arial" w:cs="Arial"/>
          <w:sz w:val="22"/>
          <w:szCs w:val="22"/>
        </w:rPr>
        <w:t>. Cardiff: Public Health Wales NHS Trust.</w:t>
      </w:r>
    </w:p>
    <w:p w14:paraId="2313D270" w14:textId="77777777" w:rsidR="00B52BDF" w:rsidRDefault="00B52BDF" w:rsidP="00B52BDF">
      <w:pPr>
        <w:spacing w:after="0" w:line="240" w:lineRule="auto"/>
        <w:rPr>
          <w:rFonts w:ascii="Arial" w:hAnsi="Arial" w:cs="Arial"/>
          <w:sz w:val="22"/>
          <w:szCs w:val="22"/>
        </w:rPr>
      </w:pPr>
    </w:p>
    <w:p w14:paraId="4A7CC7E3"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t xml:space="preserve">Turnell, A. and Edwards, S. (1999) </w:t>
      </w:r>
      <w:r w:rsidRPr="00C526C5">
        <w:rPr>
          <w:rFonts w:ascii="Arial" w:hAnsi="Arial" w:cs="Arial"/>
          <w:i/>
          <w:iCs/>
          <w:sz w:val="22"/>
          <w:szCs w:val="22"/>
        </w:rPr>
        <w:t>Signs of Safety: A Solution and Safety Oriented Approach to Child Protection Casework</w:t>
      </w:r>
      <w:r w:rsidRPr="00C526C5">
        <w:rPr>
          <w:rFonts w:ascii="Arial" w:hAnsi="Arial" w:cs="Arial"/>
          <w:sz w:val="22"/>
          <w:szCs w:val="22"/>
        </w:rPr>
        <w:t>. New York: Norton.</w:t>
      </w:r>
    </w:p>
    <w:p w14:paraId="300D27F5" w14:textId="77777777" w:rsidR="00B52BDF" w:rsidRDefault="00B52BDF" w:rsidP="00B52BDF">
      <w:pPr>
        <w:spacing w:after="0" w:line="240" w:lineRule="auto"/>
        <w:rPr>
          <w:rFonts w:ascii="Arial" w:hAnsi="Arial" w:cs="Arial"/>
          <w:sz w:val="22"/>
          <w:szCs w:val="22"/>
        </w:rPr>
      </w:pPr>
    </w:p>
    <w:p w14:paraId="03C2A957" w14:textId="77777777" w:rsidR="00B52BDF" w:rsidRPr="00C526C5" w:rsidRDefault="00B52BDF" w:rsidP="00B52BDF">
      <w:pPr>
        <w:spacing w:after="0" w:line="240" w:lineRule="auto"/>
        <w:rPr>
          <w:rFonts w:ascii="Arial" w:hAnsi="Arial" w:cs="Arial"/>
          <w:sz w:val="22"/>
          <w:szCs w:val="22"/>
        </w:rPr>
      </w:pPr>
      <w:r w:rsidRPr="00C526C5">
        <w:rPr>
          <w:rFonts w:ascii="Arial" w:hAnsi="Arial" w:cs="Arial"/>
          <w:sz w:val="22"/>
          <w:szCs w:val="22"/>
        </w:rPr>
        <w:lastRenderedPageBreak/>
        <w:t xml:space="preserve">United Nations (1989) </w:t>
      </w:r>
      <w:r w:rsidRPr="00C526C5">
        <w:rPr>
          <w:rFonts w:ascii="Arial" w:hAnsi="Arial" w:cs="Arial"/>
          <w:i/>
          <w:iCs/>
          <w:sz w:val="22"/>
          <w:szCs w:val="22"/>
        </w:rPr>
        <w:t>United Nations Convention on the Rights of the Child</w:t>
      </w:r>
      <w:r w:rsidRPr="00C526C5">
        <w:rPr>
          <w:rFonts w:ascii="Arial" w:hAnsi="Arial" w:cs="Arial"/>
          <w:sz w:val="22"/>
          <w:szCs w:val="22"/>
        </w:rPr>
        <w:t>. Geneva: United Nations.</w:t>
      </w:r>
    </w:p>
    <w:p w14:paraId="5DE71F15" w14:textId="77777777" w:rsidR="00B52BDF" w:rsidRPr="00C526C5" w:rsidRDefault="00B52BDF" w:rsidP="00B52BDF">
      <w:pPr>
        <w:spacing w:after="0" w:line="240" w:lineRule="auto"/>
        <w:rPr>
          <w:rFonts w:ascii="Arial" w:hAnsi="Arial" w:cs="Arial"/>
          <w:sz w:val="22"/>
          <w:szCs w:val="22"/>
        </w:rPr>
      </w:pPr>
    </w:p>
    <w:sectPr w:rsidR="00B52BDF" w:rsidRPr="00C526C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13DDF" w14:textId="77777777" w:rsidR="00FE4805" w:rsidRDefault="00FE4805" w:rsidP="00255A0D">
      <w:pPr>
        <w:spacing w:after="0" w:line="240" w:lineRule="auto"/>
      </w:pPr>
      <w:r>
        <w:separator/>
      </w:r>
    </w:p>
  </w:endnote>
  <w:endnote w:type="continuationSeparator" w:id="0">
    <w:p w14:paraId="5AB5BED9" w14:textId="77777777" w:rsidR="00FE4805" w:rsidRDefault="00FE4805"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28D7C" w14:textId="77777777" w:rsidR="00FE4805" w:rsidRDefault="00FE4805" w:rsidP="00255A0D">
      <w:pPr>
        <w:spacing w:after="0" w:line="240" w:lineRule="auto"/>
      </w:pPr>
      <w:r>
        <w:separator/>
      </w:r>
    </w:p>
  </w:footnote>
  <w:footnote w:type="continuationSeparator" w:id="0">
    <w:p w14:paraId="0E4FBF54" w14:textId="77777777" w:rsidR="00FE4805" w:rsidRDefault="00FE4805"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31F36C77"/>
    <w:multiLevelType w:val="hybridMultilevel"/>
    <w:tmpl w:val="175459F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39774998">
    <w:abstractNumId w:val="0"/>
  </w:num>
  <w:num w:numId="2" w16cid:durableId="1326208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21EC"/>
    <w:rsid w:val="00024C23"/>
    <w:rsid w:val="0005442C"/>
    <w:rsid w:val="000653A2"/>
    <w:rsid w:val="00094EFD"/>
    <w:rsid w:val="000B14E4"/>
    <w:rsid w:val="000B2E4D"/>
    <w:rsid w:val="000C06EC"/>
    <w:rsid w:val="001856FF"/>
    <w:rsid w:val="00186326"/>
    <w:rsid w:val="001945EA"/>
    <w:rsid w:val="001A0E8E"/>
    <w:rsid w:val="001C40BE"/>
    <w:rsid w:val="001E0698"/>
    <w:rsid w:val="00227EC4"/>
    <w:rsid w:val="00255A0D"/>
    <w:rsid w:val="00272F8A"/>
    <w:rsid w:val="002808B9"/>
    <w:rsid w:val="0029492B"/>
    <w:rsid w:val="002D135C"/>
    <w:rsid w:val="002E1B77"/>
    <w:rsid w:val="002E29F1"/>
    <w:rsid w:val="0030446D"/>
    <w:rsid w:val="00315FA7"/>
    <w:rsid w:val="00320865"/>
    <w:rsid w:val="00337274"/>
    <w:rsid w:val="00352BC6"/>
    <w:rsid w:val="003541D7"/>
    <w:rsid w:val="00387332"/>
    <w:rsid w:val="003D2948"/>
    <w:rsid w:val="00427DB3"/>
    <w:rsid w:val="0043348D"/>
    <w:rsid w:val="00452795"/>
    <w:rsid w:val="00456C61"/>
    <w:rsid w:val="00466357"/>
    <w:rsid w:val="00485FCE"/>
    <w:rsid w:val="004A377F"/>
    <w:rsid w:val="004B4177"/>
    <w:rsid w:val="004B64D0"/>
    <w:rsid w:val="00531B61"/>
    <w:rsid w:val="005416C1"/>
    <w:rsid w:val="00563EB8"/>
    <w:rsid w:val="00577423"/>
    <w:rsid w:val="00595CBB"/>
    <w:rsid w:val="005A776D"/>
    <w:rsid w:val="00662E62"/>
    <w:rsid w:val="00665E72"/>
    <w:rsid w:val="006743AD"/>
    <w:rsid w:val="00685EFE"/>
    <w:rsid w:val="006A6AFF"/>
    <w:rsid w:val="006C28B6"/>
    <w:rsid w:val="006D3D68"/>
    <w:rsid w:val="006F6786"/>
    <w:rsid w:val="00722D8E"/>
    <w:rsid w:val="00776192"/>
    <w:rsid w:val="007C58D7"/>
    <w:rsid w:val="007F0718"/>
    <w:rsid w:val="00800E13"/>
    <w:rsid w:val="00881174"/>
    <w:rsid w:val="00884F4A"/>
    <w:rsid w:val="0089456E"/>
    <w:rsid w:val="008C0673"/>
    <w:rsid w:val="008E0148"/>
    <w:rsid w:val="008F2FE9"/>
    <w:rsid w:val="008F6C7C"/>
    <w:rsid w:val="00936158"/>
    <w:rsid w:val="00954416"/>
    <w:rsid w:val="00976178"/>
    <w:rsid w:val="00995F6C"/>
    <w:rsid w:val="009B2716"/>
    <w:rsid w:val="009C5459"/>
    <w:rsid w:val="009E6AC1"/>
    <w:rsid w:val="00A507D8"/>
    <w:rsid w:val="00A8791B"/>
    <w:rsid w:val="00A9408E"/>
    <w:rsid w:val="00AB4CAF"/>
    <w:rsid w:val="00B23183"/>
    <w:rsid w:val="00B52BDF"/>
    <w:rsid w:val="00BD5493"/>
    <w:rsid w:val="00C11911"/>
    <w:rsid w:val="00C612AB"/>
    <w:rsid w:val="00CA384C"/>
    <w:rsid w:val="00D02B2A"/>
    <w:rsid w:val="00D1250E"/>
    <w:rsid w:val="00D31208"/>
    <w:rsid w:val="00D44100"/>
    <w:rsid w:val="00D80B31"/>
    <w:rsid w:val="00D92EC6"/>
    <w:rsid w:val="00DC2ECF"/>
    <w:rsid w:val="00E27A2D"/>
    <w:rsid w:val="00EA2341"/>
    <w:rsid w:val="00EA511E"/>
    <w:rsid w:val="00EF3431"/>
    <w:rsid w:val="00F001A7"/>
    <w:rsid w:val="00F52CAD"/>
    <w:rsid w:val="00F83C2B"/>
    <w:rsid w:val="00FD1526"/>
    <w:rsid w:val="00FE4805"/>
    <w:rsid w:val="00FF6A56"/>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arning.nspcc.org.uk/case-reviews/national-case-review-reposito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 TargetMode="External"/><Relationship Id="rId5" Type="http://schemas.openxmlformats.org/officeDocument/2006/relationships/webSettings" Target="webSettings.xml"/><Relationship Id="rId10" Type="http://schemas.openxmlformats.org/officeDocument/2006/relationships/hyperlink" Target="https://www.legislation.gov.uk/ukpga/2021/17/contents/enacted" TargetMode="External"/><Relationship Id="rId4" Type="http://schemas.openxmlformats.org/officeDocument/2006/relationships/settings" Target="settings.xml"/><Relationship Id="rId9" Type="http://schemas.openxmlformats.org/officeDocument/2006/relationships/hyperlink" Target="https://aifs.gov.a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1D5A4-BAC0-4AE2-954A-0580DE7BC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2735</Words>
  <Characters>15598</Characters>
  <Application>Microsoft Office Word</Application>
  <DocSecurity>0</DocSecurity>
  <Lines>272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Dr. Barnabas Stanfast</cp:lastModifiedBy>
  <cp:revision>9</cp:revision>
  <dcterms:created xsi:type="dcterms:W3CDTF">2026-03-01T17:48:00Z</dcterms:created>
  <dcterms:modified xsi:type="dcterms:W3CDTF">2026-03-02T20:52:00Z</dcterms:modified>
</cp:coreProperties>
</file>