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E909D" w14:textId="52292560" w:rsidR="003E7FA8" w:rsidRPr="005849D3" w:rsidRDefault="00651AA0">
      <w:pPr>
        <w:rPr>
          <w:b/>
          <w:bCs/>
          <w:u w:val="single"/>
        </w:rPr>
      </w:pPr>
      <w:r>
        <w:rPr>
          <w:b/>
          <w:bCs/>
          <w:u w:val="single"/>
        </w:rPr>
        <w:t>Archaeology and the Humanities, How Archaeology makes us Human.</w:t>
      </w:r>
    </w:p>
    <w:p w14:paraId="64258A54" w14:textId="77777777" w:rsidR="005849D3" w:rsidRDefault="005849D3"/>
    <w:p w14:paraId="0C58906F" w14:textId="364E6A74" w:rsidR="005849D3" w:rsidRDefault="005849D3">
      <w:r>
        <w:t xml:space="preserve">    Archaeology </w:t>
      </w:r>
      <w:r w:rsidR="00D23700">
        <w:t xml:space="preserve">is the study of the human past through the lens of material evidence. Through archaeology, we </w:t>
      </w:r>
      <w:r w:rsidR="00CD2361">
        <w:t>can</w:t>
      </w:r>
      <w:r w:rsidR="00D23700">
        <w:t xml:space="preserve"> study </w:t>
      </w:r>
      <w:r w:rsidR="00D23700" w:rsidRPr="00D23700">
        <w:t>everything from the daily practices of individuals to long-term evolution of social institutions</w:t>
      </w:r>
      <w:r w:rsidR="00D23700">
        <w:t>.</w:t>
      </w:r>
      <w:r w:rsidR="00D23700">
        <w:rPr>
          <w:rStyle w:val="FootnoteReference"/>
        </w:rPr>
        <w:footnoteReference w:id="1"/>
      </w:r>
      <w:r w:rsidR="00CD2361">
        <w:t xml:space="preserve"> This essay will seek to pose the questions of where archaeology fits within the world of the humanities, why it is important as a subject to study and how archaeology can help humanity as a species in a rapidly changing world. This essay will address </w:t>
      </w:r>
      <w:r w:rsidR="007D3092">
        <w:t>how</w:t>
      </w:r>
      <w:r w:rsidR="00CD2361">
        <w:t xml:space="preserve"> archaeology </w:t>
      </w:r>
      <w:r w:rsidR="007D3092">
        <w:t>creates</w:t>
      </w:r>
      <w:r w:rsidR="00CD2361">
        <w:t xml:space="preserve"> a rich cultural </w:t>
      </w:r>
      <w:r w:rsidR="007D3092">
        <w:t>t</w:t>
      </w:r>
      <w:r w:rsidR="00023561">
        <w:t>apestry</w:t>
      </w:r>
      <w:r w:rsidR="00CD2361">
        <w:t xml:space="preserve"> and a </w:t>
      </w:r>
      <w:proofErr w:type="gramStart"/>
      <w:r w:rsidR="00023561">
        <w:t>gives</w:t>
      </w:r>
      <w:proofErr w:type="gramEnd"/>
      <w:r w:rsidR="00023561">
        <w:t xml:space="preserve"> us a sense of belonging through heritage</w:t>
      </w:r>
      <w:r w:rsidR="00CD2361">
        <w:t xml:space="preserve">, </w:t>
      </w:r>
      <w:r w:rsidR="008C3B9C">
        <w:t xml:space="preserve">the global change and impact archaeology can accomplish, and </w:t>
      </w:r>
      <w:r w:rsidR="00023561">
        <w:t xml:space="preserve">will touch on some </w:t>
      </w:r>
      <w:r w:rsidR="004C78BD">
        <w:t>of the</w:t>
      </w:r>
      <w:r w:rsidR="008C3B9C">
        <w:t xml:space="preserve"> debates and questions </w:t>
      </w:r>
      <w:r w:rsidR="004C78BD">
        <w:t>concerning the</w:t>
      </w:r>
      <w:r w:rsidR="008C3B9C">
        <w:t xml:space="preserve"> future</w:t>
      </w:r>
      <w:r w:rsidR="004C78BD">
        <w:t xml:space="preserve"> of the discipline</w:t>
      </w:r>
      <w:r w:rsidR="008C3B9C">
        <w:t xml:space="preserve">. </w:t>
      </w:r>
    </w:p>
    <w:p w14:paraId="58C27A8E" w14:textId="77777777" w:rsidR="004B691F" w:rsidRDefault="004B691F"/>
    <w:p w14:paraId="569F3B0E" w14:textId="2BBDF7B4" w:rsidR="004B691F" w:rsidRDefault="004B691F">
      <w:r>
        <w:t xml:space="preserve">    </w:t>
      </w:r>
      <w:r w:rsidR="00F64F60">
        <w:t xml:space="preserve">Archaeology has an important role to play in </w:t>
      </w:r>
      <w:r w:rsidR="00257E45">
        <w:t>our cultural identities</w:t>
      </w:r>
      <w:r w:rsidR="00F64F60">
        <w:t>. Culture will always be intrinsically linked to the past</w:t>
      </w:r>
      <w:r w:rsidR="00257E45">
        <w:t xml:space="preserve"> and heritage</w:t>
      </w:r>
      <w:r w:rsidR="00F64F60">
        <w:t xml:space="preserve">. </w:t>
      </w:r>
      <w:r w:rsidR="006F042A">
        <w:t xml:space="preserve">In war, cultural </w:t>
      </w:r>
      <w:r w:rsidR="006B1B97">
        <w:t>heritage sites have long been targets. During recent conflicts such as Ukraine, Mali, Ethiopia, Myanmar, Karabakh, Somali, and Syria, sites of cultural and religious significance have been systematically weaponised or destroyed.</w:t>
      </w:r>
      <w:r w:rsidR="006B1B97">
        <w:rPr>
          <w:rStyle w:val="FootnoteReference"/>
        </w:rPr>
        <w:footnoteReference w:id="2"/>
      </w:r>
      <w:r w:rsidR="00F35295">
        <w:t xml:space="preserve"> </w:t>
      </w:r>
      <w:r w:rsidR="00787604">
        <w:t>This phenomenon</w:t>
      </w:r>
      <w:r w:rsidR="00B57578">
        <w:t xml:space="preserve"> </w:t>
      </w:r>
      <w:r w:rsidR="000B2E73">
        <w:t>is further expanded upon in a book by Timothy Clack and Mark Dunkley.</w:t>
      </w:r>
      <w:r w:rsidR="000B2E73">
        <w:rPr>
          <w:rStyle w:val="FootnoteReference"/>
        </w:rPr>
        <w:footnoteReference w:id="3"/>
      </w:r>
      <w:r w:rsidR="000B2E73">
        <w:t xml:space="preserve"> The use of heritage as a weapon of war only speaks further of its importance in peace. As Clack writes, attacks on cultural heritage sites “</w:t>
      </w:r>
      <w:r w:rsidR="000B2E73" w:rsidRPr="000B2E73">
        <w:t xml:space="preserve">serve to deny people their very identities </w:t>
      </w:r>
      <w:r w:rsidR="000B2E73">
        <w:t xml:space="preserve">and </w:t>
      </w:r>
      <w:r w:rsidR="000B2E73" w:rsidRPr="000B2E73">
        <w:t>their sense of self.</w:t>
      </w:r>
      <w:r w:rsidR="000B2E73">
        <w:t>”</w:t>
      </w:r>
      <w:r w:rsidR="000B2E73">
        <w:rPr>
          <w:rStyle w:val="FootnoteReference"/>
        </w:rPr>
        <w:footnoteReference w:id="4"/>
      </w:r>
      <w:r w:rsidR="004A7706">
        <w:t xml:space="preserve"> In peacetime, archaeologists are </w:t>
      </w:r>
      <w:r w:rsidR="00787604">
        <w:t>important in</w:t>
      </w:r>
      <w:r w:rsidR="004A7706">
        <w:t xml:space="preserve"> protecting these sites from damage or harm. The association of landscape and national identity has been </w:t>
      </w:r>
      <w:r w:rsidR="00787604">
        <w:t>widely recognised</w:t>
      </w:r>
      <w:r w:rsidR="00712CA5">
        <w:t>.</w:t>
      </w:r>
      <w:r w:rsidR="004A7706">
        <w:rPr>
          <w:rStyle w:val="FootnoteReference"/>
        </w:rPr>
        <w:footnoteReference w:id="5"/>
      </w:r>
      <w:r w:rsidR="008629EE">
        <w:t xml:space="preserve"> H</w:t>
      </w:r>
      <w:r w:rsidR="00F64F60">
        <w:t xml:space="preserve">istorical </w:t>
      </w:r>
      <w:r w:rsidR="00257E45">
        <w:t xml:space="preserve">and archaeological </w:t>
      </w:r>
      <w:r w:rsidR="00F64F60">
        <w:t>research at its best can give us an unrivalled sense of belongin</w:t>
      </w:r>
      <w:r w:rsidR="00257E45">
        <w:t>g within our communities and strengthen our bond to our towns, landscapes and with each other. At its worst</w:t>
      </w:r>
      <w:r w:rsidR="008629EE">
        <w:t xml:space="preserve"> however</w:t>
      </w:r>
      <w:r w:rsidR="00257E45">
        <w:t xml:space="preserve">, we see </w:t>
      </w:r>
      <w:r w:rsidR="002B4882">
        <w:t xml:space="preserve">what </w:t>
      </w:r>
      <w:proofErr w:type="spellStart"/>
      <w:r w:rsidR="002B4882">
        <w:t>Laurajane</w:t>
      </w:r>
      <w:proofErr w:type="spellEnd"/>
      <w:r w:rsidR="002B4882">
        <w:t xml:space="preserve"> Smith </w:t>
      </w:r>
      <w:r w:rsidR="008629EE">
        <w:t xml:space="preserve">described as </w:t>
      </w:r>
      <w:r w:rsidR="00257E45">
        <w:t xml:space="preserve">an “authorised </w:t>
      </w:r>
      <w:r w:rsidR="002B4882">
        <w:t>heritage discourse”</w:t>
      </w:r>
      <w:r w:rsidR="002B4882">
        <w:rPr>
          <w:rStyle w:val="FootnoteReference"/>
        </w:rPr>
        <w:footnoteReference w:id="6"/>
      </w:r>
      <w:r w:rsidR="002B4882">
        <w:t xml:space="preserve"> </w:t>
      </w:r>
      <w:r w:rsidR="008629EE">
        <w:t xml:space="preserve">or (ADH). </w:t>
      </w:r>
      <w:r w:rsidR="002B4882">
        <w:t>This</w:t>
      </w:r>
      <w:r w:rsidR="008629EE">
        <w:t xml:space="preserve"> </w:t>
      </w:r>
      <w:r w:rsidR="0099458E">
        <w:t>discourse generally supports a ‘top-down’ view of the past, side lining certain (particularly lower class or indigenous) narratives and “</w:t>
      </w:r>
      <w:r w:rsidR="0099458E" w:rsidRPr="0099458E">
        <w:t>privileges old, grand, prestigious, expert approved sites, buildings and artefacts that sustain Western narratives of nation, class and science.</w:t>
      </w:r>
      <w:r w:rsidR="0099458E">
        <w:t>”</w:t>
      </w:r>
      <w:r w:rsidR="0099458E">
        <w:rPr>
          <w:rStyle w:val="FootnoteReference"/>
        </w:rPr>
        <w:footnoteReference w:id="7"/>
      </w:r>
      <w:r w:rsidR="006F042A">
        <w:t xml:space="preserve"> </w:t>
      </w:r>
      <w:r w:rsidR="008629EE">
        <w:t>The new direction of archaeology now appears broadly to be about dismantling this ‘authorised heritage discourse,’</w:t>
      </w:r>
      <w:r w:rsidR="00653EC3">
        <w:t xml:space="preserve"> the contemporary archaeology scene has </w:t>
      </w:r>
      <w:r w:rsidR="0008494B">
        <w:t xml:space="preserve">broadly </w:t>
      </w:r>
      <w:r w:rsidR="00653EC3">
        <w:t>placed more emphasis on working with communities rather than against them</w:t>
      </w:r>
      <w:r w:rsidR="0008494B">
        <w:t xml:space="preserve">, and accepting the often colonial past of the discipline. A fantastic and new example of this colonial narrative on indigenous communities being disrupted, comes from a recent study of the </w:t>
      </w:r>
      <w:proofErr w:type="spellStart"/>
      <w:r w:rsidR="0008494B">
        <w:t>Bokini</w:t>
      </w:r>
      <w:proofErr w:type="spellEnd"/>
      <w:r w:rsidR="0008494B">
        <w:t xml:space="preserve"> settlements in South Africa</w:t>
      </w:r>
      <w:r w:rsidR="008860EB">
        <w:t xml:space="preserve"> using new Luminescence dating.</w:t>
      </w:r>
      <w:r w:rsidR="0008494B">
        <w:rPr>
          <w:rStyle w:val="FootnoteReference"/>
        </w:rPr>
        <w:footnoteReference w:id="8"/>
      </w:r>
      <w:r w:rsidR="008860EB">
        <w:t xml:space="preserve"> This study has pushed the date back on the earliest stone terrace farming structures </w:t>
      </w:r>
      <w:r w:rsidR="00BA6587">
        <w:t xml:space="preserve">as far as 1489CE. </w:t>
      </w:r>
      <w:r w:rsidR="0008494B">
        <w:t>A</w:t>
      </w:r>
      <w:r w:rsidR="00734F54">
        <w:t xml:space="preserve">rchaeology allows communities to </w:t>
      </w:r>
      <w:r w:rsidR="00734F54">
        <w:lastRenderedPageBreak/>
        <w:t xml:space="preserve">engage with the historic environment that surrounds them </w:t>
      </w:r>
      <w:r w:rsidR="0008494B">
        <w:t xml:space="preserve">and examines narratives from angles that </w:t>
      </w:r>
      <w:r w:rsidR="00734F54">
        <w:t>run counter to the authorised discourse.</w:t>
      </w:r>
      <w:r w:rsidR="00734F54">
        <w:rPr>
          <w:rStyle w:val="FootnoteReference"/>
        </w:rPr>
        <w:footnoteReference w:id="9"/>
      </w:r>
      <w:r w:rsidR="008629EE">
        <w:t xml:space="preserve"> </w:t>
      </w:r>
      <w:r w:rsidR="008860EB">
        <w:t xml:space="preserve">As archaeology builds on our understanding of different groups, it allows us all to share pride in our heritage and rediscover our sense of self. </w:t>
      </w:r>
    </w:p>
    <w:p w14:paraId="45EC5E2A" w14:textId="305F4C0A" w:rsidR="00E31FA3" w:rsidRDefault="00E31FA3"/>
    <w:p w14:paraId="2981ADCC" w14:textId="2BD3705F" w:rsidR="002E5742" w:rsidRDefault="00E31FA3">
      <w:r>
        <w:t xml:space="preserve">    Going forward into a new world of challenges and modernity, archaeology play an important role in grounding us as a society. </w:t>
      </w:r>
      <w:r w:rsidR="00BA53AC">
        <w:t>An understanding of the past in all its many colours can help us navigate the modern world easier. ‘Medieval Migrants of the North Sea World’ is a fell fund</w:t>
      </w:r>
      <w:r w:rsidR="00A979E9">
        <w:t xml:space="preserve"> supported pilot</w:t>
      </w:r>
      <w:r w:rsidR="00BA53AC">
        <w:t xml:space="preserve"> project led by Dr Letty ten </w:t>
      </w:r>
      <w:proofErr w:type="spellStart"/>
      <w:r w:rsidR="00BA53AC">
        <w:t>Harkel</w:t>
      </w:r>
      <w:proofErr w:type="spellEnd"/>
      <w:r w:rsidR="00BA53AC">
        <w:t xml:space="preserve"> and co-investigator Professor Helena </w:t>
      </w:r>
      <w:proofErr w:type="spellStart"/>
      <w:r w:rsidR="00BA53AC">
        <w:t>Hamerow</w:t>
      </w:r>
      <w:proofErr w:type="spellEnd"/>
      <w:r w:rsidR="00BA53AC">
        <w:t>.</w:t>
      </w:r>
      <w:r w:rsidR="00BA53AC">
        <w:rPr>
          <w:rStyle w:val="FootnoteReference"/>
        </w:rPr>
        <w:footnoteReference w:id="10"/>
      </w:r>
      <w:r w:rsidR="00A979E9">
        <w:t xml:space="preserve"> Its goal has been to use archaeological data excavated from medieval cemeteries around the North Sea, to better understand human mobility during this era. The project aims to demonstrate </w:t>
      </w:r>
      <w:r w:rsidR="0078756C">
        <w:t>that migration and cultural/religious integration was widespread in the medieval period and was a positive factor in building today’s society.</w:t>
      </w:r>
      <w:r w:rsidR="0078756C">
        <w:rPr>
          <w:rStyle w:val="FootnoteReference"/>
        </w:rPr>
        <w:footnoteReference w:id="11"/>
      </w:r>
      <w:r w:rsidR="0078756C">
        <w:t xml:space="preserve"> Projects like this one aim to use archaeology to correct current political narratives, through archaeology, as </w:t>
      </w:r>
      <w:proofErr w:type="spellStart"/>
      <w:r w:rsidR="0078756C">
        <w:t>Harkel</w:t>
      </w:r>
      <w:proofErr w:type="spellEnd"/>
      <w:r w:rsidR="0078756C">
        <w:t xml:space="preserve"> writes, we </w:t>
      </w:r>
      <w:proofErr w:type="gramStart"/>
      <w:r w:rsidR="0078756C">
        <w:t>are able to</w:t>
      </w:r>
      <w:proofErr w:type="gramEnd"/>
      <w:r w:rsidR="0078756C">
        <w:t xml:space="preserve"> ‘travel the full spectrum of human diversity.’ </w:t>
      </w:r>
      <w:r w:rsidR="00CC40D8">
        <w:t>Part of the reason for our development of identity politics might be the lack of personal narrative.</w:t>
      </w:r>
      <w:r w:rsidR="00CC40D8">
        <w:rPr>
          <w:rStyle w:val="FootnoteReference"/>
        </w:rPr>
        <w:footnoteReference w:id="12"/>
      </w:r>
      <w:r w:rsidR="00CC40D8">
        <w:t xml:space="preserve"> Therefore it must be down to archaeology to develop</w:t>
      </w:r>
      <w:r w:rsidR="002E5742">
        <w:t xml:space="preserve"> and teach</w:t>
      </w:r>
      <w:r w:rsidR="00CC40D8">
        <w:t xml:space="preserve"> these </w:t>
      </w:r>
      <w:r w:rsidR="002E5742">
        <w:t xml:space="preserve">narratives. </w:t>
      </w:r>
    </w:p>
    <w:p w14:paraId="1F1D5A91" w14:textId="77777777" w:rsidR="002E5742" w:rsidRDefault="002E5742"/>
    <w:p w14:paraId="70093E19" w14:textId="372D2AE0" w:rsidR="008860EB" w:rsidRDefault="002E5742">
      <w:r>
        <w:t xml:space="preserve">    Global Warming presents a challenge for archaeology, rising sea levels and the erosion it brings with it has a damaging effect on any partially exposed archaeological remains</w:t>
      </w:r>
      <w:r w:rsidR="00DA6DE4">
        <w:t>.</w:t>
      </w:r>
      <w:r>
        <w:rPr>
          <w:rStyle w:val="FootnoteReference"/>
        </w:rPr>
        <w:footnoteReference w:id="13"/>
      </w:r>
      <w:r w:rsidR="00DA6DE4">
        <w:t xml:space="preserve"> Global warming poses the risk of losing important undiscovered heritage but also puts important structures at risk. </w:t>
      </w:r>
      <w:r w:rsidR="00347082">
        <w:t>In the case of the Canary Islands for example, coastal fortifications make up some of the most well-known heritage sites, being coastal, these structures are now under threat. A risk assessment on these buildings in 2020</w:t>
      </w:r>
      <w:r w:rsidR="00347082">
        <w:rPr>
          <w:rStyle w:val="FootnoteReference"/>
        </w:rPr>
        <w:footnoteReference w:id="14"/>
      </w:r>
      <w:r w:rsidR="00347082">
        <w:t xml:space="preserve"> concluded that to protect these buildings, Spain should introduce a normative framework that regulates the management of cultural heritage in the face of climate change. Protecting our heritage is a challenge that should not be ignored</w:t>
      </w:r>
      <w:r w:rsidR="00C56FD3">
        <w:t>, the preservation of archaeolog</w:t>
      </w:r>
      <w:r w:rsidR="00882CC6">
        <w:t>ical sites</w:t>
      </w:r>
      <w:r w:rsidR="00A703FB">
        <w:t xml:space="preserve"> </w:t>
      </w:r>
      <w:r w:rsidR="00C56FD3">
        <w:t xml:space="preserve">preserves culture as well as any tourism </w:t>
      </w:r>
      <w:r w:rsidR="00A703FB">
        <w:t xml:space="preserve">the sites </w:t>
      </w:r>
      <w:r w:rsidR="00C56FD3">
        <w:t xml:space="preserve">may create.  Finding solutions to problems like climate change, may in some ways seem out of reach for the field of archaeology however an examination of pre-industrial material culture can yet yield helpful information. Studies into Roman concrete for example have shown that by </w:t>
      </w:r>
      <w:r w:rsidR="006A1173">
        <w:t>adapting Roman techniques, we can improve modern concrete formulations to be more sustainable and environmentally friendly.</w:t>
      </w:r>
      <w:r w:rsidR="006A1173">
        <w:rPr>
          <w:rStyle w:val="FootnoteReference"/>
        </w:rPr>
        <w:footnoteReference w:id="15"/>
      </w:r>
      <w:r w:rsidR="006A1173">
        <w:t xml:space="preserve"> More broadly however, studies of the past are able to bring us closer to our </w:t>
      </w:r>
      <w:r w:rsidR="006A1173">
        <w:lastRenderedPageBreak/>
        <w:t xml:space="preserve">environment through understanding how we in the past have sustainably coexisted with nature and through encouraging us to protect the historic landscapes that inspire us. </w:t>
      </w:r>
      <w:r w:rsidR="00A36830">
        <w:t>Archaeology and the humanities in general have a role to play in opening our minds to different ways of thinking whether they be new or old.</w:t>
      </w:r>
    </w:p>
    <w:p w14:paraId="618F42C3" w14:textId="77777777" w:rsidR="00A36830" w:rsidRDefault="00A36830"/>
    <w:p w14:paraId="5330A24E" w14:textId="7BAB1680" w:rsidR="00A36830" w:rsidRDefault="00A36830">
      <w:r>
        <w:t xml:space="preserve">    </w:t>
      </w:r>
      <w:r w:rsidR="00067D7B">
        <w:t xml:space="preserve">Where exactly archaeology fits within the humanities </w:t>
      </w:r>
      <w:proofErr w:type="gramStart"/>
      <w:r w:rsidR="00067D7B">
        <w:t>is</w:t>
      </w:r>
      <w:proofErr w:type="gramEnd"/>
      <w:r w:rsidR="00067D7B">
        <w:t xml:space="preserve"> an interesting question to answer and must be answered with an understanding of the past of the discipline. Writing in the 1960s, James Wiseman writes how technological contributions have outstripped humanistic ones, Archaeology had become governed by a scientific attitude that in his view had left behind the real goal of the discipline.</w:t>
      </w:r>
      <w:r w:rsidR="00067D7B">
        <w:rPr>
          <w:rStyle w:val="FootnoteReference"/>
        </w:rPr>
        <w:footnoteReference w:id="16"/>
      </w:r>
      <w:r w:rsidR="00067D7B">
        <w:t xml:space="preserve"> </w:t>
      </w:r>
      <w:r w:rsidR="00DB6E0A">
        <w:t xml:space="preserve"> Wiseman was writing at a time shortly after the introduction of radio-carbon dating, invented by William Libby in 1946.</w:t>
      </w:r>
      <w:r w:rsidR="00012453">
        <w:t xml:space="preserve"> </w:t>
      </w:r>
      <w:r w:rsidR="000F0D60">
        <w:t>The period 1950-1960 saw this discovery pave the way for new scientific methods of analysis to become forefront, d</w:t>
      </w:r>
      <w:r w:rsidR="00012453">
        <w:t>uring the 1960s</w:t>
      </w:r>
      <w:r w:rsidR="005F3D1A">
        <w:t xml:space="preserve"> there was also the </w:t>
      </w:r>
      <w:r w:rsidR="00012453">
        <w:t>rise to ‘New A</w:t>
      </w:r>
      <w:r w:rsidR="00AE536F">
        <w:t>rchaeology’ and ‘Neo-Evolution.’</w:t>
      </w:r>
      <w:r w:rsidR="00AE536F">
        <w:rPr>
          <w:rStyle w:val="FootnoteReference"/>
        </w:rPr>
        <w:footnoteReference w:id="17"/>
      </w:r>
      <w:r w:rsidR="00AE536F">
        <w:t xml:space="preserve"> </w:t>
      </w:r>
      <w:r w:rsidR="0017647F">
        <w:t>New emphasis was based on deductive reasoning and general laws of human nature derived from material culture.</w:t>
      </w:r>
      <w:r w:rsidR="0017647F">
        <w:rPr>
          <w:rStyle w:val="FootnoteReference"/>
        </w:rPr>
        <w:footnoteReference w:id="18"/>
      </w:r>
      <w:r w:rsidR="005F3D1A">
        <w:t xml:space="preserve"> This revolutionised the old world of archaeology with science and anthropology</w:t>
      </w:r>
      <w:r w:rsidR="00001EAE">
        <w:t>,</w:t>
      </w:r>
      <w:r w:rsidR="000F0D60">
        <w:t xml:space="preserve"> however</w:t>
      </w:r>
      <w:r w:rsidR="00001EAE">
        <w:t xml:space="preserve"> </w:t>
      </w:r>
      <w:r w:rsidR="000F0D60">
        <w:t>t</w:t>
      </w:r>
      <w:r w:rsidR="00001EAE">
        <w:t>o some like Wiseman, the humanist approach to archaeology was being lost.</w:t>
      </w:r>
      <w:r w:rsidR="004C234A">
        <w:t xml:space="preserve"> </w:t>
      </w:r>
      <w:r w:rsidR="000F0D60">
        <w:t>During the 1980s this was challenged again by a culture-historical revival.</w:t>
      </w:r>
      <w:r w:rsidR="000F0D60">
        <w:rPr>
          <w:rStyle w:val="FootnoteReference"/>
        </w:rPr>
        <w:footnoteReference w:id="19"/>
      </w:r>
      <w:r w:rsidR="00AF780F">
        <w:t xml:space="preserve"> Adams writes, “in attempts to remake historical archaeology into a science, we have forgotten the reasons why it exists in the first place.”</w:t>
      </w:r>
      <w:r w:rsidR="00AF780F">
        <w:rPr>
          <w:rStyle w:val="FootnoteReference"/>
        </w:rPr>
        <w:footnoteReference w:id="20"/>
      </w:r>
      <w:r w:rsidR="00AF780F">
        <w:t xml:space="preserve"> Many of the subsequent </w:t>
      </w:r>
      <w:r w:rsidR="00F539A3">
        <w:t>changes</w:t>
      </w:r>
      <w:r w:rsidR="00AF780F">
        <w:t xml:space="preserve"> in archaeology have reflected this battle between science and humanism in archaeology, however archaeology is at its strongest when</w:t>
      </w:r>
      <w:r w:rsidR="00087032">
        <w:t xml:space="preserve"> the humanist approach is central. To truly understand past lives, we must be concerned with the subjective, not just the empirical. To value past lives for their human feelings. Archaeology is central in understanding human experience. History and archaeology can create an empathic link between </w:t>
      </w:r>
      <w:r w:rsidR="00F539A3">
        <w:t>us</w:t>
      </w:r>
      <w:r w:rsidR="00087032">
        <w:t xml:space="preserve"> and past lives we will never encounter through the material culture and art they left behind. To understand past humans, we must engage with them on a human level, not purely through empirical scientific data</w:t>
      </w:r>
      <w:r w:rsidR="00F539A3">
        <w:t xml:space="preserve"> and objective fact</w:t>
      </w:r>
      <w:r w:rsidR="00087032">
        <w:t xml:space="preserve">. </w:t>
      </w:r>
      <w:r w:rsidR="00F539A3">
        <w:t>It is difficult to imagine how archaeology could come to an understanding of past and present societies without the uses of empathy and subjectivity.</w:t>
      </w:r>
      <w:r w:rsidR="00F539A3">
        <w:rPr>
          <w:rStyle w:val="FootnoteReference"/>
        </w:rPr>
        <w:footnoteReference w:id="21"/>
      </w:r>
      <w:r w:rsidR="00F539A3">
        <w:t xml:space="preserve"> </w:t>
      </w:r>
    </w:p>
    <w:p w14:paraId="0D89DACC" w14:textId="7627660E" w:rsidR="00FC168D" w:rsidRDefault="00FC168D"/>
    <w:p w14:paraId="1F9BB542" w14:textId="7C43DF5F" w:rsidR="00FC168D" w:rsidRDefault="00FC168D">
      <w:r>
        <w:t xml:space="preserve">    It can be argued that archaeolog</w:t>
      </w:r>
      <w:r w:rsidR="00401520">
        <w:t>y’</w:t>
      </w:r>
      <w:r>
        <w:t>s place within the humanities is essential</w:t>
      </w:r>
      <w:r w:rsidR="00E7108C">
        <w:t xml:space="preserve"> to its survival as a discipline</w:t>
      </w:r>
      <w:r>
        <w:t>. Through humanist, philosophical and historical questions relating to the human experience, archaeology is inseparable from the wider humanities</w:t>
      </w:r>
      <w:r w:rsidR="00E7108C">
        <w:t>. On the other side of the coin, disciplines</w:t>
      </w:r>
      <w:r>
        <w:t xml:space="preserve"> such as philosophy are inseparable from archaeology.</w:t>
      </w:r>
      <w:r w:rsidR="00B626E4">
        <w:t xml:space="preserve"> Indeed, the philosophy of archaeology is what is being discussed with the question of humanism and </w:t>
      </w:r>
      <w:r w:rsidR="00401520">
        <w:t>empiricism</w:t>
      </w:r>
      <w:r w:rsidR="00B626E4">
        <w:t xml:space="preserve">. </w:t>
      </w:r>
      <w:r w:rsidR="00401520">
        <w:t xml:space="preserve">Just like the arts and creative writing, archaeologists at their best conjure a </w:t>
      </w:r>
      <w:r w:rsidR="00401520">
        <w:lastRenderedPageBreak/>
        <w:t xml:space="preserve">human link to explore. Questions of ethics, religion, philosophy, literature, history, politics and development, all humanist areas of thought, are all areas that must be explored in archaeology. Not just the collection of objective facts, </w:t>
      </w:r>
      <w:r w:rsidR="00E7108C">
        <w:t xml:space="preserve">empirical data, </w:t>
      </w:r>
      <w:r w:rsidR="00401520">
        <w:t xml:space="preserve">or the antiquarian collection of objects, but asking the speculative questions that give the objective truths and artefacts a context and meaning. </w:t>
      </w:r>
      <w:r w:rsidR="00E7108C">
        <w:t xml:space="preserve">Likewise, archaeology informs the other humanist disciplines and allows them to study the social structures and human experience of the past. Whether this is to inspire creative expression, pose philosophical questions or to provide a basic understanding of the lived human experience of historical events. Archaeology </w:t>
      </w:r>
      <w:r w:rsidR="003F1265">
        <w:t>and humanities are</w:t>
      </w:r>
      <w:r w:rsidR="00E7108C">
        <w:t xml:space="preserve"> the key to unlocking </w:t>
      </w:r>
      <w:r w:rsidR="003F1265">
        <w:t>our sense of self and grounding us as humans in the world we belong to.</w:t>
      </w:r>
    </w:p>
    <w:p w14:paraId="015239D0" w14:textId="77777777" w:rsidR="003F1265" w:rsidRDefault="003F1265"/>
    <w:p w14:paraId="4134FB62" w14:textId="0CD62EC3" w:rsidR="003F1265" w:rsidRPr="005632AE" w:rsidRDefault="003F1265">
      <w:pPr>
        <w:rPr>
          <w:rFonts w:ascii="Times New Roman" w:eastAsia="Times New Roman" w:hAnsi="Times New Roman" w:cs="Times New Roman"/>
          <w:kern w:val="0"/>
          <w:lang w:eastAsia="en-GB"/>
          <w14:ligatures w14:val="none"/>
        </w:rPr>
      </w:pPr>
      <w:r>
        <w:t xml:space="preserve">    To further conclude, the direction of archaeology as a discipline within the humanities </w:t>
      </w:r>
      <w:r w:rsidRPr="005632AE">
        <w:rPr>
          <w:rFonts w:cstheme="minorHAnsi"/>
        </w:rPr>
        <w:t xml:space="preserve">involves both empirical insight and humanist questions. Archaeology has a key role to play in broadening our appreciation and understanding of our cultural heritage and how we see the world. Through archaeology, we </w:t>
      </w:r>
      <w:proofErr w:type="gramStart"/>
      <w:r w:rsidRPr="005632AE">
        <w:rPr>
          <w:rFonts w:cstheme="minorHAnsi"/>
        </w:rPr>
        <w:t>are able to</w:t>
      </w:r>
      <w:proofErr w:type="gramEnd"/>
      <w:r w:rsidRPr="005632AE">
        <w:rPr>
          <w:rFonts w:cstheme="minorHAnsi"/>
        </w:rPr>
        <w:t xml:space="preserve"> understand the present through the past. We </w:t>
      </w:r>
      <w:proofErr w:type="gramStart"/>
      <w:r w:rsidRPr="005632AE">
        <w:rPr>
          <w:rFonts w:cstheme="minorHAnsi"/>
        </w:rPr>
        <w:t>are able to</w:t>
      </w:r>
      <w:proofErr w:type="gramEnd"/>
      <w:r w:rsidRPr="005632AE">
        <w:rPr>
          <w:rFonts w:cstheme="minorHAnsi"/>
        </w:rPr>
        <w:t xml:space="preserve"> correct and explore historical narratives with material evidence, it is even possible to use archaeology in an attempt to solve key modern problems like international development and the environment. To reflect on the current direction of archaeology, it will likely always straddle both humanist, and scientific approaches. That however is one of the great strengths of archaeology as a discipline. </w:t>
      </w:r>
      <w:r w:rsidR="005632AE" w:rsidRPr="005632AE">
        <w:rPr>
          <w:rFonts w:cstheme="minorHAnsi"/>
        </w:rPr>
        <w:t>“S</w:t>
      </w:r>
      <w:r w:rsidR="005632AE" w:rsidRPr="005632AE">
        <w:rPr>
          <w:rFonts w:eastAsia="Times New Roman" w:cstheme="minorHAnsi"/>
          <w:kern w:val="0"/>
          <w:lang w:eastAsia="en-GB"/>
          <w14:ligatures w14:val="none"/>
        </w:rPr>
        <w:t xml:space="preserve">cience and humanism should not be antithetical. They both provide the different yet </w:t>
      </w:r>
      <w:r w:rsidR="005632AE" w:rsidRPr="005632AE">
        <w:rPr>
          <w:rFonts w:eastAsia="Times New Roman" w:cstheme="minorHAnsi"/>
          <w:kern w:val="0"/>
          <w:lang w:eastAsia="en-GB"/>
          <w14:ligatures w14:val="none"/>
        </w:rPr>
        <w:t>related pairs</w:t>
      </w:r>
      <w:r w:rsidR="005632AE" w:rsidRPr="005632AE">
        <w:rPr>
          <w:rFonts w:eastAsia="Times New Roman" w:cstheme="minorHAnsi"/>
          <w:kern w:val="0"/>
          <w:lang w:eastAsia="en-GB"/>
          <w14:ligatures w14:val="none"/>
        </w:rPr>
        <w:t xml:space="preserve"> of spectacles we need to understand our past, present, and future.</w:t>
      </w:r>
      <w:r w:rsidR="005632AE" w:rsidRPr="005632AE">
        <w:rPr>
          <w:rFonts w:eastAsia="Times New Roman" w:cstheme="minorHAnsi"/>
          <w:kern w:val="0"/>
          <w:lang w:eastAsia="en-GB"/>
          <w14:ligatures w14:val="none"/>
        </w:rPr>
        <w:t>”</w:t>
      </w:r>
      <w:r w:rsidR="005632AE" w:rsidRPr="005632AE">
        <w:rPr>
          <w:rStyle w:val="FootnoteReference"/>
          <w:rFonts w:eastAsia="Times New Roman" w:cstheme="minorHAnsi"/>
          <w:kern w:val="0"/>
          <w:lang w:eastAsia="en-GB"/>
          <w14:ligatures w14:val="none"/>
        </w:rPr>
        <w:footnoteReference w:id="22"/>
      </w:r>
      <w:r w:rsidR="005632AE" w:rsidRPr="005632AE">
        <w:rPr>
          <w:rFonts w:eastAsia="Times New Roman" w:cstheme="minorHAnsi"/>
          <w:kern w:val="0"/>
          <w:lang w:eastAsia="en-GB"/>
          <w14:ligatures w14:val="none"/>
        </w:rPr>
        <w:t xml:space="preserve"> Through the use of humanistic and</w:t>
      </w:r>
      <w:r w:rsidR="005632AE">
        <w:rPr>
          <w:rFonts w:eastAsia="Times New Roman" w:cstheme="minorHAnsi"/>
          <w:kern w:val="0"/>
          <w:lang w:eastAsia="en-GB"/>
          <w14:ligatures w14:val="none"/>
        </w:rPr>
        <w:t xml:space="preserve"> scientific disciplines, archaeology </w:t>
      </w:r>
      <w:r w:rsidR="00B7724E">
        <w:rPr>
          <w:rFonts w:eastAsia="Times New Roman" w:cstheme="minorHAnsi"/>
          <w:kern w:val="0"/>
          <w:lang w:eastAsia="en-GB"/>
          <w14:ligatures w14:val="none"/>
        </w:rPr>
        <w:t xml:space="preserve">allows us to understand ourselves and our </w:t>
      </w:r>
      <w:r w:rsidR="00F82570">
        <w:rPr>
          <w:rFonts w:eastAsia="Times New Roman" w:cstheme="minorHAnsi"/>
          <w:kern w:val="0"/>
          <w:lang w:eastAsia="en-GB"/>
          <w14:ligatures w14:val="none"/>
        </w:rPr>
        <w:t>environments</w:t>
      </w:r>
      <w:r w:rsidR="00651AA0">
        <w:rPr>
          <w:rFonts w:eastAsia="Times New Roman" w:cstheme="minorHAnsi"/>
          <w:kern w:val="0"/>
          <w:lang w:eastAsia="en-GB"/>
          <w14:ligatures w14:val="none"/>
        </w:rPr>
        <w:t>,</w:t>
      </w:r>
      <w:r w:rsidR="00F82570">
        <w:rPr>
          <w:rFonts w:eastAsia="Times New Roman" w:cstheme="minorHAnsi"/>
          <w:kern w:val="0"/>
          <w:lang w:eastAsia="en-GB"/>
          <w14:ligatures w14:val="none"/>
        </w:rPr>
        <w:t xml:space="preserve"> and </w:t>
      </w:r>
      <w:r w:rsidR="005821F2">
        <w:rPr>
          <w:rFonts w:eastAsia="Times New Roman" w:cstheme="minorHAnsi"/>
          <w:kern w:val="0"/>
          <w:lang w:eastAsia="en-GB"/>
          <w14:ligatures w14:val="none"/>
        </w:rPr>
        <w:t>grounds us</w:t>
      </w:r>
      <w:r w:rsidR="00F82570">
        <w:rPr>
          <w:rFonts w:eastAsia="Times New Roman" w:cstheme="minorHAnsi"/>
          <w:kern w:val="0"/>
          <w:lang w:eastAsia="en-GB"/>
          <w14:ligatures w14:val="none"/>
        </w:rPr>
        <w:t xml:space="preserve"> in what it truly means to be human</w:t>
      </w:r>
      <w:r w:rsidR="005632AE">
        <w:rPr>
          <w:rFonts w:eastAsia="Times New Roman" w:cstheme="minorHAnsi"/>
          <w:kern w:val="0"/>
          <w:lang w:eastAsia="en-GB"/>
          <w14:ligatures w14:val="none"/>
        </w:rPr>
        <w:t>.</w:t>
      </w:r>
    </w:p>
    <w:sectPr w:rsidR="003F1265" w:rsidRPr="005632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262D5" w14:textId="77777777" w:rsidR="00AE3FE7" w:rsidRDefault="00AE3FE7" w:rsidP="00D23700">
      <w:r>
        <w:separator/>
      </w:r>
    </w:p>
  </w:endnote>
  <w:endnote w:type="continuationSeparator" w:id="0">
    <w:p w14:paraId="611F5797" w14:textId="77777777" w:rsidR="00AE3FE7" w:rsidRDefault="00AE3FE7" w:rsidP="00D23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9E196" w14:textId="77777777" w:rsidR="00AE3FE7" w:rsidRDefault="00AE3FE7" w:rsidP="00D23700">
      <w:r>
        <w:separator/>
      </w:r>
    </w:p>
  </w:footnote>
  <w:footnote w:type="continuationSeparator" w:id="0">
    <w:p w14:paraId="1787B779" w14:textId="77777777" w:rsidR="00AE3FE7" w:rsidRDefault="00AE3FE7" w:rsidP="00D23700">
      <w:r>
        <w:continuationSeparator/>
      </w:r>
    </w:p>
  </w:footnote>
  <w:footnote w:id="1">
    <w:p w14:paraId="2C32CA74" w14:textId="5BD964A6" w:rsidR="00D23700" w:rsidRDefault="00D23700" w:rsidP="008C3B9C">
      <w:pPr>
        <w:pStyle w:val="FootnoteText"/>
      </w:pPr>
      <w:r>
        <w:rPr>
          <w:rStyle w:val="FootnoteReference"/>
        </w:rPr>
        <w:footnoteRef/>
      </w:r>
      <w:r>
        <w:t xml:space="preserve"> </w:t>
      </w:r>
      <w:r w:rsidR="00F667FE">
        <w:t xml:space="preserve">Norman </w:t>
      </w:r>
      <w:proofErr w:type="spellStart"/>
      <w:r w:rsidR="00F667FE">
        <w:t>Yoffee</w:t>
      </w:r>
      <w:proofErr w:type="spellEnd"/>
      <w:r w:rsidR="00F667FE">
        <w:t xml:space="preserve">, ‘Archaeology in the Humanities,’ </w:t>
      </w:r>
      <w:r w:rsidR="00F667FE" w:rsidRPr="00F667FE">
        <w:t>Diogenes</w:t>
      </w:r>
      <w:r w:rsidR="00F667FE">
        <w:t>, 58 1-2 (2012), 35-52</w:t>
      </w:r>
      <w:r w:rsidR="00CD2361">
        <w:t xml:space="preserve">, </w:t>
      </w:r>
      <w:proofErr w:type="gramStart"/>
      <w:r w:rsidR="00CD2361">
        <w:t>(</w:t>
      </w:r>
      <w:r w:rsidR="00F667FE">
        <w:t xml:space="preserve"> </w:t>
      </w:r>
      <w:r w:rsidR="00F667FE" w:rsidRPr="00F667FE">
        <w:t>p</w:t>
      </w:r>
      <w:r w:rsidR="00F667FE">
        <w:t>.41</w:t>
      </w:r>
      <w:proofErr w:type="gramEnd"/>
      <w:r w:rsidR="00CD2361">
        <w:t>)</w:t>
      </w:r>
      <w:r w:rsidR="004F1C78">
        <w:t>.</w:t>
      </w:r>
    </w:p>
  </w:footnote>
  <w:footnote w:id="2">
    <w:p w14:paraId="4CF80885" w14:textId="3DF71004" w:rsidR="006B1B97" w:rsidRPr="00A75387" w:rsidRDefault="006B1B97">
      <w:pPr>
        <w:pStyle w:val="FootnoteText"/>
      </w:pPr>
      <w:r>
        <w:rPr>
          <w:rStyle w:val="FootnoteReference"/>
        </w:rPr>
        <w:footnoteRef/>
      </w:r>
      <w:r>
        <w:t xml:space="preserve"> Timothy Clack, ‘</w:t>
      </w:r>
      <w:r w:rsidRPr="006B1B97">
        <w:t>Cultural Heritage on the Frontline: the destruction of peoples and identities in war</w:t>
      </w:r>
      <w:r>
        <w:rPr>
          <w:b/>
          <w:bCs/>
        </w:rPr>
        <w:t xml:space="preserve">’, </w:t>
      </w:r>
      <w:r w:rsidR="00A75387">
        <w:rPr>
          <w:i/>
          <w:iCs/>
        </w:rPr>
        <w:t xml:space="preserve">University of Oxford </w:t>
      </w:r>
      <w:r w:rsidR="00A75387">
        <w:t xml:space="preserve">(2022), </w:t>
      </w:r>
      <w:hyperlink r:id="rId1" w:history="1">
        <w:r w:rsidR="00A75387" w:rsidRPr="00621D7A">
          <w:rPr>
            <w:rStyle w:val="Hyperlink"/>
          </w:rPr>
          <w:t>https://www.ox.ac.uk/news/2022-10-04-cultural-heritage-frontline-destruction-peoples-and-identities-war</w:t>
        </w:r>
      </w:hyperlink>
      <w:r w:rsidR="00A75387">
        <w:t xml:space="preserve"> [accessed 21 October 2023]</w:t>
      </w:r>
      <w:r w:rsidR="004F1C78">
        <w:t>.</w:t>
      </w:r>
    </w:p>
  </w:footnote>
  <w:footnote w:id="3">
    <w:p w14:paraId="1E1EF3A6" w14:textId="4A2E4FE1" w:rsidR="000B2E73" w:rsidRPr="000B2E73" w:rsidRDefault="000B2E73">
      <w:pPr>
        <w:pStyle w:val="FootnoteText"/>
      </w:pPr>
      <w:r>
        <w:rPr>
          <w:rStyle w:val="FootnoteReference"/>
        </w:rPr>
        <w:footnoteRef/>
      </w:r>
      <w:r>
        <w:t xml:space="preserve"> Timothy Clack &amp; Mark Dunkley, </w:t>
      </w:r>
      <w:r>
        <w:rPr>
          <w:i/>
          <w:iCs/>
        </w:rPr>
        <w:t>Cultural Heritage in Modern Conflict</w:t>
      </w:r>
      <w:r>
        <w:t>, 1</w:t>
      </w:r>
      <w:r w:rsidRPr="000B2E73">
        <w:rPr>
          <w:vertAlign w:val="superscript"/>
        </w:rPr>
        <w:t>st</w:t>
      </w:r>
      <w:r>
        <w:t xml:space="preserve"> </w:t>
      </w:r>
      <w:proofErr w:type="spellStart"/>
      <w:r>
        <w:t>edn</w:t>
      </w:r>
      <w:proofErr w:type="spellEnd"/>
      <w:r w:rsidR="004A7706">
        <w:t>.</w:t>
      </w:r>
      <w:r>
        <w:t xml:space="preserve"> (Routledge 2022)</w:t>
      </w:r>
      <w:r w:rsidR="004F1C78">
        <w:t>.</w:t>
      </w:r>
    </w:p>
  </w:footnote>
  <w:footnote w:id="4">
    <w:p w14:paraId="39420B94" w14:textId="6520104E" w:rsidR="000B2E73" w:rsidRDefault="000B2E73">
      <w:pPr>
        <w:pStyle w:val="FootnoteText"/>
      </w:pPr>
      <w:r>
        <w:rPr>
          <w:rStyle w:val="FootnoteReference"/>
        </w:rPr>
        <w:footnoteRef/>
      </w:r>
      <w:r>
        <w:t xml:space="preserve"> Clack</w:t>
      </w:r>
      <w:r w:rsidR="004A7706">
        <w:t>, ‘</w:t>
      </w:r>
      <w:r w:rsidR="004A7706" w:rsidRPr="004A7706">
        <w:t>Cultural Heritage on the Frontline: the destruction of peoples and identities in war</w:t>
      </w:r>
      <w:r w:rsidR="004A7706" w:rsidRPr="004A7706">
        <w:rPr>
          <w:b/>
          <w:bCs/>
        </w:rPr>
        <w:t>’</w:t>
      </w:r>
      <w:r w:rsidR="004A7706">
        <w:rPr>
          <w:b/>
          <w:bCs/>
        </w:rPr>
        <w:t>, 2022.</w:t>
      </w:r>
    </w:p>
  </w:footnote>
  <w:footnote w:id="5">
    <w:p w14:paraId="750E3C58" w14:textId="04F2C4FB" w:rsidR="004A7706" w:rsidRPr="004A7706" w:rsidRDefault="004A7706">
      <w:pPr>
        <w:pStyle w:val="FootnoteText"/>
      </w:pPr>
      <w:r>
        <w:rPr>
          <w:rStyle w:val="FootnoteReference"/>
        </w:rPr>
        <w:footnoteRef/>
      </w:r>
      <w:r>
        <w:t xml:space="preserve"> Steve Watson, </w:t>
      </w:r>
      <w:r>
        <w:rPr>
          <w:i/>
          <w:iCs/>
        </w:rPr>
        <w:t>Country Matters</w:t>
      </w:r>
      <w:r>
        <w:t>, 1</w:t>
      </w:r>
      <w:r w:rsidRPr="004A7706">
        <w:rPr>
          <w:vertAlign w:val="superscript"/>
        </w:rPr>
        <w:t>st</w:t>
      </w:r>
      <w:r>
        <w:t xml:space="preserve"> </w:t>
      </w:r>
      <w:proofErr w:type="spellStart"/>
      <w:r>
        <w:t>edn</w:t>
      </w:r>
      <w:proofErr w:type="spellEnd"/>
      <w:r>
        <w:t>. (Routledge</w:t>
      </w:r>
      <w:r w:rsidR="008629EE">
        <w:t>, 2012), p. 106-107.</w:t>
      </w:r>
    </w:p>
  </w:footnote>
  <w:footnote w:id="6">
    <w:p w14:paraId="765AC7FF" w14:textId="36F9F0A6" w:rsidR="002B4882" w:rsidRPr="002B4882" w:rsidRDefault="002B4882">
      <w:pPr>
        <w:pStyle w:val="FootnoteText"/>
      </w:pPr>
      <w:r>
        <w:rPr>
          <w:rStyle w:val="FootnoteReference"/>
        </w:rPr>
        <w:footnoteRef/>
      </w:r>
      <w:r>
        <w:t xml:space="preserve"> </w:t>
      </w:r>
      <w:proofErr w:type="spellStart"/>
      <w:r>
        <w:t>Laurajane</w:t>
      </w:r>
      <w:proofErr w:type="spellEnd"/>
      <w:r>
        <w:t xml:space="preserve"> Smith, </w:t>
      </w:r>
      <w:r>
        <w:rPr>
          <w:i/>
          <w:iCs/>
        </w:rPr>
        <w:t>Uses of Heritage</w:t>
      </w:r>
      <w:r>
        <w:t>, 1</w:t>
      </w:r>
      <w:r w:rsidRPr="002B4882">
        <w:rPr>
          <w:vertAlign w:val="superscript"/>
        </w:rPr>
        <w:t>st</w:t>
      </w:r>
      <w:r>
        <w:t xml:space="preserve"> </w:t>
      </w:r>
      <w:proofErr w:type="spellStart"/>
      <w:r>
        <w:t>edn</w:t>
      </w:r>
      <w:proofErr w:type="spellEnd"/>
      <w:r>
        <w:t>. (Routledge, 2006), p. 29.</w:t>
      </w:r>
    </w:p>
  </w:footnote>
  <w:footnote w:id="7">
    <w:p w14:paraId="3AA1959F" w14:textId="3CF7A79D" w:rsidR="0099458E" w:rsidRPr="006F042A" w:rsidRDefault="0099458E">
      <w:pPr>
        <w:pStyle w:val="FootnoteText"/>
      </w:pPr>
      <w:r>
        <w:rPr>
          <w:rStyle w:val="FootnoteReference"/>
        </w:rPr>
        <w:footnoteRef/>
      </w:r>
      <w:r>
        <w:t xml:space="preserve"> </w:t>
      </w:r>
      <w:proofErr w:type="spellStart"/>
      <w:r w:rsidR="006F042A">
        <w:t>Laurajane</w:t>
      </w:r>
      <w:proofErr w:type="spellEnd"/>
      <w:r w:rsidR="006F042A">
        <w:t xml:space="preserve"> Smith, Association of Critical Heritage Studies, </w:t>
      </w:r>
      <w:r w:rsidR="006F042A">
        <w:rPr>
          <w:i/>
          <w:iCs/>
        </w:rPr>
        <w:t>2012 manifesto</w:t>
      </w:r>
      <w:r w:rsidR="006F042A">
        <w:t xml:space="preserve"> (2012)</w:t>
      </w:r>
      <w:r w:rsidR="004F1C78">
        <w:t xml:space="preserve"> </w:t>
      </w:r>
      <w:r w:rsidR="006F042A">
        <w:t>&lt;</w:t>
      </w:r>
      <w:r w:rsidR="006F042A" w:rsidRPr="006F042A">
        <w:t>https://www.criticalheritagestudies.org/history</w:t>
      </w:r>
      <w:r w:rsidR="006F042A">
        <w:t>&gt; [accessed 21 October 20</w:t>
      </w:r>
      <w:r w:rsidR="00A75387">
        <w:t>23</w:t>
      </w:r>
      <w:r w:rsidR="006F042A">
        <w:t>]</w:t>
      </w:r>
      <w:r w:rsidR="004F1C78">
        <w:t>.</w:t>
      </w:r>
    </w:p>
  </w:footnote>
  <w:footnote w:id="8">
    <w:p w14:paraId="31A6FEBE" w14:textId="353B4536" w:rsidR="008860EB" w:rsidRPr="008860EB" w:rsidRDefault="0008494B" w:rsidP="008860EB">
      <w:pPr>
        <w:pStyle w:val="FootnoteText"/>
      </w:pPr>
      <w:r>
        <w:rPr>
          <w:rStyle w:val="FootnoteReference"/>
        </w:rPr>
        <w:footnoteRef/>
      </w:r>
      <w:r>
        <w:t xml:space="preserve"> Ruby-Anne </w:t>
      </w:r>
      <w:proofErr w:type="spellStart"/>
      <w:r>
        <w:t>Birin</w:t>
      </w:r>
      <w:proofErr w:type="spellEnd"/>
      <w:r>
        <w:t xml:space="preserve">, Maria H. Schoeman, Mary Evans, </w:t>
      </w:r>
      <w:r w:rsidR="008860EB" w:rsidRPr="008860EB">
        <w:t>The construction and habitation of one of the earliest homesteads at Komati Gorge Village 1, Bokoni, South Africa</w:t>
      </w:r>
      <w:r w:rsidR="008860EB">
        <w:t xml:space="preserve">, </w:t>
      </w:r>
      <w:r w:rsidR="008860EB">
        <w:rPr>
          <w:i/>
          <w:iCs/>
        </w:rPr>
        <w:t xml:space="preserve">Journal of Archaeological Science: Reports, </w:t>
      </w:r>
      <w:r w:rsidR="008860EB" w:rsidRPr="008860EB">
        <w:t>38 (2021).</w:t>
      </w:r>
    </w:p>
    <w:p w14:paraId="795BFF34" w14:textId="6E87902B" w:rsidR="0008494B" w:rsidRDefault="0008494B">
      <w:pPr>
        <w:pStyle w:val="FootnoteText"/>
      </w:pPr>
    </w:p>
  </w:footnote>
  <w:footnote w:id="9">
    <w:p w14:paraId="7DDDDC78" w14:textId="5949EEA5" w:rsidR="00734F54" w:rsidRPr="00734F54" w:rsidRDefault="00734F54">
      <w:pPr>
        <w:pStyle w:val="FootnoteText"/>
      </w:pPr>
      <w:r>
        <w:rPr>
          <w:rStyle w:val="FootnoteReference"/>
        </w:rPr>
        <w:footnoteRef/>
      </w:r>
      <w:r>
        <w:t xml:space="preserve"> Paul Belford, </w:t>
      </w:r>
      <w:r w:rsidRPr="00734F54">
        <w:t>Archaeology, Community, and Identity in an Englis</w:t>
      </w:r>
      <w:r>
        <w:t>h</w:t>
      </w:r>
      <w:r w:rsidRPr="00734F54">
        <w:t xml:space="preserve"> New Town</w:t>
      </w:r>
      <w:r>
        <w:t xml:space="preserve">, </w:t>
      </w:r>
      <w:r>
        <w:rPr>
          <w:i/>
          <w:iCs/>
        </w:rPr>
        <w:t>The Historic Environment</w:t>
      </w:r>
      <w:r>
        <w:t>, vol.2 no. 1 (2011), 49-67 (p. 51).</w:t>
      </w:r>
    </w:p>
  </w:footnote>
  <w:footnote w:id="10">
    <w:p w14:paraId="77F0F0E0" w14:textId="1B8F9414" w:rsidR="00BA53AC" w:rsidRPr="00A979E9" w:rsidRDefault="00BA53AC">
      <w:pPr>
        <w:pStyle w:val="FootnoteText"/>
      </w:pPr>
      <w:r>
        <w:rPr>
          <w:rStyle w:val="FootnoteReference"/>
        </w:rPr>
        <w:footnoteRef/>
      </w:r>
      <w:r>
        <w:t xml:space="preserve"> Letty </w:t>
      </w:r>
      <w:proofErr w:type="spellStart"/>
      <w:r>
        <w:t>Harkel</w:t>
      </w:r>
      <w:proofErr w:type="spellEnd"/>
      <w:r>
        <w:t xml:space="preserve"> &amp; Helena </w:t>
      </w:r>
      <w:proofErr w:type="spellStart"/>
      <w:r>
        <w:t>Hamerow</w:t>
      </w:r>
      <w:proofErr w:type="spellEnd"/>
      <w:r>
        <w:t xml:space="preserve">, ‘Medieval Migrants of the North Sea World,’ </w:t>
      </w:r>
      <w:r w:rsidR="00A979E9">
        <w:rPr>
          <w:i/>
          <w:iCs/>
        </w:rPr>
        <w:t xml:space="preserve">University of Oxford, </w:t>
      </w:r>
      <w:r w:rsidR="00A979E9">
        <w:t>[accessed 21 October 2023]</w:t>
      </w:r>
      <w:r w:rsidR="0078756C">
        <w:t>.</w:t>
      </w:r>
    </w:p>
  </w:footnote>
  <w:footnote w:id="11">
    <w:p w14:paraId="5CF6B6EA" w14:textId="5E69CAA2" w:rsidR="0078756C" w:rsidRPr="0078756C" w:rsidRDefault="0078756C">
      <w:pPr>
        <w:pStyle w:val="FootnoteText"/>
      </w:pPr>
      <w:r>
        <w:rPr>
          <w:rStyle w:val="FootnoteReference"/>
        </w:rPr>
        <w:footnoteRef/>
      </w:r>
      <w:r>
        <w:t xml:space="preserve"> Letty Harker, ‘Promoting Diversity,’</w:t>
      </w:r>
      <w:r w:rsidRPr="0078756C">
        <w:rPr>
          <w:i/>
          <w:iCs/>
        </w:rPr>
        <w:t xml:space="preserve"> University of Oxfor</w:t>
      </w:r>
      <w:r>
        <w:rPr>
          <w:i/>
          <w:iCs/>
        </w:rPr>
        <w:t xml:space="preserve">d, </w:t>
      </w:r>
      <w:r>
        <w:t>[accessed 21 October 2023].</w:t>
      </w:r>
    </w:p>
  </w:footnote>
  <w:footnote w:id="12">
    <w:p w14:paraId="4A818F91" w14:textId="0C6C7FD0" w:rsidR="00CC40D8" w:rsidRPr="00CC40D8" w:rsidRDefault="00CC40D8">
      <w:pPr>
        <w:pStyle w:val="FootnoteText"/>
      </w:pPr>
      <w:r>
        <w:rPr>
          <w:rStyle w:val="FootnoteReference"/>
        </w:rPr>
        <w:footnoteRef/>
      </w:r>
      <w:r>
        <w:t xml:space="preserve"> Lynn </w:t>
      </w:r>
      <w:proofErr w:type="spellStart"/>
      <w:r>
        <w:t>Meskell</w:t>
      </w:r>
      <w:proofErr w:type="spellEnd"/>
      <w:r>
        <w:t xml:space="preserve">, ‘The intersections of Identity Politics in Archaeology,’ </w:t>
      </w:r>
      <w:r>
        <w:rPr>
          <w:i/>
          <w:iCs/>
        </w:rPr>
        <w:t xml:space="preserve">Annual review of Anthropology, </w:t>
      </w:r>
      <w:r>
        <w:t>31.1 (2002) 279-301, p. 280.</w:t>
      </w:r>
    </w:p>
  </w:footnote>
  <w:footnote w:id="13">
    <w:p w14:paraId="033FC19D" w14:textId="62F46E4F" w:rsidR="002E5742" w:rsidRPr="002E5742" w:rsidRDefault="002E5742">
      <w:pPr>
        <w:pStyle w:val="FootnoteText"/>
        <w:rPr>
          <w:i/>
          <w:iCs/>
        </w:rPr>
      </w:pPr>
      <w:r>
        <w:rPr>
          <w:rStyle w:val="FootnoteReference"/>
        </w:rPr>
        <w:footnoteRef/>
      </w:r>
      <w:r>
        <w:t xml:space="preserve"> Henry P. Chapman, ‘Global Warming The </w:t>
      </w:r>
      <w:proofErr w:type="spellStart"/>
      <w:r>
        <w:t>implicatons</w:t>
      </w:r>
      <w:proofErr w:type="spellEnd"/>
      <w:r>
        <w:t xml:space="preserve"> for sustainable archaeological resource management,’ </w:t>
      </w:r>
      <w:r>
        <w:rPr>
          <w:i/>
          <w:iCs/>
        </w:rPr>
        <w:t>Conservation and Management of archaeological sites</w:t>
      </w:r>
      <w:r w:rsidR="00DA6DE4">
        <w:rPr>
          <w:i/>
          <w:iCs/>
        </w:rPr>
        <w:t>,</w:t>
      </w:r>
      <w:r w:rsidR="00DA6DE4" w:rsidRPr="00DA6DE4">
        <w:t xml:space="preserve"> 5.4 (2002) 241-245, p</w:t>
      </w:r>
      <w:r w:rsidR="00DA6DE4">
        <w:t>.242.</w:t>
      </w:r>
    </w:p>
  </w:footnote>
  <w:footnote w:id="14">
    <w:p w14:paraId="624961AB" w14:textId="1AE06894" w:rsidR="00347082" w:rsidRPr="00347082" w:rsidRDefault="00347082">
      <w:pPr>
        <w:pStyle w:val="FootnoteText"/>
      </w:pPr>
      <w:r>
        <w:rPr>
          <w:rStyle w:val="FootnoteReference"/>
        </w:rPr>
        <w:footnoteRef/>
      </w:r>
      <w:r>
        <w:t xml:space="preserve"> </w:t>
      </w:r>
      <w:r w:rsidRPr="00347082">
        <w:t xml:space="preserve">Francisco García Sánchez, Héctor García Sánchez, Cecilia </w:t>
      </w:r>
      <w:proofErr w:type="spellStart"/>
      <w:r w:rsidRPr="00347082">
        <w:t>Ribalaygu</w:t>
      </w:r>
      <w:r>
        <w:t>a</w:t>
      </w:r>
      <w:proofErr w:type="spellEnd"/>
      <w:r>
        <w:t>, ‘</w:t>
      </w:r>
      <w:r w:rsidRPr="00347082">
        <w:t>Cultural heritage and sea level rise threat: risk assessment of coastal fortifications in the Canary Islands</w:t>
      </w:r>
      <w:r>
        <w:t xml:space="preserve">,’ </w:t>
      </w:r>
      <w:r>
        <w:rPr>
          <w:i/>
          <w:iCs/>
        </w:rPr>
        <w:t xml:space="preserve">Journal of Cultural Heritage, </w:t>
      </w:r>
      <w:r>
        <w:t>44 (2020) 211-217.</w:t>
      </w:r>
    </w:p>
  </w:footnote>
  <w:footnote w:id="15">
    <w:p w14:paraId="46F3162B" w14:textId="4162D13D" w:rsidR="006A1173" w:rsidRPr="000F0D60" w:rsidRDefault="006A1173">
      <w:pPr>
        <w:pStyle w:val="FootnoteText"/>
        <w:rPr>
          <w:rFonts w:cstheme="minorHAnsi"/>
        </w:rPr>
      </w:pPr>
      <w:r w:rsidRPr="000F0D60">
        <w:rPr>
          <w:rStyle w:val="FootnoteReference"/>
        </w:rPr>
        <w:footnoteRef/>
      </w:r>
      <w:r w:rsidRPr="000F0D60">
        <w:t xml:space="preserve"> L</w:t>
      </w:r>
      <w:r w:rsidRPr="000F0D60">
        <w:rPr>
          <w:rFonts w:cstheme="minorHAnsi"/>
        </w:rPr>
        <w:t xml:space="preserve">inda M. Seymour et al., ‘Hot mixing: Mechanistic insights into the durability of ancient Roman concrete,’ </w:t>
      </w:r>
      <w:r w:rsidRPr="000F0D60">
        <w:rPr>
          <w:rFonts w:cstheme="minorHAnsi"/>
          <w:i/>
          <w:iCs/>
        </w:rPr>
        <w:t>Science Advances,</w:t>
      </w:r>
      <w:r w:rsidRPr="000F0D60">
        <w:rPr>
          <w:rFonts w:cstheme="minorHAnsi"/>
        </w:rPr>
        <w:t xml:space="preserve"> 9.1 (2023) 1-13.</w:t>
      </w:r>
    </w:p>
  </w:footnote>
  <w:footnote w:id="16">
    <w:p w14:paraId="799D9511" w14:textId="6FB05659" w:rsidR="00067D7B" w:rsidRPr="000F0D60" w:rsidRDefault="00067D7B">
      <w:pPr>
        <w:pStyle w:val="FootnoteText"/>
        <w:rPr>
          <w:rFonts w:cstheme="minorHAnsi"/>
        </w:rPr>
      </w:pPr>
      <w:r w:rsidRPr="000F0D60">
        <w:rPr>
          <w:rStyle w:val="FootnoteReference"/>
          <w:rFonts w:cstheme="minorHAnsi"/>
        </w:rPr>
        <w:footnoteRef/>
      </w:r>
      <w:r w:rsidRPr="000F0D60">
        <w:rPr>
          <w:rFonts w:cstheme="minorHAnsi"/>
        </w:rPr>
        <w:t xml:space="preserve"> James Wiseman, ‘Archaeology and the Humanities,’ </w:t>
      </w:r>
      <w:r w:rsidRPr="000F0D60">
        <w:rPr>
          <w:rFonts w:cstheme="minorHAnsi"/>
          <w:i/>
          <w:iCs/>
        </w:rPr>
        <w:t>Arion: A Journal of Humanities and the Classics</w:t>
      </w:r>
      <w:r w:rsidRPr="000F0D60">
        <w:rPr>
          <w:rFonts w:cstheme="minorHAnsi"/>
        </w:rPr>
        <w:t xml:space="preserve">, </w:t>
      </w:r>
      <w:r w:rsidR="00DB6E0A" w:rsidRPr="000F0D60">
        <w:rPr>
          <w:rFonts w:cstheme="minorHAnsi"/>
        </w:rPr>
        <w:t>3.2 (1964) 131-142, p.131.</w:t>
      </w:r>
    </w:p>
  </w:footnote>
  <w:footnote w:id="17">
    <w:p w14:paraId="28CFCA46" w14:textId="79DBC307" w:rsidR="00AE536F" w:rsidRPr="000F0D60" w:rsidRDefault="00AE536F">
      <w:pPr>
        <w:pStyle w:val="FootnoteText"/>
        <w:rPr>
          <w:rFonts w:cstheme="minorHAnsi"/>
        </w:rPr>
      </w:pPr>
      <w:r w:rsidRPr="000F0D60">
        <w:rPr>
          <w:rStyle w:val="FootnoteReference"/>
          <w:rFonts w:cstheme="minorHAnsi"/>
        </w:rPr>
        <w:footnoteRef/>
      </w:r>
      <w:r w:rsidRPr="000F0D60">
        <w:rPr>
          <w:rFonts w:cstheme="minorHAnsi"/>
        </w:rPr>
        <w:t xml:space="preserve"> </w:t>
      </w:r>
      <w:r w:rsidRPr="000F0D60">
        <w:rPr>
          <w:rFonts w:cstheme="minorHAnsi"/>
        </w:rPr>
        <w:t xml:space="preserve">Kristian Kristiansen, ‘Towards a New Paradigm? The Third Science Revolution and its Possible Consequences in Archaeology,’ </w:t>
      </w:r>
      <w:r w:rsidRPr="000F0D60">
        <w:rPr>
          <w:rFonts w:cstheme="minorHAnsi"/>
          <w:i/>
          <w:iCs/>
        </w:rPr>
        <w:t xml:space="preserve">Current Swedish Archaeology, </w:t>
      </w:r>
      <w:r w:rsidRPr="000F0D60">
        <w:rPr>
          <w:rFonts w:cstheme="minorHAnsi"/>
        </w:rPr>
        <w:t>22.1 (2014) 11-34, p.15.</w:t>
      </w:r>
    </w:p>
  </w:footnote>
  <w:footnote w:id="18">
    <w:p w14:paraId="24BBC0BB" w14:textId="79FE7B6A" w:rsidR="0017647F" w:rsidRDefault="0017647F" w:rsidP="000F0D60">
      <w:pPr>
        <w:pStyle w:val="NormalWeb"/>
        <w:shd w:val="clear" w:color="auto" w:fill="FFFFFF"/>
      </w:pPr>
      <w:r w:rsidRPr="000F0D60">
        <w:rPr>
          <w:rStyle w:val="FootnoteReference"/>
          <w:rFonts w:asciiTheme="minorHAnsi" w:hAnsiTheme="minorHAnsi" w:cstheme="minorHAnsi"/>
          <w:sz w:val="20"/>
          <w:szCs w:val="20"/>
        </w:rPr>
        <w:footnoteRef/>
      </w:r>
      <w:r w:rsidRPr="000F0D60">
        <w:rPr>
          <w:rFonts w:asciiTheme="minorHAnsi" w:hAnsiTheme="minorHAnsi" w:cstheme="minorHAnsi"/>
          <w:sz w:val="20"/>
          <w:szCs w:val="20"/>
        </w:rPr>
        <w:t xml:space="preserve"> Stephen L. Dyson, ‘</w:t>
      </w:r>
      <w:r w:rsidRPr="000F0D60">
        <w:rPr>
          <w:rFonts w:asciiTheme="minorHAnsi" w:hAnsiTheme="minorHAnsi" w:cstheme="minorHAnsi"/>
          <w:sz w:val="20"/>
          <w:szCs w:val="20"/>
        </w:rPr>
        <w:t>From New</w:t>
      </w:r>
      <w:r w:rsidR="000F0D60">
        <w:rPr>
          <w:rFonts w:asciiTheme="minorHAnsi" w:hAnsiTheme="minorHAnsi" w:cstheme="minorHAnsi"/>
          <w:sz w:val="20"/>
          <w:szCs w:val="20"/>
        </w:rPr>
        <w:t>,</w:t>
      </w:r>
      <w:r w:rsidRPr="000F0D60">
        <w:rPr>
          <w:rFonts w:asciiTheme="minorHAnsi" w:hAnsiTheme="minorHAnsi" w:cstheme="minorHAnsi"/>
          <w:sz w:val="20"/>
          <w:szCs w:val="20"/>
        </w:rPr>
        <w:t xml:space="preserve"> to New Age Archaeology: Archaeological Theory and Classical Archaeology-A 1990s Perspective</w:t>
      </w:r>
      <w:r w:rsidRPr="000F0D60">
        <w:rPr>
          <w:rFonts w:asciiTheme="minorHAnsi" w:hAnsiTheme="minorHAnsi" w:cstheme="minorHAnsi"/>
          <w:sz w:val="20"/>
          <w:szCs w:val="20"/>
        </w:rPr>
        <w:t xml:space="preserve">,’ </w:t>
      </w:r>
      <w:r w:rsidRPr="000F0D60">
        <w:rPr>
          <w:rFonts w:asciiTheme="minorHAnsi" w:hAnsiTheme="minorHAnsi" w:cstheme="minorHAnsi"/>
          <w:i/>
          <w:iCs/>
          <w:sz w:val="20"/>
          <w:szCs w:val="20"/>
        </w:rPr>
        <w:t>American Journal of Archaeology</w:t>
      </w:r>
      <w:r w:rsidRPr="000F0D60">
        <w:rPr>
          <w:rFonts w:asciiTheme="minorHAnsi" w:hAnsiTheme="minorHAnsi" w:cstheme="minorHAnsi"/>
          <w:i/>
          <w:iCs/>
          <w:sz w:val="20"/>
          <w:szCs w:val="20"/>
        </w:rPr>
        <w:t xml:space="preserve">, </w:t>
      </w:r>
      <w:r w:rsidRPr="000F0D60">
        <w:rPr>
          <w:rFonts w:asciiTheme="minorHAnsi" w:hAnsiTheme="minorHAnsi" w:cstheme="minorHAnsi"/>
          <w:sz w:val="20"/>
          <w:szCs w:val="20"/>
        </w:rPr>
        <w:t>97.2</w:t>
      </w:r>
      <w:r w:rsidRPr="000F0D60">
        <w:rPr>
          <w:rFonts w:asciiTheme="minorHAnsi" w:hAnsiTheme="minorHAnsi" w:cstheme="minorHAnsi"/>
          <w:sz w:val="20"/>
          <w:szCs w:val="20"/>
        </w:rPr>
        <w:t xml:space="preserve"> </w:t>
      </w:r>
      <w:r w:rsidRPr="000F0D60">
        <w:rPr>
          <w:rFonts w:asciiTheme="minorHAnsi" w:hAnsiTheme="minorHAnsi" w:cstheme="minorHAnsi"/>
          <w:sz w:val="20"/>
          <w:szCs w:val="20"/>
        </w:rPr>
        <w:t>(1993) 195-206</w:t>
      </w:r>
      <w:r w:rsidR="005F3D1A" w:rsidRPr="000F0D60">
        <w:rPr>
          <w:rFonts w:asciiTheme="minorHAnsi" w:hAnsiTheme="minorHAnsi" w:cstheme="minorHAnsi"/>
          <w:sz w:val="20"/>
          <w:szCs w:val="20"/>
        </w:rPr>
        <w:t xml:space="preserve">, p.196. </w:t>
      </w:r>
    </w:p>
  </w:footnote>
  <w:footnote w:id="19">
    <w:p w14:paraId="25A816E4" w14:textId="2EDD7699" w:rsidR="000F0D60" w:rsidRDefault="000F0D60">
      <w:pPr>
        <w:pStyle w:val="FootnoteText"/>
      </w:pPr>
      <w:r>
        <w:rPr>
          <w:rStyle w:val="FootnoteReference"/>
        </w:rPr>
        <w:footnoteRef/>
      </w:r>
      <w:r>
        <w:t xml:space="preserve"> </w:t>
      </w:r>
      <w:r w:rsidR="00AF780F">
        <w:t>Kristiansen</w:t>
      </w:r>
      <w:r>
        <w:t xml:space="preserve">, </w:t>
      </w:r>
      <w:r w:rsidR="00AF780F" w:rsidRPr="000F0D60">
        <w:rPr>
          <w:rFonts w:cstheme="minorHAnsi"/>
        </w:rPr>
        <w:t>‘Towards a New Paradigm? The Third Science Revolution and its Possible Consequences in Archaeology,’</w:t>
      </w:r>
      <w:r w:rsidR="00AF780F">
        <w:rPr>
          <w:rFonts w:cstheme="minorHAnsi"/>
        </w:rPr>
        <w:t xml:space="preserve"> p.15.</w:t>
      </w:r>
    </w:p>
  </w:footnote>
  <w:footnote w:id="20">
    <w:p w14:paraId="577C4C46" w14:textId="5EB590D8" w:rsidR="00AF780F" w:rsidRPr="00AF780F" w:rsidRDefault="00AF780F">
      <w:pPr>
        <w:pStyle w:val="FootnoteText"/>
      </w:pPr>
      <w:r>
        <w:rPr>
          <w:rStyle w:val="FootnoteReference"/>
        </w:rPr>
        <w:footnoteRef/>
      </w:r>
      <w:r>
        <w:t xml:space="preserve"> William H. Adams, ‘Historical Archaeology: Science and Humanism’, </w:t>
      </w:r>
      <w:r>
        <w:rPr>
          <w:i/>
          <w:iCs/>
        </w:rPr>
        <w:t>North American Archaeologist</w:t>
      </w:r>
      <w:r>
        <w:t xml:space="preserve">, 1.1 (1979) 85-96. P.86. </w:t>
      </w:r>
    </w:p>
  </w:footnote>
  <w:footnote w:id="21">
    <w:p w14:paraId="2E3CD75A" w14:textId="43510C57" w:rsidR="00F539A3" w:rsidRPr="00F539A3" w:rsidRDefault="00F539A3">
      <w:pPr>
        <w:pStyle w:val="FootnoteText"/>
      </w:pPr>
      <w:r>
        <w:rPr>
          <w:rStyle w:val="FootnoteReference"/>
        </w:rPr>
        <w:footnoteRef/>
      </w:r>
      <w:r>
        <w:t xml:space="preserve"> </w:t>
      </w:r>
      <w:r w:rsidRPr="00F539A3">
        <w:t xml:space="preserve">Tim </w:t>
      </w:r>
      <w:proofErr w:type="spellStart"/>
      <w:r w:rsidRPr="00F539A3">
        <w:t>Flohr</w:t>
      </w:r>
      <w:proofErr w:type="spellEnd"/>
      <w:r w:rsidRPr="00F539A3">
        <w:t> </w:t>
      </w:r>
      <w:proofErr w:type="spellStart"/>
      <w:r w:rsidRPr="00F539A3">
        <w:t>Sørensen</w:t>
      </w:r>
      <w:proofErr w:type="spellEnd"/>
      <w:r>
        <w:t xml:space="preserve">, ‘The Two Cultures and a World Apart: Archaeology and Science at a New Crossroads’, </w:t>
      </w:r>
      <w:r>
        <w:rPr>
          <w:i/>
          <w:iCs/>
        </w:rPr>
        <w:t>Norwegian Archaeological Review</w:t>
      </w:r>
      <w:r>
        <w:t>, 50.2 (2017) 101-115, p. 108-110.</w:t>
      </w:r>
    </w:p>
  </w:footnote>
  <w:footnote w:id="22">
    <w:p w14:paraId="11EA7A2B" w14:textId="6971619F" w:rsidR="005632AE" w:rsidRDefault="005632AE">
      <w:pPr>
        <w:pStyle w:val="FootnoteText"/>
      </w:pPr>
      <w:r>
        <w:rPr>
          <w:rStyle w:val="FootnoteReference"/>
        </w:rPr>
        <w:footnoteRef/>
      </w:r>
      <w:r>
        <w:t xml:space="preserve"> </w:t>
      </w:r>
      <w:r>
        <w:t>Adams, ‘Historical Archaeology: Science and Humanism’</w:t>
      </w:r>
      <w:r>
        <w:t>, p.94.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B28F3"/>
    <w:multiLevelType w:val="hybridMultilevel"/>
    <w:tmpl w:val="B6300106"/>
    <w:lvl w:ilvl="0" w:tplc="750013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8330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9D3"/>
    <w:rsid w:val="00001EAE"/>
    <w:rsid w:val="00012453"/>
    <w:rsid w:val="00023561"/>
    <w:rsid w:val="00067D7B"/>
    <w:rsid w:val="0008494B"/>
    <w:rsid w:val="00087032"/>
    <w:rsid w:val="000B2E73"/>
    <w:rsid w:val="000F0D60"/>
    <w:rsid w:val="0017647F"/>
    <w:rsid w:val="00257E45"/>
    <w:rsid w:val="002B4882"/>
    <w:rsid w:val="002E2D96"/>
    <w:rsid w:val="002E5742"/>
    <w:rsid w:val="0031688A"/>
    <w:rsid w:val="00347082"/>
    <w:rsid w:val="003E7FA8"/>
    <w:rsid w:val="003F1265"/>
    <w:rsid w:val="00401520"/>
    <w:rsid w:val="00461818"/>
    <w:rsid w:val="004A7706"/>
    <w:rsid w:val="004B691F"/>
    <w:rsid w:val="004C234A"/>
    <w:rsid w:val="004C78BD"/>
    <w:rsid w:val="004F1C78"/>
    <w:rsid w:val="00530739"/>
    <w:rsid w:val="005565A1"/>
    <w:rsid w:val="005632AE"/>
    <w:rsid w:val="005821F2"/>
    <w:rsid w:val="005849D3"/>
    <w:rsid w:val="005F3D1A"/>
    <w:rsid w:val="00651AA0"/>
    <w:rsid w:val="00653EC3"/>
    <w:rsid w:val="006A1173"/>
    <w:rsid w:val="006B1B97"/>
    <w:rsid w:val="006F042A"/>
    <w:rsid w:val="00712CA5"/>
    <w:rsid w:val="00734F54"/>
    <w:rsid w:val="0078756C"/>
    <w:rsid w:val="00787604"/>
    <w:rsid w:val="007D3092"/>
    <w:rsid w:val="007D45F1"/>
    <w:rsid w:val="008629EE"/>
    <w:rsid w:val="00882CC6"/>
    <w:rsid w:val="008860EB"/>
    <w:rsid w:val="008C3B9C"/>
    <w:rsid w:val="0099458E"/>
    <w:rsid w:val="00A36830"/>
    <w:rsid w:val="00A703FB"/>
    <w:rsid w:val="00A75387"/>
    <w:rsid w:val="00A979E9"/>
    <w:rsid w:val="00AE3FE7"/>
    <w:rsid w:val="00AE536F"/>
    <w:rsid w:val="00AF780F"/>
    <w:rsid w:val="00B57578"/>
    <w:rsid w:val="00B626E4"/>
    <w:rsid w:val="00B7724E"/>
    <w:rsid w:val="00BA53AC"/>
    <w:rsid w:val="00BA6587"/>
    <w:rsid w:val="00C56FD3"/>
    <w:rsid w:val="00CC40D8"/>
    <w:rsid w:val="00CD2361"/>
    <w:rsid w:val="00D23700"/>
    <w:rsid w:val="00DA6DE4"/>
    <w:rsid w:val="00DB6E0A"/>
    <w:rsid w:val="00E31FA3"/>
    <w:rsid w:val="00E44F4A"/>
    <w:rsid w:val="00E7108C"/>
    <w:rsid w:val="00F35295"/>
    <w:rsid w:val="00F539A3"/>
    <w:rsid w:val="00F64F60"/>
    <w:rsid w:val="00F667FE"/>
    <w:rsid w:val="00F82570"/>
    <w:rsid w:val="00FC1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488F7"/>
  <w15:chartTrackingRefBased/>
  <w15:docId w15:val="{AD60964A-B2F1-1344-9B50-0753BF954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1B9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23700"/>
    <w:rPr>
      <w:rFonts w:ascii="Times New Roman" w:hAnsi="Times New Roman" w:cs="Times New Roman"/>
    </w:rPr>
  </w:style>
  <w:style w:type="paragraph" w:styleId="FootnoteText">
    <w:name w:val="footnote text"/>
    <w:basedOn w:val="Normal"/>
    <w:link w:val="FootnoteTextChar"/>
    <w:uiPriority w:val="99"/>
    <w:semiHidden/>
    <w:unhideWhenUsed/>
    <w:rsid w:val="00D23700"/>
    <w:rPr>
      <w:sz w:val="20"/>
      <w:szCs w:val="20"/>
    </w:rPr>
  </w:style>
  <w:style w:type="character" w:customStyle="1" w:styleId="FootnoteTextChar">
    <w:name w:val="Footnote Text Char"/>
    <w:basedOn w:val="DefaultParagraphFont"/>
    <w:link w:val="FootnoteText"/>
    <w:uiPriority w:val="99"/>
    <w:semiHidden/>
    <w:rsid w:val="00D23700"/>
    <w:rPr>
      <w:sz w:val="20"/>
      <w:szCs w:val="20"/>
    </w:rPr>
  </w:style>
  <w:style w:type="character" w:styleId="FootnoteReference">
    <w:name w:val="footnote reference"/>
    <w:basedOn w:val="DefaultParagraphFont"/>
    <w:uiPriority w:val="99"/>
    <w:semiHidden/>
    <w:unhideWhenUsed/>
    <w:rsid w:val="00D23700"/>
    <w:rPr>
      <w:vertAlign w:val="superscript"/>
    </w:rPr>
  </w:style>
  <w:style w:type="character" w:styleId="Hyperlink">
    <w:name w:val="Hyperlink"/>
    <w:basedOn w:val="DefaultParagraphFont"/>
    <w:uiPriority w:val="99"/>
    <w:unhideWhenUsed/>
    <w:rsid w:val="006F042A"/>
    <w:rPr>
      <w:color w:val="0563C1" w:themeColor="hyperlink"/>
      <w:u w:val="single"/>
    </w:rPr>
  </w:style>
  <w:style w:type="character" w:styleId="UnresolvedMention">
    <w:name w:val="Unresolved Mention"/>
    <w:basedOn w:val="DefaultParagraphFont"/>
    <w:uiPriority w:val="99"/>
    <w:semiHidden/>
    <w:unhideWhenUsed/>
    <w:rsid w:val="006F042A"/>
    <w:rPr>
      <w:color w:val="605E5C"/>
      <w:shd w:val="clear" w:color="auto" w:fill="E1DFDD"/>
    </w:rPr>
  </w:style>
  <w:style w:type="character" w:customStyle="1" w:styleId="Heading1Char">
    <w:name w:val="Heading 1 Char"/>
    <w:basedOn w:val="DefaultParagraphFont"/>
    <w:link w:val="Heading1"/>
    <w:uiPriority w:val="9"/>
    <w:rsid w:val="006B1B9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B2E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3561">
      <w:bodyDiv w:val="1"/>
      <w:marLeft w:val="0"/>
      <w:marRight w:val="0"/>
      <w:marTop w:val="0"/>
      <w:marBottom w:val="0"/>
      <w:divBdr>
        <w:top w:val="none" w:sz="0" w:space="0" w:color="auto"/>
        <w:left w:val="none" w:sz="0" w:space="0" w:color="auto"/>
        <w:bottom w:val="none" w:sz="0" w:space="0" w:color="auto"/>
        <w:right w:val="none" w:sz="0" w:space="0" w:color="auto"/>
      </w:divBdr>
      <w:divsChild>
        <w:div w:id="758719110">
          <w:marLeft w:val="0"/>
          <w:marRight w:val="0"/>
          <w:marTop w:val="0"/>
          <w:marBottom w:val="0"/>
          <w:divBdr>
            <w:top w:val="none" w:sz="0" w:space="0" w:color="auto"/>
            <w:left w:val="none" w:sz="0" w:space="0" w:color="auto"/>
            <w:bottom w:val="none" w:sz="0" w:space="0" w:color="auto"/>
            <w:right w:val="none" w:sz="0" w:space="0" w:color="auto"/>
          </w:divBdr>
          <w:divsChild>
            <w:div w:id="1595164468">
              <w:marLeft w:val="0"/>
              <w:marRight w:val="0"/>
              <w:marTop w:val="0"/>
              <w:marBottom w:val="0"/>
              <w:divBdr>
                <w:top w:val="none" w:sz="0" w:space="0" w:color="auto"/>
                <w:left w:val="none" w:sz="0" w:space="0" w:color="auto"/>
                <w:bottom w:val="none" w:sz="0" w:space="0" w:color="auto"/>
                <w:right w:val="none" w:sz="0" w:space="0" w:color="auto"/>
              </w:divBdr>
              <w:divsChild>
                <w:div w:id="1145007835">
                  <w:marLeft w:val="0"/>
                  <w:marRight w:val="0"/>
                  <w:marTop w:val="0"/>
                  <w:marBottom w:val="0"/>
                  <w:divBdr>
                    <w:top w:val="none" w:sz="0" w:space="0" w:color="auto"/>
                    <w:left w:val="none" w:sz="0" w:space="0" w:color="auto"/>
                    <w:bottom w:val="none" w:sz="0" w:space="0" w:color="auto"/>
                    <w:right w:val="none" w:sz="0" w:space="0" w:color="auto"/>
                  </w:divBdr>
                  <w:divsChild>
                    <w:div w:id="10376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185874">
      <w:bodyDiv w:val="1"/>
      <w:marLeft w:val="0"/>
      <w:marRight w:val="0"/>
      <w:marTop w:val="0"/>
      <w:marBottom w:val="0"/>
      <w:divBdr>
        <w:top w:val="none" w:sz="0" w:space="0" w:color="auto"/>
        <w:left w:val="none" w:sz="0" w:space="0" w:color="auto"/>
        <w:bottom w:val="none" w:sz="0" w:space="0" w:color="auto"/>
        <w:right w:val="none" w:sz="0" w:space="0" w:color="auto"/>
      </w:divBdr>
    </w:div>
    <w:div w:id="578945369">
      <w:bodyDiv w:val="1"/>
      <w:marLeft w:val="0"/>
      <w:marRight w:val="0"/>
      <w:marTop w:val="0"/>
      <w:marBottom w:val="0"/>
      <w:divBdr>
        <w:top w:val="none" w:sz="0" w:space="0" w:color="auto"/>
        <w:left w:val="none" w:sz="0" w:space="0" w:color="auto"/>
        <w:bottom w:val="none" w:sz="0" w:space="0" w:color="auto"/>
        <w:right w:val="none" w:sz="0" w:space="0" w:color="auto"/>
      </w:divBdr>
      <w:divsChild>
        <w:div w:id="459225019">
          <w:marLeft w:val="0"/>
          <w:marRight w:val="0"/>
          <w:marTop w:val="0"/>
          <w:marBottom w:val="0"/>
          <w:divBdr>
            <w:top w:val="none" w:sz="0" w:space="0" w:color="auto"/>
            <w:left w:val="none" w:sz="0" w:space="0" w:color="auto"/>
            <w:bottom w:val="none" w:sz="0" w:space="0" w:color="auto"/>
            <w:right w:val="none" w:sz="0" w:space="0" w:color="auto"/>
          </w:divBdr>
          <w:divsChild>
            <w:div w:id="1532767409">
              <w:marLeft w:val="0"/>
              <w:marRight w:val="0"/>
              <w:marTop w:val="0"/>
              <w:marBottom w:val="0"/>
              <w:divBdr>
                <w:top w:val="none" w:sz="0" w:space="0" w:color="auto"/>
                <w:left w:val="none" w:sz="0" w:space="0" w:color="auto"/>
                <w:bottom w:val="none" w:sz="0" w:space="0" w:color="auto"/>
                <w:right w:val="none" w:sz="0" w:space="0" w:color="auto"/>
              </w:divBdr>
              <w:divsChild>
                <w:div w:id="2141336302">
                  <w:marLeft w:val="0"/>
                  <w:marRight w:val="0"/>
                  <w:marTop w:val="0"/>
                  <w:marBottom w:val="0"/>
                  <w:divBdr>
                    <w:top w:val="none" w:sz="0" w:space="0" w:color="auto"/>
                    <w:left w:val="none" w:sz="0" w:space="0" w:color="auto"/>
                    <w:bottom w:val="none" w:sz="0" w:space="0" w:color="auto"/>
                    <w:right w:val="none" w:sz="0" w:space="0" w:color="auto"/>
                  </w:divBdr>
                  <w:divsChild>
                    <w:div w:id="85334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731424">
      <w:bodyDiv w:val="1"/>
      <w:marLeft w:val="0"/>
      <w:marRight w:val="0"/>
      <w:marTop w:val="0"/>
      <w:marBottom w:val="0"/>
      <w:divBdr>
        <w:top w:val="none" w:sz="0" w:space="0" w:color="auto"/>
        <w:left w:val="none" w:sz="0" w:space="0" w:color="auto"/>
        <w:bottom w:val="none" w:sz="0" w:space="0" w:color="auto"/>
        <w:right w:val="none" w:sz="0" w:space="0" w:color="auto"/>
      </w:divBdr>
      <w:divsChild>
        <w:div w:id="15541615">
          <w:marLeft w:val="0"/>
          <w:marRight w:val="0"/>
          <w:marTop w:val="0"/>
          <w:marBottom w:val="0"/>
          <w:divBdr>
            <w:top w:val="none" w:sz="0" w:space="0" w:color="auto"/>
            <w:left w:val="none" w:sz="0" w:space="0" w:color="auto"/>
            <w:bottom w:val="none" w:sz="0" w:space="0" w:color="auto"/>
            <w:right w:val="none" w:sz="0" w:space="0" w:color="auto"/>
          </w:divBdr>
          <w:divsChild>
            <w:div w:id="1177767981">
              <w:marLeft w:val="0"/>
              <w:marRight w:val="0"/>
              <w:marTop w:val="0"/>
              <w:marBottom w:val="0"/>
              <w:divBdr>
                <w:top w:val="none" w:sz="0" w:space="0" w:color="auto"/>
                <w:left w:val="none" w:sz="0" w:space="0" w:color="auto"/>
                <w:bottom w:val="none" w:sz="0" w:space="0" w:color="auto"/>
                <w:right w:val="none" w:sz="0" w:space="0" w:color="auto"/>
              </w:divBdr>
              <w:divsChild>
                <w:div w:id="778379144">
                  <w:marLeft w:val="0"/>
                  <w:marRight w:val="0"/>
                  <w:marTop w:val="0"/>
                  <w:marBottom w:val="0"/>
                  <w:divBdr>
                    <w:top w:val="none" w:sz="0" w:space="0" w:color="auto"/>
                    <w:left w:val="none" w:sz="0" w:space="0" w:color="auto"/>
                    <w:bottom w:val="none" w:sz="0" w:space="0" w:color="auto"/>
                    <w:right w:val="none" w:sz="0" w:space="0" w:color="auto"/>
                  </w:divBdr>
                  <w:divsChild>
                    <w:div w:id="76981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027616">
      <w:bodyDiv w:val="1"/>
      <w:marLeft w:val="0"/>
      <w:marRight w:val="0"/>
      <w:marTop w:val="0"/>
      <w:marBottom w:val="0"/>
      <w:divBdr>
        <w:top w:val="none" w:sz="0" w:space="0" w:color="auto"/>
        <w:left w:val="none" w:sz="0" w:space="0" w:color="auto"/>
        <w:bottom w:val="none" w:sz="0" w:space="0" w:color="auto"/>
        <w:right w:val="none" w:sz="0" w:space="0" w:color="auto"/>
      </w:divBdr>
      <w:divsChild>
        <w:div w:id="814488880">
          <w:marLeft w:val="0"/>
          <w:marRight w:val="0"/>
          <w:marTop w:val="0"/>
          <w:marBottom w:val="0"/>
          <w:divBdr>
            <w:top w:val="none" w:sz="0" w:space="0" w:color="auto"/>
            <w:left w:val="none" w:sz="0" w:space="0" w:color="auto"/>
            <w:bottom w:val="none" w:sz="0" w:space="0" w:color="auto"/>
            <w:right w:val="none" w:sz="0" w:space="0" w:color="auto"/>
          </w:divBdr>
          <w:divsChild>
            <w:div w:id="1709069282">
              <w:marLeft w:val="0"/>
              <w:marRight w:val="0"/>
              <w:marTop w:val="0"/>
              <w:marBottom w:val="0"/>
              <w:divBdr>
                <w:top w:val="none" w:sz="0" w:space="0" w:color="auto"/>
                <w:left w:val="none" w:sz="0" w:space="0" w:color="auto"/>
                <w:bottom w:val="none" w:sz="0" w:space="0" w:color="auto"/>
                <w:right w:val="none" w:sz="0" w:space="0" w:color="auto"/>
              </w:divBdr>
              <w:divsChild>
                <w:div w:id="16714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644507">
      <w:bodyDiv w:val="1"/>
      <w:marLeft w:val="0"/>
      <w:marRight w:val="0"/>
      <w:marTop w:val="0"/>
      <w:marBottom w:val="0"/>
      <w:divBdr>
        <w:top w:val="none" w:sz="0" w:space="0" w:color="auto"/>
        <w:left w:val="none" w:sz="0" w:space="0" w:color="auto"/>
        <w:bottom w:val="none" w:sz="0" w:space="0" w:color="auto"/>
        <w:right w:val="none" w:sz="0" w:space="0" w:color="auto"/>
      </w:divBdr>
      <w:divsChild>
        <w:div w:id="223181081">
          <w:marLeft w:val="0"/>
          <w:marRight w:val="0"/>
          <w:marTop w:val="0"/>
          <w:marBottom w:val="0"/>
          <w:divBdr>
            <w:top w:val="none" w:sz="0" w:space="0" w:color="auto"/>
            <w:left w:val="none" w:sz="0" w:space="0" w:color="auto"/>
            <w:bottom w:val="none" w:sz="0" w:space="0" w:color="auto"/>
            <w:right w:val="none" w:sz="0" w:space="0" w:color="auto"/>
          </w:divBdr>
          <w:divsChild>
            <w:div w:id="1828664350">
              <w:marLeft w:val="0"/>
              <w:marRight w:val="0"/>
              <w:marTop w:val="0"/>
              <w:marBottom w:val="0"/>
              <w:divBdr>
                <w:top w:val="none" w:sz="0" w:space="0" w:color="auto"/>
                <w:left w:val="none" w:sz="0" w:space="0" w:color="auto"/>
                <w:bottom w:val="none" w:sz="0" w:space="0" w:color="auto"/>
                <w:right w:val="none" w:sz="0" w:space="0" w:color="auto"/>
              </w:divBdr>
              <w:divsChild>
                <w:div w:id="33358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436227">
      <w:bodyDiv w:val="1"/>
      <w:marLeft w:val="0"/>
      <w:marRight w:val="0"/>
      <w:marTop w:val="0"/>
      <w:marBottom w:val="0"/>
      <w:divBdr>
        <w:top w:val="none" w:sz="0" w:space="0" w:color="auto"/>
        <w:left w:val="none" w:sz="0" w:space="0" w:color="auto"/>
        <w:bottom w:val="none" w:sz="0" w:space="0" w:color="auto"/>
        <w:right w:val="none" w:sz="0" w:space="0" w:color="auto"/>
      </w:divBdr>
      <w:divsChild>
        <w:div w:id="991979997">
          <w:marLeft w:val="0"/>
          <w:marRight w:val="0"/>
          <w:marTop w:val="0"/>
          <w:marBottom w:val="0"/>
          <w:divBdr>
            <w:top w:val="none" w:sz="0" w:space="0" w:color="auto"/>
            <w:left w:val="none" w:sz="0" w:space="0" w:color="auto"/>
            <w:bottom w:val="none" w:sz="0" w:space="0" w:color="auto"/>
            <w:right w:val="none" w:sz="0" w:space="0" w:color="auto"/>
          </w:divBdr>
          <w:divsChild>
            <w:div w:id="481120844">
              <w:marLeft w:val="0"/>
              <w:marRight w:val="0"/>
              <w:marTop w:val="0"/>
              <w:marBottom w:val="0"/>
              <w:divBdr>
                <w:top w:val="none" w:sz="0" w:space="0" w:color="auto"/>
                <w:left w:val="none" w:sz="0" w:space="0" w:color="auto"/>
                <w:bottom w:val="none" w:sz="0" w:space="0" w:color="auto"/>
                <w:right w:val="none" w:sz="0" w:space="0" w:color="auto"/>
              </w:divBdr>
              <w:divsChild>
                <w:div w:id="341933496">
                  <w:marLeft w:val="0"/>
                  <w:marRight w:val="0"/>
                  <w:marTop w:val="0"/>
                  <w:marBottom w:val="0"/>
                  <w:divBdr>
                    <w:top w:val="none" w:sz="0" w:space="0" w:color="auto"/>
                    <w:left w:val="none" w:sz="0" w:space="0" w:color="auto"/>
                    <w:bottom w:val="none" w:sz="0" w:space="0" w:color="auto"/>
                    <w:right w:val="none" w:sz="0" w:space="0" w:color="auto"/>
                  </w:divBdr>
                  <w:divsChild>
                    <w:div w:id="20147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040965">
      <w:bodyDiv w:val="1"/>
      <w:marLeft w:val="0"/>
      <w:marRight w:val="0"/>
      <w:marTop w:val="0"/>
      <w:marBottom w:val="0"/>
      <w:divBdr>
        <w:top w:val="none" w:sz="0" w:space="0" w:color="auto"/>
        <w:left w:val="none" w:sz="0" w:space="0" w:color="auto"/>
        <w:bottom w:val="none" w:sz="0" w:space="0" w:color="auto"/>
        <w:right w:val="none" w:sz="0" w:space="0" w:color="auto"/>
      </w:divBdr>
      <w:divsChild>
        <w:div w:id="655454171">
          <w:marLeft w:val="0"/>
          <w:marRight w:val="0"/>
          <w:marTop w:val="0"/>
          <w:marBottom w:val="0"/>
          <w:divBdr>
            <w:top w:val="none" w:sz="0" w:space="0" w:color="auto"/>
            <w:left w:val="none" w:sz="0" w:space="0" w:color="auto"/>
            <w:bottom w:val="none" w:sz="0" w:space="0" w:color="auto"/>
            <w:right w:val="none" w:sz="0" w:space="0" w:color="auto"/>
          </w:divBdr>
          <w:divsChild>
            <w:div w:id="1665039296">
              <w:marLeft w:val="0"/>
              <w:marRight w:val="0"/>
              <w:marTop w:val="0"/>
              <w:marBottom w:val="0"/>
              <w:divBdr>
                <w:top w:val="none" w:sz="0" w:space="0" w:color="auto"/>
                <w:left w:val="none" w:sz="0" w:space="0" w:color="auto"/>
                <w:bottom w:val="none" w:sz="0" w:space="0" w:color="auto"/>
                <w:right w:val="none" w:sz="0" w:space="0" w:color="auto"/>
              </w:divBdr>
              <w:divsChild>
                <w:div w:id="203542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536292">
      <w:bodyDiv w:val="1"/>
      <w:marLeft w:val="0"/>
      <w:marRight w:val="0"/>
      <w:marTop w:val="0"/>
      <w:marBottom w:val="0"/>
      <w:divBdr>
        <w:top w:val="none" w:sz="0" w:space="0" w:color="auto"/>
        <w:left w:val="none" w:sz="0" w:space="0" w:color="auto"/>
        <w:bottom w:val="none" w:sz="0" w:space="0" w:color="auto"/>
        <w:right w:val="none" w:sz="0" w:space="0" w:color="auto"/>
      </w:divBdr>
    </w:div>
    <w:div w:id="1658025674">
      <w:bodyDiv w:val="1"/>
      <w:marLeft w:val="0"/>
      <w:marRight w:val="0"/>
      <w:marTop w:val="0"/>
      <w:marBottom w:val="0"/>
      <w:divBdr>
        <w:top w:val="none" w:sz="0" w:space="0" w:color="auto"/>
        <w:left w:val="none" w:sz="0" w:space="0" w:color="auto"/>
        <w:bottom w:val="none" w:sz="0" w:space="0" w:color="auto"/>
        <w:right w:val="none" w:sz="0" w:space="0" w:color="auto"/>
      </w:divBdr>
      <w:divsChild>
        <w:div w:id="1244334947">
          <w:marLeft w:val="0"/>
          <w:marRight w:val="0"/>
          <w:marTop w:val="0"/>
          <w:marBottom w:val="0"/>
          <w:divBdr>
            <w:top w:val="none" w:sz="0" w:space="0" w:color="auto"/>
            <w:left w:val="none" w:sz="0" w:space="0" w:color="auto"/>
            <w:bottom w:val="none" w:sz="0" w:space="0" w:color="auto"/>
            <w:right w:val="none" w:sz="0" w:space="0" w:color="auto"/>
          </w:divBdr>
          <w:divsChild>
            <w:div w:id="1170950621">
              <w:marLeft w:val="0"/>
              <w:marRight w:val="0"/>
              <w:marTop w:val="0"/>
              <w:marBottom w:val="0"/>
              <w:divBdr>
                <w:top w:val="none" w:sz="0" w:space="0" w:color="auto"/>
                <w:left w:val="none" w:sz="0" w:space="0" w:color="auto"/>
                <w:bottom w:val="none" w:sz="0" w:space="0" w:color="auto"/>
                <w:right w:val="none" w:sz="0" w:space="0" w:color="auto"/>
              </w:divBdr>
              <w:divsChild>
                <w:div w:id="668292477">
                  <w:marLeft w:val="0"/>
                  <w:marRight w:val="0"/>
                  <w:marTop w:val="0"/>
                  <w:marBottom w:val="0"/>
                  <w:divBdr>
                    <w:top w:val="none" w:sz="0" w:space="0" w:color="auto"/>
                    <w:left w:val="none" w:sz="0" w:space="0" w:color="auto"/>
                    <w:bottom w:val="none" w:sz="0" w:space="0" w:color="auto"/>
                    <w:right w:val="none" w:sz="0" w:space="0" w:color="auto"/>
                  </w:divBdr>
                  <w:divsChild>
                    <w:div w:id="55490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936750">
      <w:bodyDiv w:val="1"/>
      <w:marLeft w:val="0"/>
      <w:marRight w:val="0"/>
      <w:marTop w:val="0"/>
      <w:marBottom w:val="0"/>
      <w:divBdr>
        <w:top w:val="none" w:sz="0" w:space="0" w:color="auto"/>
        <w:left w:val="none" w:sz="0" w:space="0" w:color="auto"/>
        <w:bottom w:val="none" w:sz="0" w:space="0" w:color="auto"/>
        <w:right w:val="none" w:sz="0" w:space="0" w:color="auto"/>
      </w:divBdr>
      <w:divsChild>
        <w:div w:id="905719857">
          <w:marLeft w:val="0"/>
          <w:marRight w:val="0"/>
          <w:marTop w:val="0"/>
          <w:marBottom w:val="0"/>
          <w:divBdr>
            <w:top w:val="none" w:sz="0" w:space="0" w:color="auto"/>
            <w:left w:val="none" w:sz="0" w:space="0" w:color="auto"/>
            <w:bottom w:val="none" w:sz="0" w:space="0" w:color="auto"/>
            <w:right w:val="none" w:sz="0" w:space="0" w:color="auto"/>
          </w:divBdr>
          <w:divsChild>
            <w:div w:id="761725657">
              <w:marLeft w:val="0"/>
              <w:marRight w:val="0"/>
              <w:marTop w:val="0"/>
              <w:marBottom w:val="0"/>
              <w:divBdr>
                <w:top w:val="none" w:sz="0" w:space="0" w:color="auto"/>
                <w:left w:val="none" w:sz="0" w:space="0" w:color="auto"/>
                <w:bottom w:val="none" w:sz="0" w:space="0" w:color="auto"/>
                <w:right w:val="none" w:sz="0" w:space="0" w:color="auto"/>
              </w:divBdr>
              <w:divsChild>
                <w:div w:id="2141536719">
                  <w:marLeft w:val="0"/>
                  <w:marRight w:val="0"/>
                  <w:marTop w:val="0"/>
                  <w:marBottom w:val="0"/>
                  <w:divBdr>
                    <w:top w:val="none" w:sz="0" w:space="0" w:color="auto"/>
                    <w:left w:val="none" w:sz="0" w:space="0" w:color="auto"/>
                    <w:bottom w:val="none" w:sz="0" w:space="0" w:color="auto"/>
                    <w:right w:val="none" w:sz="0" w:space="0" w:color="auto"/>
                  </w:divBdr>
                  <w:divsChild>
                    <w:div w:id="204586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414644">
      <w:bodyDiv w:val="1"/>
      <w:marLeft w:val="0"/>
      <w:marRight w:val="0"/>
      <w:marTop w:val="0"/>
      <w:marBottom w:val="0"/>
      <w:divBdr>
        <w:top w:val="none" w:sz="0" w:space="0" w:color="auto"/>
        <w:left w:val="none" w:sz="0" w:space="0" w:color="auto"/>
        <w:bottom w:val="none" w:sz="0" w:space="0" w:color="auto"/>
        <w:right w:val="none" w:sz="0" w:space="0" w:color="auto"/>
      </w:divBdr>
      <w:divsChild>
        <w:div w:id="1198011455">
          <w:marLeft w:val="0"/>
          <w:marRight w:val="0"/>
          <w:marTop w:val="0"/>
          <w:marBottom w:val="0"/>
          <w:divBdr>
            <w:top w:val="none" w:sz="0" w:space="0" w:color="auto"/>
            <w:left w:val="none" w:sz="0" w:space="0" w:color="auto"/>
            <w:bottom w:val="none" w:sz="0" w:space="0" w:color="auto"/>
            <w:right w:val="none" w:sz="0" w:space="0" w:color="auto"/>
          </w:divBdr>
          <w:divsChild>
            <w:div w:id="1144277459">
              <w:marLeft w:val="0"/>
              <w:marRight w:val="0"/>
              <w:marTop w:val="0"/>
              <w:marBottom w:val="0"/>
              <w:divBdr>
                <w:top w:val="none" w:sz="0" w:space="0" w:color="auto"/>
                <w:left w:val="none" w:sz="0" w:space="0" w:color="auto"/>
                <w:bottom w:val="none" w:sz="0" w:space="0" w:color="auto"/>
                <w:right w:val="none" w:sz="0" w:space="0" w:color="auto"/>
              </w:divBdr>
              <w:divsChild>
                <w:div w:id="2125952423">
                  <w:marLeft w:val="0"/>
                  <w:marRight w:val="0"/>
                  <w:marTop w:val="0"/>
                  <w:marBottom w:val="0"/>
                  <w:divBdr>
                    <w:top w:val="none" w:sz="0" w:space="0" w:color="auto"/>
                    <w:left w:val="none" w:sz="0" w:space="0" w:color="auto"/>
                    <w:bottom w:val="none" w:sz="0" w:space="0" w:color="auto"/>
                    <w:right w:val="none" w:sz="0" w:space="0" w:color="auto"/>
                  </w:divBdr>
                  <w:divsChild>
                    <w:div w:id="141393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207042">
      <w:bodyDiv w:val="1"/>
      <w:marLeft w:val="0"/>
      <w:marRight w:val="0"/>
      <w:marTop w:val="0"/>
      <w:marBottom w:val="0"/>
      <w:divBdr>
        <w:top w:val="none" w:sz="0" w:space="0" w:color="auto"/>
        <w:left w:val="none" w:sz="0" w:space="0" w:color="auto"/>
        <w:bottom w:val="none" w:sz="0" w:space="0" w:color="auto"/>
        <w:right w:val="none" w:sz="0" w:space="0" w:color="auto"/>
      </w:divBdr>
    </w:div>
    <w:div w:id="1851135976">
      <w:bodyDiv w:val="1"/>
      <w:marLeft w:val="0"/>
      <w:marRight w:val="0"/>
      <w:marTop w:val="0"/>
      <w:marBottom w:val="0"/>
      <w:divBdr>
        <w:top w:val="none" w:sz="0" w:space="0" w:color="auto"/>
        <w:left w:val="none" w:sz="0" w:space="0" w:color="auto"/>
        <w:bottom w:val="none" w:sz="0" w:space="0" w:color="auto"/>
        <w:right w:val="none" w:sz="0" w:space="0" w:color="auto"/>
      </w:divBdr>
    </w:div>
    <w:div w:id="1921326895">
      <w:bodyDiv w:val="1"/>
      <w:marLeft w:val="0"/>
      <w:marRight w:val="0"/>
      <w:marTop w:val="0"/>
      <w:marBottom w:val="0"/>
      <w:divBdr>
        <w:top w:val="none" w:sz="0" w:space="0" w:color="auto"/>
        <w:left w:val="none" w:sz="0" w:space="0" w:color="auto"/>
        <w:bottom w:val="none" w:sz="0" w:space="0" w:color="auto"/>
        <w:right w:val="none" w:sz="0" w:space="0" w:color="auto"/>
      </w:divBdr>
      <w:divsChild>
        <w:div w:id="1030257682">
          <w:marLeft w:val="0"/>
          <w:marRight w:val="0"/>
          <w:marTop w:val="0"/>
          <w:marBottom w:val="0"/>
          <w:divBdr>
            <w:top w:val="none" w:sz="0" w:space="0" w:color="auto"/>
            <w:left w:val="none" w:sz="0" w:space="0" w:color="auto"/>
            <w:bottom w:val="none" w:sz="0" w:space="0" w:color="auto"/>
            <w:right w:val="none" w:sz="0" w:space="0" w:color="auto"/>
          </w:divBdr>
          <w:divsChild>
            <w:div w:id="1826582671">
              <w:marLeft w:val="0"/>
              <w:marRight w:val="0"/>
              <w:marTop w:val="0"/>
              <w:marBottom w:val="0"/>
              <w:divBdr>
                <w:top w:val="none" w:sz="0" w:space="0" w:color="auto"/>
                <w:left w:val="none" w:sz="0" w:space="0" w:color="auto"/>
                <w:bottom w:val="none" w:sz="0" w:space="0" w:color="auto"/>
                <w:right w:val="none" w:sz="0" w:space="0" w:color="auto"/>
              </w:divBdr>
              <w:divsChild>
                <w:div w:id="1599829540">
                  <w:marLeft w:val="0"/>
                  <w:marRight w:val="0"/>
                  <w:marTop w:val="0"/>
                  <w:marBottom w:val="0"/>
                  <w:divBdr>
                    <w:top w:val="none" w:sz="0" w:space="0" w:color="auto"/>
                    <w:left w:val="none" w:sz="0" w:space="0" w:color="auto"/>
                    <w:bottom w:val="none" w:sz="0" w:space="0" w:color="auto"/>
                    <w:right w:val="none" w:sz="0" w:space="0" w:color="auto"/>
                  </w:divBdr>
                  <w:divsChild>
                    <w:div w:id="158029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502977">
      <w:bodyDiv w:val="1"/>
      <w:marLeft w:val="0"/>
      <w:marRight w:val="0"/>
      <w:marTop w:val="0"/>
      <w:marBottom w:val="0"/>
      <w:divBdr>
        <w:top w:val="none" w:sz="0" w:space="0" w:color="auto"/>
        <w:left w:val="none" w:sz="0" w:space="0" w:color="auto"/>
        <w:bottom w:val="none" w:sz="0" w:space="0" w:color="auto"/>
        <w:right w:val="none" w:sz="0" w:space="0" w:color="auto"/>
      </w:divBdr>
    </w:div>
    <w:div w:id="2033340316">
      <w:bodyDiv w:val="1"/>
      <w:marLeft w:val="0"/>
      <w:marRight w:val="0"/>
      <w:marTop w:val="0"/>
      <w:marBottom w:val="0"/>
      <w:divBdr>
        <w:top w:val="none" w:sz="0" w:space="0" w:color="auto"/>
        <w:left w:val="none" w:sz="0" w:space="0" w:color="auto"/>
        <w:bottom w:val="none" w:sz="0" w:space="0" w:color="auto"/>
        <w:right w:val="none" w:sz="0" w:space="0" w:color="auto"/>
      </w:divBdr>
      <w:divsChild>
        <w:div w:id="818958725">
          <w:marLeft w:val="0"/>
          <w:marRight w:val="0"/>
          <w:marTop w:val="0"/>
          <w:marBottom w:val="0"/>
          <w:divBdr>
            <w:top w:val="none" w:sz="0" w:space="0" w:color="auto"/>
            <w:left w:val="none" w:sz="0" w:space="0" w:color="auto"/>
            <w:bottom w:val="none" w:sz="0" w:space="0" w:color="auto"/>
            <w:right w:val="none" w:sz="0" w:space="0" w:color="auto"/>
          </w:divBdr>
          <w:divsChild>
            <w:div w:id="288170768">
              <w:marLeft w:val="0"/>
              <w:marRight w:val="0"/>
              <w:marTop w:val="0"/>
              <w:marBottom w:val="0"/>
              <w:divBdr>
                <w:top w:val="none" w:sz="0" w:space="0" w:color="auto"/>
                <w:left w:val="none" w:sz="0" w:space="0" w:color="auto"/>
                <w:bottom w:val="none" w:sz="0" w:space="0" w:color="auto"/>
                <w:right w:val="none" w:sz="0" w:space="0" w:color="auto"/>
              </w:divBdr>
              <w:divsChild>
                <w:div w:id="137711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ox.ac.uk/news/2022-10-04-cultural-heritage-frontline-destruction-peoples-and-identities-w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D5917-288A-8344-A5F4-0DF59F6EF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1750</TotalTime>
  <Pages>4</Pages>
  <Words>1558</Words>
  <Characters>8882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Caradoc Ewing (2305893)</dc:creator>
  <cp:keywords/>
  <dc:description/>
  <cp:lastModifiedBy>Caradoc Ewing (2305893)</cp:lastModifiedBy>
  <cp:revision>16</cp:revision>
  <dcterms:created xsi:type="dcterms:W3CDTF">2023-10-19T17:50:00Z</dcterms:created>
  <dcterms:modified xsi:type="dcterms:W3CDTF">2023-10-22T16:45:00Z</dcterms:modified>
</cp:coreProperties>
</file>