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DD6EE" w:themeColor="accent5" w:themeTint="66"/>
  <w:body>
    <w:p w14:paraId="4F6CDAFE" w14:textId="4D385BCF" w:rsidR="00524E2D" w:rsidRDefault="00803183"/>
    <w:p w14:paraId="0626FF93" w14:textId="783619F9" w:rsidR="00E05A0C" w:rsidRDefault="00DD48AA">
      <w:r>
        <w:t>Sam Harrison</w:t>
      </w:r>
      <w:r>
        <w:tab/>
      </w:r>
      <w:r>
        <w:tab/>
      </w:r>
      <w:r>
        <w:tab/>
      </w:r>
      <w:r>
        <w:tab/>
      </w:r>
      <w:r>
        <w:tab/>
      </w:r>
      <w:r>
        <w:tab/>
      </w:r>
      <w:r>
        <w:tab/>
      </w:r>
      <w:r>
        <w:tab/>
      </w:r>
      <w:r>
        <w:tab/>
      </w:r>
      <w:r>
        <w:tab/>
        <w:t>21/05/18</w:t>
      </w:r>
    </w:p>
    <w:p w14:paraId="6AF47BE7" w14:textId="77777777" w:rsidR="00DD48AA" w:rsidRDefault="00DD48AA">
      <w:r>
        <w:t xml:space="preserve">                                </w:t>
      </w:r>
    </w:p>
    <w:p w14:paraId="7C478735" w14:textId="4E8F4FC8" w:rsidR="00A57CD4" w:rsidRDefault="00A57CD4" w:rsidP="00DD48AA">
      <w:pPr>
        <w:ind w:left="1440" w:firstLine="720"/>
      </w:pPr>
      <w:r>
        <w:t>What is the most telling objection to the regularity theory?</w:t>
      </w:r>
    </w:p>
    <w:p w14:paraId="1D9746D6" w14:textId="5A764784" w:rsidR="00E05A0C" w:rsidRDefault="00E05A0C"/>
    <w:p w14:paraId="7D3E2209" w14:textId="20DE494C" w:rsidR="00E05A0C" w:rsidRPr="00C62D09" w:rsidRDefault="00B16CDF">
      <w:r w:rsidRPr="00C62D09">
        <w:tab/>
      </w:r>
      <w:r w:rsidR="00524499" w:rsidRPr="00C62D09">
        <w:t xml:space="preserve">I have chosen to present G. E. M. Anscombe’s attack on Hume’s regularity theory that forms part of her inaugural lecture of 1971 entitled </w:t>
      </w:r>
      <w:r w:rsidR="001F364C" w:rsidRPr="00C62D09">
        <w:rPr>
          <w:i/>
        </w:rPr>
        <w:t>C</w:t>
      </w:r>
      <w:r w:rsidR="00524499" w:rsidRPr="00C62D09">
        <w:rPr>
          <w:i/>
        </w:rPr>
        <w:t xml:space="preserve">ausality and </w:t>
      </w:r>
      <w:r w:rsidR="001F364C" w:rsidRPr="00C62D09">
        <w:rPr>
          <w:i/>
        </w:rPr>
        <w:t>D</w:t>
      </w:r>
      <w:r w:rsidR="00524499" w:rsidRPr="00C62D09">
        <w:rPr>
          <w:i/>
        </w:rPr>
        <w:t>etermination</w:t>
      </w:r>
      <w:r w:rsidR="001F364C" w:rsidRPr="00C62D09">
        <w:rPr>
          <w:i/>
        </w:rPr>
        <w:t>,</w:t>
      </w:r>
      <w:r w:rsidR="007D25FC" w:rsidRPr="00C62D09">
        <w:t xml:space="preserve"> which</w:t>
      </w:r>
      <w:r w:rsidR="00524499" w:rsidRPr="00C62D09">
        <w:t xml:space="preserve"> put</w:t>
      </w:r>
      <w:r w:rsidR="001F364C" w:rsidRPr="00C62D09">
        <w:t>s</w:t>
      </w:r>
      <w:r w:rsidR="00524499" w:rsidRPr="00C62D09">
        <w:t xml:space="preserve"> forward the ideas that causation has been incorrectly conflated with necessity</w:t>
      </w:r>
      <w:r w:rsidR="007D25FC" w:rsidRPr="00C62D09">
        <w:t xml:space="preserve"> and</w:t>
      </w:r>
      <w:r w:rsidR="00524499" w:rsidRPr="00C62D09">
        <w:t xml:space="preserve"> that efficacy is directly perceptible and apparent in the mind</w:t>
      </w:r>
      <w:r w:rsidR="001F364C" w:rsidRPr="00C62D09">
        <w:t>,</w:t>
      </w:r>
      <w:r w:rsidR="007D25FC" w:rsidRPr="00C62D09">
        <w:t xml:space="preserve"> as specific causal concepts</w:t>
      </w:r>
      <w:r w:rsidR="001F364C" w:rsidRPr="00C62D09">
        <w:t xml:space="preserve"> like cutting</w:t>
      </w:r>
      <w:r w:rsidR="007D25FC" w:rsidRPr="00C62D09">
        <w:t xml:space="preserve"> </w:t>
      </w:r>
      <w:r w:rsidR="001F364C" w:rsidRPr="00C62D09">
        <w:t>or</w:t>
      </w:r>
      <w:r w:rsidR="007D25FC" w:rsidRPr="00C62D09">
        <w:t xml:space="preserve"> scraping. I will also include part of Locke’s theory of causation which insists that our minds are ‘abundantly furnished’ with the experience of causation in the form of power. These two objections undermine the assumptions that Hume builds the regularity theory upon. I will also discuss how</w:t>
      </w:r>
      <w:r w:rsidR="00524499" w:rsidRPr="00C62D09">
        <w:t xml:space="preserve"> the conditions </w:t>
      </w:r>
      <w:r w:rsidR="007D25FC" w:rsidRPr="00C62D09">
        <w:t xml:space="preserve">within the regularity theory, such as, </w:t>
      </w:r>
      <w:r w:rsidR="00524499" w:rsidRPr="00C62D09">
        <w:t>spatial proximity</w:t>
      </w:r>
      <w:r w:rsidR="007D25FC" w:rsidRPr="00C62D09">
        <w:t>,</w:t>
      </w:r>
      <w:r w:rsidR="00524499" w:rsidRPr="00C62D09">
        <w:t xml:space="preserve"> temporal contiguity and constant conjunction are insufficient for identifying </w:t>
      </w:r>
      <w:r w:rsidR="00C62D09" w:rsidRPr="00C62D09">
        <w:t>some c</w:t>
      </w:r>
      <w:r w:rsidR="00524499" w:rsidRPr="00C62D09">
        <w:t>ausal relations</w:t>
      </w:r>
      <w:r w:rsidR="007D25FC" w:rsidRPr="00C62D09">
        <w:t>.</w:t>
      </w:r>
    </w:p>
    <w:p w14:paraId="43B73AD3" w14:textId="53870341" w:rsidR="0058736B" w:rsidRPr="00C62D09" w:rsidRDefault="00E60993" w:rsidP="0058736B">
      <w:pPr>
        <w:ind w:firstLine="720"/>
      </w:pPr>
      <w:r w:rsidRPr="00C62D09">
        <w:t>Anscombe makes the point that the philosophical tradition has been combining causality with necessity since at least Aristotle. She quotes Spinoza, Hume, Mill and Russel</w:t>
      </w:r>
      <w:r w:rsidR="00B117A2" w:rsidRPr="00C62D09">
        <w:t>l</w:t>
      </w:r>
      <w:r w:rsidR="0006485A" w:rsidRPr="00C62D09">
        <w:t>, and</w:t>
      </w:r>
      <w:r w:rsidR="00E81F28" w:rsidRPr="00C62D09">
        <w:t xml:space="preserve"> </w:t>
      </w:r>
      <w:r w:rsidR="0006485A" w:rsidRPr="00C62D09">
        <w:t>w</w:t>
      </w:r>
      <w:r w:rsidR="00E81F28" w:rsidRPr="00C62D09">
        <w:t xml:space="preserve">hilst all these thinkers may have had differing views of causation, they all held that it was some form of necessity. But </w:t>
      </w:r>
      <w:r w:rsidR="00703DF6" w:rsidRPr="00C62D09">
        <w:t xml:space="preserve">it </w:t>
      </w:r>
      <w:r w:rsidR="00E81F28" w:rsidRPr="00C62D09">
        <w:t xml:space="preserve">is incorrect to not consider these two concepts </w:t>
      </w:r>
      <w:r w:rsidR="00AA2BE5" w:rsidRPr="00C62D09">
        <w:t>individually</w:t>
      </w:r>
      <w:r w:rsidR="00703DF6" w:rsidRPr="00C62D09">
        <w:t>, as they are not the same. As Hume is correct to point out</w:t>
      </w:r>
      <w:r w:rsidR="00B117A2" w:rsidRPr="00C62D09">
        <w:t>,</w:t>
      </w:r>
      <w:r w:rsidR="00703DF6" w:rsidRPr="00C62D09">
        <w:t xml:space="preserve"> there is no logical necessity in a cause and its effect</w:t>
      </w:r>
      <w:r w:rsidR="00D46889" w:rsidRPr="00C62D09">
        <w:t>,</w:t>
      </w:r>
      <w:r w:rsidR="00703DF6" w:rsidRPr="00C62D09">
        <w:t xml:space="preserve"> and the </w:t>
      </w:r>
      <w:r w:rsidR="00D46889" w:rsidRPr="00C62D09">
        <w:t>seperation</w:t>
      </w:r>
      <w:r w:rsidR="00703DF6" w:rsidRPr="00C62D09">
        <w:t xml:space="preserve"> of necessity and universality from causes </w:t>
      </w:r>
      <w:r w:rsidR="00D46889" w:rsidRPr="00C62D09">
        <w:t>and</w:t>
      </w:r>
      <w:r w:rsidR="00703DF6" w:rsidRPr="00C62D09">
        <w:t xml:space="preserve"> effects</w:t>
      </w:r>
      <w:r w:rsidR="000C7CF1" w:rsidRPr="00C62D09">
        <w:t xml:space="preserve"> is</w:t>
      </w:r>
      <w:r w:rsidR="00B117A2" w:rsidRPr="00C62D09">
        <w:t xml:space="preserve"> also</w:t>
      </w:r>
      <w:r w:rsidR="000C7CF1" w:rsidRPr="00C62D09">
        <w:t xml:space="preserve"> essential </w:t>
      </w:r>
      <w:r w:rsidR="00D46889" w:rsidRPr="00C62D09">
        <w:t xml:space="preserve">to getting a clearer </w:t>
      </w:r>
      <w:r w:rsidR="007B77FF" w:rsidRPr="00C62D09">
        <w:t>analysis</w:t>
      </w:r>
      <w:r w:rsidR="00D46889" w:rsidRPr="00C62D09">
        <w:t xml:space="preserve"> of the individual concepts.</w:t>
      </w:r>
      <w:r w:rsidR="000C7CF1" w:rsidRPr="00C62D09">
        <w:t xml:space="preserve"> Anscombe’s </w:t>
      </w:r>
      <w:r w:rsidR="00AA2BE5" w:rsidRPr="00C62D09">
        <w:t>argument</w:t>
      </w:r>
      <w:r w:rsidR="00D46889" w:rsidRPr="00C62D09">
        <w:t xml:space="preserve"> is that</w:t>
      </w:r>
      <w:r w:rsidR="000C7CF1" w:rsidRPr="00C62D09">
        <w:t xml:space="preserve"> ‘Causality consists in the derivativeness of an effect from its causes.’</w:t>
      </w:r>
      <w:r w:rsidR="000C7CF1" w:rsidRPr="00C62D09">
        <w:rPr>
          <w:rStyle w:val="FootnoteReference"/>
        </w:rPr>
        <w:footnoteReference w:id="1"/>
      </w:r>
      <w:r w:rsidR="000C7CF1" w:rsidRPr="00C62D09">
        <w:t xml:space="preserve"> That is all. It is seeing that effects came </w:t>
      </w:r>
      <w:r w:rsidR="007B77FF" w:rsidRPr="00C62D09">
        <w:t>from or</w:t>
      </w:r>
      <w:r w:rsidR="00D46889" w:rsidRPr="00C62D09">
        <w:t xml:space="preserve"> </w:t>
      </w:r>
      <w:r w:rsidR="000C7CF1" w:rsidRPr="00C62D09">
        <w:t>arose out of their causes</w:t>
      </w:r>
      <w:r w:rsidR="003B6E0C" w:rsidRPr="00C62D09">
        <w:t xml:space="preserve">. The </w:t>
      </w:r>
      <w:r w:rsidR="00D46889" w:rsidRPr="00C62D09">
        <w:t>binding</w:t>
      </w:r>
      <w:r w:rsidR="003B6E0C" w:rsidRPr="00C62D09">
        <w:t xml:space="preserve"> of necessary connection with causation</w:t>
      </w:r>
      <w:r w:rsidR="00D46889" w:rsidRPr="00C62D09">
        <w:t>,</w:t>
      </w:r>
      <w:r w:rsidR="003B6E0C" w:rsidRPr="00C62D09">
        <w:t xml:space="preserve"> </w:t>
      </w:r>
      <w:r w:rsidR="0006485A" w:rsidRPr="00C62D09">
        <w:t xml:space="preserve">which is </w:t>
      </w:r>
      <w:r w:rsidR="00D46889" w:rsidRPr="00C62D09">
        <w:t>the assumption that if A caused B, A will necessarily cause B</w:t>
      </w:r>
      <w:r w:rsidR="00D46889" w:rsidRPr="00C62D09">
        <w:t>,</w:t>
      </w:r>
      <w:r w:rsidR="00D46889" w:rsidRPr="00C62D09">
        <w:t xml:space="preserve"> </w:t>
      </w:r>
      <w:r w:rsidR="003B6E0C" w:rsidRPr="00C62D09">
        <w:t xml:space="preserve">has forced Hume to reject causation because he is unable to find </w:t>
      </w:r>
      <w:r w:rsidR="00A80700" w:rsidRPr="00C62D09">
        <w:t>the</w:t>
      </w:r>
      <w:r w:rsidR="0006485A" w:rsidRPr="00C62D09">
        <w:t xml:space="preserve"> necessary connection</w:t>
      </w:r>
      <w:r w:rsidR="003B6E0C" w:rsidRPr="00C62D09">
        <w:t>.</w:t>
      </w:r>
      <w:r w:rsidR="0058736B" w:rsidRPr="00C62D09">
        <w:t xml:space="preserve"> </w:t>
      </w:r>
    </w:p>
    <w:p w14:paraId="00A9B0DC" w14:textId="7D94C96C" w:rsidR="000F2A4B" w:rsidRPr="00C62D09" w:rsidRDefault="0058736B">
      <w:r w:rsidRPr="00C62D09">
        <w:tab/>
      </w:r>
      <w:r w:rsidR="00703DF6" w:rsidRPr="00C62D09">
        <w:t xml:space="preserve"> </w:t>
      </w:r>
      <w:r w:rsidRPr="00C62D09">
        <w:t>If A c</w:t>
      </w:r>
      <w:r w:rsidR="00C04C05" w:rsidRPr="00C62D09">
        <w:t>omes from</w:t>
      </w:r>
      <w:r w:rsidRPr="00C62D09">
        <w:t xml:space="preserve"> B, that is all it implies</w:t>
      </w:r>
      <w:r w:rsidR="00C04C05" w:rsidRPr="00C62D09">
        <w:t>.</w:t>
      </w:r>
      <w:r w:rsidRPr="00C62D09">
        <w:t xml:space="preserve"> </w:t>
      </w:r>
      <w:r w:rsidR="00C04C05" w:rsidRPr="00C62D09">
        <w:t>It does not imply necessity,</w:t>
      </w:r>
      <w:r w:rsidR="00B117A2" w:rsidRPr="00C62D09">
        <w:t xml:space="preserve"> that</w:t>
      </w:r>
      <w:r w:rsidR="00C04C05" w:rsidRPr="00C62D09">
        <w:t xml:space="preserve"> </w:t>
      </w:r>
      <w:r w:rsidR="00B117A2" w:rsidRPr="00C62D09">
        <w:t xml:space="preserve">an </w:t>
      </w:r>
      <w:r w:rsidR="00C04C05" w:rsidRPr="00C62D09">
        <w:t>A will always come from B, or A had to come from B. It does not imply universality, so that every A-like thing come</w:t>
      </w:r>
      <w:r w:rsidR="0006485A" w:rsidRPr="00C62D09">
        <w:t>s</w:t>
      </w:r>
      <w:r w:rsidR="00C04C05" w:rsidRPr="00C62D09">
        <w:t xml:space="preserve"> from B-like things. Necessity and universality maybe true</w:t>
      </w:r>
      <w:r w:rsidR="00F70D28" w:rsidRPr="00C62D09">
        <w:t>,</w:t>
      </w:r>
      <w:r w:rsidR="00C04C05" w:rsidRPr="00C62D09">
        <w:t xml:space="preserve"> but that would be additional </w:t>
      </w:r>
      <w:r w:rsidR="00271CDA" w:rsidRPr="00C62D09">
        <w:t>to the fact of causation</w:t>
      </w:r>
      <w:r w:rsidR="00D46889" w:rsidRPr="00C62D09">
        <w:t>,</w:t>
      </w:r>
      <w:r w:rsidR="00271CDA" w:rsidRPr="00C62D09">
        <w:t xml:space="preserve"> that A came from B.</w:t>
      </w:r>
      <w:r w:rsidR="00C04C05" w:rsidRPr="00C62D09">
        <w:t xml:space="preserve">  </w:t>
      </w:r>
      <w:r w:rsidRPr="00C62D09">
        <w:t xml:space="preserve"> </w:t>
      </w:r>
    </w:p>
    <w:p w14:paraId="265BCC5F" w14:textId="60102D6D" w:rsidR="00F723C9" w:rsidRPr="00C62D09" w:rsidRDefault="00B117A2">
      <w:r w:rsidRPr="00C62D09">
        <w:tab/>
        <w:t>Once the question of causation has been separated from related but different questions then it becomes clearer to see what we are looking for; effects coming from causes</w:t>
      </w:r>
      <w:r w:rsidR="00FF6157" w:rsidRPr="00C62D09">
        <w:t xml:space="preserve"> or</w:t>
      </w:r>
      <w:r w:rsidRPr="00C62D09">
        <w:t xml:space="preserve"> </w:t>
      </w:r>
      <w:r w:rsidR="00FF6157" w:rsidRPr="00C62D09">
        <w:t>s</w:t>
      </w:r>
      <w:r w:rsidRPr="00C62D09">
        <w:t>eeing relations in the process of change. But c</w:t>
      </w:r>
      <w:r w:rsidR="00271CDA" w:rsidRPr="00C62D09">
        <w:t>entral to Hume’s argument is that we can not observe causality in the individual case</w:t>
      </w:r>
      <w:r w:rsidR="00FF6157" w:rsidRPr="00C62D09">
        <w:t>, and that</w:t>
      </w:r>
      <w:r w:rsidR="00CC64A5" w:rsidRPr="00C62D09">
        <w:t xml:space="preserve"> </w:t>
      </w:r>
      <w:r w:rsidR="00FF6157" w:rsidRPr="00C62D09">
        <w:t>w</w:t>
      </w:r>
      <w:r w:rsidR="00CC64A5" w:rsidRPr="00C62D09">
        <w:t>e must therefore get our idea of causation from somewhere else, namely, the physical proximity of</w:t>
      </w:r>
      <w:r w:rsidR="00F723C9" w:rsidRPr="00C62D09">
        <w:t xml:space="preserve"> two entities, the regular observation of an event, and the succession of the former to the latter. </w:t>
      </w:r>
    </w:p>
    <w:p w14:paraId="4A42E9A7" w14:textId="23A5BF35" w:rsidR="00F70D28" w:rsidRPr="00C62D09" w:rsidRDefault="00F723C9" w:rsidP="00F70D28">
      <w:pPr>
        <w:ind w:firstLine="720"/>
      </w:pPr>
      <w:r w:rsidRPr="00C62D09">
        <w:t xml:space="preserve">Anscombe </w:t>
      </w:r>
      <w:r w:rsidR="00F70D28" w:rsidRPr="00C62D09">
        <w:t>disagrees with</w:t>
      </w:r>
      <w:r w:rsidRPr="00C62D09">
        <w:t xml:space="preserve"> Hume</w:t>
      </w:r>
      <w:r w:rsidR="00F70D28" w:rsidRPr="00C62D09">
        <w:t>’s</w:t>
      </w:r>
      <w:r w:rsidRPr="00C62D09">
        <w:t xml:space="preserve"> statement that we can never observe causality, she accuses him of excluding </w:t>
      </w:r>
      <w:r w:rsidR="00B6354B" w:rsidRPr="00C62D09">
        <w:t>causality from the sort of things that we are allowed to find in the world. By saying ‘all we find is one billiard ball hitting another and then the other moving away, we do not see the first ball causing the second to move’</w:t>
      </w:r>
      <w:r w:rsidR="0029656A" w:rsidRPr="00C62D09">
        <w:t xml:space="preserve"> Hume has led to us into </w:t>
      </w:r>
      <w:r w:rsidR="00F70D28" w:rsidRPr="00C62D09">
        <w:t>position</w:t>
      </w:r>
      <w:r w:rsidR="0029656A" w:rsidRPr="00C62D09">
        <w:t xml:space="preserve"> that we </w:t>
      </w:r>
      <w:r w:rsidR="0006485A" w:rsidRPr="00C62D09">
        <w:t>disallow the recognition of</w:t>
      </w:r>
      <w:r w:rsidR="0029656A" w:rsidRPr="00C62D09">
        <w:t xml:space="preserve"> causation</w:t>
      </w:r>
      <w:r w:rsidR="001D2FC8" w:rsidRPr="00C62D09">
        <w:t>.</w:t>
      </w:r>
      <w:r w:rsidR="00F70D28" w:rsidRPr="00C62D09">
        <w:t xml:space="preserve"> </w:t>
      </w:r>
      <w:r w:rsidR="0006485A" w:rsidRPr="00C62D09">
        <w:t>He employs</w:t>
      </w:r>
      <w:r w:rsidR="00F70D28" w:rsidRPr="00C62D09">
        <w:t xml:space="preserve"> a reductive and deconstructive approach towards our perceptional content. But t</w:t>
      </w:r>
      <w:r w:rsidR="001D72E3" w:rsidRPr="00C62D09">
        <w:t xml:space="preserve">his technique of the arguer limiting the field of perception can also be </w:t>
      </w:r>
      <w:r w:rsidR="001D72E3" w:rsidRPr="00C62D09">
        <w:lastRenderedPageBreak/>
        <w:t xml:space="preserve">turned onto the arguer, we could say, </w:t>
      </w:r>
      <w:r w:rsidR="00DA4F42" w:rsidRPr="00C62D09">
        <w:t>‘</w:t>
      </w:r>
      <w:r w:rsidR="001D72E3" w:rsidRPr="00C62D09">
        <w:t>all we find is the varying positions of the billiard balls over time, we do not observe travel</w:t>
      </w:r>
      <w:r w:rsidR="00DA4F42" w:rsidRPr="00C62D09">
        <w:t>’</w:t>
      </w:r>
      <w:r w:rsidR="001D72E3" w:rsidRPr="00C62D09">
        <w:t xml:space="preserve"> or </w:t>
      </w:r>
      <w:r w:rsidR="00DA4F42" w:rsidRPr="00C62D09">
        <w:t>‘</w:t>
      </w:r>
      <w:r w:rsidR="001D72E3" w:rsidRPr="00C62D09">
        <w:t>all we find is the impression of white and red patches in our minds, we do not find billiard balls</w:t>
      </w:r>
      <w:r w:rsidR="00DA4F42" w:rsidRPr="00C62D09">
        <w:t>’</w:t>
      </w:r>
      <w:r w:rsidR="001D72E3" w:rsidRPr="00C62D09">
        <w:t>.</w:t>
      </w:r>
      <w:r w:rsidR="00DA4F42" w:rsidRPr="00C62D09">
        <w:t xml:space="preserve"> The standards that we </w:t>
      </w:r>
      <w:r w:rsidR="00AA2BE5" w:rsidRPr="00C62D09">
        <w:t>employ in our analysis of our consciousness will</w:t>
      </w:r>
      <w:r w:rsidR="00DA4F42" w:rsidRPr="00C62D09">
        <w:t xml:space="preserve"> govern what we</w:t>
      </w:r>
      <w:r w:rsidR="00AA2BE5" w:rsidRPr="00C62D09">
        <w:t xml:space="preserve"> think we</w:t>
      </w:r>
      <w:r w:rsidR="00DA4F42" w:rsidRPr="00C62D09">
        <w:t xml:space="preserve"> </w:t>
      </w:r>
      <w:r w:rsidR="00AA2BE5" w:rsidRPr="00C62D09">
        <w:t xml:space="preserve">will </w:t>
      </w:r>
      <w:r w:rsidR="00DA4F42" w:rsidRPr="00C62D09">
        <w:t>find in our minds</w:t>
      </w:r>
      <w:r w:rsidR="00D737AE" w:rsidRPr="00C62D09">
        <w:t xml:space="preserve">, accepting some elements and rejecting others. It seems that Hume is erring on the side of caution when he denies </w:t>
      </w:r>
      <w:r w:rsidR="00FF6157" w:rsidRPr="00C62D09">
        <w:t>that we cannot observe causality in the individual case</w:t>
      </w:r>
      <w:r w:rsidR="00D737AE" w:rsidRPr="00C62D09">
        <w:t xml:space="preserve">. </w:t>
      </w:r>
      <w:r w:rsidR="00F70D28" w:rsidRPr="00C62D09">
        <w:t>Anscombe states that the roots of Hume’s argument have an implicit appeal to Cartesian scepticism. There is a mixture of possible doubt and reductionism that forces Hume to throw out efficacy from his experience because of the possibility that it is only apparent. Because Hume is also combining efficacy with necessary connection it makes it easier for the pressure of sceptical doubt to make Hume reject efficacy as being present in the mind.</w:t>
      </w:r>
    </w:p>
    <w:p w14:paraId="5F8868DB" w14:textId="39AAD87C" w:rsidR="00365523" w:rsidRPr="00C62D09" w:rsidRDefault="00DA4F42" w:rsidP="00802E73">
      <w:pPr>
        <w:ind w:firstLine="720"/>
      </w:pPr>
      <w:r w:rsidRPr="00C62D09">
        <w:t>Anscombe then turns to language as a way of pointing out that the concept of causati</w:t>
      </w:r>
      <w:r w:rsidR="003F3FC5" w:rsidRPr="00C62D09">
        <w:t>on</w:t>
      </w:r>
      <w:r w:rsidR="006A34E4" w:rsidRPr="00C62D09">
        <w:t xml:space="preserve">, but </w:t>
      </w:r>
      <w:r w:rsidRPr="00C62D09">
        <w:t>not necessary connection</w:t>
      </w:r>
      <w:r w:rsidR="006A34E4" w:rsidRPr="00C62D09">
        <w:t>,</w:t>
      </w:r>
      <w:r w:rsidRPr="00C62D09">
        <w:t xml:space="preserve"> is embedded into our existence in the world.</w:t>
      </w:r>
      <w:r w:rsidR="00D737AE" w:rsidRPr="00C62D09">
        <w:t xml:space="preserve"> </w:t>
      </w:r>
      <w:r w:rsidRPr="00C62D09">
        <w:t>The verb is one of the fundamental building blocks of language</w:t>
      </w:r>
      <w:r w:rsidR="003F3FC5" w:rsidRPr="00C62D09">
        <w:t xml:space="preserve"> and it is know</w:t>
      </w:r>
      <w:r w:rsidR="007125EC" w:rsidRPr="00C62D09">
        <w:t>n</w:t>
      </w:r>
      <w:r w:rsidR="003F3FC5" w:rsidRPr="00C62D09">
        <w:t xml:space="preserve"> as the </w:t>
      </w:r>
      <w:r w:rsidR="00C62D09">
        <w:t>‘</w:t>
      </w:r>
      <w:r w:rsidR="003F3FC5" w:rsidRPr="00C62D09">
        <w:t>doing</w:t>
      </w:r>
      <w:r w:rsidR="00C62D09">
        <w:t>’</w:t>
      </w:r>
      <w:r w:rsidR="003F3FC5" w:rsidRPr="00C62D09">
        <w:t xml:space="preserve"> word. To do, is to cause, it is to effect and to have efficacy. These concepts run through everything that we do, because as soon as I do something I am having some efficacy. More specific types of causal concepts like ‘</w:t>
      </w:r>
      <w:r w:rsidR="00814B25" w:rsidRPr="00C62D09">
        <w:t>scrape, push, carry, eat, burn, knock over, squash, hurt,’</w:t>
      </w:r>
      <w:r w:rsidR="006A34E4" w:rsidRPr="00C62D09">
        <w:rPr>
          <w:rStyle w:val="FootnoteReference"/>
        </w:rPr>
        <w:footnoteReference w:id="2"/>
      </w:r>
      <w:r w:rsidR="00814B25" w:rsidRPr="00C62D09">
        <w:t xml:space="preserve"> show us that causing things to happen is completely present in our minds.</w:t>
      </w:r>
      <w:r w:rsidR="006A34E4" w:rsidRPr="00C62D09">
        <w:t xml:space="preserve"> We are entwined with action and effect,</w:t>
      </w:r>
      <w:r w:rsidR="00365523" w:rsidRPr="00C62D09">
        <w:t xml:space="preserve"> </w:t>
      </w:r>
      <w:r w:rsidR="001F364C" w:rsidRPr="00C62D09">
        <w:t>just</w:t>
      </w:r>
      <w:r w:rsidR="00365523" w:rsidRPr="00C62D09">
        <w:t xml:space="preserve"> as we learnt about objects and substance, we learnt that they interact and </w:t>
      </w:r>
      <w:r w:rsidR="006A34E4" w:rsidRPr="00C62D09">
        <w:t>have e</w:t>
      </w:r>
      <w:r w:rsidR="00722761" w:rsidRPr="00C62D09">
        <w:t>ffect</w:t>
      </w:r>
      <w:r w:rsidR="006A34E4" w:rsidRPr="00C62D09">
        <w:t>s upon</w:t>
      </w:r>
      <w:r w:rsidR="00365523" w:rsidRPr="00C62D09">
        <w:t xml:space="preserve"> each other</w:t>
      </w:r>
      <w:r w:rsidR="00556411" w:rsidRPr="00C62D09">
        <w:t>.</w:t>
      </w:r>
      <w:r w:rsidR="007D08AC" w:rsidRPr="00C62D09">
        <w:t xml:space="preserve"> </w:t>
      </w:r>
      <w:r w:rsidR="006A34E4" w:rsidRPr="00C62D09">
        <w:t>Hume’s statement ‘All events seem entirely loose and separate. One event follows another, but we can never observe any tie between them. They seem conjoined but not connected.’</w:t>
      </w:r>
      <w:r w:rsidR="006A34E4" w:rsidRPr="00C62D09">
        <w:rPr>
          <w:rStyle w:val="FootnoteReference"/>
        </w:rPr>
        <w:footnoteReference w:id="3"/>
      </w:r>
      <w:r w:rsidR="006A34E4" w:rsidRPr="00C62D09">
        <w:t xml:space="preserve"> By using the word seem, Hume is suggesting that this is way the world seems to appear to us, but does it? Do all events seem entirely loose and separate? When I chop a piece of fire wood with an axe can I never observe any tie between my swinging the axe and the wood splitting in two? When I am sailing on a boat in rough weather does the event of a wave hitting the side of the boat and then the boat heeling over, seem loose and separate? Not to me. </w:t>
      </w:r>
      <w:r w:rsidR="00802E73" w:rsidRPr="00C62D09">
        <w:t>I experience the efficacy. T</w:t>
      </w:r>
      <w:r w:rsidR="006A34E4" w:rsidRPr="00C62D09">
        <w:t>he lack of acknowled</w:t>
      </w:r>
      <w:r w:rsidR="00802E73" w:rsidRPr="00C62D09">
        <w:t>ment</w:t>
      </w:r>
      <w:r w:rsidR="006A34E4" w:rsidRPr="00C62D09">
        <w:t xml:space="preserve"> that we can experience change and </w:t>
      </w:r>
      <w:r w:rsidR="001D3D65" w:rsidRPr="00C62D09">
        <w:t>that we can experience a</w:t>
      </w:r>
      <w:r w:rsidR="006A34E4" w:rsidRPr="00C62D09">
        <w:t xml:space="preserve"> transference of force and power</w:t>
      </w:r>
      <w:r w:rsidR="001D3D65" w:rsidRPr="00C62D09">
        <w:t xml:space="preserve"> seems to be lacking in Hume’s description.</w:t>
      </w:r>
    </w:p>
    <w:p w14:paraId="78EAF8F2" w14:textId="147E7391" w:rsidR="007D08AC" w:rsidRPr="0074370B" w:rsidRDefault="00814B25" w:rsidP="00676BB5">
      <w:pPr>
        <w:ind w:firstLine="720"/>
      </w:pPr>
      <w:r w:rsidRPr="00C62D09">
        <w:t>Hume challenges us to ‘produce some instance, where in the efficacy is plainly discoverable to the mind, and its operations obvious to our consciousness or sensation.’</w:t>
      </w:r>
      <w:r w:rsidRPr="00C62D09">
        <w:rPr>
          <w:rStyle w:val="FootnoteReference"/>
        </w:rPr>
        <w:footnoteReference w:id="4"/>
      </w:r>
      <w:r w:rsidR="00365523" w:rsidRPr="00C62D09">
        <w:t xml:space="preserve"> </w:t>
      </w:r>
      <w:r w:rsidR="00D80653" w:rsidRPr="00C62D09">
        <w:t>To me the answer is that it is so easy to experience efficacy in my mind</w:t>
      </w:r>
      <w:r w:rsidR="00F81682" w:rsidRPr="00C62D09">
        <w:t>,</w:t>
      </w:r>
      <w:r w:rsidR="00D80653" w:rsidRPr="00C62D09">
        <w:t xml:space="preserve"> </w:t>
      </w:r>
      <w:r w:rsidR="00676BB5" w:rsidRPr="00C62D09">
        <w:t>w</w:t>
      </w:r>
      <w:r w:rsidR="00676BB5" w:rsidRPr="00C62D09">
        <w:t>hen I cut a piece of bread I experience the bread being cut, and for any action that I do, I experience it being done.</w:t>
      </w:r>
      <w:r w:rsidR="00676BB5" w:rsidRPr="00C62D09">
        <w:t xml:space="preserve"> </w:t>
      </w:r>
      <w:r w:rsidR="008A2266" w:rsidRPr="00C62D09">
        <w:t xml:space="preserve">Anscombe does acknowledge that </w:t>
      </w:r>
      <w:r w:rsidR="008A2266" w:rsidRPr="00C62D09">
        <w:t>efficacy</w:t>
      </w:r>
      <w:r w:rsidR="008A2266" w:rsidRPr="00C62D09">
        <w:t xml:space="preserve"> </w:t>
      </w:r>
      <w:r w:rsidR="007050EC" w:rsidRPr="00C62D09">
        <w:t>is harder to</w:t>
      </w:r>
      <w:r w:rsidR="008A2266" w:rsidRPr="00C62D09">
        <w:t xml:space="preserve"> relat</w:t>
      </w:r>
      <w:r w:rsidR="007050EC" w:rsidRPr="00C62D09">
        <w:t>e</w:t>
      </w:r>
      <w:r w:rsidR="008A2266" w:rsidRPr="00C62D09">
        <w:t xml:space="preserve"> to sensation than colour</w:t>
      </w:r>
      <w:r w:rsidR="007050EC" w:rsidRPr="00C62D09">
        <w:t>,</w:t>
      </w:r>
      <w:r w:rsidR="008A2266" w:rsidRPr="00C62D09">
        <w:t xml:space="preserve"> but the power</w:t>
      </w:r>
      <w:r w:rsidR="007050EC" w:rsidRPr="00C62D09">
        <w:t>, or efficacy</w:t>
      </w:r>
      <w:r w:rsidR="008A2266" w:rsidRPr="00C62D09">
        <w:t xml:space="preserve"> of a massive wave hitting the side of a boat is still perceptible</w:t>
      </w:r>
      <w:r w:rsidR="007050EC" w:rsidRPr="00C62D09">
        <w:t xml:space="preserve"> in our sensation. </w:t>
      </w:r>
      <w:r w:rsidR="00676BB5" w:rsidRPr="00C62D09">
        <w:t>So</w:t>
      </w:r>
      <w:r w:rsidR="00EB03B8" w:rsidRPr="00C62D09">
        <w:t>,</w:t>
      </w:r>
      <w:r w:rsidR="00F81682" w:rsidRPr="00C62D09">
        <w:t xml:space="preserve"> </w:t>
      </w:r>
      <w:r w:rsidR="00676BB5" w:rsidRPr="00C62D09">
        <w:t>f</w:t>
      </w:r>
      <w:r w:rsidR="007D08AC" w:rsidRPr="00C62D09">
        <w:t xml:space="preserve">or me, the </w:t>
      </w:r>
      <w:r w:rsidR="009D017E" w:rsidRPr="00C62D09">
        <w:t xml:space="preserve">most </w:t>
      </w:r>
      <w:r w:rsidR="007D08AC" w:rsidRPr="00C62D09">
        <w:t>telling objection of the regularity theory is that it does not allow for causation and efficacy to occur in the mind</w:t>
      </w:r>
      <w:r w:rsidR="005A5098" w:rsidRPr="00C62D09">
        <w:t xml:space="preserve"> and </w:t>
      </w:r>
      <w:r w:rsidR="005A5098" w:rsidRPr="00C62D09">
        <w:t xml:space="preserve">I consider it to be a major defect that it does not have any inclusion of the role of power or force. </w:t>
      </w:r>
      <w:r w:rsidR="005A5098" w:rsidRPr="0074370B">
        <w:t>Hume’s reductive and sceptical position has left his theory in a deficient state because he has excluded a major constituent of our experience of the world</w:t>
      </w:r>
      <w:r w:rsidR="007D08AC" w:rsidRPr="0074370B">
        <w:t>, and</w:t>
      </w:r>
      <w:r w:rsidR="00676BB5" w:rsidRPr="0074370B">
        <w:t xml:space="preserve"> as</w:t>
      </w:r>
      <w:r w:rsidR="007D08AC" w:rsidRPr="0074370B">
        <w:t xml:space="preserve"> Anscombe has pointed out</w:t>
      </w:r>
      <w:r w:rsidR="00676BB5" w:rsidRPr="0074370B">
        <w:t>,</w:t>
      </w:r>
      <w:r w:rsidR="00A41A0E" w:rsidRPr="0074370B">
        <w:t xml:space="preserve"> our continual use </w:t>
      </w:r>
      <w:r w:rsidR="00722761" w:rsidRPr="0074370B">
        <w:t>of causal</w:t>
      </w:r>
      <w:r w:rsidR="007D08AC" w:rsidRPr="0074370B">
        <w:t xml:space="preserve"> words </w:t>
      </w:r>
      <w:r w:rsidR="001228F1" w:rsidRPr="0074370B">
        <w:t>demonstrates</w:t>
      </w:r>
      <w:r w:rsidR="00A41A0E" w:rsidRPr="0074370B">
        <w:t xml:space="preserve"> to</w:t>
      </w:r>
      <w:r w:rsidR="007D08AC" w:rsidRPr="0074370B">
        <w:t xml:space="preserve"> us that efficacy is apparent to us all the </w:t>
      </w:r>
      <w:r w:rsidR="00722761" w:rsidRPr="0074370B">
        <w:t>tim</w:t>
      </w:r>
      <w:r w:rsidR="005A5098" w:rsidRPr="0074370B">
        <w:t>e and</w:t>
      </w:r>
      <w:r w:rsidR="007D08AC" w:rsidRPr="0074370B">
        <w:t xml:space="preserve"> is </w:t>
      </w:r>
      <w:r w:rsidR="00A41A0E" w:rsidRPr="0074370B">
        <w:t>fundamental to</w:t>
      </w:r>
      <w:r w:rsidR="007D08AC" w:rsidRPr="0074370B">
        <w:t xml:space="preserve"> our engagement in the world.</w:t>
      </w:r>
      <w:r w:rsidR="009D017E" w:rsidRPr="0074370B">
        <w:t xml:space="preserve"> </w:t>
      </w:r>
    </w:p>
    <w:p w14:paraId="292828EE" w14:textId="7DAB5133" w:rsidR="009C5113" w:rsidRPr="0074370B" w:rsidRDefault="00E0004E" w:rsidP="00556411">
      <w:pPr>
        <w:ind w:firstLine="720"/>
      </w:pPr>
      <w:r w:rsidRPr="0074370B">
        <w:t>L</w:t>
      </w:r>
      <w:r w:rsidR="00021363" w:rsidRPr="0074370B">
        <w:t>ock</w:t>
      </w:r>
      <w:r w:rsidRPr="0074370B">
        <w:t>e also presented a</w:t>
      </w:r>
      <w:r w:rsidR="00021363" w:rsidRPr="0074370B">
        <w:t xml:space="preserve"> theory of causation</w:t>
      </w:r>
      <w:r w:rsidRPr="0074370B">
        <w:t>, and although it</w:t>
      </w:r>
      <w:r w:rsidR="00021363" w:rsidRPr="0074370B">
        <w:t xml:space="preserve"> pr</w:t>
      </w:r>
      <w:r w:rsidR="005A5098" w:rsidRPr="0074370B">
        <w:t>edates</w:t>
      </w:r>
      <w:r w:rsidR="00021363" w:rsidRPr="0074370B">
        <w:t xml:space="preserve"> Hume’s regularity theory of causation, its inclusion of the concept of power does </w:t>
      </w:r>
      <w:r w:rsidRPr="0074370B">
        <w:t xml:space="preserve">make it </w:t>
      </w:r>
      <w:r w:rsidR="00021363" w:rsidRPr="0074370B">
        <w:t xml:space="preserve">stand as an objection. Whilst </w:t>
      </w:r>
      <w:r w:rsidRPr="0074370B">
        <w:t>L</w:t>
      </w:r>
      <w:r w:rsidR="00021363" w:rsidRPr="0074370B">
        <w:t>ock</w:t>
      </w:r>
      <w:r w:rsidRPr="0074370B">
        <w:t>e</w:t>
      </w:r>
      <w:r w:rsidR="00021363" w:rsidRPr="0074370B">
        <w:t xml:space="preserve"> does present a necessary connection between cause and its consequences, which Anscombe </w:t>
      </w:r>
      <w:r w:rsidR="00021363" w:rsidRPr="0074370B">
        <w:lastRenderedPageBreak/>
        <w:t>does not agree with, the belief that efficacy is present in the mind is common to both</w:t>
      </w:r>
      <w:r w:rsidR="005A5098" w:rsidRPr="0074370B">
        <w:t xml:space="preserve"> philosophers</w:t>
      </w:r>
      <w:r w:rsidR="00021363" w:rsidRPr="0074370B">
        <w:t>. Locke states that alteration, change, effect, and power are all very closely associated</w:t>
      </w:r>
      <w:r w:rsidRPr="0074370B">
        <w:t>, and that</w:t>
      </w:r>
      <w:r w:rsidR="00021363" w:rsidRPr="0074370B">
        <w:t xml:space="preserve"> </w:t>
      </w:r>
      <w:r w:rsidRPr="0074370B">
        <w:t>w</w:t>
      </w:r>
      <w:r w:rsidR="00021363" w:rsidRPr="0074370B">
        <w:t>e perceive this association ‘being everyday informed’</w:t>
      </w:r>
      <w:r w:rsidR="006E6789" w:rsidRPr="0074370B">
        <w:rPr>
          <w:rStyle w:val="FootnoteReference"/>
        </w:rPr>
        <w:footnoteReference w:id="5"/>
      </w:r>
      <w:r w:rsidRPr="0074370B">
        <w:t xml:space="preserve"> </w:t>
      </w:r>
      <w:r w:rsidR="00021363" w:rsidRPr="0074370B">
        <w:t>by the world around us</w:t>
      </w:r>
      <w:r w:rsidR="00423B46" w:rsidRPr="0074370B">
        <w:t xml:space="preserve"> and</w:t>
      </w:r>
      <w:r w:rsidR="00BB52B4" w:rsidRPr="0074370B">
        <w:t xml:space="preserve"> ‘We are abundantly furnished with the idea of passive power’</w:t>
      </w:r>
      <w:r w:rsidR="00BB52B4" w:rsidRPr="0074370B">
        <w:rPr>
          <w:rStyle w:val="FootnoteReference"/>
        </w:rPr>
        <w:footnoteReference w:id="6"/>
      </w:r>
      <w:r w:rsidR="00BB52B4" w:rsidRPr="0074370B">
        <w:t xml:space="preserve"> by observing the qualities of substances, which are in a constant flux.</w:t>
      </w:r>
      <w:r w:rsidR="008A2266" w:rsidRPr="0074370B">
        <w:t xml:space="preserve"> He also states that power is evident </w:t>
      </w:r>
      <w:r w:rsidR="00423B46" w:rsidRPr="0074370B">
        <w:t xml:space="preserve">even more clearly </w:t>
      </w:r>
      <w:r w:rsidRPr="0074370B">
        <w:t xml:space="preserve">by </w:t>
      </w:r>
      <w:r w:rsidR="00423B46" w:rsidRPr="0074370B">
        <w:t>the actions of our will on our minds and our bodies</w:t>
      </w:r>
      <w:r w:rsidR="008A2266" w:rsidRPr="0074370B">
        <w:t>.</w:t>
      </w:r>
    </w:p>
    <w:p w14:paraId="6D03278E" w14:textId="13BA42E9" w:rsidR="00AA2BE5" w:rsidRPr="0074370B" w:rsidRDefault="00423B46">
      <w:r w:rsidRPr="0074370B">
        <w:tab/>
      </w:r>
      <w:r w:rsidR="0076266F" w:rsidRPr="0074370B">
        <w:t xml:space="preserve">Locke gives the example of fire and gold, when a piece of gold is placed into the fire we see it melting, we then say that the fire has the power to melt the gold. </w:t>
      </w:r>
      <w:r w:rsidR="009740D0" w:rsidRPr="0074370B">
        <w:t xml:space="preserve">That we see one substance affect the other provides us direct experience of power. </w:t>
      </w:r>
      <w:r w:rsidR="00D737AE" w:rsidRPr="0074370B">
        <w:t xml:space="preserve">That Locke included power, along with substance in his ontology has made his theory </w:t>
      </w:r>
      <w:r w:rsidR="00722761" w:rsidRPr="0074370B">
        <w:t>better suited to the application of scientific practice, as well as common sense.</w:t>
      </w:r>
      <w:r w:rsidR="00722761" w:rsidRPr="0074370B">
        <w:rPr>
          <w:rStyle w:val="FootnoteReference"/>
        </w:rPr>
        <w:footnoteReference w:id="7"/>
      </w:r>
      <w:r w:rsidR="00AD55E1" w:rsidRPr="0074370B">
        <w:t xml:space="preserve"> In the book </w:t>
      </w:r>
      <w:r w:rsidR="00AD55E1" w:rsidRPr="0074370B">
        <w:rPr>
          <w:i/>
        </w:rPr>
        <w:t xml:space="preserve">Causal Power, </w:t>
      </w:r>
      <w:r w:rsidR="00AD55E1" w:rsidRPr="0074370B">
        <w:t>R. Harre and E. H. Madden developed a Lockean type theory of causation with the central notion being that in ordinary life</w:t>
      </w:r>
      <w:r w:rsidR="00A80700" w:rsidRPr="0074370B">
        <w:t>,</w:t>
      </w:r>
      <w:r w:rsidR="00AD55E1" w:rsidRPr="0074370B">
        <w:t xml:space="preserve"> a</w:t>
      </w:r>
      <w:r w:rsidR="009F1DA8" w:rsidRPr="0074370B">
        <w:t>s well as</w:t>
      </w:r>
      <w:r w:rsidR="00AD55E1" w:rsidRPr="0074370B">
        <w:t xml:space="preserve"> science</w:t>
      </w:r>
      <w:r w:rsidR="00A80700" w:rsidRPr="0074370B">
        <w:t>,</w:t>
      </w:r>
      <w:r w:rsidR="00AD55E1" w:rsidRPr="0074370B">
        <w:t xml:space="preserve"> we occupy ourselves with considering the ‘powerful particular’</w:t>
      </w:r>
      <w:r w:rsidR="00A80700" w:rsidRPr="0074370B">
        <w:t>;</w:t>
      </w:r>
      <w:r w:rsidR="00AD55E1" w:rsidRPr="0074370B">
        <w:t xml:space="preserve"> it is a thing and its power that we consider. ‘When we think of causality and action we look to such images as a springtime plant forcing its way upwards towards the light, as the pulsing, surging movement of the protoplasm within the amoeba.</w:t>
      </w:r>
      <w:r w:rsidR="00C96D94" w:rsidRPr="0074370B">
        <w:t>’</w:t>
      </w:r>
      <w:r w:rsidR="00C96D94" w:rsidRPr="0074370B">
        <w:rPr>
          <w:rStyle w:val="FootnoteReference"/>
        </w:rPr>
        <w:footnoteReference w:id="8"/>
      </w:r>
      <w:r w:rsidR="00C96D94" w:rsidRPr="0074370B">
        <w:t xml:space="preserve"> to see a forest come to life in the spring is to perceive and observe the power of the sun, water, soil and trees</w:t>
      </w:r>
      <w:r w:rsidR="006A13BE" w:rsidRPr="0074370B">
        <w:t xml:space="preserve"> all come together and produce the effect of the growing forest. Even to use Hume’s common example, when we observe the moving billiard ball we are aware of the power contained within that moving mass, and when it strikes the other billiard ball we are aware of the transference of that power so that it moves off.</w:t>
      </w:r>
    </w:p>
    <w:p w14:paraId="6BA592DF" w14:textId="086FB09D" w:rsidR="003F67FD" w:rsidRPr="0074370B" w:rsidRDefault="003F67FD">
      <w:r w:rsidRPr="0074370B">
        <w:tab/>
        <w:t xml:space="preserve">As mentioned earlier, efficacy may not always be as apparent in our sensation as colour or </w:t>
      </w:r>
      <w:r w:rsidR="00802E73" w:rsidRPr="0074370B">
        <w:t>substance</w:t>
      </w:r>
      <w:r w:rsidRPr="0074370B">
        <w:t xml:space="preserve"> and pinpointing causal relations can prevent challenges and </w:t>
      </w:r>
      <w:r w:rsidR="000B332B" w:rsidRPr="0074370B">
        <w:t>assumptions or denials</w:t>
      </w:r>
      <w:r w:rsidRPr="0074370B">
        <w:t xml:space="preserve"> can be</w:t>
      </w:r>
      <w:r w:rsidR="000B332B" w:rsidRPr="0074370B">
        <w:t xml:space="preserve"> falsely</w:t>
      </w:r>
      <w:r w:rsidRPr="0074370B">
        <w:t xml:space="preserve"> made. The three conditions of the regularity theory of causation do go some way towards helping us avoid wrongly identifying causality in non-apparent situations. </w:t>
      </w:r>
      <w:r w:rsidR="00BA74AF" w:rsidRPr="0074370B">
        <w:t xml:space="preserve">This is where I think Hume’s scepticism is useful, as it will help prevent false assumptions, by setting conditions for the assigning causal relations between events or substances. </w:t>
      </w:r>
      <w:r w:rsidR="000B332B" w:rsidRPr="0074370B">
        <w:t>The three conditions also have limitations, as some events have causal relations that are not obviously linked by space, time or repetition. Global warming is an example that Hume’s original conditions of causation might fail to show a link. The pollution that is emitted in one country might create an effect thousands of miles away, it may take hundreds of years for the effects to be felt, and the pollution may only be emitted once.</w:t>
      </w:r>
      <w:r w:rsidR="00513729" w:rsidRPr="0074370B">
        <w:t xml:space="preserve"> These instances of causal relations that could be missed by the three conditions of Hume’s regularity theory have been noted and philosophers and scientists have worked to refine the conditions for </w:t>
      </w:r>
      <w:r w:rsidR="007B77FF" w:rsidRPr="0074370B">
        <w:t>assigning</w:t>
      </w:r>
      <w:r w:rsidR="00513729" w:rsidRPr="0074370B">
        <w:t xml:space="preserve"> causation. </w:t>
      </w:r>
      <w:r w:rsidRPr="0074370B">
        <w:t>John Stuart Mills</w:t>
      </w:r>
      <w:r w:rsidRPr="0074370B">
        <w:rPr>
          <w:i/>
        </w:rPr>
        <w:t xml:space="preserve"> System of Logic</w:t>
      </w:r>
      <w:r w:rsidRPr="0074370B">
        <w:t xml:space="preserve"> (1843) increases the conditions of the regularity theory as a way of establishing more specific rules</w:t>
      </w:r>
      <w:r w:rsidR="00940FE1" w:rsidRPr="0074370B">
        <w:t xml:space="preserve"> for the discovery and proof of scientific laws.</w:t>
      </w:r>
      <w:r w:rsidR="00513729" w:rsidRPr="0074370B">
        <w:rPr>
          <w:rStyle w:val="FootnoteReference"/>
        </w:rPr>
        <w:footnoteReference w:id="9"/>
      </w:r>
      <w:r w:rsidR="00802E73" w:rsidRPr="0074370B">
        <w:t xml:space="preserve"> It is an improvement of the theory rather than a complete rejection of </w:t>
      </w:r>
      <w:r w:rsidR="001F364C" w:rsidRPr="0074370B">
        <w:t>its</w:t>
      </w:r>
      <w:r w:rsidR="00802E73" w:rsidRPr="0074370B">
        <w:t xml:space="preserve"> premise’s.</w:t>
      </w:r>
    </w:p>
    <w:p w14:paraId="62225C43" w14:textId="3E809E80" w:rsidR="00BA7D49" w:rsidRPr="0074370B" w:rsidRDefault="00BA7D49">
      <w:r w:rsidRPr="0074370B">
        <w:tab/>
        <w:t>To conclude, Anscombe recognised the causation and necessary connection had been falsely conflated and that the separation of the two is essential to correctly analysing the individual concepts. We saw that we do have a direct experience of efficacy</w:t>
      </w:r>
      <w:r w:rsidR="005551DD" w:rsidRPr="0074370B">
        <w:t xml:space="preserve"> in the most common causal functions that we perform such as cutting or pushing for example. Despite Hume’s bold challenges that we don’t experience causation, I am left convinced that he has arrived at that attitude due to a preconceived sceptical bias about what we experience, and that we have genuine experiences of </w:t>
      </w:r>
      <w:r w:rsidR="005551DD" w:rsidRPr="0074370B">
        <w:lastRenderedPageBreak/>
        <w:t xml:space="preserve">force, power, change and efficacy that support our </w:t>
      </w:r>
      <w:r w:rsidR="001F364C" w:rsidRPr="0074370B">
        <w:t>common-sense</w:t>
      </w:r>
      <w:r w:rsidR="005551DD" w:rsidRPr="0074370B">
        <w:t xml:space="preserve"> belief that we experience causation. Hume’s scepticism about our experience of causation led him to develop the conditions for recognising causal relations that are not apparent in our experience, this has continued to be of value to other communities, the legal and scientific for example,</w:t>
      </w:r>
      <w:r w:rsidR="001F364C" w:rsidRPr="0074370B">
        <w:t xml:space="preserve"> who have refined Hume’s original conditions further, helping to establish robust standards for assigning causal relations.</w:t>
      </w:r>
    </w:p>
    <w:p w14:paraId="2A288632" w14:textId="663DEAAE" w:rsidR="00E05A0C" w:rsidRDefault="00186914">
      <w:r w:rsidRPr="0074370B">
        <w:tab/>
      </w:r>
    </w:p>
    <w:p w14:paraId="7060F557" w14:textId="52B10C88" w:rsidR="0074370B" w:rsidRDefault="0074370B"/>
    <w:p w14:paraId="6D3A960B" w14:textId="7B3CC250" w:rsidR="0074370B" w:rsidRDefault="0074370B">
      <w:r>
        <w:tab/>
        <w:t>Bibliography</w:t>
      </w:r>
    </w:p>
    <w:p w14:paraId="54A2F29F" w14:textId="09EE5C0D" w:rsidR="00996345" w:rsidRPr="00996345" w:rsidRDefault="0074370B" w:rsidP="00996345">
      <w:r w:rsidRPr="00996345">
        <w:t xml:space="preserve">Anscombe G. E. M., </w:t>
      </w:r>
      <w:r w:rsidRPr="00996345">
        <w:rPr>
          <w:i/>
        </w:rPr>
        <w:t>Causality and Determination</w:t>
      </w:r>
      <w:r w:rsidRPr="00996345">
        <w:t>, Cambridge University Press, London, 1971.</w:t>
      </w:r>
    </w:p>
    <w:p w14:paraId="2AAAE4C9" w14:textId="77777777" w:rsidR="00996345" w:rsidRPr="00996345" w:rsidRDefault="00996345" w:rsidP="00996345">
      <w:r w:rsidRPr="00996345">
        <w:t xml:space="preserve">Carr B., </w:t>
      </w:r>
      <w:r w:rsidRPr="00996345">
        <w:rPr>
          <w:i/>
        </w:rPr>
        <w:t>Metaphysics an Introduction</w:t>
      </w:r>
      <w:r w:rsidRPr="00996345">
        <w:t>, Macmillan Educational, London, 1987.</w:t>
      </w:r>
    </w:p>
    <w:p w14:paraId="217E0A62" w14:textId="33262896" w:rsidR="00996345" w:rsidRPr="00996345" w:rsidRDefault="0074370B" w:rsidP="00996345">
      <w:r w:rsidRPr="00996345">
        <w:t>Hume</w:t>
      </w:r>
      <w:r w:rsidR="00996345" w:rsidRPr="00996345">
        <w:t xml:space="preserve"> D.</w:t>
      </w:r>
      <w:r w:rsidRPr="00996345">
        <w:t xml:space="preserve">, </w:t>
      </w:r>
      <w:r w:rsidRPr="00996345">
        <w:rPr>
          <w:i/>
        </w:rPr>
        <w:t>An Inquiry Concerning Human Understanding</w:t>
      </w:r>
      <w:r w:rsidRPr="00996345">
        <w:t>, 1748.</w:t>
      </w:r>
    </w:p>
    <w:p w14:paraId="3C9D1DEF" w14:textId="4CD18EB5" w:rsidR="0074370B" w:rsidRPr="00996345" w:rsidRDefault="0074370B" w:rsidP="00996345">
      <w:r w:rsidRPr="00996345">
        <w:t>Hume</w:t>
      </w:r>
      <w:r w:rsidR="00996345" w:rsidRPr="00996345">
        <w:t xml:space="preserve"> D.</w:t>
      </w:r>
      <w:r w:rsidRPr="00996345">
        <w:t xml:space="preserve">, </w:t>
      </w:r>
      <w:r w:rsidRPr="00996345">
        <w:rPr>
          <w:i/>
        </w:rPr>
        <w:t>Treatise of Human Nature</w:t>
      </w:r>
      <w:r w:rsidRPr="00996345">
        <w:t>, 1739.</w:t>
      </w:r>
    </w:p>
    <w:p w14:paraId="0605ADFD" w14:textId="67AE3CE4" w:rsidR="0074370B" w:rsidRPr="00996345" w:rsidRDefault="0074370B" w:rsidP="00996345">
      <w:r w:rsidRPr="00996345">
        <w:t>Locke</w:t>
      </w:r>
      <w:r w:rsidR="00996345" w:rsidRPr="00996345">
        <w:t xml:space="preserve"> J.</w:t>
      </w:r>
      <w:r w:rsidRPr="00996345">
        <w:t xml:space="preserve">, </w:t>
      </w:r>
      <w:r w:rsidR="00996345" w:rsidRPr="00996345">
        <w:rPr>
          <w:i/>
        </w:rPr>
        <w:t>E</w:t>
      </w:r>
      <w:r w:rsidRPr="00996345">
        <w:rPr>
          <w:i/>
        </w:rPr>
        <w:t xml:space="preserve">ssays on the </w:t>
      </w:r>
      <w:r w:rsidR="00996345" w:rsidRPr="00996345">
        <w:rPr>
          <w:i/>
        </w:rPr>
        <w:t>H</w:t>
      </w:r>
      <w:r w:rsidRPr="00996345">
        <w:rPr>
          <w:i/>
        </w:rPr>
        <w:t xml:space="preserve">uman </w:t>
      </w:r>
      <w:r w:rsidR="00996345" w:rsidRPr="00996345">
        <w:rPr>
          <w:i/>
        </w:rPr>
        <w:t>U</w:t>
      </w:r>
      <w:r w:rsidRPr="00996345">
        <w:rPr>
          <w:i/>
        </w:rPr>
        <w:t>nderstanding</w:t>
      </w:r>
      <w:r w:rsidRPr="00996345">
        <w:t>, 1689</w:t>
      </w:r>
      <w:r w:rsidR="00996345">
        <w:t>.</w:t>
      </w:r>
      <w:bookmarkStart w:id="0" w:name="_GoBack"/>
      <w:bookmarkEnd w:id="0"/>
    </w:p>
    <w:p w14:paraId="5BA5C67F" w14:textId="310D8027" w:rsidR="0074370B" w:rsidRPr="00996345" w:rsidRDefault="0074370B" w:rsidP="00996345">
      <w:r w:rsidRPr="00996345">
        <w:t xml:space="preserve">R. Harre and E. H. Madden, </w:t>
      </w:r>
      <w:r w:rsidRPr="00996345">
        <w:rPr>
          <w:i/>
        </w:rPr>
        <w:t>Causal Power</w:t>
      </w:r>
      <w:r w:rsidRPr="00996345">
        <w:t>, Blackwell, Oxford, 1975.</w:t>
      </w:r>
    </w:p>
    <w:p w14:paraId="46C490C4" w14:textId="77777777" w:rsidR="0074370B" w:rsidRPr="00996345" w:rsidRDefault="0074370B" w:rsidP="00996345"/>
    <w:sectPr w:rsidR="0074370B" w:rsidRPr="009963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CF828" w14:textId="77777777" w:rsidR="00803183" w:rsidRDefault="00803183" w:rsidP="000C7CF1">
      <w:pPr>
        <w:spacing w:after="0" w:line="240" w:lineRule="auto"/>
      </w:pPr>
      <w:r>
        <w:separator/>
      </w:r>
    </w:p>
  </w:endnote>
  <w:endnote w:type="continuationSeparator" w:id="0">
    <w:p w14:paraId="1174E41F" w14:textId="77777777" w:rsidR="00803183" w:rsidRDefault="00803183" w:rsidP="000C7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68FEF" w14:textId="77777777" w:rsidR="00803183" w:rsidRDefault="00803183" w:rsidP="000C7CF1">
      <w:pPr>
        <w:spacing w:after="0" w:line="240" w:lineRule="auto"/>
      </w:pPr>
      <w:r>
        <w:separator/>
      </w:r>
    </w:p>
  </w:footnote>
  <w:footnote w:type="continuationSeparator" w:id="0">
    <w:p w14:paraId="0FE2D7FF" w14:textId="77777777" w:rsidR="00803183" w:rsidRDefault="00803183" w:rsidP="000C7CF1">
      <w:pPr>
        <w:spacing w:after="0" w:line="240" w:lineRule="auto"/>
      </w:pPr>
      <w:r>
        <w:continuationSeparator/>
      </w:r>
    </w:p>
  </w:footnote>
  <w:footnote w:id="1">
    <w:p w14:paraId="0EF35BA9" w14:textId="0ACA781D" w:rsidR="000C7CF1" w:rsidRPr="003B6E0C" w:rsidRDefault="000C7CF1">
      <w:pPr>
        <w:pStyle w:val="FootnoteText"/>
      </w:pPr>
      <w:r>
        <w:rPr>
          <w:rStyle w:val="FootnoteReference"/>
        </w:rPr>
        <w:footnoteRef/>
      </w:r>
      <w:r>
        <w:t xml:space="preserve"> </w:t>
      </w:r>
      <w:r w:rsidR="003B6E0C">
        <w:t xml:space="preserve">G. E. M. Anscombe, </w:t>
      </w:r>
      <w:r w:rsidR="003B6E0C">
        <w:rPr>
          <w:i/>
        </w:rPr>
        <w:t xml:space="preserve">Causality and </w:t>
      </w:r>
      <w:r w:rsidR="00722761">
        <w:rPr>
          <w:i/>
        </w:rPr>
        <w:t>Determination</w:t>
      </w:r>
      <w:r w:rsidR="003B6E0C">
        <w:rPr>
          <w:i/>
        </w:rPr>
        <w:t xml:space="preserve">, </w:t>
      </w:r>
      <w:r w:rsidR="003B6E0C">
        <w:t>Cambridge University Press, London, 1971, pp. 7.</w:t>
      </w:r>
    </w:p>
  </w:footnote>
  <w:footnote w:id="2">
    <w:p w14:paraId="503BAE32" w14:textId="4EB64324" w:rsidR="006A34E4" w:rsidRDefault="006A34E4">
      <w:pPr>
        <w:pStyle w:val="FootnoteText"/>
      </w:pPr>
      <w:r>
        <w:rPr>
          <w:rStyle w:val="FootnoteReference"/>
        </w:rPr>
        <w:footnoteRef/>
      </w:r>
      <w:r>
        <w:t xml:space="preserve"> </w:t>
      </w:r>
      <w:r>
        <w:t xml:space="preserve">G. E. M. Anscombe, </w:t>
      </w:r>
      <w:r>
        <w:rPr>
          <w:i/>
        </w:rPr>
        <w:t xml:space="preserve">Causality and Determination, </w:t>
      </w:r>
      <w:r>
        <w:t xml:space="preserve">Cambridge University Press, London, 1971, pp. </w:t>
      </w:r>
      <w:r>
        <w:t>9</w:t>
      </w:r>
      <w:r>
        <w:t>.</w:t>
      </w:r>
    </w:p>
  </w:footnote>
  <w:footnote w:id="3">
    <w:p w14:paraId="21910050" w14:textId="77777777" w:rsidR="006A34E4" w:rsidRPr="00600F0F" w:rsidRDefault="006A34E4" w:rsidP="006A34E4">
      <w:pPr>
        <w:pStyle w:val="FootnoteText"/>
      </w:pPr>
      <w:r>
        <w:rPr>
          <w:rStyle w:val="FootnoteReference"/>
        </w:rPr>
        <w:footnoteRef/>
      </w:r>
      <w:r>
        <w:t xml:space="preserve"> D. Hume, </w:t>
      </w:r>
      <w:r>
        <w:rPr>
          <w:i/>
        </w:rPr>
        <w:t>An Inquiry Concerning Human Understanding,</w:t>
      </w:r>
      <w:r>
        <w:t xml:space="preserve"> 1748: edited with an introduction by C. W. Hendal (Bobbs-Merril, New York, 1955), pp. 85.</w:t>
      </w:r>
    </w:p>
  </w:footnote>
  <w:footnote w:id="4">
    <w:p w14:paraId="32437AFE" w14:textId="622EE036" w:rsidR="00814B25" w:rsidRPr="00814B25" w:rsidRDefault="00814B25">
      <w:pPr>
        <w:pStyle w:val="FootnoteText"/>
      </w:pPr>
      <w:r>
        <w:rPr>
          <w:rStyle w:val="FootnoteReference"/>
        </w:rPr>
        <w:footnoteRef/>
      </w:r>
      <w:r>
        <w:t xml:space="preserve"> D. Hume, </w:t>
      </w:r>
      <w:r>
        <w:rPr>
          <w:i/>
        </w:rPr>
        <w:t>Treatise of Human Nature,</w:t>
      </w:r>
      <w:r>
        <w:t xml:space="preserve"> 1739, Book I, Part </w:t>
      </w:r>
      <w:r w:rsidR="00365523">
        <w:t>III, Section XIV.</w:t>
      </w:r>
    </w:p>
  </w:footnote>
  <w:footnote w:id="5">
    <w:p w14:paraId="42D0E39C" w14:textId="26E08D33" w:rsidR="006E6789" w:rsidRDefault="006E6789">
      <w:pPr>
        <w:pStyle w:val="FootnoteText"/>
      </w:pPr>
      <w:r>
        <w:rPr>
          <w:rStyle w:val="FootnoteReference"/>
        </w:rPr>
        <w:footnoteRef/>
      </w:r>
      <w:r>
        <w:t xml:space="preserve"> </w:t>
      </w:r>
      <w:r w:rsidR="00D60F3D">
        <w:t>J. Locke,</w:t>
      </w:r>
      <w:r>
        <w:rPr>
          <w:i/>
        </w:rPr>
        <w:t xml:space="preserve"> essays on the human understanding,</w:t>
      </w:r>
      <w:r>
        <w:t xml:space="preserve"> </w:t>
      </w:r>
      <w:r w:rsidR="00D60F3D">
        <w:t>1689, B</w:t>
      </w:r>
      <w:r>
        <w:t xml:space="preserve">ook II, </w:t>
      </w:r>
      <w:r w:rsidR="00D60F3D">
        <w:t>C</w:t>
      </w:r>
      <w:r>
        <w:t>hapter XXI</w:t>
      </w:r>
      <w:r w:rsidR="00D60F3D">
        <w:t>.</w:t>
      </w:r>
    </w:p>
  </w:footnote>
  <w:footnote w:id="6">
    <w:p w14:paraId="171BAEA9" w14:textId="77777777" w:rsidR="00BB52B4" w:rsidRDefault="00BB52B4" w:rsidP="00BB52B4">
      <w:pPr>
        <w:pStyle w:val="FootnoteText"/>
      </w:pPr>
      <w:r>
        <w:rPr>
          <w:rStyle w:val="FootnoteReference"/>
        </w:rPr>
        <w:footnoteRef/>
      </w:r>
      <w:r>
        <w:t xml:space="preserve"> ibid</w:t>
      </w:r>
    </w:p>
  </w:footnote>
  <w:footnote w:id="7">
    <w:p w14:paraId="1C6BED3F" w14:textId="21847E03" w:rsidR="00722761" w:rsidRPr="00722761" w:rsidRDefault="00722761">
      <w:pPr>
        <w:pStyle w:val="FootnoteText"/>
      </w:pPr>
      <w:r>
        <w:rPr>
          <w:rStyle w:val="FootnoteReference"/>
        </w:rPr>
        <w:footnoteRef/>
      </w:r>
      <w:r>
        <w:t xml:space="preserve"> B. Carr, </w:t>
      </w:r>
      <w:r>
        <w:rPr>
          <w:i/>
        </w:rPr>
        <w:t xml:space="preserve">Metaphysics an Introduction, </w:t>
      </w:r>
      <w:r>
        <w:t>Macmillan Educational, London, 1987, page 90.</w:t>
      </w:r>
    </w:p>
  </w:footnote>
  <w:footnote w:id="8">
    <w:p w14:paraId="20AF860C" w14:textId="2B581E61" w:rsidR="00C96D94" w:rsidRPr="00C96D94" w:rsidRDefault="00C96D94">
      <w:pPr>
        <w:pStyle w:val="FootnoteText"/>
      </w:pPr>
      <w:r>
        <w:rPr>
          <w:rStyle w:val="FootnoteReference"/>
        </w:rPr>
        <w:footnoteRef/>
      </w:r>
      <w:r>
        <w:t xml:space="preserve"> </w:t>
      </w:r>
      <w:r>
        <w:t>R. Harre and E. H. Madden</w:t>
      </w:r>
      <w:r>
        <w:t xml:space="preserve">, </w:t>
      </w:r>
      <w:r>
        <w:rPr>
          <w:i/>
        </w:rPr>
        <w:t xml:space="preserve">Causal Power, </w:t>
      </w:r>
      <w:r>
        <w:t>Blackwell, Oxford, 1975, page 7.</w:t>
      </w:r>
    </w:p>
  </w:footnote>
  <w:footnote w:id="9">
    <w:p w14:paraId="3C5E0147" w14:textId="13CFA07B" w:rsidR="00513729" w:rsidRDefault="00513729">
      <w:pPr>
        <w:pStyle w:val="FootnoteText"/>
      </w:pPr>
      <w:r>
        <w:rPr>
          <w:rStyle w:val="FootnoteReference"/>
        </w:rPr>
        <w:footnoteRef/>
      </w:r>
      <w:r>
        <w:t xml:space="preserve"> </w:t>
      </w:r>
      <w:r>
        <w:t xml:space="preserve">B. Carr, </w:t>
      </w:r>
      <w:r>
        <w:rPr>
          <w:i/>
        </w:rPr>
        <w:t xml:space="preserve">Metaphysics an Introduction, </w:t>
      </w:r>
      <w:r>
        <w:t xml:space="preserve">Macmillan Educational, London, 1987, page </w:t>
      </w:r>
      <w:r>
        <w:t>84</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EF6225"/>
    <w:multiLevelType w:val="hybridMultilevel"/>
    <w:tmpl w:val="FB20B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9567D5"/>
    <w:multiLevelType w:val="hybridMultilevel"/>
    <w:tmpl w:val="3232262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9C0C466-07CC-4D09-B088-26E1A2CADA59}"/>
    <w:docVar w:name="dgnword-eventsink" w:val="427467736"/>
  </w:docVars>
  <w:rsids>
    <w:rsidRoot w:val="00E05A0C"/>
    <w:rsid w:val="00021363"/>
    <w:rsid w:val="0006485A"/>
    <w:rsid w:val="0008336E"/>
    <w:rsid w:val="000B332B"/>
    <w:rsid w:val="000C7CF1"/>
    <w:rsid w:val="000F2A4B"/>
    <w:rsid w:val="001228F1"/>
    <w:rsid w:val="00186914"/>
    <w:rsid w:val="001A4174"/>
    <w:rsid w:val="001D2FC8"/>
    <w:rsid w:val="001D3D65"/>
    <w:rsid w:val="001D72E3"/>
    <w:rsid w:val="001E1D83"/>
    <w:rsid w:val="001E3E31"/>
    <w:rsid w:val="001F364C"/>
    <w:rsid w:val="00271CDA"/>
    <w:rsid w:val="0029566C"/>
    <w:rsid w:val="0029656A"/>
    <w:rsid w:val="002D6453"/>
    <w:rsid w:val="002E6C6B"/>
    <w:rsid w:val="00365523"/>
    <w:rsid w:val="003B6E0C"/>
    <w:rsid w:val="003F3FC5"/>
    <w:rsid w:val="003F443F"/>
    <w:rsid w:val="003F67FD"/>
    <w:rsid w:val="00423B46"/>
    <w:rsid w:val="004B7D5B"/>
    <w:rsid w:val="00513729"/>
    <w:rsid w:val="00524499"/>
    <w:rsid w:val="005551DD"/>
    <w:rsid w:val="00556411"/>
    <w:rsid w:val="0058736B"/>
    <w:rsid w:val="005A5098"/>
    <w:rsid w:val="006077F1"/>
    <w:rsid w:val="00622171"/>
    <w:rsid w:val="00665BE4"/>
    <w:rsid w:val="00676BB5"/>
    <w:rsid w:val="006A13BE"/>
    <w:rsid w:val="006A34E4"/>
    <w:rsid w:val="006E6789"/>
    <w:rsid w:val="00703DF6"/>
    <w:rsid w:val="007050EC"/>
    <w:rsid w:val="007125EC"/>
    <w:rsid w:val="00722761"/>
    <w:rsid w:val="0074370B"/>
    <w:rsid w:val="0076266F"/>
    <w:rsid w:val="007A79B9"/>
    <w:rsid w:val="007B77FF"/>
    <w:rsid w:val="007D08AC"/>
    <w:rsid w:val="007D25FC"/>
    <w:rsid w:val="00802E73"/>
    <w:rsid w:val="00803183"/>
    <w:rsid w:val="00814B25"/>
    <w:rsid w:val="008A2266"/>
    <w:rsid w:val="00937FB9"/>
    <w:rsid w:val="00940FE1"/>
    <w:rsid w:val="009740D0"/>
    <w:rsid w:val="00980F6F"/>
    <w:rsid w:val="00996345"/>
    <w:rsid w:val="009C5113"/>
    <w:rsid w:val="009D017E"/>
    <w:rsid w:val="009F1DA8"/>
    <w:rsid w:val="009F21CB"/>
    <w:rsid w:val="00A41A0E"/>
    <w:rsid w:val="00A57CD4"/>
    <w:rsid w:val="00A80700"/>
    <w:rsid w:val="00AA2BE5"/>
    <w:rsid w:val="00AD55E1"/>
    <w:rsid w:val="00B0764A"/>
    <w:rsid w:val="00B117A2"/>
    <w:rsid w:val="00B16CDF"/>
    <w:rsid w:val="00B6354B"/>
    <w:rsid w:val="00BA74AF"/>
    <w:rsid w:val="00BA7D49"/>
    <w:rsid w:val="00BB52B4"/>
    <w:rsid w:val="00BF134B"/>
    <w:rsid w:val="00C04C05"/>
    <w:rsid w:val="00C62D09"/>
    <w:rsid w:val="00C95998"/>
    <w:rsid w:val="00C96D94"/>
    <w:rsid w:val="00CC64A5"/>
    <w:rsid w:val="00D46889"/>
    <w:rsid w:val="00D60F3D"/>
    <w:rsid w:val="00D737AE"/>
    <w:rsid w:val="00D80653"/>
    <w:rsid w:val="00DA4F42"/>
    <w:rsid w:val="00DB4B03"/>
    <w:rsid w:val="00DD48AA"/>
    <w:rsid w:val="00E0004E"/>
    <w:rsid w:val="00E05A0C"/>
    <w:rsid w:val="00E60993"/>
    <w:rsid w:val="00E80265"/>
    <w:rsid w:val="00E81F28"/>
    <w:rsid w:val="00E92CBC"/>
    <w:rsid w:val="00EB03B8"/>
    <w:rsid w:val="00F552D9"/>
    <w:rsid w:val="00F70D28"/>
    <w:rsid w:val="00F723C9"/>
    <w:rsid w:val="00F81682"/>
    <w:rsid w:val="00FA49D9"/>
    <w:rsid w:val="00FF4689"/>
    <w:rsid w:val="00FF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DB9C1"/>
  <w15:chartTrackingRefBased/>
  <w15:docId w15:val="{7EA14FFA-5E5A-423B-AB9A-DAF17201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7C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CF1"/>
    <w:rPr>
      <w:sz w:val="20"/>
      <w:szCs w:val="20"/>
    </w:rPr>
  </w:style>
  <w:style w:type="character" w:styleId="FootnoteReference">
    <w:name w:val="footnote reference"/>
    <w:basedOn w:val="DefaultParagraphFont"/>
    <w:uiPriority w:val="99"/>
    <w:semiHidden/>
    <w:unhideWhenUsed/>
    <w:rsid w:val="000C7CF1"/>
    <w:rPr>
      <w:vertAlign w:val="superscript"/>
    </w:rPr>
  </w:style>
  <w:style w:type="paragraph" w:styleId="ListParagraph">
    <w:name w:val="List Paragraph"/>
    <w:basedOn w:val="Normal"/>
    <w:uiPriority w:val="34"/>
    <w:qFormat/>
    <w:rsid w:val="009963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8FC06-A9E8-4FB5-8ACC-427FDE14D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4</Pages>
  <Words>2086</Words>
  <Characters>10078</Characters>
  <Application>Microsoft Office Word</Application>
  <DocSecurity>0</DocSecurity>
  <Lines>141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 (1601920)</dc:creator>
  <cp:keywords/>
  <dc:description/>
  <cp:lastModifiedBy>Sam Harrison (1601920)</cp:lastModifiedBy>
  <cp:revision>26</cp:revision>
  <dcterms:created xsi:type="dcterms:W3CDTF">2018-05-17T13:53:00Z</dcterms:created>
  <dcterms:modified xsi:type="dcterms:W3CDTF">2018-05-21T20:47:00Z</dcterms:modified>
</cp:coreProperties>
</file>