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180" w:after="420" w:line="360" w:lineRule="auto"/>
        <w:ind w:left="720" w:firstLine="0"/>
        <w:jc w:val="both"/>
        <w:rPr>
          <w:b w:val="1"/>
          <w:bCs w:val="1"/>
        </w:rPr>
      </w:pPr>
      <w:r>
        <w:rPr>
          <w:b w:val="1"/>
          <w:bCs w:val="1"/>
          <w:lang w:val="en-US"/>
        </w:rPr>
        <w:drawing xmlns:a="http://schemas.openxmlformats.org/drawingml/2006/main">
          <wp:anchor distT="57150" distB="57150" distL="57150" distR="57150" simplePos="0" relativeHeight="251659264" behindDoc="0" locked="0" layoutInCell="1" allowOverlap="1">
            <wp:simplePos x="0" y="0"/>
            <wp:positionH relativeFrom="page">
              <wp:posOffset>5267102</wp:posOffset>
            </wp:positionH>
            <wp:positionV relativeFrom="page">
              <wp:posOffset>619125</wp:posOffset>
            </wp:positionV>
            <wp:extent cx="1590897" cy="752580"/>
            <wp:effectExtent l="0" t="0" r="0" b="0"/>
            <wp:wrapSquare wrapText="bothSides" distL="57150" distR="57150" distT="57150" distB="57150"/>
            <wp:docPr id="1073741825" name="officeArt object" descr="Picture 3"/>
            <wp:cNvGraphicFramePr/>
            <a:graphic xmlns:a="http://schemas.openxmlformats.org/drawingml/2006/main">
              <a:graphicData uri="http://schemas.openxmlformats.org/drawingml/2006/picture">
                <pic:pic xmlns:pic="http://schemas.openxmlformats.org/drawingml/2006/picture">
                  <pic:nvPicPr>
                    <pic:cNvPr id="1073741825" name="Picture 3" descr="Picture 3"/>
                    <pic:cNvPicPr>
                      <a:picLocks noChangeAspect="1"/>
                    </pic:cNvPicPr>
                  </pic:nvPicPr>
                  <pic:blipFill>
                    <a:blip r:embed="rId4">
                      <a:extLst/>
                    </a:blip>
                    <a:stretch>
                      <a:fillRect/>
                    </a:stretch>
                  </pic:blipFill>
                  <pic:spPr>
                    <a:xfrm>
                      <a:off x="0" y="0"/>
                      <a:ext cx="1590897" cy="752580"/>
                    </a:xfrm>
                    <a:prstGeom prst="rect">
                      <a:avLst/>
                    </a:prstGeom>
                    <a:ln w="12700" cap="flat">
                      <a:noFill/>
                      <a:miter lim="400000"/>
                    </a:ln>
                    <a:effectLst/>
                  </pic:spPr>
                </pic:pic>
              </a:graphicData>
            </a:graphic>
          </wp:anchor>
        </w:drawing>
      </w:r>
    </w:p>
    <w:p>
      <w:pPr>
        <w:pStyle w:val="Body"/>
        <w:spacing w:before="180" w:after="420" w:line="360" w:lineRule="auto"/>
        <w:ind w:left="720" w:firstLine="0"/>
        <w:jc w:val="both"/>
        <w:rPr>
          <w:b w:val="1"/>
          <w:bCs w:val="1"/>
        </w:rPr>
      </w:pP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910"/>
        <w:gridCol w:w="6450"/>
      </w:tblGrid>
      <w:tr>
        <w:tblPrEx>
          <w:shd w:val="clear" w:color="auto" w:fill="ced7e7"/>
        </w:tblPrEx>
        <w:trPr>
          <w:trHeight w:val="253" w:hRule="atLeast"/>
        </w:trPr>
        <w:tc>
          <w:tcPr>
            <w:tcW w:type="dxa" w:w="29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jc w:val="center"/>
            </w:pPr>
            <w:r>
              <w:rPr>
                <w:b w:val="1"/>
                <w:bCs w:val="1"/>
                <w:shd w:val="nil" w:color="auto" w:fill="auto"/>
                <w:rtl w:val="0"/>
                <w:lang w:val="fr-FR"/>
              </w:rPr>
              <w:t>Programme</w:t>
            </w:r>
          </w:p>
        </w:tc>
        <w:tc>
          <w:tcPr>
            <w:tcW w:type="dxa" w:w="64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jc w:val="center"/>
            </w:pPr>
            <w:r>
              <w:rPr>
                <w:b w:val="1"/>
                <w:bCs w:val="1"/>
                <w:shd w:val="nil" w:color="auto" w:fill="auto"/>
                <w:rtl w:val="0"/>
                <w:lang w:val="en-US"/>
              </w:rPr>
              <w:t>MSc Public Health and Social Care in Practice</w:t>
            </w:r>
          </w:p>
        </w:tc>
      </w:tr>
      <w:tr>
        <w:tblPrEx>
          <w:shd w:val="clear" w:color="auto" w:fill="ced7e7"/>
        </w:tblPrEx>
        <w:trPr>
          <w:trHeight w:val="253" w:hRule="atLeast"/>
        </w:trPr>
        <w:tc>
          <w:tcPr>
            <w:tcW w:type="dxa" w:w="29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jc w:val="center"/>
            </w:pPr>
            <w:r>
              <w:rPr>
                <w:b w:val="1"/>
                <w:bCs w:val="1"/>
                <w:shd w:val="nil" w:color="auto" w:fill="auto"/>
                <w:rtl w:val="0"/>
              </w:rPr>
              <w:t>Module</w:t>
            </w:r>
          </w:p>
        </w:tc>
        <w:tc>
          <w:tcPr>
            <w:tcW w:type="dxa" w:w="64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jc w:val="center"/>
            </w:pPr>
            <w:r>
              <w:rPr>
                <w:b w:val="1"/>
                <w:bCs w:val="1"/>
                <w:shd w:val="nil" w:color="auto" w:fill="auto"/>
                <w:rtl w:val="0"/>
                <w:lang w:val="en-US"/>
              </w:rPr>
              <w:t>Practice-Based Research</w:t>
            </w:r>
          </w:p>
        </w:tc>
      </w:tr>
      <w:tr>
        <w:tblPrEx>
          <w:shd w:val="clear" w:color="auto" w:fill="ced7e7"/>
        </w:tblPrEx>
        <w:trPr>
          <w:trHeight w:val="253" w:hRule="atLeast"/>
        </w:trPr>
        <w:tc>
          <w:tcPr>
            <w:tcW w:type="dxa" w:w="29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jc w:val="center"/>
            </w:pPr>
            <w:r>
              <w:rPr>
                <w:b w:val="1"/>
                <w:bCs w:val="1"/>
                <w:shd w:val="nil" w:color="auto" w:fill="auto"/>
                <w:rtl w:val="0"/>
                <w:lang w:val="en-US"/>
              </w:rPr>
              <w:t>Module code</w:t>
            </w:r>
          </w:p>
        </w:tc>
        <w:tc>
          <w:tcPr>
            <w:tcW w:type="dxa" w:w="64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jc w:val="center"/>
            </w:pPr>
            <w:r>
              <w:rPr>
                <w:b w:val="1"/>
                <w:bCs w:val="1"/>
                <w:shd w:val="nil" w:color="auto" w:fill="auto"/>
                <w:rtl w:val="0"/>
                <w:lang w:val="de-DE"/>
              </w:rPr>
              <w:t>LCHS7008</w:t>
            </w:r>
          </w:p>
        </w:tc>
      </w:tr>
      <w:tr>
        <w:tblPrEx>
          <w:shd w:val="clear" w:color="auto" w:fill="ced7e7"/>
        </w:tblPrEx>
        <w:trPr>
          <w:trHeight w:val="528" w:hRule="atLeast"/>
        </w:trPr>
        <w:tc>
          <w:tcPr>
            <w:tcW w:type="dxa" w:w="29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jc w:val="center"/>
            </w:pPr>
            <w:r>
              <w:rPr>
                <w:b w:val="1"/>
                <w:bCs w:val="1"/>
                <w:shd w:val="nil" w:color="auto" w:fill="auto"/>
                <w:rtl w:val="0"/>
                <w:lang w:val="fr-FR"/>
              </w:rPr>
              <w:t>Lecturer</w:t>
            </w:r>
          </w:p>
        </w:tc>
        <w:tc>
          <w:tcPr>
            <w:tcW w:type="dxa" w:w="64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jc w:val="center"/>
              <w:rPr>
                <w:b w:val="1"/>
                <w:bCs w:val="1"/>
                <w:shd w:val="nil" w:color="auto" w:fill="auto"/>
              </w:rPr>
            </w:pPr>
            <w:r>
              <w:rPr>
                <w:b w:val="1"/>
                <w:bCs w:val="1"/>
                <w:shd w:val="nil" w:color="auto" w:fill="auto"/>
                <w:rtl w:val="0"/>
              </w:rPr>
              <w:t>Oluwadamilola Tayo</w:t>
            </w:r>
          </w:p>
          <w:p>
            <w:pPr>
              <w:pStyle w:val="Body"/>
              <w:widowControl w:val="0"/>
              <w:bidi w:val="0"/>
              <w:ind w:left="0" w:right="0" w:firstLine="0"/>
              <w:jc w:val="center"/>
              <w:rPr>
                <w:rtl w:val="0"/>
              </w:rPr>
            </w:pPr>
            <w:r>
              <w:rPr>
                <w:b w:val="1"/>
                <w:bCs w:val="1"/>
                <w:shd w:val="nil" w:color="auto" w:fill="auto"/>
                <w:rtl w:val="0"/>
                <w:lang w:val="nl-NL"/>
              </w:rPr>
              <w:t>Diola Bijlhout</w:t>
            </w:r>
          </w:p>
        </w:tc>
      </w:tr>
      <w:tr>
        <w:tblPrEx>
          <w:shd w:val="clear" w:color="auto" w:fill="ced7e7"/>
        </w:tblPrEx>
        <w:trPr>
          <w:trHeight w:val="253" w:hRule="atLeast"/>
        </w:trPr>
        <w:tc>
          <w:tcPr>
            <w:tcW w:type="dxa" w:w="29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jc w:val="center"/>
            </w:pPr>
            <w:r>
              <w:rPr>
                <w:b w:val="1"/>
                <w:bCs w:val="1"/>
                <w:shd w:val="nil" w:color="auto" w:fill="auto"/>
                <w:rtl w:val="0"/>
                <w:lang w:val="en-US"/>
              </w:rPr>
              <w:t>Assignment Title</w:t>
            </w:r>
          </w:p>
        </w:tc>
        <w:tc>
          <w:tcPr>
            <w:tcW w:type="dxa" w:w="64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jc w:val="center"/>
            </w:pPr>
            <w:r>
              <w:rPr>
                <w:b w:val="1"/>
                <w:bCs w:val="1"/>
                <w:shd w:val="nil" w:color="auto" w:fill="auto"/>
                <w:rtl w:val="0"/>
                <w:lang w:val="en-US"/>
              </w:rPr>
              <w:t>Component 2 Written Research Proposal</w:t>
            </w:r>
          </w:p>
        </w:tc>
      </w:tr>
      <w:tr>
        <w:tblPrEx>
          <w:shd w:val="clear" w:color="auto" w:fill="ced7e7"/>
        </w:tblPrEx>
        <w:trPr>
          <w:trHeight w:val="253" w:hRule="atLeast"/>
        </w:trPr>
        <w:tc>
          <w:tcPr>
            <w:tcW w:type="dxa" w:w="29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jc w:val="center"/>
            </w:pPr>
            <w:r>
              <w:rPr>
                <w:b w:val="1"/>
                <w:bCs w:val="1"/>
                <w:shd w:val="nil" w:color="auto" w:fill="auto"/>
                <w:rtl w:val="0"/>
                <w:lang w:val="de-DE"/>
              </w:rPr>
              <w:t>Student Name</w:t>
            </w:r>
          </w:p>
        </w:tc>
        <w:tc>
          <w:tcPr>
            <w:tcW w:type="dxa" w:w="64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keepNext w:val="0"/>
              <w:keepLines w:val="0"/>
              <w:pageBreakBefore w:val="0"/>
              <w:widowControl w:val="0"/>
              <w:shd w:val="clear" w:color="auto" w:fill="auto"/>
              <w:suppressAutoHyphens w:val="0"/>
              <w:bidi w:val="0"/>
              <w:spacing w:before="0" w:after="0" w:line="276" w:lineRule="auto"/>
              <w:ind w:left="0" w:right="0" w:firstLine="0"/>
              <w:jc w:val="center"/>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Sahid Shabbir Ahmad Bhaiyat</w:t>
            </w:r>
          </w:p>
        </w:tc>
      </w:tr>
      <w:tr>
        <w:tblPrEx>
          <w:shd w:val="clear" w:color="auto" w:fill="ced7e7"/>
        </w:tblPrEx>
        <w:trPr>
          <w:trHeight w:val="253" w:hRule="atLeast"/>
        </w:trPr>
        <w:tc>
          <w:tcPr>
            <w:tcW w:type="dxa" w:w="29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jc w:val="center"/>
            </w:pPr>
            <w:r>
              <w:rPr>
                <w:b w:val="1"/>
                <w:bCs w:val="1"/>
                <w:shd w:val="nil" w:color="auto" w:fill="auto"/>
                <w:rtl w:val="0"/>
                <w:lang w:val="en-US"/>
              </w:rPr>
              <w:t>Student ID</w:t>
            </w:r>
          </w:p>
        </w:tc>
        <w:tc>
          <w:tcPr>
            <w:tcW w:type="dxa" w:w="64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keepNext w:val="0"/>
              <w:keepLines w:val="0"/>
              <w:pageBreakBefore w:val="0"/>
              <w:widowControl w:val="0"/>
              <w:shd w:val="clear" w:color="auto" w:fill="auto"/>
              <w:suppressAutoHyphens w:val="0"/>
              <w:bidi w:val="0"/>
              <w:spacing w:before="0" w:after="0" w:line="276" w:lineRule="auto"/>
              <w:ind w:left="0" w:right="0" w:firstLine="0"/>
              <w:jc w:val="center"/>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2525517</w:t>
            </w:r>
          </w:p>
        </w:tc>
      </w:tr>
      <w:tr>
        <w:tblPrEx>
          <w:shd w:val="clear" w:color="auto" w:fill="ced7e7"/>
        </w:tblPrEx>
        <w:trPr>
          <w:trHeight w:val="253" w:hRule="atLeast"/>
        </w:trPr>
        <w:tc>
          <w:tcPr>
            <w:tcW w:type="dxa" w:w="29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jc w:val="center"/>
            </w:pPr>
            <w:r>
              <w:rPr>
                <w:b w:val="1"/>
                <w:bCs w:val="1"/>
                <w:shd w:val="nil" w:color="auto" w:fill="auto"/>
                <w:rtl w:val="0"/>
                <w:lang w:val="en-US"/>
              </w:rPr>
              <w:t>Word Count</w:t>
            </w:r>
          </w:p>
        </w:tc>
        <w:tc>
          <w:tcPr>
            <w:tcW w:type="dxa" w:w="64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jc w:val="center"/>
            </w:pPr>
            <w:r>
              <w:rPr>
                <w:b w:val="1"/>
                <w:bCs w:val="1"/>
                <w:shd w:val="nil" w:color="auto" w:fill="auto"/>
                <w:rtl w:val="0"/>
              </w:rPr>
              <w:t>2740</w:t>
            </w:r>
          </w:p>
        </w:tc>
      </w:tr>
    </w:tbl>
    <w:p>
      <w:pPr>
        <w:pStyle w:val="Body"/>
        <w:widowControl w:val="0"/>
        <w:spacing w:before="180" w:after="420" w:line="240" w:lineRule="auto"/>
        <w:jc w:val="both"/>
        <w:rPr>
          <w:b w:val="1"/>
          <w:bCs w:val="1"/>
        </w:rPr>
      </w:pPr>
    </w:p>
    <w:p>
      <w:pPr>
        <w:pStyle w:val="Body"/>
        <w:spacing w:before="180" w:after="420" w:line="360" w:lineRule="auto"/>
        <w:ind w:left="720" w:firstLine="0"/>
        <w:jc w:val="both"/>
        <w:rPr>
          <w:b w:val="1"/>
          <w:bCs w:val="1"/>
        </w:rPr>
      </w:pPr>
    </w:p>
    <w:p>
      <w:pPr>
        <w:pStyle w:val="Body"/>
        <w:spacing w:before="180" w:after="420" w:line="360" w:lineRule="auto"/>
        <w:ind w:left="720" w:firstLine="0"/>
        <w:jc w:val="both"/>
        <w:rPr>
          <w:b w:val="1"/>
          <w:bCs w:val="1"/>
        </w:rPr>
      </w:pPr>
    </w:p>
    <w:p>
      <w:pPr>
        <w:pStyle w:val="Body"/>
        <w:spacing w:before="180" w:after="420" w:line="360" w:lineRule="auto"/>
        <w:jc w:val="center"/>
        <w:rPr>
          <w:b w:val="1"/>
          <w:bCs w:val="1"/>
        </w:rPr>
      </w:pPr>
      <w:r>
        <w:rPr>
          <w:b w:val="1"/>
          <w:bCs w:val="1"/>
          <w:rtl w:val="0"/>
          <w:lang w:val="en-US"/>
        </w:rPr>
        <w:t>Title- Professional Support Systems and Patient Outcomes in Adult Type 2 Diabetes Care Across the United Kingdom</w:t>
      </w:r>
    </w:p>
    <w:p>
      <w:pPr>
        <w:pStyle w:val="Body"/>
      </w:pPr>
      <w:r>
        <w:rPr>
          <w:rFonts w:ascii="Arial Unicode MS" w:cs="Arial Unicode MS" w:hAnsi="Arial Unicode MS" w:eastAsia="Arial Unicode MS"/>
          <w:b w:val="0"/>
          <w:bCs w:val="0"/>
          <w:i w:val="0"/>
          <w:iCs w:val="0"/>
        </w:rPr>
        <w:br w:type="page"/>
      </w:r>
    </w:p>
    <w:p>
      <w:pPr>
        <w:pStyle w:val="TOC Heading"/>
        <w:spacing w:line="360" w:lineRule="auto"/>
        <w:jc w:val="center"/>
        <w:rPr>
          <w:rFonts w:ascii="Arial" w:cs="Arial" w:hAnsi="Arial" w:eastAsia="Arial"/>
          <w:b w:val="1"/>
          <w:bCs w:val="1"/>
          <w:outline w:val="0"/>
          <w:color w:val="000000"/>
          <w:sz w:val="22"/>
          <w:szCs w:val="22"/>
          <w:u w:color="000000"/>
          <w14:textFill>
            <w14:solidFill>
              <w14:srgbClr w14:val="000000"/>
            </w14:solidFill>
          </w14:textFill>
        </w:rPr>
      </w:pPr>
      <w:r>
        <w:rPr>
          <w:rFonts w:ascii="Arial" w:hAnsi="Arial"/>
          <w:b w:val="1"/>
          <w:bCs w:val="1"/>
          <w:outline w:val="0"/>
          <w:color w:val="000000"/>
          <w:sz w:val="22"/>
          <w:szCs w:val="22"/>
          <w:u w:color="000000"/>
          <w:rtl w:val="0"/>
          <w:lang w:val="en-US"/>
          <w14:textFill>
            <w14:solidFill>
              <w14:srgbClr w14:val="000000"/>
            </w14:solidFill>
          </w14:textFill>
        </w:rPr>
        <w:t>Table of Contents</w:t>
      </w:r>
    </w:p>
    <w:p>
      <w:pPr>
        <w:pStyle w:val="Body"/>
        <w:spacing w:line="360" w:lineRule="auto"/>
        <w:jc w:val="both"/>
      </w:pPr>
      <w:r>
        <w:rPr>
          <w:b w:val="1"/>
          <w:bCs w:val="1"/>
          <w:outline w:val="0"/>
          <w:color w:val="000000"/>
          <w:sz w:val="22"/>
          <w:szCs w:val="22"/>
          <w:u w:color="000000"/>
          <w14:textFill>
            <w14:solidFill>
              <w14:srgbClr w14:val="000000"/>
            </w14:solidFill>
          </w14:textFill>
        </w:rPr>
        <w:fldChar w:fldCharType="begin" w:fldLock="0"/>
      </w:r>
      <w:r>
        <w:rPr>
          <w:b w:val="1"/>
          <w:bCs w:val="1"/>
          <w:outline w:val="0"/>
          <w:color w:val="000000"/>
          <w:sz w:val="22"/>
          <w:szCs w:val="22"/>
          <w:u w:color="000000"/>
          <w14:textFill>
            <w14:solidFill>
              <w14:srgbClr w14:val="000000"/>
            </w14:solidFill>
          </w14:textFill>
        </w:rPr>
        <w:instrText xml:space="preserve"> TOC \o 1-2 </w:instrText>
      </w:r>
      <w:r>
        <w:rPr>
          <w:b w:val="1"/>
          <w:bCs w:val="1"/>
          <w:outline w:val="0"/>
          <w:color w:val="000000"/>
          <w:sz w:val="22"/>
          <w:szCs w:val="22"/>
          <w:u w:color="000000"/>
          <w14:textFill>
            <w14:solidFill>
              <w14:srgbClr w14:val="000000"/>
            </w14:solidFill>
          </w14:textFill>
        </w:rPr>
        <w:fldChar w:fldCharType="separate" w:fldLock="0"/>
      </w:r>
    </w:p>
    <w:p>
      <w:pPr>
        <w:pStyle w:val="TOC 1"/>
      </w:pPr>
      <w:r>
        <w:rPr>
          <w:rFonts w:cs="Arial Unicode MS" w:eastAsia="Arial Unicode MS"/>
          <w:rtl w:val="0"/>
          <w:lang w:val="en-US"/>
        </w:rPr>
        <w:t>Introduction and Background of the research</w:t>
        <w:tab/>
      </w:r>
      <w:r>
        <w:rPr/>
        <w:fldChar w:fldCharType="begin" w:fldLock="0"/>
      </w:r>
      <w:r>
        <w:instrText xml:space="preserve"> PAGEREF _Toc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lang w:val="en-US"/>
        </w:rPr>
        <w:t>Definition of the issue</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lang w:val="en-US"/>
        </w:rPr>
        <w:t>Explanation of the scale</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lang w:val="en-US"/>
        </w:rPr>
        <w:t>Explanation of the consequence</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lang w:val="en-US"/>
        </w:rPr>
        <w:t>Narrowing the focus</w:t>
        <w:tab/>
      </w:r>
      <w:r>
        <w:rPr/>
        <w:fldChar w:fldCharType="begin" w:fldLock="0"/>
      </w:r>
      <w:r>
        <w:instrText xml:space="preserve"> PAGEREF _Toc4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lang w:val="en-US"/>
        </w:rPr>
        <w:t>Research Problem</w:t>
        <w:tab/>
      </w:r>
      <w:r>
        <w:rPr/>
        <w:fldChar w:fldCharType="begin" w:fldLock="0"/>
      </w:r>
      <w:r>
        <w:instrText xml:space="preserve"> PAGEREF _Toc5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lang w:val="fr-FR"/>
        </w:rPr>
        <w:t>Rationale</w:t>
        <w:tab/>
      </w:r>
      <w:r>
        <w:rPr/>
        <w:fldChar w:fldCharType="begin" w:fldLock="0"/>
      </w:r>
      <w:r>
        <w:instrText xml:space="preserve"> PAGEREF _Toc6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lang w:val="en-US"/>
        </w:rPr>
        <w:t>Evidence Gap</w:t>
        <w:tab/>
      </w:r>
      <w:r>
        <w:rPr/>
        <w:fldChar w:fldCharType="begin" w:fldLock="0"/>
      </w:r>
      <w:r>
        <w:instrText xml:space="preserve"> PAGEREF _Toc7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lang w:val="en-US"/>
        </w:rPr>
        <w:t>Literature Review</w:t>
        <w:tab/>
      </w:r>
      <w:r>
        <w:rPr/>
        <w:fldChar w:fldCharType="begin" w:fldLock="0"/>
      </w:r>
      <w:r>
        <w:instrText xml:space="preserve"> PAGEREF _Toc8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rtl w:val="0"/>
          <w:lang w:val="en-US"/>
        </w:rPr>
        <w:t>Delivery of structured diabetes self-management Education programs by health care professionals</w:t>
        <w:tab/>
      </w:r>
      <w:r>
        <w:rPr/>
        <w:fldChar w:fldCharType="begin" w:fldLock="0"/>
      </w:r>
      <w:r>
        <w:instrText xml:space="preserve"> PAGEREF _Toc9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rtl w:val="0"/>
          <w:lang w:val="en-US"/>
        </w:rPr>
        <w:t>Individualised self-reguation and support for diabetes mellitus</w:t>
        <w:tab/>
      </w:r>
      <w:r>
        <w:rPr/>
        <w:fldChar w:fldCharType="begin" w:fldLock="0"/>
      </w:r>
      <w:r>
        <w:instrText xml:space="preserve"> PAGEREF _Toc10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rtl w:val="0"/>
          <w:lang w:val="en-US"/>
        </w:rPr>
        <w:t>Gap of research</w:t>
        <w:tab/>
      </w:r>
      <w:r>
        <w:rPr/>
        <w:fldChar w:fldCharType="begin" w:fldLock="0"/>
      </w:r>
      <w:r>
        <w:instrText xml:space="preserve"> PAGEREF _Toc11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hint="default"/>
          <w:rtl w:val="0"/>
          <w:lang w:val="en-US"/>
        </w:rPr>
        <w:t>Research’s Aim</w:t>
        <w:tab/>
      </w:r>
      <w:r>
        <w:rPr/>
        <w:fldChar w:fldCharType="begin" w:fldLock="0"/>
      </w:r>
      <w:r>
        <w:instrText xml:space="preserve"> PAGEREF _Toc12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lang w:val="fr-FR"/>
        </w:rPr>
        <w:t>Objectives</w:t>
        <w:tab/>
      </w:r>
      <w:r>
        <w:rPr/>
        <w:fldChar w:fldCharType="begin" w:fldLock="0"/>
      </w:r>
      <w:r>
        <w:instrText xml:space="preserve"> PAGEREF _Toc13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lang w:val="en-US"/>
        </w:rPr>
        <w:t>Research Questions</w:t>
        <w:tab/>
      </w:r>
      <w:r>
        <w:rPr/>
        <w:fldChar w:fldCharType="begin" w:fldLock="0"/>
      </w:r>
      <w:r>
        <w:instrText xml:space="preserve"> PAGEREF _Toc14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lang w:val="en-US"/>
        </w:rPr>
        <w:t>Methodology</w:t>
        <w:tab/>
      </w:r>
      <w:r>
        <w:rPr/>
        <w:fldChar w:fldCharType="begin" w:fldLock="0"/>
      </w:r>
      <w:r>
        <w:instrText xml:space="preserve"> PAGEREF _Toc15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lang w:val="en-US"/>
        </w:rPr>
        <w:t>Research Design</w:t>
        <w:tab/>
      </w:r>
      <w:r>
        <w:rPr/>
        <w:fldChar w:fldCharType="begin" w:fldLock="0"/>
      </w:r>
      <w:r>
        <w:instrText xml:space="preserve"> PAGEREF _Toc16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lang w:val="en-US"/>
        </w:rPr>
        <w:t>Search Strategy and Systematic Review</w:t>
        <w:tab/>
      </w:r>
      <w:r>
        <w:rPr/>
        <w:fldChar w:fldCharType="begin" w:fldLock="0"/>
      </w:r>
      <w:r>
        <w:instrText xml:space="preserve"> PAGEREF _Toc17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lang w:val="en-US"/>
        </w:rPr>
        <w:t>Review Framework</w:t>
        <w:tab/>
      </w:r>
      <w:r>
        <w:rPr/>
        <w:fldChar w:fldCharType="begin" w:fldLock="0"/>
      </w:r>
      <w:r>
        <w:instrText xml:space="preserve"> PAGEREF _Toc18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lang w:val="fr-FR"/>
        </w:rPr>
        <w:t>Data collection</w:t>
        <w:tab/>
      </w:r>
      <w:r>
        <w:rPr/>
        <w:fldChar w:fldCharType="begin" w:fldLock="0"/>
      </w:r>
      <w:r>
        <w:instrText xml:space="preserve"> PAGEREF _Toc19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lang w:val="en-US"/>
        </w:rPr>
        <w:t>Study Selection Process and Sampling</w:t>
        <w:tab/>
      </w:r>
      <w:r>
        <w:rPr/>
        <w:fldChar w:fldCharType="begin" w:fldLock="0"/>
      </w:r>
      <w:r>
        <w:instrText xml:space="preserve"> PAGEREF _Toc20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lang w:val="en-US"/>
        </w:rPr>
        <w:t>Key words</w:t>
        <w:tab/>
      </w:r>
      <w:r>
        <w:rPr/>
        <w:fldChar w:fldCharType="begin" w:fldLock="0"/>
      </w:r>
      <w:r>
        <w:instrText xml:space="preserve"> PAGEREF _Toc21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lang w:val="en-US"/>
        </w:rPr>
        <w:t>Databases to be used</w:t>
        <w:tab/>
      </w:r>
      <w:r>
        <w:rPr/>
        <w:fldChar w:fldCharType="begin" w:fldLock="0"/>
      </w:r>
      <w:r>
        <w:instrText xml:space="preserve"> PAGEREF _Toc22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lang w:val="en-US"/>
        </w:rPr>
        <w:t>Data Extraction and Synthesis</w:t>
        <w:tab/>
      </w:r>
      <w:r>
        <w:rPr/>
        <w:fldChar w:fldCharType="begin" w:fldLock="0"/>
      </w:r>
      <w:r>
        <w:instrText xml:space="preserve"> PAGEREF _Toc23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lang w:val="en-US"/>
        </w:rPr>
        <w:t>Critical Appraisal Tool</w:t>
        <w:tab/>
      </w:r>
      <w:r>
        <w:rPr/>
        <w:fldChar w:fldCharType="begin" w:fldLock="0"/>
      </w:r>
      <w:r>
        <w:instrText xml:space="preserve"> PAGEREF _Toc24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lang w:val="en-US"/>
        </w:rPr>
        <w:t>Data Analysing Technique</w:t>
        <w:tab/>
      </w:r>
      <w:r>
        <w:rPr/>
        <w:fldChar w:fldCharType="begin" w:fldLock="0"/>
      </w:r>
      <w:r>
        <w:instrText xml:space="preserve"> PAGEREF _Toc25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lang w:val="en-US"/>
        </w:rPr>
        <w:t>Ethical considerations</w:t>
        <w:tab/>
      </w:r>
      <w:r>
        <w:rPr/>
        <w:fldChar w:fldCharType="begin" w:fldLock="0"/>
      </w:r>
      <w:r>
        <w:instrText xml:space="preserve"> PAGEREF _Toc26 \h </w:instrText>
      </w:r>
      <w:r>
        <w:rPr/>
        <w:fldChar w:fldCharType="separate" w:fldLock="0"/>
      </w:r>
      <w:r>
        <w:rPr>
          <w:rFonts w:cs="Arial Unicode MS" w:eastAsia="Arial Unicode MS"/>
          <w:rtl w:val="0"/>
        </w:rPr>
        <w:t>12</w:t>
      </w:r>
      <w:r>
        <w:rPr/>
        <w:fldChar w:fldCharType="end" w:fldLock="0"/>
      </w:r>
    </w:p>
    <w:p>
      <w:pPr>
        <w:pStyle w:val="TOC 1"/>
      </w:pPr>
      <w:r>
        <w:rPr>
          <w:rFonts w:cs="Arial Unicode MS" w:eastAsia="Arial Unicode MS"/>
          <w:rtl w:val="0"/>
          <w:lang w:val="fr-FR"/>
        </w:rPr>
        <w:t>Limitation</w:t>
        <w:tab/>
      </w:r>
      <w:r>
        <w:rPr/>
        <w:fldChar w:fldCharType="begin" w:fldLock="0"/>
      </w:r>
      <w:r>
        <w:instrText xml:space="preserve"> PAGEREF _Toc27 \h </w:instrText>
      </w:r>
      <w:r>
        <w:rPr/>
        <w:fldChar w:fldCharType="separate" w:fldLock="0"/>
      </w:r>
      <w:r>
        <w:rPr>
          <w:rFonts w:cs="Arial Unicode MS" w:eastAsia="Arial Unicode MS"/>
          <w:rtl w:val="0"/>
        </w:rPr>
        <w:t>12</w:t>
      </w:r>
      <w:r>
        <w:rPr/>
        <w:fldChar w:fldCharType="end" w:fldLock="0"/>
      </w:r>
    </w:p>
    <w:p>
      <w:pPr>
        <w:pStyle w:val="TOC 1"/>
      </w:pPr>
      <w:r>
        <w:rPr>
          <w:rFonts w:cs="Arial Unicode MS" w:eastAsia="Arial Unicode MS"/>
          <w:rtl w:val="0"/>
          <w:lang w:val="da-DK"/>
        </w:rPr>
        <w:t>Timeline</w:t>
        <w:tab/>
      </w:r>
      <w:r>
        <w:rPr/>
        <w:fldChar w:fldCharType="begin" w:fldLock="0"/>
      </w:r>
      <w:r>
        <w:instrText xml:space="preserve"> PAGEREF _Toc28 \h </w:instrText>
      </w:r>
      <w:r>
        <w:rPr/>
        <w:fldChar w:fldCharType="separate" w:fldLock="0"/>
      </w:r>
      <w:r>
        <w:rPr>
          <w:rFonts w:cs="Arial Unicode MS" w:eastAsia="Arial Unicode MS"/>
          <w:rtl w:val="0"/>
        </w:rPr>
        <w:t>13</w:t>
      </w:r>
      <w:r>
        <w:rPr/>
        <w:fldChar w:fldCharType="end" w:fldLock="0"/>
      </w:r>
    </w:p>
    <w:p>
      <w:pPr>
        <w:pStyle w:val="TOC 1"/>
      </w:pPr>
      <w:r>
        <w:rPr>
          <w:rFonts w:cs="Arial Unicode MS" w:eastAsia="Arial Unicode MS"/>
          <w:rtl w:val="0"/>
          <w:lang w:val="en-US"/>
        </w:rPr>
        <w:t>Expected Contribution  The SLR will have several favourable outcomes for adults with Type 2 diabetes. It will analyse the risks and contributing factors, evidence gaps, and implications for Type 2 diabetes prevention and timely healthcare professional intervention, paving the way for future research.</w:t>
        <w:tab/>
      </w:r>
      <w:r>
        <w:rPr/>
        <w:fldChar w:fldCharType="begin" w:fldLock="0"/>
      </w:r>
      <w:r>
        <w:instrText xml:space="preserve"> PAGEREF _Toc29 \h </w:instrText>
      </w:r>
      <w:r>
        <w:rPr/>
        <w:fldChar w:fldCharType="separate" w:fldLock="0"/>
      </w:r>
      <w:r>
        <w:rPr>
          <w:rFonts w:cs="Arial Unicode MS" w:eastAsia="Arial Unicode MS"/>
          <w:rtl w:val="0"/>
        </w:rPr>
        <w:t>14</w:t>
      </w:r>
      <w:r>
        <w:rPr/>
        <w:fldChar w:fldCharType="end" w:fldLock="0"/>
      </w:r>
    </w:p>
    <w:p>
      <w:pPr>
        <w:pStyle w:val="TOC 1"/>
      </w:pPr>
      <w:r>
        <w:rPr>
          <w:rFonts w:cs="Arial Unicode MS" w:eastAsia="Arial Unicode MS"/>
          <w:rtl w:val="0"/>
          <w:lang w:val="fr-FR"/>
        </w:rPr>
        <w:t>References</w:t>
        <w:tab/>
      </w:r>
      <w:r>
        <w:rPr/>
        <w:fldChar w:fldCharType="begin" w:fldLock="0"/>
      </w:r>
      <w:r>
        <w:instrText xml:space="preserve"> PAGEREF _Toc30 \h </w:instrText>
      </w:r>
      <w:r>
        <w:rPr/>
        <w:fldChar w:fldCharType="separate" w:fldLock="0"/>
      </w:r>
      <w:r>
        <w:rPr>
          <w:rFonts w:cs="Arial Unicode MS" w:eastAsia="Arial Unicode MS"/>
          <w:rtl w:val="0"/>
        </w:rPr>
        <w:t>15</w:t>
      </w:r>
      <w:r>
        <w:rPr/>
        <w:fldChar w:fldCharType="end" w:fldLock="0"/>
      </w:r>
    </w:p>
    <w:p>
      <w:pPr>
        <w:spacing w:line="360" w:lineRule="auto"/>
        <w:jc w:val="both"/>
        <w:rPr>
          <w:b w:val="1"/>
          <w:bCs w:val="1"/>
        </w:rPr>
      </w:pPr>
      <w:r>
        <w:rPr>
          <w:b w:val="1"/>
          <w:bCs w:val="1"/>
          <w:outline w:val="0"/>
          <w:color w:val="000000"/>
          <w:sz w:val="22"/>
          <w:szCs w:val="22"/>
          <w:u w:color="000000"/>
          <w14:textFill>
            <w14:solidFill>
              <w14:srgbClr w14:val="000000"/>
            </w14:solidFill>
          </w14:textFill>
        </w:rPr>
        <w:fldChar w:fldCharType="end" w:fldLock="0"/>
      </w:r>
    </w:p>
    <w:p>
      <w:pPr>
        <w:pStyle w:val="Body"/>
      </w:pPr>
      <w:r>
        <w:rPr>
          <w:rFonts w:ascii="Arial Unicode MS" w:cs="Arial Unicode MS" w:hAnsi="Arial Unicode MS" w:eastAsia="Arial Unicode MS"/>
          <w:b w:val="0"/>
          <w:bCs w:val="0"/>
          <w:i w:val="0"/>
          <w:iCs w:val="0"/>
        </w:rPr>
        <w:br w:type="page"/>
      </w:r>
    </w:p>
    <w:p>
      <w:pPr>
        <w:pStyle w:val="Heading"/>
      </w:pPr>
      <w:bookmarkStart w:name="_Toc" w:id="0"/>
      <w:r>
        <w:rPr>
          <w:rFonts w:cs="Arial Unicode MS" w:eastAsia="Arial Unicode MS"/>
          <w:rtl w:val="0"/>
          <w:lang w:val="en-US"/>
        </w:rPr>
        <w:t>Introduction and Background of the research</w:t>
      </w:r>
      <w:bookmarkEnd w:id="0"/>
    </w:p>
    <w:p>
      <w:pPr>
        <w:pStyle w:val="Heading 2"/>
        <w:rPr>
          <w:b w:val="0"/>
          <w:bCs w:val="0"/>
        </w:rPr>
      </w:pPr>
      <w:bookmarkStart w:name="_Toc1" w:id="1"/>
      <w:r>
        <w:rPr>
          <w:rFonts w:cs="Arial Unicode MS" w:eastAsia="Arial Unicode MS"/>
          <w:rtl w:val="0"/>
          <w:lang w:val="en-US"/>
        </w:rPr>
        <w:t>Definition of the issue</w:t>
      </w:r>
      <w:bookmarkEnd w:id="1"/>
    </w:p>
    <w:p>
      <w:pPr>
        <w:pStyle w:val="Body"/>
        <w:spacing w:line="360" w:lineRule="auto"/>
        <w:jc w:val="both"/>
      </w:pPr>
      <w:r>
        <w:rPr>
          <w:rtl w:val="0"/>
          <w:lang w:val="en-US"/>
        </w:rPr>
        <w:t xml:space="preserve">The rising Type 2 diabetes rates in the UK constitute a major public health crisis, posing a significant economic burden on adults. The number of diabetes diagnoses in the UK increases every year, posing a significant challenge to the NHS. According to Galvin (2025). Type 2 diabetes occurs when the body is unable to produce sufficient insulin or react to it properly. Ahmad et al (2022) stated that Type 2 diabetes affects physical fitness and accelerates metabolic aging, which eventually impairs the quality of life of adults. Effective management of diabetes depends on clinical treatment as well as appropriate self-management behaviour. In the UK, healthcare professionals like General Practitioners (GPs) play a crucial role in Type 2 diabetes self-management. They support patients through patient monitoring and provide educational referrals, personalised care planning and behavioural counselling to improve the health outcomes of adults (Yoon et al., 2022).  </w:t>
      </w:r>
    </w:p>
    <w:p>
      <w:pPr>
        <w:pStyle w:val="Heading 2"/>
      </w:pPr>
      <w:bookmarkStart w:name="_Toc2" w:id="2"/>
      <w:r>
        <w:rPr>
          <w:rFonts w:cs="Arial Unicode MS" w:eastAsia="Arial Unicode MS"/>
          <w:rtl w:val="0"/>
          <w:lang w:val="en-US"/>
        </w:rPr>
        <w:t>Explanation of the scale</w:t>
      </w:r>
      <w:bookmarkEnd w:id="2"/>
    </w:p>
    <w:p>
      <w:pPr>
        <w:pStyle w:val="Body"/>
        <w:spacing w:line="360" w:lineRule="auto"/>
        <w:jc w:val="both"/>
      </w:pPr>
      <w:r>
        <w:rPr>
          <w:rtl w:val="0"/>
          <w:lang w:val="en-US"/>
        </w:rPr>
        <w:t>Poor diabetes management led to 184 amputations, 1010 strokes and 3,340 cases of heart failure in the UK, so the right care and support are a prerequisite for preventing such complications (Diabetes UK, 2026). Recent UK data indicate that the number of people living with diabetes has reached a record level, demonstrating the increasing scale of the condition within the UK population. One out of five adults now has either diabetes or prediabetes in the UK. Approximately 4.6 million adults in the UK are diagnosed with diabetes (Galvin, 2025). Additionally, 1.3 million adults in the UK are afflicted with Type 2 diabetes, which remains undiagnosed (Diabetes UK, 2026). The NHS spends</w:t>
      </w:r>
      <w:r>
        <w:rPr>
          <w:outline w:val="0"/>
          <w:color w:val="202a30"/>
          <w:u w:color="202a30"/>
          <w:rtl w:val="0"/>
          <w14:textFill>
            <w14:solidFill>
              <w14:srgbClr w14:val="202A30"/>
            </w14:solidFill>
          </w14:textFill>
        </w:rPr>
        <w:t xml:space="preserve"> </w:t>
      </w:r>
      <w:r>
        <w:rPr>
          <w:rtl w:val="0"/>
          <w:lang w:val="en-US"/>
        </w:rPr>
        <w:t xml:space="preserve">around </w:t>
      </w:r>
      <w:r>
        <w:rPr>
          <w:rtl w:val="0"/>
        </w:rPr>
        <w:t>£</w:t>
      </w:r>
      <w:r>
        <w:rPr>
          <w:rtl w:val="0"/>
          <w:lang w:val="en-US"/>
        </w:rPr>
        <w:t>10 billion annually to identify and treat diabetes in the UK, which is causing a financial strain on the UK healthcare centres (NHS, 2024). This indicates that UK adults need professional self-management programmes to cut health costs and long-term illness complications.</w:t>
      </w:r>
    </w:p>
    <w:p>
      <w:pPr>
        <w:pStyle w:val="Body"/>
        <w:spacing w:line="360" w:lineRule="auto"/>
        <w:jc w:val="both"/>
      </w:pPr>
    </w:p>
    <w:p>
      <w:pPr>
        <w:pStyle w:val="Body"/>
        <w:spacing w:line="360" w:lineRule="auto"/>
        <w:jc w:val="center"/>
      </w:pPr>
      <w:r>
        <w:rPr>
          <w:lang w:val="en-US"/>
        </w:rPr>
        <w:drawing xmlns:a="http://schemas.openxmlformats.org/drawingml/2006/main">
          <wp:inline distT="0" distB="0" distL="0" distR="0">
            <wp:extent cx="4676775" cy="2686050"/>
            <wp:effectExtent l="0" t="0" r="0" b="0"/>
            <wp:docPr id="1073741826"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5">
                      <a:extLst/>
                    </a:blip>
                    <a:stretch>
                      <a:fillRect/>
                    </a:stretch>
                  </pic:blipFill>
                  <pic:spPr>
                    <a:xfrm>
                      <a:off x="0" y="0"/>
                      <a:ext cx="4676775" cy="2686050"/>
                    </a:xfrm>
                    <a:prstGeom prst="rect">
                      <a:avLst/>
                    </a:prstGeom>
                    <a:ln w="12700" cap="flat">
                      <a:noFill/>
                      <a:miter lim="400000"/>
                    </a:ln>
                    <a:effectLst/>
                  </pic:spPr>
                </pic:pic>
              </a:graphicData>
            </a:graphic>
          </wp:inline>
        </w:drawing>
      </w:r>
    </w:p>
    <w:p>
      <w:pPr>
        <w:pStyle w:val="Body"/>
        <w:spacing w:line="360" w:lineRule="auto"/>
        <w:jc w:val="center"/>
        <w:rPr>
          <w:b w:val="1"/>
          <w:bCs w:val="1"/>
        </w:rPr>
      </w:pPr>
      <w:r>
        <w:rPr>
          <w:b w:val="1"/>
          <w:bCs w:val="1"/>
          <w:rtl w:val="0"/>
          <w:lang w:val="en-US"/>
        </w:rPr>
        <w:t>Figure: 1 High diabetes levels in the UK</w:t>
      </w:r>
    </w:p>
    <w:p>
      <w:pPr>
        <w:pStyle w:val="Body"/>
        <w:spacing w:line="360" w:lineRule="auto"/>
        <w:jc w:val="center"/>
        <w:rPr>
          <w:b w:val="1"/>
          <w:bCs w:val="1"/>
        </w:rPr>
      </w:pPr>
      <w:r>
        <w:rPr>
          <w:b w:val="1"/>
          <w:bCs w:val="1"/>
          <w:rtl w:val="0"/>
          <w:lang w:val="en-US"/>
        </w:rPr>
        <w:t>(Source: Gregory, 2025)</w:t>
      </w:r>
    </w:p>
    <w:p>
      <w:pPr>
        <w:pStyle w:val="Heading 2"/>
      </w:pPr>
      <w:bookmarkStart w:name="_Toc3" w:id="3"/>
      <w:r>
        <w:rPr>
          <w:rFonts w:cs="Arial Unicode MS" w:eastAsia="Arial Unicode MS"/>
          <w:rtl w:val="0"/>
          <w:lang w:val="en-US"/>
        </w:rPr>
        <w:t>Explanation of the consequence</w:t>
      </w:r>
      <w:bookmarkEnd w:id="3"/>
    </w:p>
    <w:p>
      <w:pPr>
        <w:pStyle w:val="Body"/>
        <w:spacing w:line="360" w:lineRule="auto"/>
        <w:jc w:val="both"/>
      </w:pPr>
      <w:r>
        <w:rPr>
          <w:rtl w:val="0"/>
          <w:lang w:val="en-US"/>
        </w:rPr>
        <w:t xml:space="preserve">Diabetes mellitus or Type 2 diabetes is a long-term disorder which couldbe managed through effective self-management practices like lifestyle modifications, exercise and medications. Adults with Type 2 diabetes can develop acute complications like hypertension, obesity, hyperlipidemia, kidney problems, nerve damage and vision loss without proper self-management. It has a close relationship with psychiatric illnesses like depressive disorders and anxiety, which reduce the quality of life, affect family, employment opportunities and social life of adults (Amin et al., 2022). The long-term nature of T2DM can create economic and productivity-related pressures for adults and their families, specifically when complications require additional treatment or impact employment among young adults in the UK.  (Jalilian et al., 2023). Hence, it becomes a moral responsibility for healthcare professionals to improve self-management behaviour among UK diabetic adults and mitigate the consequences.  </w:t>
      </w:r>
    </w:p>
    <w:p>
      <w:pPr>
        <w:pStyle w:val="Heading 2"/>
      </w:pPr>
      <w:bookmarkStart w:name="_Toc4" w:id="4"/>
      <w:r>
        <w:rPr>
          <w:rFonts w:cs="Arial Unicode MS" w:eastAsia="Arial Unicode MS"/>
          <w:rtl w:val="0"/>
          <w:lang w:val="en-US"/>
        </w:rPr>
        <w:t xml:space="preserve">Narrowing the focus </w:t>
      </w:r>
      <w:bookmarkEnd w:id="4"/>
    </w:p>
    <w:p>
      <w:pPr>
        <w:pStyle w:val="Body"/>
        <w:spacing w:line="360" w:lineRule="auto"/>
        <w:jc w:val="both"/>
      </w:pPr>
      <w:r>
        <w:rPr>
          <w:rtl w:val="0"/>
          <w:lang w:val="en-US"/>
        </w:rPr>
        <w:t xml:space="preserve">Type 2 diabetes is a growing health challenge in the UK because it has disastrous consequences for the health of adults. Therefore, analysing how healthcare professionals can enhance self-regulation among adults suffering from type 2 diabetes is essential for optimising health outcomes among adults in the UK. </w:t>
      </w:r>
    </w:p>
    <w:p>
      <w:pPr>
        <w:pStyle w:val="Heading"/>
      </w:pPr>
      <w:bookmarkStart w:name="_Toc5" w:id="5"/>
      <w:r>
        <w:rPr>
          <w:rFonts w:cs="Arial Unicode MS" w:eastAsia="Arial Unicode MS"/>
          <w:rtl w:val="0"/>
          <w:lang w:val="en-US"/>
        </w:rPr>
        <w:t>Research Problem</w:t>
      </w:r>
      <w:bookmarkEnd w:id="5"/>
    </w:p>
    <w:p>
      <w:pPr>
        <w:pStyle w:val="Body"/>
        <w:spacing w:line="360" w:lineRule="auto"/>
        <w:jc w:val="both"/>
      </w:pPr>
      <w:r>
        <w:rPr>
          <w:rtl w:val="0"/>
          <w:lang w:val="en-US"/>
        </w:rPr>
        <w:t xml:space="preserve">In the UK, around 90% of the six million people are affected by Type 2 diabetes. It is rapidly increasing among people under 40 years (Roberts, 2026). The rise of Type 2 diabetes is driven by obesity rates and growing health inequalities; additionally, it creates a heavy burden for adults and the NHS in the UK. The fundamental problem is that adults with Type 2 diabetes in the UK fail to achieve their target glucose levels, and they face difficulties with medication adherence, healthy diet, and regular monitoring, despite the available healthcare facilities and specialised behaviour-change training to support routine self-management. The healthcare gaps in the UK, slow access to new drugs and tools, strain the NHS. The present healthcare facilities are unable to lower patient numbers, further research is necessary to improve UK healthcare settings and patient self-management (Mathur et al., 2020).  </w:t>
      </w:r>
    </w:p>
    <w:p>
      <w:pPr>
        <w:pStyle w:val="Heading 2"/>
      </w:pPr>
      <w:bookmarkStart w:name="_Toc6" w:id="6"/>
      <w:r>
        <w:rPr>
          <w:rFonts w:cs="Arial Unicode MS" w:eastAsia="Arial Unicode MS"/>
          <w:rtl w:val="0"/>
          <w:lang w:val="fr-FR"/>
        </w:rPr>
        <w:t xml:space="preserve">Rationale </w:t>
      </w:r>
      <w:bookmarkEnd w:id="6"/>
    </w:p>
    <w:p>
      <w:pPr>
        <w:pStyle w:val="Body"/>
        <w:spacing w:line="360" w:lineRule="auto"/>
        <w:jc w:val="both"/>
      </w:pPr>
      <w:r>
        <w:rPr>
          <w:rtl w:val="0"/>
          <w:lang w:val="en-US"/>
        </w:rPr>
        <w:t xml:space="preserve">This research is crucial because the number of people affected by Type 2 diabetes is increasing, with nearly 1.3 million adults having undiagnosed Type 2 diabetes in the UK (Gregory, 2025). Unmanaged Type 2 diabetes triggers major health risks like strokes, heart attacks, blindness, and kidney failure, and it can also increase the mortality rate among adults in the UK. This disease imposes a significant financial burden on adults in the UK (Yan et al., 2022). This research will be essential because it will address severe health complications of adults with effective management by UK healthcare professionals who will empower adults through personalised support which will eventually reduce the financial strain on the NHS since hospital admissions for T2DM will eventually get reduced for Type 2 diabetes in the UK. </w:t>
      </w:r>
    </w:p>
    <w:p>
      <w:pPr>
        <w:pStyle w:val="Heading 2"/>
      </w:pPr>
      <w:bookmarkStart w:name="_Toc7" w:id="7"/>
      <w:r>
        <w:rPr>
          <w:rFonts w:cs="Arial Unicode MS" w:eastAsia="Arial Unicode MS"/>
          <w:rtl w:val="0"/>
          <w:lang w:val="en-US"/>
        </w:rPr>
        <w:t>Evidence Gap</w:t>
      </w:r>
      <w:bookmarkEnd w:id="7"/>
    </w:p>
    <w:p>
      <w:pPr>
        <w:pStyle w:val="Body"/>
        <w:spacing w:line="360" w:lineRule="auto"/>
        <w:jc w:val="both"/>
      </w:pPr>
      <w:r>
        <w:rPr>
          <w:rtl w:val="0"/>
          <w:lang w:val="en-US"/>
        </w:rPr>
        <w:t xml:space="preserve">Existing research has highlighted the importance of self-management in supporting adults diadnoised with Type 2 diabetes. Hawkes et al (2024) emphasised on the digital self-regulation benefits of T2DM; however, their study provides limited evidence on face-to face interactions with healthcare professionals and how they can support and educate adults to manage Type 2 diabetes. This leaves limited understanding of the contribution of direct professional support to diabetes self-management. Furthermore, the study by Litchfield et al (2023) focuses on designing diabetes self-management programmes, specifically suitable for underserved populations in the UK, but it provides limited concrete data on how UK health professionals directly influence self-management among adults affected with Type 2 diabetes. This leaves their roles, methods and results understudied and inadequately analysed. Therefore, a systematic review is needed to synthesise existing evidence on how healthcare professionals support self-management among UK adults with T2DM.  </w:t>
      </w:r>
    </w:p>
    <w:p>
      <w:pPr>
        <w:pStyle w:val="Heading"/>
      </w:pPr>
      <w:bookmarkStart w:name="_Toc8" w:id="8"/>
      <w:r>
        <w:rPr>
          <w:rFonts w:cs="Arial Unicode MS" w:eastAsia="Arial Unicode MS"/>
          <w:rtl w:val="0"/>
          <w:lang w:val="en-US"/>
        </w:rPr>
        <w:t>Literature Review</w:t>
      </w:r>
      <w:bookmarkEnd w:id="8"/>
    </w:p>
    <w:p>
      <w:pPr>
        <w:pStyle w:val="Heading 2"/>
      </w:pPr>
      <w:bookmarkStart w:name="_Toc9" w:id="9"/>
      <w:r>
        <w:rPr>
          <w:rFonts w:cs="Arial Unicode MS" w:eastAsia="Arial Unicode MS"/>
          <w:rtl w:val="0"/>
          <w:lang w:val="en-US"/>
        </w:rPr>
        <w:t>Delivery of structured diabetes self-management Education programs by health care professionals</w:t>
      </w:r>
      <w:bookmarkEnd w:id="9"/>
    </w:p>
    <w:p>
      <w:pPr>
        <w:pStyle w:val="Body"/>
        <w:spacing w:line="360" w:lineRule="auto"/>
        <w:jc w:val="both"/>
        <w:rPr>
          <w:outline w:val="0"/>
          <w:color w:val="000000"/>
          <w:u w:color="000000"/>
          <w14:textFill>
            <w14:solidFill>
              <w14:srgbClr w14:val="000000"/>
            </w14:solidFill>
          </w14:textFill>
        </w:rPr>
      </w:pPr>
      <w:r>
        <w:rPr>
          <w:rtl w:val="0"/>
          <w:lang w:val="en-US"/>
        </w:rPr>
        <w:t xml:space="preserve">Type 2 diabetes poses a massive health crisis; it drives up mortality rates and causes severe </w:t>
      </w:r>
      <w:r>
        <w:rPr>
          <w:outline w:val="0"/>
          <w:color w:val="000000"/>
          <w:u w:color="000000"/>
          <w:rtl w:val="0"/>
          <w:lang w:val="en-US"/>
          <w14:textFill>
            <w14:solidFill>
              <w14:srgbClr w14:val="000000"/>
            </w14:solidFill>
          </w14:textFill>
        </w:rPr>
        <w:t xml:space="preserve">health impacts, which grow into a widespread public health emergency (Galindo et al., 2023). In support of this, Benton et al (2022) summarised that the national expansion of the Healthy Living program kept core HeLP-Diabetes content. This happened despite changes caused by budget limits and policy shifts. The study shows that digital health tools need early planning for real-world limits and good teamwork during growth. </w:t>
      </w:r>
    </w:p>
    <w:p>
      <w:pPr>
        <w:pStyle w:val="Body"/>
        <w:spacing w:line="360" w:lineRule="auto"/>
        <w:jc w:val="both"/>
        <w:rPr>
          <w:outline w:val="0"/>
          <w:color w:val="0000ff"/>
          <w:u w:color="0000ff"/>
          <w14:textFill>
            <w14:solidFill>
              <w14:srgbClr w14:val="0000FF"/>
            </w14:solidFill>
          </w14:textFill>
        </w:rPr>
      </w:pPr>
      <w:r>
        <w:rPr>
          <w:rtl w:val="0"/>
          <w:lang w:val="en-US"/>
        </w:rPr>
        <w:t xml:space="preserve">Another research article highlights the role of nurses in self-management support that barely involves community partners addressing multimorbidity and using interdisciplinary approaches. This is appropriate for adults with Type 2 diabetes in the UK, because medical experts and nurses can provide personalised education, wellness counselling, and continuous support to strengthen blood sugar self-organisation within the general practice (Allory et al., 2024). This review integrated multiple chronic diseases with international evidence instead of focusing on adolescents with diabetes mellitus. </w:t>
      </w:r>
    </w:p>
    <w:p>
      <w:pPr>
        <w:pStyle w:val="Heading 2"/>
      </w:pPr>
      <w:bookmarkStart w:name="_Toc10" w:id="10"/>
      <w:r>
        <w:rPr>
          <w:rFonts w:cs="Arial Unicode MS" w:eastAsia="Arial Unicode MS"/>
          <w:rtl w:val="0"/>
          <w:lang w:val="en-US"/>
        </w:rPr>
        <w:t>Individualised self-reguation and support for diabetes mellitus</w:t>
      </w:r>
      <w:bookmarkEnd w:id="10"/>
    </w:p>
    <w:p>
      <w:pPr>
        <w:pStyle w:val="Body"/>
        <w:spacing w:line="360" w:lineRule="auto"/>
        <w:jc w:val="both"/>
      </w:pPr>
      <w:r>
        <w:rPr>
          <w:rtl w:val="0"/>
          <w:lang w:val="en-US"/>
        </w:rPr>
        <w:t>Tailored sugar disease care builds a custom treatment plan that fits the unique medical needs of individuals. Customised treatment offers a way to fix two key factors like driving severe health problems and death linked to Type 2 diabetes. Williams et al (2022) provide a broader view of customised type 2 diabetes management, prioritising individual needs, treatment adherence, and interdisciplinary care. However, it gives more emphasis on clinical care and medicines, while it pays less attention to how UK healthcare professionally actually provides self-management intervention. Individualised diabetes care improves adherence, quality of life and health outcomes for UK</w:t>
      </w:r>
      <w:r>
        <w:rPr>
          <w:rtl w:val="1"/>
        </w:rPr>
        <w:t>’</w:t>
      </w:r>
      <w:r>
        <w:rPr>
          <w:rtl w:val="0"/>
          <w:lang w:val="en-US"/>
        </w:rPr>
        <w:t>s adults. Araki (2024) highlights individualised diabetes treatment among older adults, stressing on frailty, cognitive impairment, socioeconomic conditions, multimorbidity, and therapy adherence. However, it concentrates mainly on clinical and Japan-specific aspects, leaving a gap in understanding how the medical professionals of the UK support self-management among adults who suffer from Type 2 diabetes.</w:t>
      </w:r>
    </w:p>
    <w:p>
      <w:pPr>
        <w:pStyle w:val="Heading 2"/>
      </w:pPr>
      <w:bookmarkStart w:name="_Toc11" w:id="11"/>
      <w:r>
        <w:rPr>
          <w:rFonts w:cs="Arial Unicode MS" w:eastAsia="Arial Unicode MS"/>
          <w:rtl w:val="0"/>
          <w:lang w:val="en-US"/>
        </w:rPr>
        <w:t>Gap of research</w:t>
      </w:r>
      <w:bookmarkEnd w:id="11"/>
    </w:p>
    <w:p>
      <w:pPr>
        <w:pStyle w:val="Body"/>
        <w:spacing w:line="360" w:lineRule="auto"/>
        <w:jc w:val="both"/>
      </w:pPr>
      <w:r>
        <w:rPr>
          <w:rtl w:val="0"/>
          <w:lang w:val="en-US"/>
        </w:rPr>
        <w:t xml:space="preserve">While analysing different literature, it is found that articles by Williams et al (2022) have a potential gap. It is seen that the authors stress on the personalised person centred care for T2D management, but the study did not investigate much about healthcare professionals for self-management among UK adults. Additionally, the article by Araki (2024) supports individualised interdisciplinary diabetic care for older adults, so the study did not specifically focus on adults of the UK, and it lacked UK-based evidence on how healthcare experts can elevate self-organisation among adults suffering from diabetes mellitus. </w:t>
      </w:r>
      <w:r>
        <w:rPr>
          <w:outline w:val="0"/>
          <w:color w:val="000000"/>
          <w:u w:color="000000"/>
          <w:rtl w:val="0"/>
          <w:lang w:val="en-US"/>
          <w14:textFill>
            <w14:solidFill>
              <w14:srgbClr w14:val="000000"/>
            </w14:solidFill>
          </w14:textFill>
        </w:rPr>
        <w:t xml:space="preserve">Benton et al (2022) study highlights how digital self- management interventions might support behavioural changes, but for its successful integration, the NHS requires adequate sources for professional involvement. The study has limited evidence regarding how healthcare professionals can simplify digital self-discipline among UK adults with T2DM through a normal protocol.    </w:t>
      </w:r>
    </w:p>
    <w:p>
      <w:pPr>
        <w:pStyle w:val="Heading"/>
      </w:pPr>
      <w:bookmarkStart w:name="_Toc12" w:id="12"/>
      <w:r>
        <w:rPr>
          <w:rFonts w:cs="Arial Unicode MS" w:eastAsia="Arial Unicode MS"/>
          <w:rtl w:val="0"/>
          <w:lang w:val="en-US"/>
        </w:rPr>
        <w:t>Research</w:t>
      </w:r>
      <w:r>
        <w:rPr>
          <w:rFonts w:cs="Arial Unicode MS" w:eastAsia="Arial Unicode MS" w:hint="default"/>
          <w:rtl w:val="1"/>
        </w:rPr>
        <w:t>’</w:t>
      </w:r>
      <w:r>
        <w:rPr>
          <w:rFonts w:cs="Arial Unicode MS" w:eastAsia="Arial Unicode MS"/>
          <w:rtl w:val="0"/>
        </w:rPr>
        <w:t>s Aim</w:t>
      </w:r>
      <w:bookmarkEnd w:id="12"/>
    </w:p>
    <w:p>
      <w:pPr>
        <w:pStyle w:val="Body"/>
        <w:spacing w:line="360" w:lineRule="auto"/>
        <w:jc w:val="both"/>
        <w:rPr>
          <w:b w:val="1"/>
          <w:bCs w:val="1"/>
        </w:rPr>
      </w:pPr>
      <w:r>
        <w:rPr>
          <w:rtl w:val="0"/>
          <w:lang w:val="en-US"/>
        </w:rPr>
        <w:t>To analyse the role of medical experts in enhancing self-control among adults with T2DM in the UK</w:t>
      </w:r>
    </w:p>
    <w:p>
      <w:pPr>
        <w:pStyle w:val="Heading 2"/>
      </w:pPr>
      <w:bookmarkStart w:name="_Toc13" w:id="13"/>
      <w:r>
        <w:rPr>
          <w:rFonts w:cs="Arial Unicode MS" w:eastAsia="Arial Unicode MS"/>
          <w:rtl w:val="0"/>
          <w:lang w:val="fr-FR"/>
        </w:rPr>
        <w:t xml:space="preserve"> Objectives</w:t>
      </w:r>
      <w:bookmarkEnd w:id="13"/>
    </w:p>
    <w:p>
      <w:pPr>
        <w:pStyle w:val="Body"/>
        <w:numPr>
          <w:ilvl w:val="0"/>
          <w:numId w:val="2"/>
        </w:numPr>
        <w:bidi w:val="0"/>
        <w:spacing w:line="360" w:lineRule="auto"/>
        <w:ind w:right="0"/>
        <w:jc w:val="both"/>
        <w:rPr>
          <w:rtl w:val="0"/>
          <w:lang w:val="en-US"/>
        </w:rPr>
      </w:pPr>
      <w:r>
        <w:rPr>
          <w:outline w:val="0"/>
          <w:color w:val="000000"/>
          <w:u w:color="000000"/>
          <w:rtl w:val="0"/>
          <w:lang w:val="en-US"/>
          <w14:textFill>
            <w14:solidFill>
              <w14:srgbClr w14:val="000000"/>
            </w14:solidFill>
          </w14:textFill>
        </w:rPr>
        <w:t>To assess the overall impact of support from healthcare professionals on how well adults manage their daily diabetes care.</w:t>
      </w:r>
    </w:p>
    <w:p>
      <w:pPr>
        <w:pStyle w:val="Body"/>
        <w:numPr>
          <w:ilvl w:val="0"/>
          <w:numId w:val="2"/>
        </w:numPr>
        <w:bidi w:val="0"/>
        <w:spacing w:line="360" w:lineRule="auto"/>
        <w:ind w:right="0"/>
        <w:jc w:val="both"/>
        <w:rPr>
          <w:rtl w:val="0"/>
          <w:lang w:val="en-US"/>
        </w:rPr>
      </w:pPr>
      <w:r>
        <w:rPr>
          <w:outline w:val="0"/>
          <w:color w:val="000000"/>
          <w:u w:color="000000"/>
          <w:rtl w:val="0"/>
          <w:lang w:val="en-US"/>
          <w14:textFill>
            <w14:solidFill>
              <w14:srgbClr w14:val="000000"/>
            </w14:solidFill>
          </w14:textFill>
        </w:rPr>
        <w:t>To identify the core strategies implemented by healthcare professionals to support adults for self-organisation in T2DM.</w:t>
      </w:r>
    </w:p>
    <w:p>
      <w:pPr>
        <w:pStyle w:val="Body"/>
        <w:numPr>
          <w:ilvl w:val="0"/>
          <w:numId w:val="2"/>
        </w:numPr>
        <w:bidi w:val="0"/>
        <w:spacing w:line="360" w:lineRule="auto"/>
        <w:ind w:right="0"/>
        <w:jc w:val="both"/>
        <w:rPr>
          <w:rtl w:val="0"/>
          <w:lang w:val="en-US"/>
        </w:rPr>
      </w:pPr>
      <w:r>
        <w:rPr>
          <w:outline w:val="0"/>
          <w:color w:val="000000"/>
          <w:u w:color="000000"/>
          <w:rtl w:val="0"/>
          <w:lang w:val="en-US"/>
          <w14:textFill>
            <w14:solidFill>
              <w14:srgbClr w14:val="000000"/>
            </w14:solidFill>
          </w14:textFill>
        </w:rPr>
        <w:t xml:space="preserve"> To evaluate the impact of professional support for diabetes mellitus management in adults</w:t>
      </w:r>
    </w:p>
    <w:p>
      <w:pPr>
        <w:pStyle w:val="Body"/>
        <w:numPr>
          <w:ilvl w:val="0"/>
          <w:numId w:val="2"/>
        </w:numPr>
        <w:bidi w:val="0"/>
        <w:spacing w:line="360" w:lineRule="auto"/>
        <w:ind w:right="0"/>
        <w:jc w:val="both"/>
        <w:rPr>
          <w:rtl w:val="0"/>
          <w:lang w:val="en-US"/>
        </w:rPr>
      </w:pPr>
      <w:r>
        <w:rPr>
          <w:outline w:val="0"/>
          <w:color w:val="000000"/>
          <w:u w:color="000000"/>
          <w:rtl w:val="0"/>
          <w:lang w:val="en-US"/>
          <w14:textFill>
            <w14:solidFill>
              <w14:srgbClr w14:val="000000"/>
            </w14:solidFill>
          </w14:textFill>
        </w:rPr>
        <w:t>To determine major obstacles and challenges faced by diabetic adults in the UK</w:t>
      </w:r>
    </w:p>
    <w:p>
      <w:pPr>
        <w:pStyle w:val="Heading 2"/>
      </w:pPr>
      <w:bookmarkStart w:name="_Toc14" w:id="14"/>
      <w:r>
        <w:rPr>
          <w:rFonts w:cs="Arial Unicode MS" w:eastAsia="Arial Unicode MS"/>
          <w:rtl w:val="0"/>
          <w:lang w:val="en-US"/>
        </w:rPr>
        <w:t>Research Questions</w:t>
      </w:r>
      <w:bookmarkEnd w:id="14"/>
    </w:p>
    <w:p>
      <w:pPr>
        <w:pStyle w:val="Body"/>
        <w:spacing w:line="360" w:lineRule="auto"/>
        <w:jc w:val="both"/>
      </w:pPr>
      <w:r>
        <w:rPr>
          <w:rtl w:val="0"/>
          <w:lang w:val="en-US"/>
        </w:rPr>
        <w:t>What strategies do UK healthcare professionals use to foster personal wellness and management in adults with T2DM?</w:t>
      </w:r>
    </w:p>
    <w:p>
      <w:pPr>
        <w:pStyle w:val="Heading"/>
      </w:pPr>
      <w:bookmarkStart w:name="_Toc15" w:id="15"/>
      <w:r>
        <w:rPr>
          <w:rFonts w:cs="Arial Unicode MS" w:eastAsia="Arial Unicode MS"/>
          <w:rtl w:val="0"/>
        </w:rPr>
        <w:t xml:space="preserve">Methodology  </w:t>
      </w:r>
      <w:bookmarkEnd w:id="15"/>
    </w:p>
    <w:p>
      <w:pPr>
        <w:pStyle w:val="Heading 2"/>
      </w:pPr>
      <w:bookmarkStart w:name="_Toc16" w:id="16"/>
      <w:r>
        <w:rPr>
          <w:rFonts w:cs="Arial Unicode MS" w:eastAsia="Arial Unicode MS"/>
          <w:rtl w:val="0"/>
          <w:lang w:val="en-US"/>
        </w:rPr>
        <w:t>Research Design</w:t>
      </w:r>
      <w:bookmarkEnd w:id="16"/>
    </w:p>
    <w:p>
      <w:pPr>
        <w:pStyle w:val="Body"/>
        <w:spacing w:line="360" w:lineRule="auto"/>
        <w:jc w:val="both"/>
      </w:pPr>
      <w:r>
        <w:rPr>
          <w:rtl w:val="0"/>
          <w:lang w:val="en-US"/>
        </w:rPr>
        <w:t xml:space="preserve">A systematic literature review will be used to identify, analyse and synthesise existing evidence on the role of healthcare professionals in enhancing blood sugar and self-organisation among adults with Type 2 diabetes in the UK (Ritterbusch and Teichmann, 2023). Therefore, relevant data will be extracted, compared, and integrated to determine the role of health professionals in improving diabetes self-regulation in adults with T2DM in the UK. The systematic literature review will outline the research gap and support evidence-based approaches to elevate diabetes self-management in UK adults. Consequently, eligible articles will be screened and critically appraised for methodological quality. </w:t>
      </w:r>
    </w:p>
    <w:p>
      <w:pPr>
        <w:pStyle w:val="Heading 2"/>
      </w:pPr>
      <w:bookmarkStart w:name="_Toc17" w:id="17"/>
      <w:r>
        <w:rPr>
          <w:rFonts w:cs="Arial Unicode MS" w:eastAsia="Arial Unicode MS"/>
          <w:rtl w:val="0"/>
          <w:lang w:val="en-US"/>
        </w:rPr>
        <w:t>Search Strategy and Systematic Review</w:t>
      </w:r>
      <w:bookmarkEnd w:id="17"/>
    </w:p>
    <w:p>
      <w:pPr>
        <w:pStyle w:val="Body"/>
        <w:spacing w:line="360" w:lineRule="auto"/>
        <w:jc w:val="both"/>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The oganissed strategy will involve keywords using Boolean operators, AND, OR, and NOT (Carcassi and Sbardolini, 2023). The search terms will comprise (type 2 diabetes OR diabetes mellitus) AND (healthcare professionals OR doctor OR nurse OR dietician) AND (self-management OR self-care OR diabetes management) AND (United Kingdom OR UK OR England OR Wales OR Scotland) and will also be incorporated in this research.</w:t>
      </w:r>
    </w:p>
    <w:p>
      <w:pPr>
        <w:pStyle w:val="Heading 2"/>
        <w:rPr>
          <w:outline w:val="0"/>
          <w:color w:val="000000"/>
          <w:u w:color="000000"/>
          <w14:textFill>
            <w14:solidFill>
              <w14:srgbClr w14:val="000000"/>
            </w14:solidFill>
          </w14:textFill>
        </w:rPr>
      </w:pPr>
      <w:bookmarkStart w:name="_Toc18" w:id="18"/>
      <w:r>
        <w:rPr>
          <w:rFonts w:cs="Arial Unicode MS" w:eastAsia="Arial Unicode MS"/>
          <w:rtl w:val="0"/>
          <w:lang w:val="en-US"/>
        </w:rPr>
        <w:t>Review Framework</w:t>
      </w:r>
      <w:bookmarkEnd w:id="18"/>
    </w:p>
    <w:p>
      <w:pPr>
        <w:pStyle w:val="Body"/>
        <w:spacing w:line="360" w:lineRule="auto"/>
        <w:jc w:val="both"/>
      </w:pPr>
      <w:r>
        <w:rPr>
          <w:rtl w:val="0"/>
          <w:lang w:val="en-US"/>
        </w:rPr>
        <w:t xml:space="preserve">The Population, Exposure and Outcome framework will lead this systematic literature review to ensure an effective search strategy which is based on research aims and questions (Vickery et al., 2020). The population will include adults suffering from Type 2 diabetes in the UK. Exposure : will be the collaboration between healthcare professionals like doctors, nurses, pharmacists and dieticians and diabetes education specialists for promoting diabetes self-management. The Outcome will be the advancement in self-management behaviours, a nutritious diet, physical exercises, blood-sugar monitoring, and education about diabetes. Therefore, this framework will keep the review focused and help find relevant evidence about health professionals' role for improving diabetes self-management among adults with T2DM.    </w:t>
      </w:r>
    </w:p>
    <w:p>
      <w:pPr>
        <w:pStyle w:val="Heading 2"/>
      </w:pPr>
      <w:bookmarkStart w:name="_Toc19" w:id="19"/>
      <w:r>
        <w:rPr>
          <w:rFonts w:cs="Arial Unicode MS" w:eastAsia="Arial Unicode MS"/>
          <w:rtl w:val="0"/>
          <w:lang w:val="fr-FR"/>
        </w:rPr>
        <w:t>Data collection</w:t>
      </w:r>
      <w:bookmarkEnd w:id="19"/>
    </w:p>
    <w:p>
      <w:pPr>
        <w:pStyle w:val="Body"/>
        <w:spacing w:line="360" w:lineRule="auto"/>
        <w:jc w:val="both"/>
      </w:pPr>
      <w:r>
        <w:rPr>
          <w:rtl w:val="0"/>
          <w:lang w:val="en-US"/>
        </w:rPr>
        <w:t>The research will be rely on secondary data to assess the role of healthcare professionals in Improving blood sugar Self-regulation among Adults with diabetes mellitus in the United Kingdom. Secondary data collection is the process of collecting and repurposing information that someone else or organisations have already collected and used (Nii Laryeafio and Ogbewe, 2023). Secondary data collection is necessary for furnishing existing evidence on healthcare professionals</w:t>
      </w:r>
      <w:r>
        <w:rPr>
          <w:rtl w:val="1"/>
        </w:rPr>
        <w:t xml:space="preserve">’ </w:t>
      </w:r>
      <w:r>
        <w:rPr>
          <w:rtl w:val="0"/>
          <w:lang w:val="en-US"/>
        </w:rPr>
        <w:t>interventions, adult outcomes, and self-regulation, facilitating comprehensive analysis without primary data.</w:t>
      </w:r>
    </w:p>
    <w:p>
      <w:pPr>
        <w:pStyle w:val="Body"/>
        <w:spacing w:line="360" w:lineRule="auto"/>
        <w:jc w:val="both"/>
        <w:rPr>
          <w:b w:val="1"/>
          <w:bCs w:val="1"/>
        </w:rPr>
      </w:pPr>
    </w:p>
    <w:p>
      <w:pPr>
        <w:pStyle w:val="Heading 2"/>
      </w:pPr>
      <w:bookmarkStart w:name="_Toc20" w:id="20"/>
      <w:r>
        <w:rPr>
          <w:rFonts w:cs="Arial Unicode MS" w:eastAsia="Arial Unicode MS"/>
          <w:rtl w:val="0"/>
          <w:lang w:val="en-US"/>
        </w:rPr>
        <w:t>Study Selection Process and Sampling</w:t>
      </w:r>
      <w:bookmarkEnd w:id="20"/>
    </w:p>
    <w:p>
      <w:pPr>
        <w:pStyle w:val="Body"/>
        <w:spacing w:line="360" w:lineRule="auto"/>
        <w:jc w:val="both"/>
      </w:pPr>
      <w:r>
        <w:rPr>
          <w:rtl w:val="0"/>
          <w:lang w:val="en-US"/>
        </w:rPr>
        <w:t xml:space="preserve">The study will be using specific keywords, and it will be following the PRISMA framework to successfully complete the research. Initially, the process will begin by removing duplicate records, followed by title and abstract screening. Afterwards, the remaining articles will be reviewed against the full text evaluation against inclusion and exclusion criteria. Around 20-30 articles will be analysed for the study  </w:t>
      </w:r>
    </w:p>
    <w:p>
      <w:pPr>
        <w:pStyle w:val="Heading 2"/>
      </w:pPr>
      <w:bookmarkStart w:name="_Toc21" w:id="21"/>
      <w:r>
        <w:rPr>
          <w:rFonts w:cs="Arial Unicode MS" w:eastAsia="Arial Unicode MS"/>
          <w:rtl w:val="0"/>
          <w:lang w:val="en-US"/>
        </w:rPr>
        <w:t>Key words</w:t>
      </w:r>
      <w:bookmarkEnd w:id="21"/>
    </w:p>
    <w:p>
      <w:pPr>
        <w:pStyle w:val="Body"/>
        <w:spacing w:line="360" w:lineRule="auto"/>
        <w:jc w:val="both"/>
        <w:rPr>
          <w:b w:val="1"/>
          <w:bCs w:val="1"/>
        </w:rPr>
      </w:pPr>
      <w:r>
        <w:rPr>
          <w:rtl w:val="0"/>
          <w:lang w:val="en-US"/>
        </w:rPr>
        <w:t>The keywords that will be used in this study are Type 2 Diabetes, T2DM, Diabetes self-management, healthcare professionals, adults, NHS, diabetes education, medication adherence, lifestyle modification, diabetes support, self-management education, clinical outcomes, diabetes support and quality of life.</w:t>
      </w:r>
    </w:p>
    <w:p>
      <w:pPr>
        <w:pStyle w:val="Heading 2"/>
      </w:pPr>
      <w:bookmarkStart w:name="_Toc22" w:id="22"/>
      <w:r>
        <w:rPr>
          <w:rFonts w:cs="Arial Unicode MS" w:eastAsia="Arial Unicode MS"/>
          <w:rtl w:val="0"/>
          <w:lang w:val="en-US"/>
        </w:rPr>
        <w:t xml:space="preserve">Databases to be used </w:t>
      </w:r>
      <w:bookmarkEnd w:id="22"/>
    </w:p>
    <w:p>
      <w:pPr>
        <w:pStyle w:val="Body"/>
        <w:spacing w:line="360" w:lineRule="auto"/>
        <w:jc w:val="both"/>
      </w:pPr>
      <w:r>
        <w:rPr>
          <w:rtl w:val="0"/>
          <w:lang w:val="en-US"/>
        </w:rPr>
        <w:t>The databases that will be extensively used in this study are Medline, Pubmed and Scopus. The research articles from Google Scholar will be referred to for collecting verified data for this study. Additionally, the statistics about diabetes mellitus among individuals in the UK have been gathered from sources like the BBC and the NHS UK.</w:t>
      </w:r>
    </w:p>
    <w:p>
      <w:pPr>
        <w:pStyle w:val="Body"/>
        <w:spacing w:line="360" w:lineRule="auto"/>
        <w:jc w:val="both"/>
      </w:pP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340"/>
        <w:gridCol w:w="2430"/>
        <w:gridCol w:w="2250"/>
        <w:gridCol w:w="2340"/>
      </w:tblGrid>
      <w:tr>
        <w:tblPrEx>
          <w:shd w:val="clear" w:color="auto" w:fill="ced7e7"/>
        </w:tblPrEx>
        <w:trPr>
          <w:trHeight w:val="253" w:hRule="atLeast"/>
        </w:trPr>
        <w:tc>
          <w:tcPr>
            <w:tcW w:type="dxa" w:w="23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lang w:val="fr-FR"/>
              </w:rPr>
              <w:t xml:space="preserve">Selection Criteria </w:t>
            </w:r>
          </w:p>
        </w:tc>
        <w:tc>
          <w:tcPr>
            <w:tcW w:type="dxa" w:w="243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lang w:val="es-ES_tradnl"/>
              </w:rPr>
              <w:t>Inclusion Criteria</w:t>
            </w:r>
          </w:p>
        </w:tc>
        <w:tc>
          <w:tcPr>
            <w:tcW w:type="dxa" w:w="22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lang w:val="fr-FR"/>
              </w:rPr>
              <w:t>Exclusion Criteria</w:t>
            </w:r>
          </w:p>
        </w:tc>
        <w:tc>
          <w:tcPr>
            <w:tcW w:type="dxa" w:w="23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lang w:val="fr-FR"/>
              </w:rPr>
              <w:t>Justification</w:t>
            </w:r>
          </w:p>
        </w:tc>
      </w:tr>
      <w:tr>
        <w:tblPrEx>
          <w:shd w:val="clear" w:color="auto" w:fill="ced7e7"/>
        </w:tblPrEx>
        <w:trPr>
          <w:trHeight w:val="1322" w:hRule="atLeast"/>
        </w:trPr>
        <w:tc>
          <w:tcPr>
            <w:tcW w:type="dxa" w:w="23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lang w:val="en-US"/>
              </w:rPr>
              <w:t>Publication Type</w:t>
            </w:r>
          </w:p>
        </w:tc>
        <w:tc>
          <w:tcPr>
            <w:tcW w:type="dxa" w:w="243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shd w:val="nil" w:color="auto" w:fill="auto"/>
                <w:rtl w:val="0"/>
                <w:lang w:val="en-US"/>
              </w:rPr>
              <w:t>Peer-reviewed articles</w:t>
            </w:r>
          </w:p>
        </w:tc>
        <w:tc>
          <w:tcPr>
            <w:tcW w:type="dxa" w:w="22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shd w:val="nil" w:color="auto" w:fill="auto"/>
                <w:rtl w:val="0"/>
                <w:lang w:val="en-US"/>
              </w:rPr>
              <w:t>Blogs, thesis, dissertation, and Non-peer reviewed articles.</w:t>
            </w:r>
          </w:p>
        </w:tc>
        <w:tc>
          <w:tcPr>
            <w:tcW w:type="dxa" w:w="23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shd w:val="nil" w:color="auto" w:fill="auto"/>
                <w:rtl w:val="0"/>
                <w:lang w:val="en-US"/>
              </w:rPr>
              <w:t>Peer-reviewed articles build research authenticity and standard quality</w:t>
            </w:r>
          </w:p>
        </w:tc>
      </w:tr>
      <w:tr>
        <w:tblPrEx>
          <w:shd w:val="clear" w:color="auto" w:fill="ced7e7"/>
        </w:tblPrEx>
        <w:trPr>
          <w:trHeight w:val="1678" w:hRule="atLeast"/>
        </w:trPr>
        <w:tc>
          <w:tcPr>
            <w:tcW w:type="dxa" w:w="23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lang w:val="de-DE"/>
              </w:rPr>
              <w:t>Publication Date</w:t>
            </w:r>
          </w:p>
        </w:tc>
        <w:tc>
          <w:tcPr>
            <w:tcW w:type="dxa" w:w="243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shd w:val="nil" w:color="auto" w:fill="auto"/>
                <w:rtl w:val="0"/>
                <w:lang w:val="en-US"/>
              </w:rPr>
              <w:t>Articles from 2020 to 2026</w:t>
            </w:r>
          </w:p>
        </w:tc>
        <w:tc>
          <w:tcPr>
            <w:tcW w:type="dxa" w:w="22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shd w:val="nil" w:color="auto" w:fill="auto"/>
                <w:rtl w:val="0"/>
                <w:lang w:val="en-US"/>
              </w:rPr>
              <w:t>Articles that are published before 2020</w:t>
            </w:r>
          </w:p>
        </w:tc>
        <w:tc>
          <w:tcPr>
            <w:tcW w:type="dxa" w:w="23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shd w:val="nil" w:color="auto" w:fill="auto"/>
                <w:rtl w:val="0"/>
                <w:lang w:val="en-US"/>
              </w:rPr>
              <w:t xml:space="preserve">Recently published articles give validated dynamics within a contemporary context. </w:t>
            </w:r>
          </w:p>
        </w:tc>
      </w:tr>
      <w:tr>
        <w:tblPrEx>
          <w:shd w:val="clear" w:color="auto" w:fill="ced7e7"/>
        </w:tblPrEx>
        <w:trPr>
          <w:trHeight w:val="1322" w:hRule="atLeast"/>
        </w:trPr>
        <w:tc>
          <w:tcPr>
            <w:tcW w:type="dxa" w:w="23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lang w:val="en-US"/>
              </w:rPr>
              <w:t xml:space="preserve">Language </w:t>
            </w:r>
          </w:p>
        </w:tc>
        <w:tc>
          <w:tcPr>
            <w:tcW w:type="dxa" w:w="243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shd w:val="nil" w:color="auto" w:fill="auto"/>
                <w:rtl w:val="0"/>
                <w:lang w:val="en-US"/>
              </w:rPr>
              <w:t>English</w:t>
            </w:r>
          </w:p>
        </w:tc>
        <w:tc>
          <w:tcPr>
            <w:tcW w:type="dxa" w:w="22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shd w:val="nil" w:color="auto" w:fill="auto"/>
                <w:rtl w:val="0"/>
                <w:lang w:val="en-US"/>
              </w:rPr>
              <w:t>Apart from English, other languages are excluded.</w:t>
            </w:r>
          </w:p>
        </w:tc>
        <w:tc>
          <w:tcPr>
            <w:tcW w:type="dxa" w:w="23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shd w:val="nil" w:color="auto" w:fill="auto"/>
                <w:rtl w:val="0"/>
                <w:lang w:val="en-US"/>
              </w:rPr>
              <w:t>The English language provides researchers with a well-rounded perspective</w:t>
            </w:r>
            <w:r>
              <w:rPr>
                <w:b w:val="1"/>
                <w:bCs w:val="1"/>
                <w:shd w:val="nil" w:color="auto" w:fill="auto"/>
                <w:rtl w:val="0"/>
              </w:rPr>
              <w:t>.</w:t>
            </w:r>
          </w:p>
        </w:tc>
      </w:tr>
      <w:tr>
        <w:tblPrEx>
          <w:shd w:val="clear" w:color="auto" w:fill="ced7e7"/>
        </w:tblPrEx>
        <w:trPr>
          <w:trHeight w:val="2391" w:hRule="atLeast"/>
        </w:trPr>
        <w:tc>
          <w:tcPr>
            <w:tcW w:type="dxa" w:w="23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lang w:val="en-US"/>
              </w:rPr>
              <w:t>Credibility</w:t>
            </w:r>
          </w:p>
        </w:tc>
        <w:tc>
          <w:tcPr>
            <w:tcW w:type="dxa" w:w="243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shd w:val="nil" w:color="auto" w:fill="auto"/>
                <w:rtl w:val="0"/>
                <w:lang w:val="en-US"/>
              </w:rPr>
              <w:t>All the articles are collected from credible sources that include structured introduction, thematic analysis, conclusion and systematic approach</w:t>
            </w:r>
          </w:p>
        </w:tc>
        <w:tc>
          <w:tcPr>
            <w:tcW w:type="dxa" w:w="225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shd w:val="nil" w:color="auto" w:fill="auto"/>
                <w:rtl w:val="0"/>
                <w:lang w:val="en-US"/>
              </w:rPr>
              <w:t>Unreliable sources with questionable survey data are excluded.</w:t>
            </w:r>
          </w:p>
        </w:tc>
        <w:tc>
          <w:tcPr>
            <w:tcW w:type="dxa" w:w="23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shd w:val="nil" w:color="auto" w:fill="auto"/>
                <w:rtl w:val="0"/>
                <w:lang w:val="en-US"/>
              </w:rPr>
              <w:t>Credible sources ensure that the information is correct and safe from errors.</w:t>
            </w:r>
          </w:p>
        </w:tc>
      </w:tr>
    </w:tbl>
    <w:p>
      <w:pPr>
        <w:pStyle w:val="Body"/>
        <w:widowControl w:val="0"/>
        <w:spacing w:line="240" w:lineRule="auto"/>
        <w:jc w:val="both"/>
      </w:pPr>
    </w:p>
    <w:p>
      <w:pPr>
        <w:pStyle w:val="Body"/>
        <w:spacing w:line="360" w:lineRule="auto"/>
        <w:jc w:val="center"/>
        <w:rPr>
          <w:b w:val="1"/>
          <w:bCs w:val="1"/>
        </w:rPr>
      </w:pPr>
      <w:r>
        <w:rPr>
          <w:b w:val="1"/>
          <w:bCs w:val="1"/>
          <w:rtl w:val="0"/>
          <w:lang w:val="en-US"/>
        </w:rPr>
        <w:t>Table: 1 Study Selection Process</w:t>
      </w:r>
    </w:p>
    <w:p>
      <w:pPr>
        <w:pStyle w:val="Body"/>
        <w:spacing w:line="360" w:lineRule="auto"/>
        <w:jc w:val="center"/>
      </w:pPr>
      <w:r>
        <w:rPr>
          <w:b w:val="1"/>
          <w:bCs w:val="1"/>
          <w:rtl w:val="0"/>
          <w:lang w:val="en-US"/>
        </w:rPr>
        <w:t>(Source: Self-developed)</w:t>
      </w:r>
    </w:p>
    <w:p>
      <w:pPr>
        <w:pStyle w:val="Heading 2"/>
      </w:pPr>
      <w:bookmarkStart w:name="_Toc23" w:id="23"/>
      <w:r>
        <w:rPr>
          <w:rFonts w:cs="Arial Unicode MS" w:eastAsia="Arial Unicode MS"/>
          <w:rtl w:val="0"/>
          <w:lang w:val="en-US"/>
        </w:rPr>
        <w:t>Data Extraction and Synthesis</w:t>
      </w:r>
      <w:bookmarkEnd w:id="23"/>
    </w:p>
    <w:p>
      <w:pPr>
        <w:pStyle w:val="Body"/>
        <w:spacing w:line="360" w:lineRule="auto"/>
        <w:jc w:val="both"/>
      </w:pPr>
      <w:r>
        <w:rPr>
          <w:rtl w:val="0"/>
          <w:lang w:val="en-US"/>
        </w:rPr>
        <w:t>The study will extract relevant information with a standardised table and incorporate those findings into a narrative approach. A structured data extraction table will document publication year, author, UK settings, study design and participant traits, the roles of healthcare professionals, and major findings. The findings will centre on how healthcare professionals support medical adherence, lifestyle changes, glucose monitoring and patient empowerment among adults suffering from T2DM. The extracted data will be thematically grouped and compared according to the medical guidance by professionals and self-management outcomes. The study will use a narrative synthesis to study heterogeneity science data pooling will be unsuitable for this research (Jacob et al., 2025).</w:t>
      </w:r>
    </w:p>
    <w:p>
      <w:pPr>
        <w:pStyle w:val="Heading 2"/>
      </w:pPr>
      <w:bookmarkStart w:name="_Toc24" w:id="24"/>
      <w:r>
        <w:rPr>
          <w:rFonts w:cs="Arial Unicode MS" w:eastAsia="Arial Unicode MS"/>
          <w:rtl w:val="0"/>
          <w:lang w:val="en-US"/>
        </w:rPr>
        <w:t>Critical Appraisal Tool</w:t>
      </w:r>
      <w:bookmarkEnd w:id="24"/>
    </w:p>
    <w:p>
      <w:pPr>
        <w:pStyle w:val="Body"/>
        <w:spacing w:line="360" w:lineRule="auto"/>
        <w:jc w:val="both"/>
      </w:pPr>
      <w:r>
        <w:rPr>
          <w:rtl w:val="0"/>
          <w:lang w:val="en-US"/>
        </w:rPr>
        <w:t>The research proposal will estimate the methodological soundness of the chosen studies by integrating the Critical Appraisal Skills Programme (CASP) (Asadzandi, Mojtahedzadeh and Mohammadi, 2022). This assessment will analyse the research quality by viewing the study design and participant recruitment; it will guide the systematic assessment of the chosen studies, checking validity, methodological quality, reliability, and appropriateness to boost evidence synthesis and research conclusions.</w:t>
      </w:r>
    </w:p>
    <w:p>
      <w:pPr>
        <w:pStyle w:val="Heading 2"/>
      </w:pPr>
      <w:bookmarkStart w:name="_Toc25" w:id="25"/>
      <w:r>
        <w:rPr>
          <w:rFonts w:cs="Arial Unicode MS" w:eastAsia="Arial Unicode MS"/>
          <w:rtl w:val="0"/>
          <w:lang w:val="en-US"/>
        </w:rPr>
        <w:t>Data Analysing Technique</w:t>
      </w:r>
      <w:bookmarkEnd w:id="25"/>
    </w:p>
    <w:p>
      <w:pPr>
        <w:pStyle w:val="Body"/>
        <w:spacing w:line="360" w:lineRule="auto"/>
        <w:jc w:val="both"/>
        <w:rPr>
          <w:b w:val="1"/>
          <w:bCs w:val="1"/>
        </w:rPr>
      </w:pPr>
      <w:r>
        <w:rPr>
          <w:rtl w:val="0"/>
          <w:lang w:val="en-US"/>
        </w:rPr>
        <w:t xml:space="preserve">The study will be utilising thematic analysis to evaluate, identify, and synthesise the repeated trends in the selected literature. The process will include reviewing the results, familiarising oneself with the findings, filtering suitable information, sorting individual data, and developing relevant themes. The investigation will primarily focus on how health professionals like doctors, nurses, and diabetes education specialists promote self-management among adults with Type 2 diabetes in the UK. </w:t>
      </w:r>
    </w:p>
    <w:p>
      <w:pPr>
        <w:pStyle w:val="Heading"/>
      </w:pPr>
      <w:bookmarkStart w:name="_Toc26" w:id="26"/>
      <w:r>
        <w:rPr>
          <w:rFonts w:cs="Arial Unicode MS" w:eastAsia="Arial Unicode MS"/>
          <w:rtl w:val="0"/>
          <w:lang w:val="en-US"/>
        </w:rPr>
        <w:t>Ethical considerations</w:t>
      </w:r>
      <w:bookmarkEnd w:id="26"/>
    </w:p>
    <w:p>
      <w:pPr>
        <w:pStyle w:val="Body"/>
        <w:spacing w:line="360" w:lineRule="auto"/>
        <w:jc w:val="both"/>
        <w:rPr>
          <w:b w:val="1"/>
          <w:bCs w:val="1"/>
        </w:rPr>
      </w:pPr>
      <w:r>
        <w:rPr>
          <w:rtl w:val="0"/>
          <w:lang w:val="en-US"/>
        </w:rPr>
        <w:t>Ethical considerations in an SLR help to ensure research integrity by managing conflicts of interest and preventing bias. In this research, proper Harvard referencing will be maintained to uphold the credibility of the authors and avoid plagiarism through transparent reporting and fair representation of all the information. From this perspective, Pandey et al. (2020), highlighted that proper referencing is helpful for upholding academic integrity and reflecting principles of honesty in the research. Additionally, university ethical approval will be obtained for the secondary research. Lastly, as the study does not recruit any participants, no formal approval will be required.</w:t>
      </w:r>
    </w:p>
    <w:p>
      <w:pPr>
        <w:pStyle w:val="Heading"/>
      </w:pPr>
      <w:bookmarkStart w:name="_Toc27" w:id="27"/>
      <w:r>
        <w:rPr>
          <w:rFonts w:cs="Arial Unicode MS" w:eastAsia="Arial Unicode MS"/>
          <w:rtl w:val="0"/>
          <w:lang w:val="fr-FR"/>
        </w:rPr>
        <w:t>Limitation</w:t>
      </w:r>
      <w:bookmarkEnd w:id="27"/>
    </w:p>
    <w:p>
      <w:pPr>
        <w:pStyle w:val="Body"/>
        <w:spacing w:line="360" w:lineRule="auto"/>
        <w:jc w:val="both"/>
      </w:pPr>
      <w:r>
        <w:rPr>
          <w:rtl w:val="0"/>
          <w:lang w:val="en-US"/>
        </w:rPr>
        <w:t>The high probability of publication bias exists in this study due to profound findings about the concept. Similarly, augmenting the judgement of the researchers during the interpretation, quality appraisal, and screening may induce subjectivity (Harrison et al., 2021). The previous limitations can be addressed through transparent reporting, transparent screening, quality appraisal, and proper adherence to the systematic review reporting guidance (Helbach et al., 2022). Therefore, it can be evaluated that the findings will be interpreted in an appropriate way, thus reducing the possibility of representation in a generalised way of the existing information.</w:t>
      </w:r>
    </w:p>
    <w:p>
      <w:pPr>
        <w:pStyle w:val="Heading"/>
      </w:pPr>
    </w:p>
    <w:p>
      <w:pPr>
        <w:pStyle w:val="Heading"/>
      </w:pPr>
      <w:bookmarkStart w:name="_Toc28" w:id="28"/>
      <w:r>
        <w:rPr>
          <w:rFonts w:cs="Arial Unicode MS" w:eastAsia="Arial Unicode MS"/>
          <w:rtl w:val="0"/>
          <w:lang w:val="da-DK"/>
        </w:rPr>
        <w:t>Timeline</w:t>
      </w:r>
      <w:r>
        <w:rPr>
          <w:rFonts w:cs="Arial Unicode MS" w:eastAsia="Arial Unicode MS"/>
          <w:rtl w:val="0"/>
          <w:lang w:val="en-US"/>
        </w:rPr>
        <w:t xml:space="preserve"> </w:t>
      </w:r>
      <w:bookmarkEnd w:id="28"/>
    </w:p>
    <w:tbl>
      <w:tblPr>
        <w:tblW w:w="877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582"/>
        <w:gridCol w:w="408"/>
        <w:gridCol w:w="408"/>
        <w:gridCol w:w="408"/>
        <w:gridCol w:w="408"/>
        <w:gridCol w:w="407"/>
        <w:gridCol w:w="408"/>
        <w:gridCol w:w="408"/>
        <w:gridCol w:w="408"/>
        <w:gridCol w:w="408"/>
        <w:gridCol w:w="445"/>
        <w:gridCol w:w="445"/>
        <w:gridCol w:w="445"/>
        <w:gridCol w:w="445"/>
        <w:gridCol w:w="445"/>
        <w:gridCol w:w="445"/>
        <w:gridCol w:w="856"/>
      </w:tblGrid>
      <w:tr>
        <w:tblPrEx>
          <w:shd w:val="clear" w:color="auto" w:fill="ced7e7"/>
        </w:tblPrEx>
        <w:trPr>
          <w:trHeight w:val="695" w:hRule="atLeast"/>
        </w:trPr>
        <w:tc>
          <w:tcPr>
            <w:tcW w:type="dxa" w:w="158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lang w:val="en-US"/>
              </w:rPr>
              <w:t>Activity</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rPr>
                <w:b w:val="1"/>
                <w:bCs w:val="1"/>
                <w:shd w:val="nil" w:color="auto" w:fill="auto"/>
              </w:rPr>
            </w:pPr>
            <w:r>
              <w:rPr>
                <w:b w:val="1"/>
                <w:bCs w:val="1"/>
                <w:shd w:val="nil" w:color="auto" w:fill="auto"/>
                <w:rtl w:val="0"/>
                <w:lang w:val="de-DE"/>
              </w:rPr>
              <w:t>W</w:t>
            </w:r>
          </w:p>
          <w:p>
            <w:pPr>
              <w:pStyle w:val="Body"/>
              <w:widowControl w:val="0"/>
              <w:bidi w:val="0"/>
              <w:spacing w:line="360" w:lineRule="auto"/>
              <w:ind w:left="0" w:right="0" w:firstLine="0"/>
              <w:jc w:val="both"/>
              <w:rPr>
                <w:rtl w:val="0"/>
              </w:rPr>
            </w:pPr>
            <w:r>
              <w:rPr>
                <w:b w:val="1"/>
                <w:bCs w:val="1"/>
                <w:shd w:val="nil" w:color="auto" w:fill="auto"/>
                <w:rtl w:val="0"/>
              </w:rPr>
              <w:t xml:space="preserve"> 1</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rPr>
                <w:b w:val="1"/>
                <w:bCs w:val="1"/>
                <w:shd w:val="nil" w:color="auto" w:fill="auto"/>
              </w:rPr>
            </w:pPr>
            <w:r>
              <w:rPr>
                <w:b w:val="1"/>
                <w:bCs w:val="1"/>
                <w:shd w:val="nil" w:color="auto" w:fill="auto"/>
                <w:rtl w:val="0"/>
                <w:lang w:val="de-DE"/>
              </w:rPr>
              <w:t>W</w:t>
            </w:r>
          </w:p>
          <w:p>
            <w:pPr>
              <w:pStyle w:val="Body"/>
              <w:widowControl w:val="0"/>
              <w:bidi w:val="0"/>
              <w:spacing w:line="360" w:lineRule="auto"/>
              <w:ind w:left="0" w:right="0" w:firstLine="0"/>
              <w:jc w:val="both"/>
              <w:rPr>
                <w:rtl w:val="0"/>
              </w:rPr>
            </w:pPr>
            <w:r>
              <w:rPr>
                <w:b w:val="1"/>
                <w:bCs w:val="1"/>
                <w:shd w:val="nil" w:color="auto" w:fill="auto"/>
                <w:rtl w:val="0"/>
              </w:rPr>
              <w:t xml:space="preserve"> 2</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rPr>
                <w:b w:val="1"/>
                <w:bCs w:val="1"/>
                <w:shd w:val="nil" w:color="auto" w:fill="auto"/>
              </w:rPr>
            </w:pPr>
            <w:r>
              <w:rPr>
                <w:b w:val="1"/>
                <w:bCs w:val="1"/>
                <w:shd w:val="nil" w:color="auto" w:fill="auto"/>
                <w:rtl w:val="0"/>
                <w:lang w:val="de-DE"/>
              </w:rPr>
              <w:t>W</w:t>
            </w:r>
          </w:p>
          <w:p>
            <w:pPr>
              <w:pStyle w:val="Body"/>
              <w:widowControl w:val="0"/>
              <w:bidi w:val="0"/>
              <w:spacing w:line="360" w:lineRule="auto"/>
              <w:ind w:left="0" w:right="0" w:firstLine="0"/>
              <w:jc w:val="both"/>
              <w:rPr>
                <w:rtl w:val="0"/>
              </w:rPr>
            </w:pPr>
            <w:r>
              <w:rPr>
                <w:b w:val="1"/>
                <w:bCs w:val="1"/>
                <w:shd w:val="nil" w:color="auto" w:fill="auto"/>
                <w:rtl w:val="0"/>
              </w:rPr>
              <w:t>3</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rPr>
                <w:b w:val="1"/>
                <w:bCs w:val="1"/>
                <w:shd w:val="nil" w:color="auto" w:fill="auto"/>
              </w:rPr>
            </w:pPr>
            <w:r>
              <w:rPr>
                <w:b w:val="1"/>
                <w:bCs w:val="1"/>
                <w:shd w:val="nil" w:color="auto" w:fill="auto"/>
                <w:rtl w:val="0"/>
                <w:lang w:val="de-DE"/>
              </w:rPr>
              <w:t>W</w:t>
            </w:r>
          </w:p>
          <w:p>
            <w:pPr>
              <w:pStyle w:val="Body"/>
              <w:widowControl w:val="0"/>
              <w:bidi w:val="0"/>
              <w:spacing w:line="360" w:lineRule="auto"/>
              <w:ind w:left="0" w:right="0" w:firstLine="0"/>
              <w:jc w:val="both"/>
              <w:rPr>
                <w:rtl w:val="0"/>
              </w:rPr>
            </w:pPr>
            <w:r>
              <w:rPr>
                <w:b w:val="1"/>
                <w:bCs w:val="1"/>
                <w:shd w:val="nil" w:color="auto" w:fill="auto"/>
                <w:rtl w:val="0"/>
              </w:rPr>
              <w:t>4</w:t>
            </w: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rPr>
                <w:b w:val="1"/>
                <w:bCs w:val="1"/>
                <w:shd w:val="nil" w:color="auto" w:fill="auto"/>
              </w:rPr>
            </w:pPr>
            <w:r>
              <w:rPr>
                <w:b w:val="1"/>
                <w:bCs w:val="1"/>
                <w:shd w:val="nil" w:color="auto" w:fill="auto"/>
                <w:rtl w:val="0"/>
                <w:lang w:val="de-DE"/>
              </w:rPr>
              <w:t>W</w:t>
            </w:r>
          </w:p>
          <w:p>
            <w:pPr>
              <w:pStyle w:val="Body"/>
              <w:widowControl w:val="0"/>
              <w:bidi w:val="0"/>
              <w:spacing w:line="360" w:lineRule="auto"/>
              <w:ind w:left="0" w:right="0" w:firstLine="0"/>
              <w:jc w:val="both"/>
              <w:rPr>
                <w:rtl w:val="0"/>
              </w:rPr>
            </w:pPr>
            <w:r>
              <w:rPr>
                <w:b w:val="1"/>
                <w:bCs w:val="1"/>
                <w:shd w:val="nil" w:color="auto" w:fill="auto"/>
                <w:rtl w:val="0"/>
              </w:rPr>
              <w:t>5</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rPr>
                <w:b w:val="1"/>
                <w:bCs w:val="1"/>
                <w:shd w:val="nil" w:color="auto" w:fill="auto"/>
              </w:rPr>
            </w:pPr>
            <w:r>
              <w:rPr>
                <w:b w:val="1"/>
                <w:bCs w:val="1"/>
                <w:shd w:val="nil" w:color="auto" w:fill="auto"/>
                <w:rtl w:val="0"/>
                <w:lang w:val="de-DE"/>
              </w:rPr>
              <w:t>W</w:t>
            </w:r>
          </w:p>
          <w:p>
            <w:pPr>
              <w:pStyle w:val="Body"/>
              <w:widowControl w:val="0"/>
              <w:bidi w:val="0"/>
              <w:spacing w:line="360" w:lineRule="auto"/>
              <w:ind w:left="0" w:right="0" w:firstLine="0"/>
              <w:jc w:val="both"/>
              <w:rPr>
                <w:rtl w:val="0"/>
              </w:rPr>
            </w:pPr>
            <w:r>
              <w:rPr>
                <w:b w:val="1"/>
                <w:bCs w:val="1"/>
                <w:shd w:val="nil" w:color="auto" w:fill="auto"/>
                <w:rtl w:val="0"/>
              </w:rPr>
              <w:t>6</w:t>
            </w: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rPr>
                <w:b w:val="1"/>
                <w:bCs w:val="1"/>
                <w:shd w:val="nil" w:color="auto" w:fill="auto"/>
              </w:rPr>
            </w:pPr>
            <w:r>
              <w:rPr>
                <w:b w:val="1"/>
                <w:bCs w:val="1"/>
                <w:shd w:val="nil" w:color="auto" w:fill="auto"/>
                <w:rtl w:val="0"/>
                <w:lang w:val="de-DE"/>
              </w:rPr>
              <w:t>W</w:t>
            </w:r>
          </w:p>
          <w:p>
            <w:pPr>
              <w:pStyle w:val="Body"/>
              <w:widowControl w:val="0"/>
              <w:bidi w:val="0"/>
              <w:spacing w:line="360" w:lineRule="auto"/>
              <w:ind w:left="0" w:right="0" w:firstLine="0"/>
              <w:jc w:val="both"/>
              <w:rPr>
                <w:rtl w:val="0"/>
              </w:rPr>
            </w:pPr>
            <w:r>
              <w:rPr>
                <w:b w:val="1"/>
                <w:bCs w:val="1"/>
                <w:shd w:val="nil" w:color="auto" w:fill="auto"/>
                <w:rtl w:val="0"/>
              </w:rPr>
              <w:t>7</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rPr>
                <w:b w:val="1"/>
                <w:bCs w:val="1"/>
                <w:shd w:val="nil" w:color="auto" w:fill="auto"/>
              </w:rPr>
            </w:pPr>
            <w:r>
              <w:rPr>
                <w:b w:val="1"/>
                <w:bCs w:val="1"/>
                <w:shd w:val="nil" w:color="auto" w:fill="auto"/>
                <w:rtl w:val="0"/>
                <w:lang w:val="de-DE"/>
              </w:rPr>
              <w:t>W</w:t>
            </w:r>
          </w:p>
          <w:p>
            <w:pPr>
              <w:pStyle w:val="Body"/>
              <w:widowControl w:val="0"/>
              <w:bidi w:val="0"/>
              <w:spacing w:line="360" w:lineRule="auto"/>
              <w:ind w:left="0" w:right="0" w:firstLine="0"/>
              <w:jc w:val="both"/>
              <w:rPr>
                <w:rtl w:val="0"/>
              </w:rPr>
            </w:pPr>
            <w:r>
              <w:rPr>
                <w:b w:val="1"/>
                <w:bCs w:val="1"/>
                <w:shd w:val="nil" w:color="auto" w:fill="auto"/>
                <w:rtl w:val="0"/>
              </w:rPr>
              <w:t>8</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rPr>
                <w:b w:val="1"/>
                <w:bCs w:val="1"/>
                <w:shd w:val="nil" w:color="auto" w:fill="auto"/>
              </w:rPr>
            </w:pPr>
            <w:r>
              <w:rPr>
                <w:b w:val="1"/>
                <w:bCs w:val="1"/>
                <w:shd w:val="nil" w:color="auto" w:fill="auto"/>
                <w:rtl w:val="0"/>
                <w:lang w:val="de-DE"/>
              </w:rPr>
              <w:t>W</w:t>
            </w:r>
          </w:p>
          <w:p>
            <w:pPr>
              <w:pStyle w:val="Body"/>
              <w:widowControl w:val="0"/>
              <w:bidi w:val="0"/>
              <w:spacing w:line="360" w:lineRule="auto"/>
              <w:ind w:left="0" w:right="0" w:firstLine="0"/>
              <w:jc w:val="both"/>
              <w:rPr>
                <w:rtl w:val="0"/>
              </w:rPr>
            </w:pPr>
            <w:r>
              <w:rPr>
                <w:b w:val="1"/>
                <w:bCs w:val="1"/>
                <w:shd w:val="nil" w:color="auto" w:fill="auto"/>
                <w:rtl w:val="0"/>
              </w:rPr>
              <w:t>9</w:t>
            </w: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rPr>
                <w:b w:val="1"/>
                <w:bCs w:val="1"/>
                <w:shd w:val="nil" w:color="auto" w:fill="auto"/>
              </w:rPr>
            </w:pPr>
            <w:r>
              <w:rPr>
                <w:b w:val="1"/>
                <w:bCs w:val="1"/>
                <w:shd w:val="nil" w:color="auto" w:fill="auto"/>
                <w:rtl w:val="0"/>
                <w:lang w:val="de-DE"/>
              </w:rPr>
              <w:t>W</w:t>
            </w:r>
          </w:p>
          <w:p>
            <w:pPr>
              <w:pStyle w:val="Body"/>
              <w:widowControl w:val="0"/>
              <w:bidi w:val="0"/>
              <w:spacing w:line="360" w:lineRule="auto"/>
              <w:ind w:left="0" w:right="0" w:firstLine="0"/>
              <w:jc w:val="both"/>
              <w:rPr>
                <w:rtl w:val="0"/>
              </w:rPr>
            </w:pPr>
            <w:r>
              <w:rPr>
                <w:b w:val="1"/>
                <w:bCs w:val="1"/>
                <w:shd w:val="nil" w:color="auto" w:fill="auto"/>
                <w:rtl w:val="0"/>
              </w:rPr>
              <w:t>10</w:t>
            </w: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rPr>
                <w:b w:val="1"/>
                <w:bCs w:val="1"/>
                <w:shd w:val="nil" w:color="auto" w:fill="auto"/>
              </w:rPr>
            </w:pPr>
            <w:r>
              <w:rPr>
                <w:b w:val="1"/>
                <w:bCs w:val="1"/>
                <w:shd w:val="nil" w:color="auto" w:fill="auto"/>
                <w:rtl w:val="0"/>
                <w:lang w:val="de-DE"/>
              </w:rPr>
              <w:t>W</w:t>
            </w:r>
          </w:p>
          <w:p>
            <w:pPr>
              <w:pStyle w:val="Body"/>
              <w:widowControl w:val="0"/>
              <w:bidi w:val="0"/>
              <w:spacing w:line="360" w:lineRule="auto"/>
              <w:ind w:left="0" w:right="0" w:firstLine="0"/>
              <w:jc w:val="both"/>
              <w:rPr>
                <w:rtl w:val="0"/>
              </w:rPr>
            </w:pPr>
            <w:r>
              <w:rPr>
                <w:b w:val="1"/>
                <w:bCs w:val="1"/>
                <w:shd w:val="nil" w:color="auto" w:fill="auto"/>
                <w:rtl w:val="0"/>
              </w:rPr>
              <w:t>11</w:t>
            </w: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rPr>
                <w:b w:val="1"/>
                <w:bCs w:val="1"/>
                <w:shd w:val="nil" w:color="auto" w:fill="auto"/>
              </w:rPr>
            </w:pPr>
            <w:r>
              <w:rPr>
                <w:b w:val="1"/>
                <w:bCs w:val="1"/>
                <w:shd w:val="nil" w:color="auto" w:fill="auto"/>
                <w:rtl w:val="0"/>
                <w:lang w:val="de-DE"/>
              </w:rPr>
              <w:t>W</w:t>
            </w:r>
          </w:p>
          <w:p>
            <w:pPr>
              <w:pStyle w:val="Body"/>
              <w:widowControl w:val="0"/>
              <w:bidi w:val="0"/>
              <w:spacing w:line="360" w:lineRule="auto"/>
              <w:ind w:left="0" w:right="0" w:firstLine="0"/>
              <w:jc w:val="both"/>
              <w:rPr>
                <w:rtl w:val="0"/>
              </w:rPr>
            </w:pPr>
            <w:r>
              <w:rPr>
                <w:b w:val="1"/>
                <w:bCs w:val="1"/>
                <w:shd w:val="nil" w:color="auto" w:fill="auto"/>
                <w:rtl w:val="0"/>
              </w:rPr>
              <w:t>12</w:t>
            </w: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rPr>
                <w:b w:val="1"/>
                <w:bCs w:val="1"/>
                <w:shd w:val="nil" w:color="auto" w:fill="auto"/>
              </w:rPr>
            </w:pPr>
            <w:r>
              <w:rPr>
                <w:b w:val="1"/>
                <w:bCs w:val="1"/>
                <w:shd w:val="nil" w:color="auto" w:fill="auto"/>
                <w:rtl w:val="0"/>
                <w:lang w:val="de-DE"/>
              </w:rPr>
              <w:t>W</w:t>
            </w:r>
          </w:p>
          <w:p>
            <w:pPr>
              <w:pStyle w:val="Body"/>
              <w:widowControl w:val="0"/>
              <w:bidi w:val="0"/>
              <w:spacing w:line="360" w:lineRule="auto"/>
              <w:ind w:left="0" w:right="0" w:firstLine="0"/>
              <w:jc w:val="both"/>
              <w:rPr>
                <w:rtl w:val="0"/>
              </w:rPr>
            </w:pPr>
            <w:r>
              <w:rPr>
                <w:b w:val="1"/>
                <w:bCs w:val="1"/>
                <w:shd w:val="nil" w:color="auto" w:fill="auto"/>
                <w:rtl w:val="0"/>
              </w:rPr>
              <w:t>13</w:t>
            </w: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rPr>
                <w:b w:val="1"/>
                <w:bCs w:val="1"/>
                <w:shd w:val="nil" w:color="auto" w:fill="auto"/>
              </w:rPr>
            </w:pPr>
            <w:r>
              <w:rPr>
                <w:b w:val="1"/>
                <w:bCs w:val="1"/>
                <w:shd w:val="nil" w:color="auto" w:fill="auto"/>
                <w:rtl w:val="0"/>
                <w:lang w:val="de-DE"/>
              </w:rPr>
              <w:t>W</w:t>
            </w:r>
          </w:p>
          <w:p>
            <w:pPr>
              <w:pStyle w:val="Body"/>
              <w:widowControl w:val="0"/>
              <w:bidi w:val="0"/>
              <w:spacing w:line="360" w:lineRule="auto"/>
              <w:ind w:left="0" w:right="0" w:firstLine="0"/>
              <w:jc w:val="both"/>
              <w:rPr>
                <w:rtl w:val="0"/>
              </w:rPr>
            </w:pPr>
            <w:r>
              <w:rPr>
                <w:b w:val="1"/>
                <w:bCs w:val="1"/>
                <w:shd w:val="nil" w:color="auto" w:fill="auto"/>
                <w:rtl w:val="0"/>
              </w:rPr>
              <w:t>14</w:t>
            </w: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rPr>
                <w:b w:val="1"/>
                <w:bCs w:val="1"/>
                <w:shd w:val="nil" w:color="auto" w:fill="auto"/>
              </w:rPr>
            </w:pPr>
            <w:r>
              <w:rPr>
                <w:b w:val="1"/>
                <w:bCs w:val="1"/>
                <w:shd w:val="nil" w:color="auto" w:fill="auto"/>
                <w:rtl w:val="0"/>
                <w:lang w:val="de-DE"/>
              </w:rPr>
              <w:t>W</w:t>
            </w:r>
          </w:p>
          <w:p>
            <w:pPr>
              <w:pStyle w:val="Body"/>
              <w:widowControl w:val="0"/>
              <w:bidi w:val="0"/>
              <w:spacing w:line="360" w:lineRule="auto"/>
              <w:ind w:left="0" w:right="0" w:firstLine="0"/>
              <w:jc w:val="both"/>
              <w:rPr>
                <w:rtl w:val="0"/>
              </w:rPr>
            </w:pPr>
            <w:r>
              <w:rPr>
                <w:b w:val="1"/>
                <w:bCs w:val="1"/>
                <w:shd w:val="nil" w:color="auto" w:fill="auto"/>
                <w:rtl w:val="0"/>
              </w:rPr>
              <w:t>15</w:t>
            </w:r>
          </w:p>
        </w:tc>
        <w:tc>
          <w:tcPr>
            <w:tcW w:type="dxa" w:w="8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rPr>
                <w:b w:val="1"/>
                <w:bCs w:val="1"/>
                <w:shd w:val="nil" w:color="auto" w:fill="auto"/>
              </w:rPr>
            </w:pPr>
            <w:r>
              <w:rPr>
                <w:b w:val="1"/>
                <w:bCs w:val="1"/>
                <w:shd w:val="nil" w:color="auto" w:fill="auto"/>
                <w:rtl w:val="0"/>
                <w:lang w:val="de-DE"/>
              </w:rPr>
              <w:t>W</w:t>
            </w:r>
          </w:p>
          <w:p>
            <w:pPr>
              <w:pStyle w:val="Body"/>
              <w:widowControl w:val="0"/>
              <w:bidi w:val="0"/>
              <w:spacing w:line="360" w:lineRule="auto"/>
              <w:ind w:left="0" w:right="0" w:firstLine="0"/>
              <w:jc w:val="both"/>
              <w:rPr>
                <w:rtl w:val="0"/>
              </w:rPr>
            </w:pPr>
            <w:r>
              <w:rPr>
                <w:b w:val="1"/>
                <w:bCs w:val="1"/>
                <w:shd w:val="nil" w:color="auto" w:fill="auto"/>
                <w:rtl w:val="0"/>
              </w:rPr>
              <w:t>16</w:t>
            </w:r>
          </w:p>
        </w:tc>
      </w:tr>
      <w:tr>
        <w:tblPrEx>
          <w:shd w:val="clear" w:color="auto" w:fill="ced7e7"/>
        </w:tblPrEx>
        <w:trPr>
          <w:trHeight w:val="966" w:hRule="atLeast"/>
        </w:trPr>
        <w:tc>
          <w:tcPr>
            <w:tcW w:type="dxa" w:w="158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lang w:val="en-US"/>
              </w:rPr>
              <w:t xml:space="preserve">Planning and Concept Development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8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609" w:hRule="atLeast"/>
        </w:trPr>
        <w:tc>
          <w:tcPr>
            <w:tcW w:type="dxa" w:w="158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lang w:val="en-US"/>
              </w:rPr>
              <w:t>Literature Search</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w:t>
            </w: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8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678" w:hRule="atLeast"/>
        </w:trPr>
        <w:tc>
          <w:tcPr>
            <w:tcW w:type="dxa" w:w="158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lang w:val="en-US"/>
              </w:rPr>
              <w:t>Study Selection and Screening process</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8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609" w:hRule="atLeast"/>
        </w:trPr>
        <w:tc>
          <w:tcPr>
            <w:tcW w:type="dxa" w:w="158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lang w:val="fr-FR"/>
              </w:rPr>
              <w:t xml:space="preserve">Data Collection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8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966" w:hRule="atLeast"/>
        </w:trPr>
        <w:tc>
          <w:tcPr>
            <w:tcW w:type="dxa" w:w="158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lang w:val="de-DE"/>
              </w:rPr>
              <w:t>Data Analysis (Thematic)</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8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609" w:hRule="atLeast"/>
        </w:trPr>
        <w:tc>
          <w:tcPr>
            <w:tcW w:type="dxa" w:w="158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lang w:val="en-US"/>
              </w:rPr>
              <w:t>Writing Introduction</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8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966" w:hRule="atLeast"/>
        </w:trPr>
        <w:tc>
          <w:tcPr>
            <w:tcW w:type="dxa" w:w="158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lang w:val="en-US"/>
              </w:rPr>
              <w:t xml:space="preserve">Write Literature Review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8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609" w:hRule="atLeast"/>
        </w:trPr>
        <w:tc>
          <w:tcPr>
            <w:tcW w:type="dxa" w:w="158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lang w:val="en-US"/>
              </w:rPr>
              <w:t>Write Methodology</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8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678" w:hRule="atLeast"/>
        </w:trPr>
        <w:tc>
          <w:tcPr>
            <w:tcW w:type="dxa" w:w="158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rPr>
                <w:b w:val="1"/>
                <w:bCs w:val="1"/>
                <w:shd w:val="nil" w:color="auto" w:fill="auto"/>
              </w:rPr>
            </w:pPr>
            <w:r>
              <w:rPr>
                <w:b w:val="1"/>
                <w:bCs w:val="1"/>
                <w:shd w:val="nil" w:color="auto" w:fill="auto"/>
                <w:rtl w:val="0"/>
                <w:lang w:val="en-US"/>
              </w:rPr>
              <w:t xml:space="preserve">Write </w:t>
            </w:r>
          </w:p>
          <w:p>
            <w:pPr>
              <w:pStyle w:val="Body"/>
              <w:widowControl w:val="0"/>
              <w:bidi w:val="0"/>
              <w:spacing w:line="360" w:lineRule="auto"/>
              <w:ind w:left="0" w:right="0" w:firstLine="0"/>
              <w:jc w:val="both"/>
              <w:rPr>
                <w:rtl w:val="0"/>
              </w:rPr>
            </w:pPr>
            <w:r>
              <w:rPr>
                <w:b w:val="1"/>
                <w:bCs w:val="1"/>
                <w:shd w:val="nil" w:color="auto" w:fill="auto"/>
                <w:rtl w:val="0"/>
                <w:lang w:val="en-US"/>
              </w:rPr>
              <w:t>Findings/ Outcomes and Action Plan</w:t>
            </w: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0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both"/>
            </w:pPr>
            <w:r>
              <w:rPr>
                <w:b w:val="1"/>
                <w:bCs w:val="1"/>
                <w:shd w:val="nil" w:color="auto" w:fill="auto"/>
                <w:rtl w:val="0"/>
              </w:rPr>
              <w:t xml:space="preserve"> .</w:t>
            </w: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4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8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bl>
    <w:p>
      <w:pPr>
        <w:pStyle w:val="Heading"/>
      </w:pPr>
      <w:r>
        <w:br w:type="textWrapping"/>
      </w:r>
    </w:p>
    <w:p>
      <w:pPr>
        <w:pStyle w:val="Heading"/>
      </w:pPr>
      <w:bookmarkStart w:name="_Toc29" w:id="29"/>
      <w:r>
        <w:rPr>
          <w:rFonts w:cs="Arial Unicode MS" w:eastAsia="Arial Unicode MS"/>
          <w:rtl w:val="0"/>
          <w:lang w:val="en-US"/>
        </w:rPr>
        <w:t xml:space="preserve">Expected Contribution </w:t>
      </w:r>
      <w:r>
        <w:br w:type="textWrapping"/>
        <w:br w:type="textWrapping"/>
      </w:r>
      <w:r>
        <w:rPr>
          <w:rFonts w:cs="Arial Unicode MS" w:eastAsia="Arial Unicode MS"/>
          <w:rtl w:val="0"/>
          <w:lang w:val="en-US"/>
        </w:rPr>
        <w:t>The SLR will have several favourable outcomes for adults with Type 2 diabetes. It will analyse the risks and contributing factors, evidence gaps, and implications for Type 2 diabetes prevention and timely healthcare professional intervention, paving the way for future research.</w:t>
      </w:r>
      <w:bookmarkEnd w:id="29"/>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Body"/>
        <w:spacing w:line="360" w:lineRule="auto"/>
        <w:jc w:val="both"/>
        <w:rPr>
          <w:rFonts w:ascii="Times New Roman" w:cs="Times New Roman" w:hAnsi="Times New Roman" w:eastAsia="Times New Roman"/>
          <w:b w:val="1"/>
          <w:bCs w:val="1"/>
          <w:sz w:val="24"/>
          <w:szCs w:val="24"/>
        </w:rPr>
      </w:pPr>
    </w:p>
    <w:p>
      <w:pPr>
        <w:pStyle w:val="Heading"/>
      </w:pPr>
      <w:bookmarkStart w:name="_Toc30" w:id="30"/>
      <w:r>
        <w:rPr>
          <w:rFonts w:cs="Arial Unicode MS" w:eastAsia="Arial Unicode MS"/>
          <w:rtl w:val="0"/>
          <w:lang w:val="en-US"/>
        </w:rPr>
        <w:t xml:space="preserve">References  </w:t>
      </w:r>
      <w:bookmarkEnd w:id="30"/>
    </w:p>
    <w:p>
      <w:pPr>
        <w:pStyle w:val="Body"/>
        <w:spacing w:line="360" w:lineRule="auto"/>
        <w:jc w:val="both"/>
        <w:rPr>
          <w:rStyle w:val="None"/>
        </w:rPr>
      </w:pPr>
      <w:r>
        <w:rPr>
          <w:rtl w:val="0"/>
          <w:lang w:val="en-US"/>
        </w:rPr>
        <w:t xml:space="preserve">Abu, S. and Llahana, S., (2025). Factors influencing the uptake of culturally tailored diabetes self-management education and support programmes among ethnic minority patients with type 2 diabetes: A systematic review. </w:t>
      </w:r>
      <w:r>
        <w:rPr>
          <w:i w:val="1"/>
          <w:iCs w:val="1"/>
          <w:rtl w:val="0"/>
          <w:lang w:val="en-US"/>
        </w:rPr>
        <w:t>Primary Care Diabetes</w:t>
      </w:r>
      <w:r>
        <w:rPr>
          <w:rtl w:val="0"/>
        </w:rPr>
        <w:t xml:space="preserve">, </w:t>
      </w:r>
      <w:r>
        <w:rPr>
          <w:i w:val="1"/>
          <w:iCs w:val="1"/>
          <w:rtl w:val="0"/>
        </w:rPr>
        <w:t>19</w:t>
      </w:r>
      <w:r>
        <w:rPr>
          <w:rtl w:val="0"/>
          <w:lang w:val="en-US"/>
        </w:rPr>
        <w:t xml:space="preserve">(2), pp.103-110 Available at:  </w:t>
      </w:r>
      <w:r>
        <w:rPr>
          <w:rStyle w:val="Hyperlink.0"/>
        </w:rPr>
        <w:fldChar w:fldCharType="begin" w:fldLock="0"/>
      </w:r>
      <w:r>
        <w:rPr>
          <w:rStyle w:val="Hyperlink.0"/>
        </w:rPr>
        <w:instrText xml:space="preserve"> HYPERLINK "https://www.sciencedirect.com/science/article/pii/S1751991825000312"</w:instrText>
      </w:r>
      <w:r>
        <w:rPr>
          <w:rStyle w:val="Hyperlink.0"/>
        </w:rPr>
        <w:fldChar w:fldCharType="separate" w:fldLock="0"/>
      </w:r>
      <w:r>
        <w:rPr>
          <w:rStyle w:val="Hyperlink.0"/>
          <w:rtl w:val="0"/>
          <w:lang w:val="en-US"/>
        </w:rPr>
        <w:t>https://www.sciencedirect.com/science/article/pii/S1751991825000312</w:t>
      </w:r>
      <w:r>
        <w:rPr/>
        <w:fldChar w:fldCharType="end" w:fldLock="0"/>
      </w:r>
    </w:p>
    <w:p>
      <w:pPr>
        <w:pStyle w:val="Body"/>
        <w:spacing w:line="360" w:lineRule="auto"/>
        <w:jc w:val="both"/>
        <w:rPr>
          <w:rStyle w:val="None"/>
        </w:rPr>
      </w:pPr>
      <w:r>
        <w:rPr>
          <w:rStyle w:val="None"/>
          <w:rtl w:val="0"/>
          <w:lang w:val="en-US"/>
        </w:rPr>
        <w:t xml:space="preserve">Ahmad, E., Sargeant, J.A., Yates, T., Webb, D.R. and Davies, M.J., 2022. Type 2 diabetes and impaired physical function: a growing problem. </w:t>
      </w:r>
      <w:r>
        <w:rPr>
          <w:rStyle w:val="None"/>
          <w:i w:val="1"/>
          <w:iCs w:val="1"/>
          <w:rtl w:val="0"/>
        </w:rPr>
        <w:t>Diabetology</w:t>
      </w:r>
      <w:r>
        <w:rPr>
          <w:rStyle w:val="None"/>
          <w:rtl w:val="0"/>
        </w:rPr>
        <w:t xml:space="preserve">, </w:t>
      </w:r>
      <w:r>
        <w:rPr>
          <w:rStyle w:val="None"/>
          <w:i w:val="1"/>
          <w:iCs w:val="1"/>
          <w:rtl w:val="0"/>
        </w:rPr>
        <w:t>3</w:t>
      </w:r>
      <w:r>
        <w:rPr>
          <w:rStyle w:val="None"/>
          <w:rtl w:val="0"/>
          <w:lang w:val="en-US"/>
        </w:rPr>
        <w:t xml:space="preserve">(1), pp.30-45. Available at: </w:t>
      </w:r>
      <w:r>
        <w:rPr>
          <w:rStyle w:val="Hyperlink.0"/>
        </w:rPr>
        <w:fldChar w:fldCharType="begin" w:fldLock="0"/>
      </w:r>
      <w:r>
        <w:rPr>
          <w:rStyle w:val="Hyperlink.0"/>
        </w:rPr>
        <w:instrText xml:space="preserve"> HYPERLINK "https://www.mdpi.com/2673-4540/3/1/3"</w:instrText>
      </w:r>
      <w:r>
        <w:rPr>
          <w:rStyle w:val="Hyperlink.0"/>
        </w:rPr>
        <w:fldChar w:fldCharType="separate" w:fldLock="0"/>
      </w:r>
      <w:r>
        <w:rPr>
          <w:rStyle w:val="Hyperlink.0"/>
          <w:rtl w:val="0"/>
          <w:lang w:val="en-US"/>
        </w:rPr>
        <w:t>https://www.mdpi.com/2673-4540/3/1/3</w:t>
      </w:r>
      <w:r>
        <w:rPr/>
        <w:fldChar w:fldCharType="end" w:fldLock="0"/>
      </w:r>
    </w:p>
    <w:p>
      <w:pPr>
        <w:pStyle w:val="Body"/>
        <w:spacing w:line="360" w:lineRule="auto"/>
        <w:jc w:val="both"/>
        <w:rPr>
          <w:rStyle w:val="None"/>
        </w:rPr>
      </w:pPr>
      <w:r>
        <w:rPr>
          <w:rStyle w:val="None"/>
          <w:rtl w:val="0"/>
          <w:lang w:val="nl-NL"/>
        </w:rPr>
        <w:t>Allory, E., Scheer, J., De Andrade, V., Garlant</w:t>
      </w:r>
      <w:r>
        <w:rPr>
          <w:rStyle w:val="None"/>
          <w:rtl w:val="0"/>
          <w:lang w:val="fr-FR"/>
        </w:rPr>
        <w:t>é</w:t>
      </w:r>
      <w:r>
        <w:rPr>
          <w:rStyle w:val="None"/>
          <w:rtl w:val="0"/>
          <w:lang w:val="en-US"/>
        </w:rPr>
        <w:t xml:space="preserve">zec, R. and Gagnayre, R., (2024). Characteristics of self-management education and support programmes for people with chronic diseases delivered by primary care teams: a rapid review. </w:t>
      </w:r>
      <w:r>
        <w:rPr>
          <w:rStyle w:val="None"/>
          <w:i w:val="1"/>
          <w:iCs w:val="1"/>
          <w:rtl w:val="0"/>
          <w:lang w:val="en-US"/>
        </w:rPr>
        <w:t>BMC Primary Care</w:t>
      </w:r>
      <w:r>
        <w:rPr>
          <w:rStyle w:val="None"/>
          <w:rtl w:val="0"/>
        </w:rPr>
        <w:t xml:space="preserve">, </w:t>
      </w:r>
      <w:r>
        <w:rPr>
          <w:rStyle w:val="None"/>
          <w:i w:val="1"/>
          <w:iCs w:val="1"/>
          <w:rtl w:val="0"/>
        </w:rPr>
        <w:t>25</w:t>
      </w:r>
      <w:r>
        <w:rPr>
          <w:rStyle w:val="None"/>
          <w:rtl w:val="0"/>
          <w:lang w:val="en-US"/>
        </w:rPr>
        <w:t xml:space="preserve">(1), p.46. Available at: </w:t>
      </w:r>
      <w:r>
        <w:rPr>
          <w:rStyle w:val="Hyperlink.0"/>
        </w:rPr>
        <w:fldChar w:fldCharType="begin" w:fldLock="0"/>
      </w:r>
      <w:r>
        <w:rPr>
          <w:rStyle w:val="Hyperlink.0"/>
        </w:rPr>
        <w:instrText xml:space="preserve"> HYPERLINK "https://link.springer.com/article/10.1186/s12875-024-02262-2"</w:instrText>
      </w:r>
      <w:r>
        <w:rPr>
          <w:rStyle w:val="Hyperlink.0"/>
        </w:rPr>
        <w:fldChar w:fldCharType="separate" w:fldLock="0"/>
      </w:r>
      <w:r>
        <w:rPr>
          <w:rStyle w:val="Hyperlink.0"/>
          <w:rtl w:val="0"/>
        </w:rPr>
        <w:t>https://link.springer.com/article/10.1186/s12875-024-02262-2</w:t>
      </w:r>
      <w:r>
        <w:rPr/>
        <w:fldChar w:fldCharType="end" w:fldLock="0"/>
      </w:r>
    </w:p>
    <w:p>
      <w:pPr>
        <w:pStyle w:val="Body"/>
        <w:spacing w:line="360" w:lineRule="auto"/>
        <w:jc w:val="both"/>
        <w:rPr>
          <w:rStyle w:val="None"/>
        </w:rPr>
      </w:pPr>
      <w:r>
        <w:rPr>
          <w:rStyle w:val="None"/>
          <w:rtl w:val="0"/>
          <w:lang w:val="en-US"/>
        </w:rPr>
        <w:t xml:space="preserve">Amin, M.F., Bhowmik, B., Rouf, R., Khan, M.I., Tasnim, S.A., Afsana, F., Sharmin, R., Hossain, K.N., Khan, M.A.S., Amin, S.M. and Khan, M.S.S., (2022). Assessment of quality of life and its determinants in type-2 diabetes patients using the WHOQOL-BREF instrument in Bangladesh. </w:t>
      </w:r>
      <w:r>
        <w:rPr>
          <w:rStyle w:val="None"/>
          <w:i w:val="1"/>
          <w:iCs w:val="1"/>
          <w:rtl w:val="0"/>
          <w:lang w:val="de-DE"/>
        </w:rPr>
        <w:t>BMC Endocrine Disorders</w:t>
      </w:r>
      <w:r>
        <w:rPr>
          <w:rStyle w:val="None"/>
          <w:rtl w:val="0"/>
        </w:rPr>
        <w:t xml:space="preserve">, </w:t>
      </w:r>
      <w:r>
        <w:rPr>
          <w:rStyle w:val="None"/>
          <w:i w:val="1"/>
          <w:iCs w:val="1"/>
          <w:rtl w:val="0"/>
        </w:rPr>
        <w:t>22</w:t>
      </w:r>
      <w:r>
        <w:rPr>
          <w:rStyle w:val="None"/>
          <w:rtl w:val="0"/>
          <w:lang w:val="en-US"/>
        </w:rPr>
        <w:t xml:space="preserve">(1), p.162. Available at: </w:t>
      </w:r>
    </w:p>
    <w:p>
      <w:pPr>
        <w:pStyle w:val="Body"/>
        <w:spacing w:line="360" w:lineRule="auto"/>
        <w:jc w:val="both"/>
        <w:rPr>
          <w:rStyle w:val="None"/>
        </w:rPr>
      </w:pPr>
      <w:r>
        <w:rPr>
          <w:rStyle w:val="None"/>
          <w:rtl w:val="0"/>
          <w:lang w:val="en-US"/>
        </w:rPr>
        <w:t xml:space="preserve">Araki, A., (2024). Individualized treatment of diabetes mellitus in older adults. </w:t>
      </w:r>
      <w:r>
        <w:rPr>
          <w:rStyle w:val="None"/>
          <w:i w:val="1"/>
          <w:iCs w:val="1"/>
          <w:rtl w:val="0"/>
          <w:lang w:val="en-US"/>
        </w:rPr>
        <w:t>Geriatrics &amp; Gerontology International</w:t>
      </w:r>
      <w:r>
        <w:rPr>
          <w:rStyle w:val="None"/>
          <w:rtl w:val="0"/>
        </w:rPr>
        <w:t xml:space="preserve">, </w:t>
      </w:r>
      <w:r>
        <w:rPr>
          <w:rStyle w:val="None"/>
          <w:i w:val="1"/>
          <w:iCs w:val="1"/>
          <w:rtl w:val="0"/>
        </w:rPr>
        <w:t>24</w:t>
      </w:r>
      <w:r>
        <w:rPr>
          <w:rStyle w:val="None"/>
          <w:rtl w:val="0"/>
          <w:lang w:val="en-US"/>
        </w:rPr>
        <w:t xml:space="preserve">(12), pp.1257-1268. Available at: </w:t>
      </w:r>
      <w:r>
        <w:rPr>
          <w:rStyle w:val="Hyperlink.0"/>
        </w:rPr>
        <w:fldChar w:fldCharType="begin" w:fldLock="0"/>
      </w:r>
      <w:r>
        <w:rPr>
          <w:rStyle w:val="Hyperlink.0"/>
        </w:rPr>
        <w:instrText xml:space="preserve"> HYPERLINK "https://onlinelibrary.wiley.com/doi/full/10.1111/ggi.14979"</w:instrText>
      </w:r>
      <w:r>
        <w:rPr>
          <w:rStyle w:val="Hyperlink.0"/>
        </w:rPr>
        <w:fldChar w:fldCharType="separate" w:fldLock="0"/>
      </w:r>
      <w:r>
        <w:rPr>
          <w:rStyle w:val="Hyperlink.0"/>
          <w:rtl w:val="0"/>
          <w:lang w:val="en-US"/>
        </w:rPr>
        <w:t>https://onlinelibrary.wiley.com/doi/full/10.1111/ggi.14979</w:t>
      </w:r>
      <w:r>
        <w:rPr/>
        <w:fldChar w:fldCharType="end" w:fldLock="0"/>
      </w:r>
    </w:p>
    <w:p>
      <w:pPr>
        <w:pStyle w:val="Body"/>
        <w:spacing w:line="360" w:lineRule="auto"/>
        <w:jc w:val="both"/>
        <w:rPr>
          <w:rStyle w:val="None"/>
        </w:rPr>
      </w:pPr>
      <w:r>
        <w:rPr>
          <w:rStyle w:val="None"/>
          <w:rtl w:val="0"/>
          <w:lang w:val="en-US"/>
        </w:rPr>
        <w:t xml:space="preserve">Asadzandi, S., Mojtahedzadeh, R. and Mohammadi, A., (2022). What are the factors that enhance metacognitive skills in nursing students? A systematic review. </w:t>
      </w:r>
      <w:r>
        <w:rPr>
          <w:rStyle w:val="None"/>
          <w:i w:val="1"/>
          <w:iCs w:val="1"/>
          <w:rtl w:val="0"/>
          <w:lang w:val="en-US"/>
        </w:rPr>
        <w:t>Iranian journal of nursing and midwifery research</w:t>
      </w:r>
      <w:r>
        <w:rPr>
          <w:rStyle w:val="None"/>
          <w:rtl w:val="0"/>
        </w:rPr>
        <w:t xml:space="preserve">, </w:t>
      </w:r>
      <w:r>
        <w:rPr>
          <w:rStyle w:val="None"/>
          <w:i w:val="1"/>
          <w:iCs w:val="1"/>
          <w:rtl w:val="0"/>
        </w:rPr>
        <w:t>27</w:t>
      </w:r>
      <w:r>
        <w:rPr>
          <w:rStyle w:val="None"/>
          <w:rtl w:val="0"/>
          <w:lang w:val="en-US"/>
        </w:rPr>
        <w:t xml:space="preserve">(6), p.475. Available at: </w:t>
      </w:r>
      <w:r>
        <w:rPr>
          <w:rStyle w:val="Hyperlink.0"/>
        </w:rPr>
        <w:fldChar w:fldCharType="begin" w:fldLock="0"/>
      </w:r>
      <w:r>
        <w:rPr>
          <w:rStyle w:val="Hyperlink.0"/>
        </w:rPr>
        <w:instrText xml:space="preserve"> HYPERLINK "https://pmc.ncbi.nlm.nih.gov/articles/PMC9881564/"</w:instrText>
      </w:r>
      <w:r>
        <w:rPr>
          <w:rStyle w:val="Hyperlink.0"/>
        </w:rPr>
        <w:fldChar w:fldCharType="separate" w:fldLock="0"/>
      </w:r>
      <w:r>
        <w:rPr>
          <w:rStyle w:val="Hyperlink.0"/>
          <w:rtl w:val="0"/>
          <w:lang w:val="en-US"/>
        </w:rPr>
        <w:t>https://pmc.ncbi.nlm.nih.gov/articles/PMC9881564/</w:t>
      </w:r>
      <w:r>
        <w:rPr/>
        <w:fldChar w:fldCharType="end" w:fldLock="0"/>
      </w:r>
    </w:p>
    <w:p>
      <w:pPr>
        <w:pStyle w:val="Body"/>
        <w:spacing w:line="360" w:lineRule="auto"/>
        <w:jc w:val="both"/>
        <w:rPr>
          <w:rStyle w:val="None"/>
        </w:rPr>
      </w:pPr>
      <w:r>
        <w:rPr>
          <w:rStyle w:val="None"/>
          <w:rtl w:val="0"/>
          <w:lang w:val="en-US"/>
        </w:rPr>
        <w:t xml:space="preserve">Available at: </w:t>
      </w:r>
      <w:r>
        <w:rPr>
          <w:rStyle w:val="Hyperlink.0"/>
        </w:rPr>
        <w:fldChar w:fldCharType="begin" w:fldLock="0"/>
      </w:r>
      <w:r>
        <w:rPr>
          <w:rStyle w:val="Hyperlink.0"/>
        </w:rPr>
        <w:instrText xml:space="preserve"> HYPERLINK "https://link.springer.com/article/10.1186/s12902-022-01072-w"</w:instrText>
      </w:r>
      <w:r>
        <w:rPr>
          <w:rStyle w:val="Hyperlink.0"/>
        </w:rPr>
        <w:fldChar w:fldCharType="separate" w:fldLock="0"/>
      </w:r>
      <w:r>
        <w:rPr>
          <w:rStyle w:val="Hyperlink.0"/>
          <w:rtl w:val="0"/>
        </w:rPr>
        <w:t>https://link.springer.com/article/10.1186/s12902-022-01072-w</w:t>
      </w:r>
      <w:r>
        <w:rPr/>
        <w:fldChar w:fldCharType="end" w:fldLock="0"/>
      </w:r>
    </w:p>
    <w:p>
      <w:pPr>
        <w:pStyle w:val="Body"/>
        <w:spacing w:line="360" w:lineRule="auto"/>
        <w:jc w:val="both"/>
        <w:rPr>
          <w:rStyle w:val="None"/>
        </w:rPr>
      </w:pPr>
      <w:r>
        <w:rPr>
          <w:rStyle w:val="None"/>
          <w:rtl w:val="0"/>
          <w:lang w:val="en-US"/>
        </w:rPr>
        <w:t xml:space="preserve">Benton, J.S., Cotterill, S., Hawkes, R.E., Miles, L.M. and French, D.P., (2022). Changes in a digital type 2 diabetes self-management intervention during national rollout: mixed methods study of fidelity. </w:t>
      </w:r>
      <w:r>
        <w:rPr>
          <w:rStyle w:val="None"/>
          <w:i w:val="1"/>
          <w:iCs w:val="1"/>
          <w:rtl w:val="0"/>
          <w:lang w:val="en-US"/>
        </w:rPr>
        <w:t>Journal of Medical Internet Research</w:t>
      </w:r>
      <w:r>
        <w:rPr>
          <w:rStyle w:val="None"/>
          <w:rtl w:val="0"/>
        </w:rPr>
        <w:t xml:space="preserve">, </w:t>
      </w:r>
      <w:r>
        <w:rPr>
          <w:rStyle w:val="None"/>
          <w:i w:val="1"/>
          <w:iCs w:val="1"/>
          <w:rtl w:val="0"/>
        </w:rPr>
        <w:t>24</w:t>
      </w:r>
      <w:r>
        <w:rPr>
          <w:rStyle w:val="None"/>
          <w:rtl w:val="0"/>
          <w:lang w:val="en-US"/>
        </w:rPr>
        <w:t xml:space="preserve">(12), p.e39483. Available at: </w:t>
      </w:r>
      <w:r>
        <w:rPr>
          <w:rStyle w:val="Hyperlink.0"/>
        </w:rPr>
        <w:fldChar w:fldCharType="begin" w:fldLock="0"/>
      </w:r>
      <w:r>
        <w:rPr>
          <w:rStyle w:val="Hyperlink.0"/>
        </w:rPr>
        <w:instrText xml:space="preserve"> HYPERLINK "https://www.jmir.org/2022/12/e39483/"</w:instrText>
      </w:r>
      <w:r>
        <w:rPr>
          <w:rStyle w:val="Hyperlink.0"/>
        </w:rPr>
        <w:fldChar w:fldCharType="separate" w:fldLock="0"/>
      </w:r>
      <w:r>
        <w:rPr>
          <w:rStyle w:val="Hyperlink.0"/>
          <w:rtl w:val="0"/>
        </w:rPr>
        <w:t>https://www.jmir.org/2022/12/e39483/</w:t>
      </w:r>
      <w:r>
        <w:rPr/>
        <w:fldChar w:fldCharType="end" w:fldLock="0"/>
      </w:r>
    </w:p>
    <w:p>
      <w:pPr>
        <w:pStyle w:val="Body"/>
        <w:spacing w:line="360" w:lineRule="auto"/>
        <w:jc w:val="both"/>
        <w:rPr>
          <w:rStyle w:val="None"/>
        </w:rPr>
      </w:pPr>
      <w:r>
        <w:rPr>
          <w:rStyle w:val="None"/>
          <w:outline w:val="0"/>
          <w:color w:val="222222"/>
          <w:u w:color="222222"/>
          <w:rtl w:val="0"/>
          <w:lang w:val="en-US"/>
          <w14:textFill>
            <w14:solidFill>
              <w14:srgbClr w14:val="222222"/>
            </w14:solidFill>
          </w14:textFill>
        </w:rPr>
        <w:t xml:space="preserve">Carcassi, F. and Sbardolini, G., (2023). Assertion, denial, and the evolution of Boolean operators. </w:t>
      </w:r>
      <w:r>
        <w:rPr>
          <w:rStyle w:val="None"/>
          <w:i w:val="1"/>
          <w:iCs w:val="1"/>
          <w:outline w:val="0"/>
          <w:color w:val="222222"/>
          <w:u w:color="222222"/>
          <w:rtl w:val="0"/>
          <w:lang w:val="en-US"/>
          <w14:textFill>
            <w14:solidFill>
              <w14:srgbClr w14:val="222222"/>
            </w14:solidFill>
          </w14:textFill>
        </w:rPr>
        <w:t>Mind &amp; Language</w:t>
      </w:r>
      <w:r>
        <w:rPr>
          <w:rStyle w:val="None"/>
          <w:outline w:val="0"/>
          <w:color w:val="222222"/>
          <w:u w:color="222222"/>
          <w:rtl w:val="0"/>
          <w14:textFill>
            <w14:solidFill>
              <w14:srgbClr w14:val="222222"/>
            </w14:solidFill>
          </w14:textFill>
        </w:rPr>
        <w:t xml:space="preserve">, </w:t>
      </w:r>
      <w:r>
        <w:rPr>
          <w:rStyle w:val="None"/>
          <w:i w:val="1"/>
          <w:iCs w:val="1"/>
          <w:outline w:val="0"/>
          <w:color w:val="222222"/>
          <w:u w:color="222222"/>
          <w:rtl w:val="0"/>
          <w14:textFill>
            <w14:solidFill>
              <w14:srgbClr w14:val="222222"/>
            </w14:solidFill>
          </w14:textFill>
        </w:rPr>
        <w:t>38</w:t>
      </w:r>
      <w:r>
        <w:rPr>
          <w:rStyle w:val="None"/>
          <w:outline w:val="0"/>
          <w:color w:val="222222"/>
          <w:u w:color="222222"/>
          <w:rtl w:val="0"/>
          <w14:textFill>
            <w14:solidFill>
              <w14:srgbClr w14:val="222222"/>
            </w14:solidFill>
          </w14:textFill>
        </w:rPr>
        <w:t>(5), pp.1187-1207.</w:t>
      </w:r>
      <w:r>
        <w:rPr>
          <w:rStyle w:val="None"/>
          <w:rtl w:val="0"/>
          <w:lang w:val="en-US"/>
        </w:rPr>
        <w:t xml:space="preserve"> Available at: </w:t>
      </w:r>
      <w:r>
        <w:rPr>
          <w:rStyle w:val="Hyperlink.0"/>
        </w:rPr>
        <w:fldChar w:fldCharType="begin" w:fldLock="0"/>
      </w:r>
      <w:r>
        <w:rPr>
          <w:rStyle w:val="Hyperlink.0"/>
        </w:rPr>
        <w:instrText xml:space="preserve"> HYPERLINK "https://onlinelibrary.wiley.com/doi/full/10.1111/mila.12448"</w:instrText>
      </w:r>
      <w:r>
        <w:rPr>
          <w:rStyle w:val="Hyperlink.0"/>
        </w:rPr>
        <w:fldChar w:fldCharType="separate" w:fldLock="0"/>
      </w:r>
      <w:r>
        <w:rPr>
          <w:rStyle w:val="Hyperlink.0"/>
          <w:rtl w:val="0"/>
          <w:lang w:val="en-US"/>
        </w:rPr>
        <w:t>https://onlinelibrary.wiley.com/doi/full/10.1111/mila.12448</w:t>
      </w:r>
      <w:r>
        <w:rPr/>
        <w:fldChar w:fldCharType="end" w:fldLock="0"/>
      </w:r>
    </w:p>
    <w:p>
      <w:pPr>
        <w:pStyle w:val="Body"/>
        <w:spacing w:line="360" w:lineRule="auto"/>
        <w:jc w:val="both"/>
        <w:rPr>
          <w:rStyle w:val="None"/>
        </w:rPr>
      </w:pPr>
      <w:r>
        <w:rPr>
          <w:rStyle w:val="None"/>
          <w:rtl w:val="0"/>
        </w:rPr>
        <w:t>Diabetes UK, (2026)</w:t>
      </w:r>
      <w:r>
        <w:rPr>
          <w:rStyle w:val="None"/>
          <w:i w:val="1"/>
          <w:iCs w:val="1"/>
          <w:rtl w:val="0"/>
          <w:lang w:val="en-US"/>
        </w:rPr>
        <w:t xml:space="preserve"> How Many People In The UK Have Diabetes?,</w:t>
      </w:r>
      <w:r>
        <w:rPr>
          <w:rStyle w:val="None"/>
          <w:rtl w:val="0"/>
          <w:lang w:val="en-US"/>
        </w:rPr>
        <w:t xml:space="preserve"> Available at: </w:t>
      </w:r>
      <w:r>
        <w:rPr>
          <w:rStyle w:val="Hyperlink.0"/>
        </w:rPr>
        <w:fldChar w:fldCharType="begin" w:fldLock="0"/>
      </w:r>
      <w:r>
        <w:rPr>
          <w:rStyle w:val="Hyperlink.0"/>
        </w:rPr>
        <w:instrText xml:space="preserve"> HYPERLINK "https://www.diabetes.org.uk/about-us/about-the-charity/our-strategy/statistics"</w:instrText>
      </w:r>
      <w:r>
        <w:rPr>
          <w:rStyle w:val="Hyperlink.0"/>
        </w:rPr>
        <w:fldChar w:fldCharType="separate" w:fldLock="0"/>
      </w:r>
      <w:r>
        <w:rPr>
          <w:rStyle w:val="Hyperlink.0"/>
          <w:rtl w:val="0"/>
          <w:lang w:val="en-US"/>
        </w:rPr>
        <w:t>https://www.diabetes.org.uk/about-us/about-the-charity/our-strategy/statistics</w:t>
      </w:r>
      <w:r>
        <w:rPr/>
        <w:fldChar w:fldCharType="end" w:fldLock="0"/>
      </w:r>
    </w:p>
    <w:p>
      <w:pPr>
        <w:pStyle w:val="Body"/>
        <w:spacing w:line="360" w:lineRule="auto"/>
        <w:jc w:val="both"/>
        <w:rPr>
          <w:rStyle w:val="Hyperlink.0"/>
        </w:rPr>
      </w:pPr>
      <w:r>
        <w:rPr>
          <w:rStyle w:val="None"/>
          <w:rtl w:val="0"/>
          <w:lang w:val="en-US"/>
        </w:rPr>
        <w:t xml:space="preserve">Galindo, R.J., Trujillo, J.M., Wang, C.C.L. and McCoy, R.G., (2023). Advances in the management of type 2 diabetes in adults. </w:t>
      </w:r>
      <w:r>
        <w:rPr>
          <w:rStyle w:val="None"/>
          <w:i w:val="1"/>
          <w:iCs w:val="1"/>
          <w:rtl w:val="0"/>
          <w:lang w:val="it-IT"/>
        </w:rPr>
        <w:t>BMJ medicine</w:t>
      </w:r>
      <w:r>
        <w:rPr>
          <w:rStyle w:val="None"/>
          <w:rtl w:val="0"/>
        </w:rPr>
        <w:t xml:space="preserve">, </w:t>
      </w:r>
      <w:r>
        <w:rPr>
          <w:rStyle w:val="None"/>
          <w:i w:val="1"/>
          <w:iCs w:val="1"/>
          <w:rtl w:val="0"/>
        </w:rPr>
        <w:t>2</w:t>
      </w:r>
      <w:r>
        <w:rPr>
          <w:rStyle w:val="None"/>
          <w:rtl w:val="0"/>
          <w:lang w:val="en-US"/>
        </w:rPr>
        <w:t xml:space="preserve">(1), p.e000372. Available at: </w:t>
      </w:r>
      <w:r>
        <w:rPr>
          <w:rStyle w:val="Hyperlink.0"/>
        </w:rPr>
        <w:fldChar w:fldCharType="begin" w:fldLock="0"/>
      </w:r>
      <w:r>
        <w:rPr>
          <w:rStyle w:val="Hyperlink.0"/>
        </w:rPr>
        <w:instrText xml:space="preserve"> HYPERLINK "https://pmc.ncbi.nlm.nih.gov/articles/PMC10481754/"</w:instrText>
      </w:r>
      <w:r>
        <w:rPr>
          <w:rStyle w:val="Hyperlink.0"/>
        </w:rPr>
        <w:fldChar w:fldCharType="separate" w:fldLock="0"/>
      </w:r>
      <w:r>
        <w:rPr>
          <w:rStyle w:val="Hyperlink.0"/>
          <w:rtl w:val="0"/>
          <w:lang w:val="en-US"/>
        </w:rPr>
        <w:t>https://pmc.ncbi.nlm.nih.gov/articles/PMC10481754/</w:t>
      </w:r>
      <w:r>
        <w:rPr/>
        <w:fldChar w:fldCharType="end" w:fldLock="0"/>
      </w:r>
    </w:p>
    <w:p>
      <w:pPr>
        <w:pStyle w:val="Body"/>
        <w:spacing w:line="360" w:lineRule="auto"/>
        <w:jc w:val="both"/>
        <w:rPr>
          <w:rStyle w:val="None"/>
        </w:rPr>
      </w:pPr>
      <w:r>
        <w:rPr>
          <w:rStyle w:val="None"/>
          <w:rtl w:val="0"/>
        </w:rPr>
        <w:t xml:space="preserve">Gregory, A. (2025) </w:t>
      </w:r>
      <w:r>
        <w:rPr>
          <w:rStyle w:val="None"/>
          <w:i w:val="1"/>
          <w:iCs w:val="1"/>
          <w:rtl w:val="0"/>
          <w:lang w:val="en-US"/>
        </w:rPr>
        <w:t xml:space="preserve">One in five UK adults have diabetes or pre-diabstes, analysis shows, </w:t>
      </w:r>
      <w:r>
        <w:rPr>
          <w:rStyle w:val="None"/>
          <w:rtl w:val="0"/>
          <w:lang w:val="en-US"/>
        </w:rPr>
        <w:t xml:space="preserve">Available at: </w:t>
      </w:r>
      <w:r>
        <w:rPr>
          <w:rStyle w:val="Hyperlink.0"/>
        </w:rPr>
        <w:fldChar w:fldCharType="begin" w:fldLock="0"/>
      </w:r>
      <w:r>
        <w:rPr>
          <w:rStyle w:val="Hyperlink.0"/>
        </w:rPr>
        <w:instrText xml:space="preserve"> HYPERLINK "https://www.theguardian.com/society/2025/feb/06/one-in-five-uk-adults-have-diabetes-or-pre-diabetes-analysis-shows"</w:instrText>
      </w:r>
      <w:r>
        <w:rPr>
          <w:rStyle w:val="Hyperlink.0"/>
        </w:rPr>
        <w:fldChar w:fldCharType="separate" w:fldLock="0"/>
      </w:r>
      <w:r>
        <w:rPr>
          <w:rStyle w:val="Hyperlink.0"/>
          <w:rtl w:val="0"/>
          <w:lang w:val="en-US"/>
        </w:rPr>
        <w:t>https://www.theguardian.com/society/2025/feb/06/one-in-five-uk-adults-have-diabetes-or-pre-diabetes-analysis-shows</w:t>
      </w:r>
      <w:r>
        <w:rPr/>
        <w:fldChar w:fldCharType="end" w:fldLock="0"/>
      </w:r>
    </w:p>
    <w:p>
      <w:pPr>
        <w:pStyle w:val="Body"/>
        <w:spacing w:line="360" w:lineRule="auto"/>
        <w:jc w:val="both"/>
        <w:rPr>
          <w:rStyle w:val="None"/>
        </w:rPr>
      </w:pPr>
      <w:r>
        <w:rPr>
          <w:rStyle w:val="None"/>
          <w:rtl w:val="0"/>
        </w:rPr>
        <w:t>Galvin, G. (2025)</w:t>
      </w:r>
      <w:r>
        <w:rPr>
          <w:rStyle w:val="None"/>
          <w:i w:val="1"/>
          <w:iCs w:val="1"/>
          <w:rtl w:val="0"/>
          <w:lang w:val="en-US"/>
        </w:rPr>
        <w:t xml:space="preserve"> More than 1 million adults in the UK have type 2 diabetes but have not been diagnosed, according to the newly-released report, </w:t>
      </w:r>
      <w:r>
        <w:rPr>
          <w:rStyle w:val="None"/>
          <w:rtl w:val="0"/>
          <w:lang w:val="en-US"/>
        </w:rPr>
        <w:t xml:space="preserve">Available at: </w:t>
      </w:r>
      <w:r>
        <w:rPr>
          <w:rStyle w:val="Hyperlink.0"/>
        </w:rPr>
        <w:fldChar w:fldCharType="begin" w:fldLock="0"/>
      </w:r>
      <w:r>
        <w:rPr>
          <w:rStyle w:val="Hyperlink.0"/>
        </w:rPr>
        <w:instrText xml:space="preserve"> HYPERLINK "https://www.euronews.com/health/2025/02/06/number-of-diabetes-cases-hits-record-high-in-uk-as-experts-warn-of-hidden-health-crisis"</w:instrText>
      </w:r>
      <w:r>
        <w:rPr>
          <w:rStyle w:val="Hyperlink.0"/>
        </w:rPr>
        <w:fldChar w:fldCharType="separate" w:fldLock="0"/>
      </w:r>
      <w:r>
        <w:rPr>
          <w:rStyle w:val="Hyperlink.0"/>
          <w:rtl w:val="0"/>
          <w:lang w:val="en-US"/>
        </w:rPr>
        <w:t>https://www.euronews.com/health/2025/02/06/number-of-diabetes-cases-hits-record-high-in-uk-as-experts-warn-of-hidden-health-crisis</w:t>
      </w:r>
      <w:r>
        <w:rPr/>
        <w:fldChar w:fldCharType="end" w:fldLock="0"/>
      </w:r>
    </w:p>
    <w:p>
      <w:pPr>
        <w:pStyle w:val="Body"/>
        <w:spacing w:line="360" w:lineRule="auto"/>
        <w:jc w:val="both"/>
        <w:rPr>
          <w:rStyle w:val="None"/>
        </w:rPr>
      </w:pPr>
      <w:r>
        <w:rPr>
          <w:rStyle w:val="None"/>
          <w:rtl w:val="0"/>
          <w:lang w:val="en-US"/>
        </w:rPr>
        <w:t xml:space="preserve">Harrison, R., Jones, B., Gardner, P. and Lawton, R. (2021) </w:t>
      </w:r>
      <w:r>
        <w:rPr>
          <w:rStyle w:val="None"/>
          <w:rtl w:val="1"/>
        </w:rPr>
        <w:t>‘</w:t>
      </w:r>
      <w:r>
        <w:rPr>
          <w:rStyle w:val="None"/>
          <w:rtl w:val="0"/>
          <w:lang w:val="en-US"/>
        </w:rPr>
        <w:t>Quality assessment with diverse studies (QuADS): an appraisal tool for methodological and reporting quality in systematic reviews of mixed-or multi-method studies</w:t>
      </w:r>
      <w:r>
        <w:rPr>
          <w:rStyle w:val="None"/>
          <w:rtl w:val="1"/>
        </w:rPr>
        <w:t>’</w:t>
      </w:r>
      <w:r>
        <w:rPr>
          <w:rStyle w:val="None"/>
          <w:rtl w:val="0"/>
        </w:rPr>
        <w:t xml:space="preserve">, </w:t>
      </w:r>
      <w:r>
        <w:rPr>
          <w:rStyle w:val="None"/>
          <w:i w:val="1"/>
          <w:iCs w:val="1"/>
          <w:rtl w:val="0"/>
          <w:lang w:val="en-US"/>
        </w:rPr>
        <w:t>BMC health services research</w:t>
      </w:r>
      <w:r>
        <w:rPr>
          <w:rStyle w:val="None"/>
          <w:rtl w:val="0"/>
          <w:lang w:val="en-US"/>
        </w:rPr>
        <w:t xml:space="preserve">, 21(1), p.144. Available at: </w:t>
      </w:r>
      <w:r>
        <w:rPr>
          <w:rStyle w:val="Hyperlink.0"/>
        </w:rPr>
        <w:fldChar w:fldCharType="begin" w:fldLock="0"/>
      </w:r>
      <w:r>
        <w:rPr>
          <w:rStyle w:val="Hyperlink.0"/>
        </w:rPr>
        <w:instrText xml:space="preserve"> HYPERLINK "https://doi.org/10.1186/s12913-021-06122-y"</w:instrText>
      </w:r>
      <w:r>
        <w:rPr>
          <w:rStyle w:val="Hyperlink.0"/>
        </w:rPr>
        <w:fldChar w:fldCharType="separate" w:fldLock="0"/>
      </w:r>
      <w:r>
        <w:rPr>
          <w:rStyle w:val="Hyperlink.0"/>
          <w:rtl w:val="0"/>
          <w:lang w:val="en-US"/>
        </w:rPr>
        <w:t>https://doi.org/10.1186/s12913-021-06122-y</w:t>
      </w:r>
      <w:r>
        <w:rPr/>
        <w:fldChar w:fldCharType="end" w:fldLock="0"/>
      </w:r>
      <w:r>
        <w:rPr>
          <w:rStyle w:val="None"/>
          <w:rtl w:val="0"/>
        </w:rPr>
        <w:t xml:space="preserve"> </w:t>
      </w:r>
    </w:p>
    <w:p>
      <w:pPr>
        <w:pStyle w:val="Body"/>
        <w:spacing w:line="360" w:lineRule="auto"/>
        <w:jc w:val="both"/>
        <w:rPr>
          <w:rStyle w:val="None"/>
        </w:rPr>
      </w:pPr>
      <w:r>
        <w:rPr>
          <w:rStyle w:val="None"/>
          <w:rtl w:val="0"/>
          <w:lang w:val="en-US"/>
        </w:rPr>
        <w:t>Hawkes, R.E., Benton, J.S., Cotterill, S., Sanders, C. and French, D.P., (2024). Service users</w:t>
      </w:r>
      <w:r>
        <w:rPr>
          <w:rStyle w:val="None"/>
          <w:rtl w:val="1"/>
        </w:rPr>
        <w:t xml:space="preserve">’ </w:t>
      </w:r>
      <w:r>
        <w:rPr>
          <w:rStyle w:val="None"/>
          <w:rtl w:val="0"/>
          <w:lang w:val="en-US"/>
        </w:rPr>
        <w:t xml:space="preserve">Experiences of a nationwide digital type 2 diabetes self-management intervention (Healthy living): qualitative interview study. </w:t>
      </w:r>
      <w:r>
        <w:rPr>
          <w:rStyle w:val="None"/>
          <w:i w:val="1"/>
          <w:iCs w:val="1"/>
          <w:rtl w:val="0"/>
          <w:lang w:val="de-DE"/>
        </w:rPr>
        <w:t>JMIR diabetes</w:t>
      </w:r>
      <w:r>
        <w:rPr>
          <w:rStyle w:val="None"/>
          <w:rtl w:val="0"/>
        </w:rPr>
        <w:t xml:space="preserve">, </w:t>
      </w:r>
      <w:r>
        <w:rPr>
          <w:rStyle w:val="None"/>
          <w:i w:val="1"/>
          <w:iCs w:val="1"/>
          <w:rtl w:val="0"/>
        </w:rPr>
        <w:t>9</w:t>
      </w:r>
      <w:r>
        <w:rPr>
          <w:rStyle w:val="None"/>
          <w:rtl w:val="0"/>
          <w:lang w:val="en-US"/>
        </w:rPr>
        <w:t xml:space="preserve">(1), p.e56276. Available at: </w:t>
      </w:r>
      <w:r>
        <w:rPr>
          <w:rStyle w:val="Hyperlink.0"/>
        </w:rPr>
        <w:fldChar w:fldCharType="begin" w:fldLock="0"/>
      </w:r>
      <w:r>
        <w:rPr>
          <w:rStyle w:val="Hyperlink.0"/>
        </w:rPr>
        <w:instrText xml:space="preserve"> HYPERLINK "https://diabetes.jmir.org/2024/1/e56276/"</w:instrText>
      </w:r>
      <w:r>
        <w:rPr>
          <w:rStyle w:val="Hyperlink.0"/>
        </w:rPr>
        <w:fldChar w:fldCharType="separate" w:fldLock="0"/>
      </w:r>
      <w:r>
        <w:rPr>
          <w:rStyle w:val="Hyperlink.0"/>
          <w:rtl w:val="0"/>
          <w:lang w:val="pt-PT"/>
        </w:rPr>
        <w:t>https://diabetes.jmir.org/2024/1/e56276/</w:t>
      </w:r>
      <w:r>
        <w:rPr/>
        <w:fldChar w:fldCharType="end" w:fldLock="0"/>
      </w:r>
    </w:p>
    <w:p>
      <w:pPr>
        <w:pStyle w:val="Body"/>
        <w:spacing w:line="360" w:lineRule="auto"/>
        <w:jc w:val="both"/>
        <w:rPr>
          <w:rStyle w:val="None"/>
        </w:rPr>
      </w:pPr>
      <w:r>
        <w:rPr>
          <w:rStyle w:val="None"/>
          <w:rtl w:val="0"/>
          <w:lang w:val="en-US"/>
        </w:rPr>
        <w:t xml:space="preserve">Helbach, J., Pieper, D., Mathes, T., Rombey, T., Zeeb, H., Allers, K. and Hoffmann, F. (2022) </w:t>
      </w:r>
      <w:r>
        <w:rPr>
          <w:rStyle w:val="None"/>
          <w:rtl w:val="1"/>
        </w:rPr>
        <w:t>‘</w:t>
      </w:r>
      <w:r>
        <w:rPr>
          <w:rStyle w:val="None"/>
          <w:rtl w:val="0"/>
          <w:lang w:val="en-US"/>
        </w:rPr>
        <w:t>Restrictions and their reporting in systematic reviews of effectiveness: an observational study</w:t>
      </w:r>
      <w:r>
        <w:rPr>
          <w:rStyle w:val="None"/>
          <w:rtl w:val="1"/>
        </w:rPr>
        <w:t>’</w:t>
      </w:r>
      <w:r>
        <w:rPr>
          <w:rStyle w:val="None"/>
          <w:rtl w:val="0"/>
        </w:rPr>
        <w:t xml:space="preserve">, </w:t>
      </w:r>
      <w:r>
        <w:rPr>
          <w:rStyle w:val="None"/>
          <w:i w:val="1"/>
          <w:iCs w:val="1"/>
          <w:rtl w:val="0"/>
          <w:lang w:val="en-US"/>
        </w:rPr>
        <w:t>BMC Medical Research Methodology</w:t>
      </w:r>
      <w:r>
        <w:rPr>
          <w:rStyle w:val="None"/>
          <w:rtl w:val="0"/>
          <w:lang w:val="en-US"/>
        </w:rPr>
        <w:t xml:space="preserve">, 22(1), p.230. Available at: </w:t>
      </w:r>
      <w:r>
        <w:rPr>
          <w:rStyle w:val="Hyperlink.0"/>
        </w:rPr>
        <w:fldChar w:fldCharType="begin" w:fldLock="0"/>
      </w:r>
      <w:r>
        <w:rPr>
          <w:rStyle w:val="Hyperlink.0"/>
        </w:rPr>
        <w:instrText xml:space="preserve"> HYPERLINK "https://doi.org/10.1186/s12874-022-01710-w"</w:instrText>
      </w:r>
      <w:r>
        <w:rPr>
          <w:rStyle w:val="Hyperlink.0"/>
        </w:rPr>
        <w:fldChar w:fldCharType="separate" w:fldLock="0"/>
      </w:r>
      <w:r>
        <w:rPr>
          <w:rStyle w:val="Hyperlink.0"/>
          <w:rtl w:val="0"/>
          <w:lang w:val="en-US"/>
        </w:rPr>
        <w:t>https://doi.org/10.1186/s12874-022-01710-w</w:t>
      </w:r>
      <w:r>
        <w:rPr/>
        <w:fldChar w:fldCharType="end" w:fldLock="0"/>
      </w:r>
      <w:r>
        <w:rPr>
          <w:rStyle w:val="None"/>
          <w:rtl w:val="0"/>
        </w:rPr>
        <w:t xml:space="preserve"> </w:t>
      </w:r>
    </w:p>
    <w:p>
      <w:pPr>
        <w:pStyle w:val="Body"/>
        <w:spacing w:line="360" w:lineRule="auto"/>
        <w:jc w:val="both"/>
        <w:rPr>
          <w:rStyle w:val="None"/>
        </w:rPr>
      </w:pPr>
      <w:r>
        <w:rPr>
          <w:rStyle w:val="None"/>
          <w:rtl w:val="0"/>
          <w:lang w:val="it-IT"/>
        </w:rPr>
        <w:t>Jacob, C., Brasier, N., Laurenzi, E., Heuss, S., Mougiakakou, S.G., C</w:t>
      </w:r>
      <w:r>
        <w:rPr>
          <w:rStyle w:val="None"/>
          <w:rtl w:val="0"/>
          <w:lang w:val="sv-SE"/>
        </w:rPr>
        <w:t>ö</w:t>
      </w:r>
      <w:r>
        <w:rPr>
          <w:rStyle w:val="None"/>
          <w:rtl w:val="0"/>
          <w:lang w:val="en-US"/>
        </w:rPr>
        <w:t xml:space="preserve">ltekin, A. and Peter, M.K., (2025). AI for IMPACTS framework for evaluating the long-term real-world impacts of AI-powered clinician tools: systematic review and narrative synthesis. </w:t>
      </w:r>
      <w:r>
        <w:rPr>
          <w:rStyle w:val="None"/>
          <w:i w:val="1"/>
          <w:iCs w:val="1"/>
          <w:rtl w:val="0"/>
          <w:lang w:val="en-US"/>
        </w:rPr>
        <w:t>Journal of medical Internet research</w:t>
      </w:r>
      <w:r>
        <w:rPr>
          <w:rStyle w:val="None"/>
          <w:rtl w:val="0"/>
        </w:rPr>
        <w:t xml:space="preserve">, </w:t>
      </w:r>
      <w:r>
        <w:rPr>
          <w:rStyle w:val="None"/>
          <w:i w:val="1"/>
          <w:iCs w:val="1"/>
          <w:rtl w:val="0"/>
        </w:rPr>
        <w:t>27</w:t>
      </w:r>
      <w:r>
        <w:rPr>
          <w:rStyle w:val="None"/>
          <w:rtl w:val="0"/>
          <w:lang w:val="en-US"/>
        </w:rPr>
        <w:t xml:space="preserve">, p.e67485. Available at: </w:t>
      </w:r>
      <w:r>
        <w:rPr>
          <w:rStyle w:val="Hyperlink.0"/>
        </w:rPr>
        <w:fldChar w:fldCharType="begin" w:fldLock="0"/>
      </w:r>
      <w:r>
        <w:rPr>
          <w:rStyle w:val="Hyperlink.0"/>
        </w:rPr>
        <w:instrText xml:space="preserve"> HYPERLINK "https://www.jmir.org/2025/1/e67485/"</w:instrText>
      </w:r>
      <w:r>
        <w:rPr>
          <w:rStyle w:val="Hyperlink.0"/>
        </w:rPr>
        <w:fldChar w:fldCharType="separate" w:fldLock="0"/>
      </w:r>
      <w:r>
        <w:rPr>
          <w:rStyle w:val="Hyperlink.0"/>
          <w:rtl w:val="0"/>
        </w:rPr>
        <w:t>https://www.jmir.org/2025/1/e67485/</w:t>
      </w:r>
      <w:r>
        <w:rPr/>
        <w:fldChar w:fldCharType="end" w:fldLock="0"/>
      </w:r>
    </w:p>
    <w:p>
      <w:pPr>
        <w:pStyle w:val="Body"/>
        <w:spacing w:line="360" w:lineRule="auto"/>
        <w:jc w:val="both"/>
        <w:rPr>
          <w:rStyle w:val="None"/>
        </w:rPr>
      </w:pPr>
      <w:r>
        <w:rPr>
          <w:rStyle w:val="None"/>
          <w:rtl w:val="0"/>
          <w:lang w:val="en-US"/>
        </w:rPr>
        <w:t>Jalilian, H., Heydari, S., Imani, A., Salimi, M., Mir, N. and Najafipour, F., (2023). Economic burden of type 2 diabetes in Iran: A cost</w:t>
      </w:r>
      <w:r>
        <w:rPr>
          <w:rStyle w:val="None"/>
          <w:rFonts w:ascii="Cambria Math" w:cs="Cambria Math" w:hAnsi="Cambria Math" w:eastAsia="Cambria Math"/>
          <w:rtl w:val="0"/>
        </w:rPr>
        <w:t>‐</w:t>
      </w:r>
      <w:r>
        <w:rPr>
          <w:rStyle w:val="None"/>
          <w:rtl w:val="0"/>
          <w:lang w:val="en-US"/>
        </w:rPr>
        <w:t>of</w:t>
      </w:r>
      <w:r>
        <w:rPr>
          <w:rStyle w:val="None"/>
          <w:rFonts w:ascii="Cambria Math" w:cs="Cambria Math" w:hAnsi="Cambria Math" w:eastAsia="Cambria Math"/>
          <w:rtl w:val="0"/>
        </w:rPr>
        <w:t>‐</w:t>
      </w:r>
      <w:r>
        <w:rPr>
          <w:rStyle w:val="None"/>
          <w:rtl w:val="0"/>
          <w:lang w:val="en-US"/>
        </w:rPr>
        <w:t xml:space="preserve">illness study. </w:t>
      </w:r>
      <w:r>
        <w:rPr>
          <w:rStyle w:val="None"/>
          <w:i w:val="1"/>
          <w:iCs w:val="1"/>
          <w:rtl w:val="0"/>
          <w:lang w:val="en-US"/>
        </w:rPr>
        <w:t>Health Science Reports</w:t>
      </w:r>
      <w:r>
        <w:rPr>
          <w:rStyle w:val="None"/>
          <w:rtl w:val="0"/>
        </w:rPr>
        <w:t xml:space="preserve">, </w:t>
      </w:r>
      <w:r>
        <w:rPr>
          <w:rStyle w:val="None"/>
          <w:i w:val="1"/>
          <w:iCs w:val="1"/>
          <w:rtl w:val="0"/>
        </w:rPr>
        <w:t>6</w:t>
      </w:r>
      <w:r>
        <w:rPr>
          <w:rStyle w:val="None"/>
          <w:rtl w:val="0"/>
          <w:lang w:val="en-US"/>
        </w:rPr>
        <w:t xml:space="preserve">(2), p.e1120. Available at: </w:t>
      </w:r>
      <w:r>
        <w:rPr>
          <w:rStyle w:val="Hyperlink.0"/>
        </w:rPr>
        <w:fldChar w:fldCharType="begin" w:fldLock="0"/>
      </w:r>
      <w:r>
        <w:rPr>
          <w:rStyle w:val="Hyperlink.0"/>
        </w:rPr>
        <w:instrText xml:space="preserve"> HYPERLINK "https://onlinelibrary.wiley.com/doi/full/10.1002/hsr2.1120"</w:instrText>
      </w:r>
      <w:r>
        <w:rPr>
          <w:rStyle w:val="Hyperlink.0"/>
        </w:rPr>
        <w:fldChar w:fldCharType="separate" w:fldLock="0"/>
      </w:r>
      <w:r>
        <w:rPr>
          <w:rStyle w:val="Hyperlink.0"/>
          <w:rtl w:val="0"/>
          <w:lang w:val="en-US"/>
        </w:rPr>
        <w:t>https://onlinelibrary.wiley.com/doi/full/10.1002/hsr2.1120</w:t>
      </w:r>
      <w:r>
        <w:rPr/>
        <w:fldChar w:fldCharType="end" w:fldLock="0"/>
      </w:r>
    </w:p>
    <w:p>
      <w:pPr>
        <w:pStyle w:val="Body"/>
        <w:spacing w:line="360" w:lineRule="auto"/>
        <w:jc w:val="both"/>
        <w:rPr>
          <w:rStyle w:val="None"/>
        </w:rPr>
      </w:pPr>
      <w:r>
        <w:rPr>
          <w:rStyle w:val="None"/>
          <w:rtl w:val="0"/>
          <w:lang w:val="en-US"/>
        </w:rPr>
        <w:t xml:space="preserve">Mathur, R., Palla, L., Farmer, R.E., Chaturvedi, N. and Smeeth, L., (2020). Ethnic differences in the severity and clinical management of type 2 diabetes at time of diagnosis: a cohort study in the UK Clinical Practice Research Datalink. </w:t>
      </w:r>
      <w:r>
        <w:rPr>
          <w:rStyle w:val="None"/>
          <w:i w:val="1"/>
          <w:iCs w:val="1"/>
          <w:rtl w:val="0"/>
          <w:lang w:val="en-US"/>
        </w:rPr>
        <w:t>diabetes research and clinical practice</w:t>
      </w:r>
      <w:r>
        <w:rPr>
          <w:rStyle w:val="None"/>
          <w:rtl w:val="0"/>
        </w:rPr>
        <w:t xml:space="preserve">, </w:t>
      </w:r>
      <w:r>
        <w:rPr>
          <w:rStyle w:val="None"/>
          <w:i w:val="1"/>
          <w:iCs w:val="1"/>
          <w:rtl w:val="0"/>
        </w:rPr>
        <w:t>160</w:t>
      </w:r>
      <w:r>
        <w:rPr>
          <w:rStyle w:val="None"/>
          <w:rtl w:val="0"/>
          <w:lang w:val="en-US"/>
        </w:rPr>
        <w:t xml:space="preserve">, p.108006. Available at: </w:t>
      </w:r>
      <w:r>
        <w:rPr>
          <w:rStyle w:val="Hyperlink.0"/>
        </w:rPr>
        <w:fldChar w:fldCharType="begin" w:fldLock="0"/>
      </w:r>
      <w:r>
        <w:rPr>
          <w:rStyle w:val="Hyperlink.0"/>
        </w:rPr>
        <w:instrText xml:space="preserve"> HYPERLINK "https://link.springer.com/article/10.1186/s12875-024-02262-2"</w:instrText>
      </w:r>
      <w:r>
        <w:rPr>
          <w:rStyle w:val="Hyperlink.0"/>
        </w:rPr>
        <w:fldChar w:fldCharType="separate" w:fldLock="0"/>
      </w:r>
      <w:r>
        <w:rPr>
          <w:rStyle w:val="Hyperlink.0"/>
          <w:rtl w:val="0"/>
        </w:rPr>
        <w:t>https://link.springer.com/article/10.1186/s12875-024-02262-2</w:t>
      </w:r>
      <w:r>
        <w:rPr/>
        <w:fldChar w:fldCharType="end" w:fldLock="0"/>
      </w:r>
    </w:p>
    <w:p>
      <w:pPr>
        <w:pStyle w:val="Body"/>
        <w:spacing w:line="360" w:lineRule="auto"/>
        <w:jc w:val="both"/>
        <w:rPr>
          <w:rStyle w:val="None"/>
        </w:rPr>
      </w:pPr>
      <w:r>
        <w:rPr>
          <w:rStyle w:val="None"/>
          <w:rtl w:val="0"/>
        </w:rPr>
        <w:t xml:space="preserve">NHS, (2024) </w:t>
      </w:r>
      <w:r>
        <w:rPr>
          <w:rStyle w:val="None"/>
          <w:i w:val="1"/>
          <w:iCs w:val="1"/>
          <w:rtl w:val="0"/>
          <w:lang w:val="en-US"/>
        </w:rPr>
        <w:t>News,</w:t>
      </w:r>
      <w:r>
        <w:rPr>
          <w:rStyle w:val="None"/>
          <w:rtl w:val="0"/>
          <w:lang w:val="en-US"/>
        </w:rPr>
        <w:t xml:space="preserve"> Available at: </w:t>
      </w:r>
      <w:r>
        <w:rPr>
          <w:rStyle w:val="Hyperlink.0"/>
        </w:rPr>
        <w:fldChar w:fldCharType="begin" w:fldLock="0"/>
      </w:r>
      <w:r>
        <w:rPr>
          <w:rStyle w:val="Hyperlink.0"/>
        </w:rPr>
        <w:instrText xml:space="preserve"> HYPERLINK "https://www.england.nhs.uk/2024/06/nhs-identifies-over-half-a-million-more-people-at-risk-of-type-2-diabetes-in-a-year/"</w:instrText>
      </w:r>
      <w:r>
        <w:rPr>
          <w:rStyle w:val="Hyperlink.0"/>
        </w:rPr>
        <w:fldChar w:fldCharType="separate" w:fldLock="0"/>
      </w:r>
      <w:r>
        <w:rPr>
          <w:rStyle w:val="Hyperlink.0"/>
          <w:rtl w:val="0"/>
          <w:lang w:val="en-US"/>
        </w:rPr>
        <w:t>https://www.england.nhs.uk/2024/06/nhs-identifies-over-half-a-million-more-people-at-risk-of-type-2-diabetes-in-a-year/</w:t>
      </w:r>
      <w:r>
        <w:rPr/>
        <w:fldChar w:fldCharType="end" w:fldLock="0"/>
      </w:r>
    </w:p>
    <w:p>
      <w:pPr>
        <w:pStyle w:val="Body"/>
        <w:spacing w:line="360" w:lineRule="auto"/>
        <w:jc w:val="both"/>
        <w:rPr>
          <w:rStyle w:val="None"/>
        </w:rPr>
      </w:pPr>
      <w:r>
        <w:rPr>
          <w:rStyle w:val="None"/>
          <w:rtl w:val="0"/>
          <w:lang w:val="en-US"/>
        </w:rPr>
        <w:t xml:space="preserve">Nii Laryeafio, M. and Ogbewe, O.C., (2023). Ethical consideration dilemma: systematic review of ethics in qualitative data collection through interviews. </w:t>
      </w:r>
      <w:r>
        <w:rPr>
          <w:rStyle w:val="None"/>
          <w:i w:val="1"/>
          <w:iCs w:val="1"/>
          <w:rtl w:val="0"/>
          <w:lang w:val="en-US"/>
        </w:rPr>
        <w:t>Journal of Ethics in Entrepreneurship and Technology</w:t>
      </w:r>
      <w:r>
        <w:rPr>
          <w:rStyle w:val="None"/>
          <w:rtl w:val="0"/>
        </w:rPr>
        <w:t xml:space="preserve">, </w:t>
      </w:r>
      <w:r>
        <w:rPr>
          <w:rStyle w:val="None"/>
          <w:i w:val="1"/>
          <w:iCs w:val="1"/>
          <w:rtl w:val="0"/>
        </w:rPr>
        <w:t>3</w:t>
      </w:r>
      <w:r>
        <w:rPr>
          <w:rStyle w:val="None"/>
          <w:rtl w:val="0"/>
          <w:lang w:val="en-US"/>
        </w:rPr>
        <w:t xml:space="preserve">(2), pp.94-110. Available at: </w:t>
      </w:r>
      <w:r>
        <w:rPr>
          <w:rStyle w:val="Hyperlink.0"/>
        </w:rPr>
        <w:fldChar w:fldCharType="begin" w:fldLock="0"/>
      </w:r>
      <w:r>
        <w:rPr>
          <w:rStyle w:val="Hyperlink.0"/>
        </w:rPr>
        <w:instrText xml:space="preserve"> HYPERLINK "https://www.emerald.com/jeet/article/3/2/94/195210"</w:instrText>
      </w:r>
      <w:r>
        <w:rPr>
          <w:rStyle w:val="Hyperlink.0"/>
        </w:rPr>
        <w:fldChar w:fldCharType="separate" w:fldLock="0"/>
      </w:r>
      <w:r>
        <w:rPr>
          <w:rStyle w:val="Hyperlink.0"/>
          <w:rtl w:val="0"/>
          <w:lang w:val="en-US"/>
        </w:rPr>
        <w:t>https://www.emerald.com/jeet/article/3/2/94/195210</w:t>
      </w:r>
      <w:r>
        <w:rPr/>
        <w:fldChar w:fldCharType="end" w:fldLock="0"/>
      </w:r>
    </w:p>
    <w:p>
      <w:pPr>
        <w:pStyle w:val="Body"/>
        <w:spacing w:line="360" w:lineRule="auto"/>
        <w:jc w:val="both"/>
        <w:rPr>
          <w:rStyle w:val="None"/>
        </w:rPr>
      </w:pPr>
      <w:r>
        <w:rPr>
          <w:rStyle w:val="None"/>
          <w:rtl w:val="0"/>
          <w:lang w:val="en-US"/>
        </w:rPr>
        <w:t xml:space="preserve">Olson, J.L., White, B., Mitchell, H., Halliday, J., Skinner, T., Schofield, D., Sweeting, J. and Watson, N., (2022). The design of an evaluation framework for diabetes self-management education and support programs delivered nationally. </w:t>
      </w:r>
      <w:r>
        <w:rPr>
          <w:rStyle w:val="None"/>
          <w:i w:val="1"/>
          <w:iCs w:val="1"/>
          <w:rtl w:val="0"/>
          <w:lang w:val="en-US"/>
        </w:rPr>
        <w:t>BMC Health Services Research</w:t>
      </w:r>
      <w:r>
        <w:rPr>
          <w:rStyle w:val="None"/>
          <w:rtl w:val="0"/>
        </w:rPr>
        <w:t xml:space="preserve">, </w:t>
      </w:r>
      <w:r>
        <w:rPr>
          <w:rStyle w:val="None"/>
          <w:i w:val="1"/>
          <w:iCs w:val="1"/>
          <w:rtl w:val="0"/>
        </w:rPr>
        <w:t>22</w:t>
      </w:r>
      <w:r>
        <w:rPr>
          <w:rStyle w:val="None"/>
          <w:rtl w:val="0"/>
          <w:lang w:val="en-US"/>
        </w:rPr>
        <w:t xml:space="preserve">(1), p.46. Available at: </w:t>
      </w:r>
      <w:r>
        <w:rPr>
          <w:rStyle w:val="Hyperlink.0"/>
        </w:rPr>
        <w:fldChar w:fldCharType="begin" w:fldLock="0"/>
      </w:r>
      <w:r>
        <w:rPr>
          <w:rStyle w:val="Hyperlink.0"/>
        </w:rPr>
        <w:instrText xml:space="preserve"> HYPERLINK "https://link.springer.com/article/10.1186/s12913-021-07374-4"</w:instrText>
      </w:r>
      <w:r>
        <w:rPr>
          <w:rStyle w:val="Hyperlink.0"/>
        </w:rPr>
        <w:fldChar w:fldCharType="separate" w:fldLock="0"/>
      </w:r>
      <w:r>
        <w:rPr>
          <w:rStyle w:val="Hyperlink.0"/>
          <w:rtl w:val="0"/>
        </w:rPr>
        <w:t>https://link.springer.com/article/10.1186/s12913-021-07374-4</w:t>
      </w:r>
      <w:r>
        <w:rPr/>
        <w:fldChar w:fldCharType="end" w:fldLock="0"/>
      </w:r>
    </w:p>
    <w:p>
      <w:pPr>
        <w:pStyle w:val="Body"/>
        <w:spacing w:line="360" w:lineRule="auto"/>
        <w:jc w:val="both"/>
        <w:rPr>
          <w:rStyle w:val="None"/>
        </w:rPr>
      </w:pPr>
      <w:r>
        <w:rPr>
          <w:rStyle w:val="None"/>
          <w:rtl w:val="0"/>
        </w:rPr>
        <w:t xml:space="preserve">Pandey, S., Pandey, S., Dwivedi, S., Pandey, D., Mishra, H. and Mahapatra, S. (2020) </w:t>
      </w:r>
      <w:r>
        <w:rPr>
          <w:rStyle w:val="None"/>
          <w:rtl w:val="1"/>
        </w:rPr>
        <w:t>‘</w:t>
      </w:r>
      <w:r>
        <w:rPr>
          <w:rStyle w:val="None"/>
          <w:rtl w:val="0"/>
          <w:lang w:val="en-US"/>
        </w:rPr>
        <w:t>Methods of various citing and referencing style: fundamentals for early career researchers</w:t>
      </w:r>
      <w:r>
        <w:rPr>
          <w:rStyle w:val="None"/>
          <w:rtl w:val="1"/>
        </w:rPr>
        <w:t>’</w:t>
      </w:r>
      <w:r>
        <w:rPr>
          <w:rStyle w:val="None"/>
          <w:rtl w:val="0"/>
        </w:rPr>
        <w:t xml:space="preserve">, </w:t>
      </w:r>
      <w:r>
        <w:rPr>
          <w:rStyle w:val="None"/>
          <w:i w:val="1"/>
          <w:iCs w:val="1"/>
          <w:rtl w:val="0"/>
          <w:lang w:val="en-US"/>
        </w:rPr>
        <w:t>Publishing Research Quarterly</w:t>
      </w:r>
      <w:r>
        <w:rPr>
          <w:rStyle w:val="None"/>
          <w:rtl w:val="0"/>
          <w:lang w:val="en-US"/>
        </w:rPr>
        <w:t xml:space="preserve">, 36(2), pp.243-253. Available at: </w:t>
      </w:r>
      <w:r>
        <w:rPr>
          <w:rStyle w:val="Hyperlink.0"/>
        </w:rPr>
        <w:fldChar w:fldCharType="begin" w:fldLock="0"/>
      </w:r>
      <w:r>
        <w:rPr>
          <w:rStyle w:val="Hyperlink.0"/>
        </w:rPr>
        <w:instrText xml:space="preserve"> HYPERLINK "https://doi.org/10.1007/s12109-020-09726-0"</w:instrText>
      </w:r>
      <w:r>
        <w:rPr>
          <w:rStyle w:val="Hyperlink.0"/>
        </w:rPr>
        <w:fldChar w:fldCharType="separate" w:fldLock="0"/>
      </w:r>
      <w:r>
        <w:rPr>
          <w:rStyle w:val="Hyperlink.0"/>
          <w:rtl w:val="0"/>
        </w:rPr>
        <w:t>https://doi.org/10.1007/s12109-020-09726-0</w:t>
      </w:r>
      <w:r>
        <w:rPr/>
        <w:fldChar w:fldCharType="end" w:fldLock="0"/>
      </w:r>
      <w:r>
        <w:rPr>
          <w:rStyle w:val="None"/>
          <w:rtl w:val="0"/>
        </w:rPr>
        <w:t xml:space="preserve"> </w:t>
      </w:r>
    </w:p>
    <w:p>
      <w:pPr>
        <w:pStyle w:val="Body"/>
        <w:spacing w:line="360" w:lineRule="auto"/>
        <w:jc w:val="both"/>
        <w:rPr>
          <w:rStyle w:val="None"/>
        </w:rPr>
      </w:pPr>
      <w:r>
        <w:rPr>
          <w:rStyle w:val="None"/>
          <w:rtl w:val="0"/>
          <w:lang w:val="en-US"/>
        </w:rPr>
        <w:t xml:space="preserve">Ritterbusch, G.D. and Teichmann, M.R., (2023). Defining the metaverse: A systematic literature review. </w:t>
      </w:r>
      <w:r>
        <w:rPr>
          <w:rStyle w:val="None"/>
          <w:i w:val="1"/>
          <w:iCs w:val="1"/>
          <w:rtl w:val="0"/>
          <w:lang w:val="it-IT"/>
        </w:rPr>
        <w:t>Ieee Access</w:t>
      </w:r>
      <w:r>
        <w:rPr>
          <w:rStyle w:val="None"/>
          <w:rtl w:val="0"/>
        </w:rPr>
        <w:t xml:space="preserve">, </w:t>
      </w:r>
      <w:r>
        <w:rPr>
          <w:rStyle w:val="None"/>
          <w:i w:val="1"/>
          <w:iCs w:val="1"/>
          <w:rtl w:val="0"/>
        </w:rPr>
        <w:t>11</w:t>
      </w:r>
      <w:r>
        <w:rPr>
          <w:rStyle w:val="None"/>
          <w:rtl w:val="0"/>
          <w:lang w:val="en-US"/>
        </w:rPr>
        <w:t xml:space="preserve">, pp.12368-12377. Available at: </w:t>
      </w:r>
      <w:r>
        <w:rPr>
          <w:rStyle w:val="Hyperlink.0"/>
        </w:rPr>
        <w:fldChar w:fldCharType="begin" w:fldLock="0"/>
      </w:r>
      <w:r>
        <w:rPr>
          <w:rStyle w:val="Hyperlink.0"/>
        </w:rPr>
        <w:instrText xml:space="preserve"> HYPERLINK "https://ieeexplore.ieee.org/abstract/document/10035386"</w:instrText>
      </w:r>
      <w:r>
        <w:rPr>
          <w:rStyle w:val="Hyperlink.0"/>
        </w:rPr>
        <w:fldChar w:fldCharType="separate" w:fldLock="0"/>
      </w:r>
      <w:r>
        <w:rPr>
          <w:rStyle w:val="Hyperlink.0"/>
          <w:rtl w:val="0"/>
          <w:lang w:val="en-US"/>
        </w:rPr>
        <w:t>https://ieeexplore.ieee.org/abstract/document/10035386</w:t>
      </w:r>
      <w:r>
        <w:rPr/>
        <w:fldChar w:fldCharType="end" w:fldLock="0"/>
      </w:r>
    </w:p>
    <w:p>
      <w:pPr>
        <w:pStyle w:val="Body"/>
        <w:spacing w:line="360" w:lineRule="auto"/>
        <w:jc w:val="both"/>
        <w:rPr>
          <w:rStyle w:val="None"/>
        </w:rPr>
      </w:pPr>
      <w:r>
        <w:rPr>
          <w:rStyle w:val="None"/>
          <w:rtl w:val="0"/>
        </w:rPr>
        <w:t>Roberts, M. (2026)</w:t>
      </w:r>
      <w:r>
        <w:rPr>
          <w:rStyle w:val="None"/>
          <w:i w:val="1"/>
          <w:iCs w:val="1"/>
          <w:rtl w:val="0"/>
          <w:lang w:val="en-US"/>
        </w:rPr>
        <w:t xml:space="preserve"> More young women in their 20s are getting type 2 diabetes,</w:t>
      </w:r>
      <w:r>
        <w:rPr>
          <w:rStyle w:val="None"/>
          <w:rtl w:val="0"/>
          <w:lang w:val="en-US"/>
        </w:rPr>
        <w:t xml:space="preserve"> Available at: </w:t>
      </w:r>
      <w:r>
        <w:rPr>
          <w:rStyle w:val="Hyperlink.0"/>
        </w:rPr>
        <w:fldChar w:fldCharType="begin" w:fldLock="0"/>
      </w:r>
      <w:r>
        <w:rPr>
          <w:rStyle w:val="Hyperlink.0"/>
        </w:rPr>
        <w:instrText xml:space="preserve"> HYPERLINK "https://www.bbc.com/news/articles/cdx8vw5k2x8o"</w:instrText>
      </w:r>
      <w:r>
        <w:rPr>
          <w:rStyle w:val="Hyperlink.0"/>
        </w:rPr>
        <w:fldChar w:fldCharType="separate" w:fldLock="0"/>
      </w:r>
      <w:r>
        <w:rPr>
          <w:rStyle w:val="Hyperlink.0"/>
          <w:rtl w:val="0"/>
          <w:lang w:val="en-US"/>
        </w:rPr>
        <w:t>https://www.bbc.com/news/articles/cdx8vw5k2x8o</w:t>
      </w:r>
      <w:r>
        <w:rPr/>
        <w:fldChar w:fldCharType="end" w:fldLock="0"/>
      </w:r>
    </w:p>
    <w:p>
      <w:pPr>
        <w:pStyle w:val="Body"/>
        <w:spacing w:line="360" w:lineRule="auto"/>
        <w:jc w:val="both"/>
        <w:rPr>
          <w:rStyle w:val="None"/>
        </w:rPr>
      </w:pPr>
      <w:r>
        <w:rPr>
          <w:rStyle w:val="None"/>
          <w:rtl w:val="0"/>
          <w:lang w:val="en-US"/>
        </w:rPr>
        <w:t>Vickery, M., van Teijlingen, E., Hundley, V., Smith, G.B., Way, S. and Westwood, G., (2020). Midwives</w:t>
      </w:r>
      <w:r>
        <w:rPr>
          <w:rStyle w:val="None"/>
          <w:rtl w:val="1"/>
        </w:rPr>
        <w:t xml:space="preserve">’ </w:t>
      </w:r>
      <w:r>
        <w:rPr>
          <w:rStyle w:val="None"/>
          <w:rtl w:val="0"/>
          <w:lang w:val="en-US"/>
        </w:rPr>
        <w:t xml:space="preserve">views towards women using mHealth and eHealth to self-monitor their pregnancy: A systematic review of the literature. </w:t>
      </w:r>
      <w:r>
        <w:rPr>
          <w:rStyle w:val="None"/>
          <w:i w:val="1"/>
          <w:iCs w:val="1"/>
          <w:rtl w:val="0"/>
          <w:lang w:val="en-US"/>
        </w:rPr>
        <w:t>European journal of midwifery</w:t>
      </w:r>
      <w:r>
        <w:rPr>
          <w:rStyle w:val="None"/>
          <w:rtl w:val="0"/>
        </w:rPr>
        <w:t xml:space="preserve">, </w:t>
      </w:r>
      <w:r>
        <w:rPr>
          <w:rStyle w:val="None"/>
          <w:i w:val="1"/>
          <w:iCs w:val="1"/>
          <w:rtl w:val="0"/>
        </w:rPr>
        <w:t>4</w:t>
      </w:r>
      <w:r>
        <w:rPr>
          <w:rStyle w:val="None"/>
          <w:rtl w:val="0"/>
          <w:lang w:val="en-US"/>
        </w:rPr>
        <w:t xml:space="preserve">, p.36. Available at: </w:t>
      </w:r>
      <w:r>
        <w:rPr>
          <w:rStyle w:val="Hyperlink.0"/>
        </w:rPr>
        <w:fldChar w:fldCharType="begin" w:fldLock="0"/>
      </w:r>
      <w:r>
        <w:rPr>
          <w:rStyle w:val="Hyperlink.0"/>
        </w:rPr>
        <w:instrText xml:space="preserve"> HYPERLINK "https://pmc.ncbi.nlm.nih.gov/articles/PMC7839093/"</w:instrText>
      </w:r>
      <w:r>
        <w:rPr>
          <w:rStyle w:val="Hyperlink.0"/>
        </w:rPr>
        <w:fldChar w:fldCharType="separate" w:fldLock="0"/>
      </w:r>
      <w:r>
        <w:rPr>
          <w:rStyle w:val="Hyperlink.0"/>
          <w:rtl w:val="0"/>
          <w:lang w:val="en-US"/>
        </w:rPr>
        <w:t>https://pmc.ncbi.nlm.nih.gov/articles/PMC7839093/</w:t>
      </w:r>
      <w:r>
        <w:rPr/>
        <w:fldChar w:fldCharType="end" w:fldLock="0"/>
      </w:r>
    </w:p>
    <w:p>
      <w:pPr>
        <w:pStyle w:val="Body"/>
        <w:spacing w:line="360" w:lineRule="auto"/>
        <w:jc w:val="both"/>
        <w:rPr>
          <w:rStyle w:val="None"/>
        </w:rPr>
      </w:pPr>
      <w:r>
        <w:rPr>
          <w:rStyle w:val="None"/>
          <w:rtl w:val="0"/>
          <w:lang w:val="en-US"/>
        </w:rPr>
        <w:t xml:space="preserve">Williams, D.M., Jones, H. and Stephens, J.W., (2022). Personalized type 2 diabetes management: an update on recent advances and recommendations. </w:t>
      </w:r>
      <w:r>
        <w:rPr>
          <w:rStyle w:val="None"/>
          <w:i w:val="1"/>
          <w:iCs w:val="1"/>
          <w:rtl w:val="0"/>
          <w:lang w:val="en-US"/>
        </w:rPr>
        <w:t>Diabetes, metabolic syndrome and obesity: targets and therapy</w:t>
      </w:r>
      <w:r>
        <w:rPr>
          <w:rStyle w:val="None"/>
          <w:rtl w:val="0"/>
          <w:lang w:val="en-US"/>
        </w:rPr>
        <w:t xml:space="preserve">, pp.281-295. Available at: </w:t>
      </w:r>
      <w:r>
        <w:rPr>
          <w:rStyle w:val="Hyperlink.0"/>
        </w:rPr>
        <w:fldChar w:fldCharType="begin" w:fldLock="0"/>
      </w:r>
      <w:r>
        <w:rPr>
          <w:rStyle w:val="Hyperlink.0"/>
        </w:rPr>
        <w:instrText xml:space="preserve"> HYPERLINK "https://www.tandfonline.com/doi/full/10.2147/DMSO.S331654"</w:instrText>
      </w:r>
      <w:r>
        <w:rPr>
          <w:rStyle w:val="Hyperlink.0"/>
        </w:rPr>
        <w:fldChar w:fldCharType="separate" w:fldLock="0"/>
      </w:r>
      <w:r>
        <w:rPr>
          <w:rStyle w:val="Hyperlink.0"/>
          <w:rtl w:val="0"/>
          <w:lang w:val="en-US"/>
        </w:rPr>
        <w:t>https://www.tandfonline.com/doi/full/10.2147/DMSO.S331654</w:t>
      </w:r>
      <w:r>
        <w:rPr/>
        <w:fldChar w:fldCharType="end" w:fldLock="0"/>
      </w:r>
    </w:p>
    <w:p>
      <w:pPr>
        <w:pStyle w:val="Body"/>
        <w:spacing w:line="360" w:lineRule="auto"/>
        <w:jc w:val="both"/>
        <w:rPr>
          <w:rStyle w:val="None"/>
        </w:rPr>
      </w:pPr>
      <w:r>
        <w:rPr>
          <w:rStyle w:val="None"/>
          <w:rtl w:val="0"/>
          <w:lang w:val="en-US"/>
        </w:rPr>
        <w:t xml:space="preserve">Williams, D.M., Jones, H. and Stephens, J.W., (2022). Personalized type 2 diabetes management: an update on recent advances and recommendations. </w:t>
      </w:r>
      <w:r>
        <w:rPr>
          <w:rStyle w:val="None"/>
          <w:i w:val="1"/>
          <w:iCs w:val="1"/>
          <w:rtl w:val="0"/>
          <w:lang w:val="en-US"/>
        </w:rPr>
        <w:t>Diabetes, metabolic syndrome and obesity: targets and therapy</w:t>
      </w:r>
      <w:r>
        <w:rPr>
          <w:rStyle w:val="None"/>
          <w:rtl w:val="0"/>
          <w:lang w:val="en-US"/>
        </w:rPr>
        <w:t xml:space="preserve">, pp.281-295. Available at: </w:t>
      </w:r>
      <w:r>
        <w:rPr>
          <w:rStyle w:val="Hyperlink.0"/>
        </w:rPr>
        <w:fldChar w:fldCharType="begin" w:fldLock="0"/>
      </w:r>
      <w:r>
        <w:rPr>
          <w:rStyle w:val="Hyperlink.0"/>
        </w:rPr>
        <w:instrText xml:space="preserve"> HYPERLINK "https://www.tandfonline.com/doi/full/10.2147/DMSO.S331654"</w:instrText>
      </w:r>
      <w:r>
        <w:rPr>
          <w:rStyle w:val="Hyperlink.0"/>
        </w:rPr>
        <w:fldChar w:fldCharType="separate" w:fldLock="0"/>
      </w:r>
      <w:r>
        <w:rPr>
          <w:rStyle w:val="Hyperlink.0"/>
          <w:rtl w:val="0"/>
          <w:lang w:val="en-US"/>
        </w:rPr>
        <w:t>https://www.tandfonline.com/doi/full/10.2147/DMSO.S331654</w:t>
      </w:r>
      <w:r>
        <w:rPr/>
        <w:fldChar w:fldCharType="end" w:fldLock="0"/>
      </w:r>
    </w:p>
    <w:p>
      <w:pPr>
        <w:pStyle w:val="Body"/>
        <w:spacing w:line="360" w:lineRule="auto"/>
        <w:jc w:val="both"/>
        <w:rPr>
          <w:rStyle w:val="None"/>
        </w:rPr>
      </w:pPr>
      <w:r>
        <w:rPr>
          <w:rStyle w:val="None"/>
          <w:rtl w:val="0"/>
          <w:lang w:val="en-US"/>
        </w:rPr>
        <w:t xml:space="preserve">Yan, Y., Wu, T., Zhang, M., Li, C., Liu, Q. and Li, F., (2022). Prevalence, awareness and control of type 2 diabetes mellitus and risk factors in Chinese elderly population. </w:t>
      </w:r>
      <w:r>
        <w:rPr>
          <w:rStyle w:val="None"/>
          <w:i w:val="1"/>
          <w:iCs w:val="1"/>
          <w:rtl w:val="0"/>
          <w:lang w:val="en-US"/>
        </w:rPr>
        <w:t>BMC Public Health</w:t>
      </w:r>
      <w:r>
        <w:rPr>
          <w:rStyle w:val="None"/>
          <w:rtl w:val="0"/>
        </w:rPr>
        <w:t xml:space="preserve">, </w:t>
      </w:r>
      <w:r>
        <w:rPr>
          <w:rStyle w:val="None"/>
          <w:i w:val="1"/>
          <w:iCs w:val="1"/>
          <w:rtl w:val="0"/>
        </w:rPr>
        <w:t>22</w:t>
      </w:r>
      <w:r>
        <w:rPr>
          <w:rStyle w:val="None"/>
          <w:rtl w:val="0"/>
          <w:lang w:val="en-US"/>
        </w:rPr>
        <w:t xml:space="preserve">(1), p.1382. Available at: </w:t>
      </w:r>
      <w:r>
        <w:rPr>
          <w:rStyle w:val="Hyperlink.0"/>
        </w:rPr>
        <w:fldChar w:fldCharType="begin" w:fldLock="0"/>
      </w:r>
      <w:r>
        <w:rPr>
          <w:rStyle w:val="Hyperlink.0"/>
        </w:rPr>
        <w:instrText xml:space="preserve"> HYPERLINK "https://link.springer.com/article/10.1186/s12889-022-13759-9"</w:instrText>
      </w:r>
      <w:r>
        <w:rPr>
          <w:rStyle w:val="Hyperlink.0"/>
        </w:rPr>
        <w:fldChar w:fldCharType="separate" w:fldLock="0"/>
      </w:r>
      <w:r>
        <w:rPr>
          <w:rStyle w:val="Hyperlink.0"/>
          <w:rtl w:val="0"/>
        </w:rPr>
        <w:t>https://link.springer.com/article/10.1186/s12889-022-13759-9</w:t>
      </w:r>
      <w:r>
        <w:rPr/>
        <w:fldChar w:fldCharType="end" w:fldLock="0"/>
      </w:r>
    </w:p>
    <w:p>
      <w:pPr>
        <w:pStyle w:val="Body"/>
        <w:spacing w:line="360" w:lineRule="auto"/>
        <w:jc w:val="both"/>
        <w:rPr>
          <w:rStyle w:val="None"/>
        </w:rPr>
      </w:pPr>
      <w:r>
        <w:rPr>
          <w:rStyle w:val="None"/>
          <w:rtl w:val="0"/>
          <w:lang w:val="en-US"/>
        </w:rPr>
        <w:t>Yoon, S., Ng, J.H., Kwan, Y.H. and Low, L.L., (2022). Healthcare professionals</w:t>
      </w:r>
      <w:r>
        <w:rPr>
          <w:rStyle w:val="None"/>
          <w:rtl w:val="1"/>
        </w:rPr>
        <w:t xml:space="preserve">’ </w:t>
      </w:r>
      <w:r>
        <w:rPr>
          <w:rStyle w:val="None"/>
          <w:rtl w:val="0"/>
          <w:lang w:val="en-US"/>
        </w:rPr>
        <w:t xml:space="preserve">views of factors influencing diabetes self-management and the utility of a mHealth application and its features to support self-care. </w:t>
      </w:r>
      <w:r>
        <w:rPr>
          <w:rStyle w:val="None"/>
          <w:i w:val="1"/>
          <w:iCs w:val="1"/>
          <w:rtl w:val="0"/>
          <w:lang w:val="en-US"/>
        </w:rPr>
        <w:t>Frontiers in Endocrinology</w:t>
      </w:r>
      <w:r>
        <w:rPr>
          <w:rStyle w:val="None"/>
          <w:rtl w:val="0"/>
        </w:rPr>
        <w:t xml:space="preserve">, </w:t>
      </w:r>
      <w:r>
        <w:rPr>
          <w:rStyle w:val="None"/>
          <w:i w:val="1"/>
          <w:iCs w:val="1"/>
          <w:rtl w:val="0"/>
        </w:rPr>
        <w:t>13</w:t>
      </w:r>
      <w:r>
        <w:rPr>
          <w:rStyle w:val="None"/>
          <w:rtl w:val="0"/>
          <w:lang w:val="en-US"/>
        </w:rPr>
        <w:t xml:space="preserve">, p.793473. Available at: </w:t>
      </w:r>
      <w:r>
        <w:rPr>
          <w:rStyle w:val="Hyperlink.0"/>
        </w:rPr>
        <w:fldChar w:fldCharType="begin" w:fldLock="0"/>
      </w:r>
      <w:r>
        <w:rPr>
          <w:rStyle w:val="Hyperlink.0"/>
        </w:rPr>
        <w:instrText xml:space="preserve"> HYPERLINK "https://www.frontiersin.org/journals/endocrinology/articles/10.3389/fendo.2022.793473/full"</w:instrText>
      </w:r>
      <w:r>
        <w:rPr>
          <w:rStyle w:val="Hyperlink.0"/>
        </w:rPr>
        <w:fldChar w:fldCharType="separate" w:fldLock="0"/>
      </w:r>
      <w:r>
        <w:rPr>
          <w:rStyle w:val="Hyperlink.0"/>
          <w:rtl w:val="0"/>
          <w:lang w:val="en-US"/>
        </w:rPr>
        <w:t>https://www.frontiersin.org/journals/endocrinology/articles/10.3389/fendo.2022.793473/full</w:t>
      </w:r>
      <w:r>
        <w:rPr/>
        <w:fldChar w:fldCharType="end" w:fldLock="0"/>
      </w:r>
      <w:r>
        <w:rPr>
          <w:rStyle w:val="None"/>
        </w:rPr>
        <w:br w:type="textWrapping"/>
      </w:r>
    </w:p>
    <w:p>
      <w:pPr>
        <w:pStyle w:val="Body"/>
        <w:spacing w:line="360" w:lineRule="auto"/>
        <w:jc w:val="both"/>
        <w:rPr>
          <w:rStyle w:val="None"/>
          <w:rFonts w:ascii="Times New Roman" w:cs="Times New Roman" w:hAnsi="Times New Roman" w:eastAsia="Times New Roman"/>
          <w:sz w:val="24"/>
          <w:szCs w:val="24"/>
        </w:rPr>
      </w:pPr>
    </w:p>
    <w:p>
      <w:pPr>
        <w:pStyle w:val="Body"/>
        <w:spacing w:line="360" w:lineRule="auto"/>
        <w:jc w:val="both"/>
        <w:rPr>
          <w:rStyle w:val="None"/>
          <w:rFonts w:ascii="Times New Roman" w:cs="Times New Roman" w:hAnsi="Times New Roman" w:eastAsia="Times New Roman"/>
          <w:sz w:val="24"/>
          <w:szCs w:val="24"/>
        </w:rPr>
      </w:pPr>
    </w:p>
    <w:p>
      <w:pPr>
        <w:pStyle w:val="Body"/>
        <w:spacing w:line="360" w:lineRule="auto"/>
        <w:jc w:val="both"/>
        <w:rPr>
          <w:rStyle w:val="None"/>
          <w:rFonts w:ascii="Times New Roman" w:cs="Times New Roman" w:hAnsi="Times New Roman" w:eastAsia="Times New Roman"/>
          <w:sz w:val="24"/>
          <w:szCs w:val="24"/>
        </w:rPr>
      </w:pPr>
    </w:p>
    <w:p>
      <w:pPr>
        <w:pStyle w:val="Body"/>
        <w:spacing w:line="360" w:lineRule="auto"/>
        <w:jc w:val="both"/>
        <w:rPr>
          <w:rStyle w:val="None"/>
          <w:rFonts w:ascii="Times New Roman" w:cs="Times New Roman" w:hAnsi="Times New Roman" w:eastAsia="Times New Roman"/>
          <w:sz w:val="24"/>
          <w:szCs w:val="24"/>
        </w:rPr>
      </w:pPr>
    </w:p>
    <w:p>
      <w:pPr>
        <w:pStyle w:val="Body"/>
        <w:spacing w:line="360" w:lineRule="auto"/>
        <w:jc w:val="both"/>
      </w:pPr>
      <w:r>
        <w:rPr>
          <w:rStyle w:val="None"/>
          <w:outline w:val="0"/>
          <w:color w:val="222222"/>
          <w:sz w:val="20"/>
          <w:szCs w:val="20"/>
          <w:u w:color="222222"/>
          <w14:textFill>
            <w14:solidFill>
              <w14:srgbClr w14:val="222222"/>
            </w14:solidFill>
          </w14:textFill>
        </w:rPr>
      </w:r>
    </w:p>
    <w:sectPr>
      <w:headerReference w:type="default" r:id="rId6"/>
      <w:footerReference w:type="default" r:id="rId7"/>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Calibri">
    <w:charset w:val="00"/>
    <w:family w:val="roman"/>
    <w:pitch w:val="default"/>
  </w:font>
  <w:font w:name="Cambria Math">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365f91"/>
      <w:spacing w:val="0"/>
      <w:kern w:val="0"/>
      <w:position w:val="0"/>
      <w:sz w:val="32"/>
      <w:szCs w:val="32"/>
      <w:u w:val="none" w:color="365f91"/>
      <w:shd w:val="nil" w:color="auto" w:fill="auto"/>
      <w:vertAlign w:val="baseline"/>
      <w:lang w:val="en-US"/>
      <w14:textFill>
        <w14:solidFill>
          <w14:srgbClr w14:val="365F91"/>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360" w:lineRule="auto"/>
      <w:ind w:left="0" w:right="0" w:firstLine="0"/>
      <w:jc w:val="both"/>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400" w:after="120" w:line="240" w:lineRule="auto"/>
      <w:ind w:left="0" w:right="0" w:firstLine="0"/>
      <w:jc w:val="left"/>
      <w:outlineLvl w:val="0"/>
    </w:pPr>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100" w:line="360" w:lineRule="auto"/>
      <w:ind w:left="220" w:right="0" w:firstLine="0"/>
      <w:jc w:val="both"/>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360" w:after="120" w:line="276" w:lineRule="auto"/>
      <w:ind w:left="0" w:right="0" w:firstLine="0"/>
      <w:jc w:val="left"/>
      <w:outlineLvl w:val="1"/>
    </w:pPr>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numbering" w:styleId="Imported Style 1">
    <w:name w:val="Imported Style 1"/>
    <w:pPr>
      <w:numPr>
        <w:numId w:val="1"/>
      </w:numPr>
    </w:pPr>
  </w:style>
  <w:style w:type="character" w:styleId="None">
    <w:name w:val="None"/>
  </w:style>
  <w:style w:type="character" w:styleId="Hyperlink.0">
    <w:name w:val="Hyperlink.0"/>
    <w:basedOn w:val="None"/>
    <w:next w:val="Hyperlink.0"/>
    <w:rPr>
      <w:outline w:val="0"/>
      <w:color w:val="1155cc"/>
      <w:u w:val="single" w:color="1155cc"/>
      <w14:textFill>
        <w14:solidFill>
          <w14:srgbClr w14:val="1155CC"/>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