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53929" w14:textId="77777777" w:rsidR="000A12E5" w:rsidRPr="000A12E5" w:rsidRDefault="000A12E5" w:rsidP="000A12E5">
      <w:pPr>
        <w:spacing w:line="360" w:lineRule="auto"/>
        <w:jc w:val="center"/>
        <w:rPr>
          <w:rFonts w:ascii="Arial" w:hAnsi="Arial" w:cs="Arial"/>
          <w:b/>
          <w:bCs/>
          <w:sz w:val="24"/>
          <w:szCs w:val="24"/>
        </w:rPr>
      </w:pPr>
    </w:p>
    <w:p w14:paraId="521EB47B" w14:textId="70000B9A" w:rsidR="000A12E5" w:rsidRDefault="000A12E5" w:rsidP="000A12E5">
      <w:pPr>
        <w:spacing w:line="360" w:lineRule="auto"/>
        <w:jc w:val="center"/>
        <w:rPr>
          <w:rFonts w:ascii="Arial" w:hAnsi="Arial" w:cs="Arial"/>
          <w:b/>
          <w:bCs/>
          <w:sz w:val="24"/>
          <w:szCs w:val="24"/>
        </w:rPr>
      </w:pPr>
      <w:r w:rsidRPr="000A12E5">
        <w:rPr>
          <w:rFonts w:ascii="Arial" w:hAnsi="Arial" w:cs="Arial"/>
          <w:b/>
          <w:bCs/>
          <w:sz w:val="24"/>
          <w:szCs w:val="24"/>
        </w:rPr>
        <w:t>UNIVERSITY OF WALE</w:t>
      </w:r>
      <w:r w:rsidRPr="000A12E5">
        <w:rPr>
          <w:rFonts w:ascii="Arial" w:hAnsi="Arial" w:cs="Arial"/>
          <w:b/>
          <w:bCs/>
          <w:sz w:val="24"/>
          <w:szCs w:val="24"/>
        </w:rPr>
        <w:t xml:space="preserve">S </w:t>
      </w:r>
      <w:r w:rsidRPr="000A12E5">
        <w:rPr>
          <w:rFonts w:ascii="Arial" w:hAnsi="Arial" w:cs="Arial"/>
          <w:b/>
          <w:bCs/>
          <w:sz w:val="24"/>
          <w:szCs w:val="24"/>
        </w:rPr>
        <w:t xml:space="preserve">TRINITY SAINT </w:t>
      </w:r>
      <w:r w:rsidRPr="000A12E5">
        <w:rPr>
          <w:rFonts w:ascii="Arial" w:hAnsi="Arial" w:cs="Arial"/>
          <w:b/>
          <w:bCs/>
          <w:sz w:val="24"/>
          <w:szCs w:val="24"/>
        </w:rPr>
        <w:t>DAVID</w:t>
      </w:r>
    </w:p>
    <w:p w14:paraId="4CCA13BF" w14:textId="77777777" w:rsidR="000A12E5" w:rsidRPr="000A12E5" w:rsidRDefault="000A12E5" w:rsidP="000A12E5">
      <w:pPr>
        <w:spacing w:line="360" w:lineRule="auto"/>
        <w:jc w:val="center"/>
        <w:rPr>
          <w:rFonts w:ascii="Arial" w:hAnsi="Arial" w:cs="Arial"/>
          <w:b/>
          <w:bCs/>
          <w:sz w:val="24"/>
          <w:szCs w:val="24"/>
        </w:rPr>
      </w:pPr>
    </w:p>
    <w:p w14:paraId="0EA59A65" w14:textId="77777777" w:rsidR="000A12E5" w:rsidRPr="000A12E5" w:rsidRDefault="000A12E5" w:rsidP="000A12E5">
      <w:pPr>
        <w:spacing w:line="360" w:lineRule="auto"/>
        <w:jc w:val="center"/>
        <w:rPr>
          <w:rFonts w:ascii="Arial" w:hAnsi="Arial" w:cs="Arial"/>
          <w:b/>
          <w:bCs/>
          <w:sz w:val="24"/>
          <w:szCs w:val="24"/>
        </w:rPr>
      </w:pPr>
      <w:r w:rsidRPr="000A12E5">
        <w:rPr>
          <w:rFonts w:ascii="Arial" w:hAnsi="Arial" w:cs="Arial"/>
          <w:b/>
          <w:bCs/>
          <w:sz w:val="24"/>
          <w:szCs w:val="24"/>
        </w:rPr>
        <w:t>London Campus</w:t>
      </w:r>
    </w:p>
    <w:p w14:paraId="0220C061" w14:textId="77777777" w:rsidR="000A12E5" w:rsidRPr="000A12E5" w:rsidRDefault="000A12E5" w:rsidP="000A12E5">
      <w:pPr>
        <w:spacing w:line="360" w:lineRule="auto"/>
        <w:jc w:val="center"/>
        <w:rPr>
          <w:rFonts w:ascii="Arial" w:hAnsi="Arial" w:cs="Arial"/>
          <w:b/>
          <w:bCs/>
          <w:sz w:val="24"/>
          <w:szCs w:val="24"/>
        </w:rPr>
      </w:pPr>
      <w:r w:rsidRPr="000A12E5">
        <w:rPr>
          <w:rFonts w:ascii="Arial" w:hAnsi="Arial" w:cs="Arial"/>
          <w:b/>
          <w:bCs/>
          <w:sz w:val="24"/>
          <w:szCs w:val="24"/>
        </w:rPr>
        <w:t>Community Engagement</w:t>
      </w:r>
    </w:p>
    <w:p w14:paraId="3D80F8BE" w14:textId="77777777" w:rsidR="000A12E5" w:rsidRPr="000A12E5" w:rsidRDefault="000A12E5" w:rsidP="000A12E5">
      <w:pPr>
        <w:spacing w:line="360" w:lineRule="auto"/>
        <w:jc w:val="center"/>
        <w:rPr>
          <w:rFonts w:ascii="Arial" w:hAnsi="Arial" w:cs="Arial"/>
          <w:b/>
          <w:bCs/>
          <w:sz w:val="24"/>
          <w:szCs w:val="24"/>
        </w:rPr>
      </w:pPr>
      <w:r w:rsidRPr="000A12E5">
        <w:rPr>
          <w:rFonts w:ascii="Arial" w:hAnsi="Arial" w:cs="Arial"/>
          <w:b/>
          <w:bCs/>
          <w:sz w:val="24"/>
          <w:szCs w:val="24"/>
        </w:rPr>
        <w:t>LCBB4002</w:t>
      </w:r>
    </w:p>
    <w:p w14:paraId="60A11426" w14:textId="5F2A9CE9" w:rsidR="00AC717D" w:rsidRDefault="000A12E5" w:rsidP="000A12E5">
      <w:pPr>
        <w:spacing w:line="360" w:lineRule="auto"/>
        <w:rPr>
          <w:rFonts w:ascii="Arial" w:hAnsi="Arial" w:cs="Arial"/>
          <w:b/>
          <w:bCs/>
          <w:sz w:val="24"/>
          <w:szCs w:val="24"/>
        </w:rPr>
      </w:pPr>
      <w:r w:rsidRPr="000A12E5">
        <w:rPr>
          <w:rFonts w:ascii="Arial" w:hAnsi="Arial" w:cs="Arial"/>
          <w:b/>
          <w:bCs/>
          <w:sz w:val="24"/>
          <w:szCs w:val="24"/>
        </w:rPr>
        <w:t xml:space="preserve">                       </w:t>
      </w:r>
      <w:r>
        <w:rPr>
          <w:rFonts w:ascii="Arial" w:hAnsi="Arial" w:cs="Arial"/>
          <w:b/>
          <w:bCs/>
          <w:sz w:val="24"/>
          <w:szCs w:val="24"/>
        </w:rPr>
        <w:t xml:space="preserve">                </w:t>
      </w:r>
      <w:r w:rsidRPr="000A12E5">
        <w:rPr>
          <w:rFonts w:ascii="Arial" w:hAnsi="Arial" w:cs="Arial"/>
          <w:b/>
          <w:bCs/>
          <w:sz w:val="24"/>
          <w:szCs w:val="24"/>
        </w:rPr>
        <w:t xml:space="preserve">   </w:t>
      </w:r>
      <w:r w:rsidRPr="000A12E5">
        <w:rPr>
          <w:rFonts w:ascii="Arial" w:hAnsi="Arial" w:cs="Arial"/>
          <w:b/>
          <w:bCs/>
          <w:sz w:val="24"/>
          <w:szCs w:val="24"/>
        </w:rPr>
        <w:t xml:space="preserve">Assessment </w:t>
      </w:r>
      <w:r w:rsidRPr="000A12E5">
        <w:rPr>
          <w:rFonts w:ascii="Arial" w:hAnsi="Arial" w:cs="Arial"/>
          <w:b/>
          <w:bCs/>
          <w:sz w:val="24"/>
          <w:szCs w:val="24"/>
        </w:rPr>
        <w:t>2</w:t>
      </w:r>
      <w:r w:rsidRPr="000A12E5">
        <w:rPr>
          <w:rFonts w:ascii="Arial" w:hAnsi="Arial" w:cs="Arial"/>
          <w:b/>
          <w:bCs/>
          <w:sz w:val="24"/>
          <w:szCs w:val="24"/>
        </w:rPr>
        <w:t xml:space="preserve">: Reflective </w:t>
      </w:r>
      <w:r w:rsidR="00CB3F2C">
        <w:rPr>
          <w:rFonts w:ascii="Arial" w:hAnsi="Arial" w:cs="Arial"/>
          <w:b/>
          <w:bCs/>
          <w:sz w:val="24"/>
          <w:szCs w:val="24"/>
        </w:rPr>
        <w:t>Evaluation</w:t>
      </w:r>
    </w:p>
    <w:p w14:paraId="06EBA34D" w14:textId="18E47D71" w:rsidR="00AC717D" w:rsidRDefault="00AC717D" w:rsidP="000A12E5">
      <w:pPr>
        <w:spacing w:line="360" w:lineRule="auto"/>
        <w:rPr>
          <w:rFonts w:ascii="Arial" w:hAnsi="Arial" w:cs="Arial"/>
          <w:b/>
          <w:bCs/>
          <w:sz w:val="24"/>
          <w:szCs w:val="24"/>
        </w:rPr>
      </w:pPr>
    </w:p>
    <w:p w14:paraId="10AD21EF" w14:textId="5CFB850C" w:rsidR="00AC717D" w:rsidRDefault="00AC717D" w:rsidP="000A12E5">
      <w:pPr>
        <w:spacing w:line="360" w:lineRule="auto"/>
        <w:rPr>
          <w:rFonts w:ascii="Arial" w:hAnsi="Arial" w:cs="Arial"/>
          <w:b/>
          <w:bCs/>
          <w:sz w:val="24"/>
          <w:szCs w:val="24"/>
        </w:rPr>
      </w:pPr>
    </w:p>
    <w:p w14:paraId="382BF22E" w14:textId="08F699DE" w:rsidR="00AC717D" w:rsidRDefault="00AC717D" w:rsidP="000A12E5">
      <w:pPr>
        <w:spacing w:line="360" w:lineRule="auto"/>
        <w:rPr>
          <w:rFonts w:ascii="Arial" w:hAnsi="Arial" w:cs="Arial"/>
          <w:b/>
          <w:bCs/>
          <w:sz w:val="24"/>
          <w:szCs w:val="24"/>
        </w:rPr>
      </w:pPr>
    </w:p>
    <w:p w14:paraId="7779943D" w14:textId="0E38EA04" w:rsidR="00AC717D" w:rsidRDefault="00AC717D" w:rsidP="000A12E5">
      <w:pPr>
        <w:spacing w:line="360" w:lineRule="auto"/>
        <w:rPr>
          <w:rFonts w:ascii="Arial" w:hAnsi="Arial" w:cs="Arial"/>
          <w:b/>
          <w:bCs/>
          <w:sz w:val="24"/>
          <w:szCs w:val="24"/>
        </w:rPr>
      </w:pPr>
    </w:p>
    <w:p w14:paraId="387646B0" w14:textId="2C82A05C" w:rsidR="00AC717D" w:rsidRDefault="00AC717D" w:rsidP="000A12E5">
      <w:pPr>
        <w:spacing w:line="360" w:lineRule="auto"/>
        <w:rPr>
          <w:rFonts w:ascii="Arial" w:hAnsi="Arial" w:cs="Arial"/>
          <w:b/>
          <w:bCs/>
          <w:sz w:val="24"/>
          <w:szCs w:val="24"/>
        </w:rPr>
      </w:pPr>
    </w:p>
    <w:p w14:paraId="2A4EBBC5" w14:textId="29863FF2" w:rsidR="00AC717D" w:rsidRDefault="00AC717D" w:rsidP="000A12E5">
      <w:pPr>
        <w:spacing w:line="360" w:lineRule="auto"/>
        <w:rPr>
          <w:rFonts w:ascii="Arial" w:hAnsi="Arial" w:cs="Arial"/>
          <w:b/>
          <w:bCs/>
          <w:sz w:val="24"/>
          <w:szCs w:val="24"/>
        </w:rPr>
      </w:pPr>
    </w:p>
    <w:p w14:paraId="5AB680E4" w14:textId="77777777" w:rsidR="00AC717D" w:rsidRDefault="00AC717D" w:rsidP="00AC717D">
      <w:pPr>
        <w:spacing w:line="360" w:lineRule="auto"/>
        <w:jc w:val="center"/>
        <w:rPr>
          <w:rFonts w:ascii="Arial" w:hAnsi="Arial" w:cs="Arial"/>
          <w:b/>
          <w:bCs/>
          <w:sz w:val="24"/>
          <w:szCs w:val="24"/>
        </w:rPr>
      </w:pPr>
    </w:p>
    <w:p w14:paraId="267B8F3C" w14:textId="77777777" w:rsidR="00AC717D" w:rsidRPr="00323A7D" w:rsidRDefault="00AC717D" w:rsidP="00AC717D">
      <w:pPr>
        <w:rPr>
          <w:rFonts w:cs="Arial"/>
          <w:b/>
          <w:bCs/>
          <w:szCs w:val="24"/>
        </w:rPr>
      </w:pPr>
    </w:p>
    <w:tbl>
      <w:tblPr>
        <w:tblStyle w:val="TableGrid"/>
        <w:tblW w:w="0" w:type="auto"/>
        <w:tblInd w:w="0" w:type="dxa"/>
        <w:tblLook w:val="04A0" w:firstRow="1" w:lastRow="0" w:firstColumn="1" w:lastColumn="0" w:noHBand="0" w:noVBand="1"/>
      </w:tblPr>
      <w:tblGrid>
        <w:gridCol w:w="2689"/>
        <w:gridCol w:w="6661"/>
      </w:tblGrid>
      <w:tr w:rsidR="00AC717D" w:rsidRPr="00323A7D" w14:paraId="443597AE" w14:textId="77777777" w:rsidTr="00C343AF">
        <w:tc>
          <w:tcPr>
            <w:tcW w:w="2689" w:type="dxa"/>
            <w:tcBorders>
              <w:top w:val="single" w:sz="4" w:space="0" w:color="auto"/>
              <w:left w:val="single" w:sz="4" w:space="0" w:color="auto"/>
              <w:bottom w:val="single" w:sz="4" w:space="0" w:color="auto"/>
              <w:right w:val="single" w:sz="4" w:space="0" w:color="auto"/>
            </w:tcBorders>
            <w:hideMark/>
          </w:tcPr>
          <w:p w14:paraId="6D32B38E" w14:textId="77777777" w:rsidR="00AC717D" w:rsidRPr="00323A7D" w:rsidRDefault="00AC717D" w:rsidP="00C343AF">
            <w:pPr>
              <w:rPr>
                <w:rFonts w:cs="Arial"/>
                <w:b/>
                <w:bCs/>
                <w:sz w:val="24"/>
                <w:szCs w:val="24"/>
              </w:rPr>
            </w:pPr>
            <w:r w:rsidRPr="00323A7D">
              <w:rPr>
                <w:rFonts w:cs="Arial"/>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4D1F48B8" w14:textId="77777777" w:rsidR="00AC717D" w:rsidRPr="00323A7D" w:rsidRDefault="00AC717D" w:rsidP="00C343AF">
            <w:pPr>
              <w:rPr>
                <w:rFonts w:cs="Arial"/>
                <w:b/>
                <w:bCs/>
                <w:sz w:val="24"/>
                <w:szCs w:val="24"/>
              </w:rPr>
            </w:pPr>
            <w:r w:rsidRPr="00323A7D">
              <w:rPr>
                <w:rFonts w:cs="Arial"/>
                <w:b/>
                <w:bCs/>
                <w:sz w:val="24"/>
                <w:szCs w:val="24"/>
              </w:rPr>
              <w:t>FLORENTINA JOITA</w:t>
            </w:r>
          </w:p>
        </w:tc>
      </w:tr>
      <w:tr w:rsidR="00AC717D" w:rsidRPr="00323A7D" w14:paraId="4B8B6321" w14:textId="77777777" w:rsidTr="00C343AF">
        <w:tc>
          <w:tcPr>
            <w:tcW w:w="2689" w:type="dxa"/>
            <w:tcBorders>
              <w:top w:val="single" w:sz="4" w:space="0" w:color="auto"/>
              <w:left w:val="single" w:sz="4" w:space="0" w:color="auto"/>
              <w:bottom w:val="single" w:sz="4" w:space="0" w:color="auto"/>
              <w:right w:val="single" w:sz="4" w:space="0" w:color="auto"/>
            </w:tcBorders>
            <w:hideMark/>
          </w:tcPr>
          <w:p w14:paraId="5708CA12" w14:textId="77777777" w:rsidR="00AC717D" w:rsidRPr="00323A7D" w:rsidRDefault="00AC717D" w:rsidP="00C343AF">
            <w:pPr>
              <w:rPr>
                <w:rFonts w:cs="Arial"/>
                <w:b/>
                <w:bCs/>
                <w:sz w:val="24"/>
                <w:szCs w:val="24"/>
              </w:rPr>
            </w:pPr>
            <w:r w:rsidRPr="00323A7D">
              <w:rPr>
                <w:rFonts w:cs="Arial"/>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073D08E8" w14:textId="77777777" w:rsidR="00AC717D" w:rsidRPr="00323A7D" w:rsidRDefault="00AC717D" w:rsidP="00C343AF">
            <w:pPr>
              <w:rPr>
                <w:rFonts w:cs="Arial"/>
                <w:b/>
                <w:bCs/>
                <w:sz w:val="24"/>
                <w:szCs w:val="24"/>
              </w:rPr>
            </w:pPr>
            <w:r w:rsidRPr="00323A7D">
              <w:rPr>
                <w:rFonts w:cs="Arial"/>
                <w:b/>
                <w:bCs/>
                <w:sz w:val="24"/>
                <w:szCs w:val="24"/>
              </w:rPr>
              <w:t>2124448</w:t>
            </w:r>
          </w:p>
        </w:tc>
      </w:tr>
      <w:tr w:rsidR="00AC717D" w:rsidRPr="00323A7D" w14:paraId="4C05C383" w14:textId="77777777" w:rsidTr="00C343AF">
        <w:tc>
          <w:tcPr>
            <w:tcW w:w="2689" w:type="dxa"/>
            <w:tcBorders>
              <w:top w:val="single" w:sz="4" w:space="0" w:color="auto"/>
              <w:left w:val="single" w:sz="4" w:space="0" w:color="auto"/>
              <w:bottom w:val="single" w:sz="4" w:space="0" w:color="auto"/>
              <w:right w:val="single" w:sz="4" w:space="0" w:color="auto"/>
            </w:tcBorders>
            <w:hideMark/>
          </w:tcPr>
          <w:p w14:paraId="3D66C154" w14:textId="77777777" w:rsidR="00AC717D" w:rsidRPr="00323A7D" w:rsidRDefault="00AC717D" w:rsidP="00C343AF">
            <w:pPr>
              <w:rPr>
                <w:rFonts w:cs="Arial"/>
                <w:b/>
                <w:bCs/>
                <w:sz w:val="24"/>
                <w:szCs w:val="24"/>
              </w:rPr>
            </w:pPr>
            <w:r w:rsidRPr="00323A7D">
              <w:rPr>
                <w:rFonts w:cs="Arial"/>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2A139347" w14:textId="77777777" w:rsidR="00AC717D" w:rsidRPr="00323A7D" w:rsidRDefault="00AC717D" w:rsidP="00C343AF">
            <w:pPr>
              <w:rPr>
                <w:rFonts w:cs="Arial"/>
                <w:b/>
                <w:bCs/>
                <w:sz w:val="24"/>
                <w:szCs w:val="24"/>
              </w:rPr>
            </w:pPr>
            <w:r>
              <w:rPr>
                <w:rFonts w:cs="Arial"/>
                <w:b/>
                <w:bCs/>
                <w:sz w:val="24"/>
                <w:szCs w:val="24"/>
              </w:rPr>
              <w:t>ANITA NAN</w:t>
            </w:r>
          </w:p>
        </w:tc>
      </w:tr>
    </w:tbl>
    <w:p w14:paraId="142A65B0" w14:textId="77777777" w:rsidR="00AC717D" w:rsidRDefault="00AC717D" w:rsidP="00AC717D">
      <w:pPr>
        <w:spacing w:line="360" w:lineRule="auto"/>
        <w:jc w:val="center"/>
        <w:rPr>
          <w:rFonts w:ascii="Arial" w:hAnsi="Arial" w:cs="Arial"/>
          <w:b/>
          <w:bCs/>
          <w:sz w:val="24"/>
          <w:szCs w:val="24"/>
        </w:rPr>
      </w:pPr>
    </w:p>
    <w:p w14:paraId="1E4FF66A" w14:textId="477AE9CA" w:rsidR="00AC717D" w:rsidRPr="00AC717D" w:rsidRDefault="00AC717D" w:rsidP="00AC717D">
      <w:pPr>
        <w:spacing w:line="360" w:lineRule="auto"/>
        <w:rPr>
          <w:rFonts w:ascii="Arial" w:hAnsi="Arial" w:cs="Arial"/>
          <w:sz w:val="24"/>
          <w:szCs w:val="24"/>
        </w:rPr>
      </w:pPr>
    </w:p>
    <w:p w14:paraId="6A7E1F0E" w14:textId="77777777" w:rsidR="00AC717D" w:rsidRDefault="00AC717D" w:rsidP="000A12E5">
      <w:pPr>
        <w:spacing w:line="360" w:lineRule="auto"/>
        <w:rPr>
          <w:rFonts w:ascii="Arial" w:hAnsi="Arial" w:cs="Arial"/>
          <w:b/>
          <w:bCs/>
          <w:sz w:val="24"/>
          <w:szCs w:val="24"/>
        </w:rPr>
      </w:pPr>
    </w:p>
    <w:p w14:paraId="17D37103" w14:textId="1E8EE1EE" w:rsidR="000A12E5" w:rsidRPr="000A12E5" w:rsidRDefault="000A12E5" w:rsidP="000A12E5">
      <w:pPr>
        <w:spacing w:line="360" w:lineRule="auto"/>
        <w:rPr>
          <w:rFonts w:ascii="Arial" w:eastAsia="Times New Roman" w:hAnsi="Arial" w:cs="Arial"/>
          <w:b/>
          <w:bCs/>
          <w:sz w:val="24"/>
          <w:szCs w:val="24"/>
        </w:rPr>
      </w:pPr>
      <w:r w:rsidRPr="000A12E5">
        <w:rPr>
          <w:rFonts w:ascii="Arial" w:eastAsia="Times New Roman" w:hAnsi="Arial" w:cs="Arial"/>
          <w:b/>
          <w:bCs/>
          <w:sz w:val="24"/>
          <w:szCs w:val="24"/>
        </w:rPr>
        <w:br w:type="page"/>
      </w:r>
      <w:r w:rsidRPr="00185C79">
        <w:rPr>
          <w:rFonts w:ascii="Arial" w:eastAsia="Times New Roman" w:hAnsi="Arial" w:cs="Arial"/>
          <w:b/>
          <w:bCs/>
          <w:color w:val="000000" w:themeColor="text1"/>
          <w:sz w:val="24"/>
          <w:szCs w:val="24"/>
        </w:rPr>
        <w:lastRenderedPageBreak/>
        <w:t>T</w:t>
      </w:r>
      <w:r w:rsidRPr="00185C79">
        <w:rPr>
          <w:rFonts w:ascii="Arial" w:eastAsia="Times New Roman" w:hAnsi="Arial" w:cs="Arial"/>
          <w:b/>
          <w:bCs/>
          <w:color w:val="000000" w:themeColor="text1"/>
          <w:sz w:val="24"/>
          <w:szCs w:val="24"/>
        </w:rPr>
        <w:t xml:space="preserve">able of contents </w:t>
      </w:r>
    </w:p>
    <w:sdt>
      <w:sdtPr>
        <w:rPr>
          <w:rFonts w:ascii="Arial" w:hAnsi="Arial" w:cs="Arial"/>
          <w:sz w:val="24"/>
          <w:szCs w:val="24"/>
        </w:rPr>
        <w:id w:val="1151555667"/>
        <w:docPartObj>
          <w:docPartGallery w:val="Table of Contents"/>
          <w:docPartUnique/>
        </w:docPartObj>
      </w:sdtPr>
      <w:sdtContent>
        <w:p w14:paraId="25A33E5B" w14:textId="25BC0F86" w:rsidR="000A12E5" w:rsidRPr="000A12E5" w:rsidRDefault="000A12E5" w:rsidP="000A12E5">
          <w:pPr>
            <w:pStyle w:val="TOC1"/>
            <w:tabs>
              <w:tab w:val="right" w:leader="dot" w:pos="9360"/>
            </w:tabs>
            <w:rPr>
              <w:rFonts w:ascii="Arial" w:hAnsi="Arial" w:cs="Arial"/>
              <w:sz w:val="24"/>
              <w:szCs w:val="24"/>
            </w:rPr>
          </w:pPr>
          <w:r w:rsidRPr="000A12E5">
            <w:rPr>
              <w:rFonts w:ascii="Arial" w:hAnsi="Arial" w:cs="Arial"/>
              <w:sz w:val="24"/>
              <w:szCs w:val="24"/>
            </w:rPr>
            <w:fldChar w:fldCharType="begin"/>
          </w:r>
          <w:r w:rsidRPr="000A12E5">
            <w:rPr>
              <w:rFonts w:ascii="Arial" w:hAnsi="Arial" w:cs="Arial"/>
              <w:sz w:val="24"/>
              <w:szCs w:val="24"/>
            </w:rPr>
            <w:instrText>TOC \o \z \u \h</w:instrText>
          </w:r>
          <w:r w:rsidRPr="000A12E5">
            <w:rPr>
              <w:rFonts w:ascii="Arial" w:hAnsi="Arial" w:cs="Arial"/>
              <w:sz w:val="24"/>
              <w:szCs w:val="24"/>
            </w:rPr>
            <w:fldChar w:fldCharType="separate"/>
          </w:r>
          <w:hyperlink w:anchor="_Toc1807332348">
            <w:r w:rsidRPr="000A12E5">
              <w:rPr>
                <w:rStyle w:val="Hyperlink"/>
                <w:rFonts w:ascii="Arial" w:hAnsi="Arial" w:cs="Arial"/>
                <w:noProof/>
                <w:sz w:val="24"/>
                <w:szCs w:val="24"/>
              </w:rPr>
              <w:t>Introduction</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_Toc1807332348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3</w:t>
            </w:r>
            <w:r w:rsidRPr="000A12E5">
              <w:rPr>
                <w:rFonts w:ascii="Arial" w:hAnsi="Arial" w:cs="Arial"/>
                <w:noProof/>
                <w:sz w:val="24"/>
                <w:szCs w:val="24"/>
              </w:rPr>
              <w:fldChar w:fldCharType="end"/>
            </w:r>
          </w:hyperlink>
        </w:p>
        <w:p w14:paraId="029C00BB" w14:textId="0F079204" w:rsidR="000A12E5" w:rsidRPr="000A12E5" w:rsidRDefault="000A12E5" w:rsidP="000A12E5">
          <w:pPr>
            <w:pStyle w:val="TOC1"/>
            <w:tabs>
              <w:tab w:val="right" w:leader="dot" w:pos="9360"/>
            </w:tabs>
            <w:rPr>
              <w:rFonts w:ascii="Arial" w:hAnsi="Arial" w:cs="Arial"/>
              <w:noProof/>
              <w:sz w:val="24"/>
              <w:szCs w:val="24"/>
            </w:rPr>
          </w:pPr>
          <w:hyperlink w:anchor="_Toc1073451079">
            <w:r w:rsidRPr="000A12E5">
              <w:rPr>
                <w:rStyle w:val="Hyperlink"/>
                <w:rFonts w:ascii="Arial" w:hAnsi="Arial" w:cs="Arial"/>
                <w:noProof/>
                <w:sz w:val="24"/>
                <w:szCs w:val="24"/>
              </w:rPr>
              <w:t>Mentoring the community</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_Toc1073451079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3</w:t>
            </w:r>
            <w:r w:rsidRPr="000A12E5">
              <w:rPr>
                <w:rFonts w:ascii="Arial" w:hAnsi="Arial" w:cs="Arial"/>
                <w:noProof/>
                <w:sz w:val="24"/>
                <w:szCs w:val="24"/>
              </w:rPr>
              <w:fldChar w:fldCharType="end"/>
            </w:r>
          </w:hyperlink>
        </w:p>
        <w:p w14:paraId="35D4A6FA" w14:textId="255EB379" w:rsidR="000A12E5" w:rsidRPr="000A12E5" w:rsidRDefault="000A12E5" w:rsidP="000A12E5">
          <w:pPr>
            <w:pStyle w:val="TOC1"/>
            <w:tabs>
              <w:tab w:val="right" w:leader="dot" w:pos="9360"/>
            </w:tabs>
            <w:rPr>
              <w:rFonts w:ascii="Arial" w:hAnsi="Arial" w:cs="Arial"/>
              <w:noProof/>
              <w:sz w:val="24"/>
              <w:szCs w:val="24"/>
            </w:rPr>
          </w:pPr>
          <w:hyperlink w:anchor="_Toc962171045">
            <w:r w:rsidRPr="000A12E5">
              <w:rPr>
                <w:rStyle w:val="Hyperlink"/>
                <w:rFonts w:ascii="Arial" w:hAnsi="Arial" w:cs="Arial"/>
                <w:noProof/>
                <w:sz w:val="24"/>
                <w:szCs w:val="24"/>
              </w:rPr>
              <w:t>Ways of building a relationship with the community</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_Toc962171045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4</w:t>
            </w:r>
            <w:r w:rsidRPr="000A12E5">
              <w:rPr>
                <w:rFonts w:ascii="Arial" w:hAnsi="Arial" w:cs="Arial"/>
                <w:noProof/>
                <w:sz w:val="24"/>
                <w:szCs w:val="24"/>
              </w:rPr>
              <w:fldChar w:fldCharType="end"/>
            </w:r>
          </w:hyperlink>
        </w:p>
        <w:p w14:paraId="3A16A2A2" w14:textId="31BEF4AB" w:rsidR="000A12E5" w:rsidRPr="000A12E5" w:rsidRDefault="000A12E5" w:rsidP="000A12E5">
          <w:pPr>
            <w:pStyle w:val="TOC1"/>
            <w:tabs>
              <w:tab w:val="right" w:leader="dot" w:pos="9360"/>
            </w:tabs>
            <w:rPr>
              <w:rFonts w:ascii="Arial" w:hAnsi="Arial" w:cs="Arial"/>
              <w:noProof/>
              <w:sz w:val="24"/>
              <w:szCs w:val="24"/>
            </w:rPr>
          </w:pPr>
          <w:hyperlink w:anchor="_Toc149063227">
            <w:r w:rsidRPr="000A12E5">
              <w:rPr>
                <w:rStyle w:val="Hyperlink"/>
                <w:rFonts w:ascii="Arial" w:hAnsi="Arial" w:cs="Arial"/>
                <w:noProof/>
                <w:sz w:val="24"/>
                <w:szCs w:val="24"/>
              </w:rPr>
              <w:t>Coaching the community</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_Toc149063227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4</w:t>
            </w:r>
            <w:r w:rsidRPr="000A12E5">
              <w:rPr>
                <w:rFonts w:ascii="Arial" w:hAnsi="Arial" w:cs="Arial"/>
                <w:noProof/>
                <w:sz w:val="24"/>
                <w:szCs w:val="24"/>
              </w:rPr>
              <w:fldChar w:fldCharType="end"/>
            </w:r>
          </w:hyperlink>
        </w:p>
        <w:p w14:paraId="1169FB38" w14:textId="5E255C19" w:rsidR="000A12E5" w:rsidRPr="000A12E5" w:rsidRDefault="000A12E5" w:rsidP="000A12E5">
          <w:pPr>
            <w:pStyle w:val="TOC1"/>
            <w:tabs>
              <w:tab w:val="right" w:leader="dot" w:pos="9360"/>
            </w:tabs>
            <w:rPr>
              <w:rFonts w:ascii="Arial" w:hAnsi="Arial" w:cs="Arial"/>
              <w:noProof/>
              <w:sz w:val="24"/>
              <w:szCs w:val="24"/>
            </w:rPr>
          </w:pPr>
          <w:hyperlink w:anchor="_Toc1476258680">
            <w:r w:rsidRPr="000A12E5">
              <w:rPr>
                <w:rStyle w:val="Hyperlink"/>
                <w:rFonts w:ascii="Arial" w:hAnsi="Arial" w:cs="Arial"/>
                <w:noProof/>
                <w:sz w:val="24"/>
                <w:szCs w:val="24"/>
              </w:rPr>
              <w:t>Ways of engaging the community</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_Toc1476258680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5</w:t>
            </w:r>
            <w:r w:rsidRPr="000A12E5">
              <w:rPr>
                <w:rFonts w:ascii="Arial" w:hAnsi="Arial" w:cs="Arial"/>
                <w:noProof/>
                <w:sz w:val="24"/>
                <w:szCs w:val="24"/>
              </w:rPr>
              <w:fldChar w:fldCharType="end"/>
            </w:r>
          </w:hyperlink>
        </w:p>
        <w:p w14:paraId="29D74912" w14:textId="697DA883" w:rsidR="000A12E5" w:rsidRPr="000A12E5" w:rsidRDefault="000A12E5" w:rsidP="000A12E5">
          <w:pPr>
            <w:pStyle w:val="TOC1"/>
            <w:tabs>
              <w:tab w:val="right" w:leader="dot" w:pos="9360"/>
            </w:tabs>
            <w:rPr>
              <w:rFonts w:ascii="Arial" w:hAnsi="Arial" w:cs="Arial"/>
              <w:noProof/>
              <w:sz w:val="24"/>
              <w:szCs w:val="24"/>
            </w:rPr>
          </w:pPr>
          <w:hyperlink w:anchor="_Toc1005973824">
            <w:r w:rsidRPr="000A12E5">
              <w:rPr>
                <w:rStyle w:val="Hyperlink"/>
                <w:rFonts w:ascii="Arial" w:hAnsi="Arial" w:cs="Arial"/>
                <w:noProof/>
                <w:sz w:val="24"/>
                <w:szCs w:val="24"/>
              </w:rPr>
              <w:t>B</w:t>
            </w:r>
            <w:r w:rsidRPr="000A12E5">
              <w:rPr>
                <w:rStyle w:val="Hyperlink"/>
                <w:rFonts w:ascii="Arial" w:hAnsi="Arial" w:cs="Arial"/>
                <w:noProof/>
                <w:sz w:val="24"/>
                <w:szCs w:val="24"/>
              </w:rPr>
              <w:t>e</w:t>
            </w:r>
            <w:r w:rsidRPr="000A12E5">
              <w:rPr>
                <w:rStyle w:val="Hyperlink"/>
                <w:rFonts w:ascii="Arial" w:hAnsi="Arial" w:cs="Arial"/>
                <w:noProof/>
                <w:sz w:val="24"/>
                <w:szCs w:val="24"/>
              </w:rPr>
              <w:t>nefits of community engagement</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_Toc1005973824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6</w:t>
            </w:r>
            <w:r w:rsidRPr="000A12E5">
              <w:rPr>
                <w:rFonts w:ascii="Arial" w:hAnsi="Arial" w:cs="Arial"/>
                <w:noProof/>
                <w:sz w:val="24"/>
                <w:szCs w:val="24"/>
              </w:rPr>
              <w:fldChar w:fldCharType="end"/>
            </w:r>
          </w:hyperlink>
        </w:p>
        <w:p w14:paraId="431AF415" w14:textId="69A9AAEA" w:rsidR="000A12E5" w:rsidRPr="000A12E5" w:rsidRDefault="000A12E5" w:rsidP="000A12E5">
          <w:pPr>
            <w:pStyle w:val="TOC1"/>
            <w:tabs>
              <w:tab w:val="right" w:leader="dot" w:pos="9360"/>
            </w:tabs>
            <w:rPr>
              <w:rFonts w:ascii="Arial" w:hAnsi="Arial" w:cs="Arial"/>
              <w:noProof/>
              <w:sz w:val="24"/>
              <w:szCs w:val="24"/>
            </w:rPr>
          </w:pPr>
          <w:hyperlink w:anchor="_Toc1885379901">
            <w:r w:rsidRPr="000A12E5">
              <w:rPr>
                <w:rStyle w:val="Hyperlink"/>
                <w:rFonts w:ascii="Arial" w:hAnsi="Arial" w:cs="Arial"/>
                <w:noProof/>
                <w:sz w:val="24"/>
                <w:szCs w:val="24"/>
              </w:rPr>
              <w:t>C</w:t>
            </w:r>
            <w:r w:rsidRPr="000A12E5">
              <w:rPr>
                <w:rStyle w:val="Hyperlink"/>
                <w:rFonts w:ascii="Arial" w:hAnsi="Arial" w:cs="Arial"/>
                <w:noProof/>
                <w:sz w:val="24"/>
                <w:szCs w:val="24"/>
              </w:rPr>
              <w:t>onclusion</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_Toc1885379901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7</w:t>
            </w:r>
            <w:r w:rsidRPr="000A12E5">
              <w:rPr>
                <w:rFonts w:ascii="Arial" w:hAnsi="Arial" w:cs="Arial"/>
                <w:noProof/>
                <w:sz w:val="24"/>
                <w:szCs w:val="24"/>
              </w:rPr>
              <w:fldChar w:fldCharType="end"/>
            </w:r>
          </w:hyperlink>
        </w:p>
        <w:p w14:paraId="7C129A79" w14:textId="485FEC92" w:rsidR="000A12E5" w:rsidRPr="000A12E5" w:rsidRDefault="000A12E5" w:rsidP="000A12E5">
          <w:pPr>
            <w:pStyle w:val="TOC1"/>
            <w:tabs>
              <w:tab w:val="right" w:leader="dot" w:pos="9360"/>
            </w:tabs>
            <w:rPr>
              <w:rFonts w:ascii="Arial" w:hAnsi="Arial" w:cs="Arial"/>
              <w:sz w:val="24"/>
              <w:szCs w:val="24"/>
            </w:rPr>
          </w:pPr>
          <w:hyperlink w:anchor="_Toc895849268">
            <w:r w:rsidRPr="000A12E5">
              <w:rPr>
                <w:rStyle w:val="Hyperlink"/>
                <w:rFonts w:ascii="Arial" w:hAnsi="Arial" w:cs="Arial"/>
                <w:noProof/>
                <w:sz w:val="24"/>
                <w:szCs w:val="24"/>
              </w:rPr>
              <w:t>References</w:t>
            </w:r>
            <w:r w:rsidRPr="000A12E5">
              <w:rPr>
                <w:rFonts w:ascii="Arial" w:hAnsi="Arial" w:cs="Arial"/>
                <w:noProof/>
                <w:sz w:val="24"/>
                <w:szCs w:val="24"/>
              </w:rPr>
              <w:tab/>
            </w:r>
            <w:r w:rsidRPr="000A12E5">
              <w:rPr>
                <w:rFonts w:ascii="Arial" w:hAnsi="Arial" w:cs="Arial"/>
                <w:noProof/>
                <w:sz w:val="24"/>
                <w:szCs w:val="24"/>
              </w:rPr>
              <w:fldChar w:fldCharType="begin"/>
            </w:r>
            <w:r w:rsidRPr="000A12E5">
              <w:rPr>
                <w:rFonts w:ascii="Arial" w:hAnsi="Arial" w:cs="Arial"/>
                <w:noProof/>
                <w:sz w:val="24"/>
                <w:szCs w:val="24"/>
              </w:rPr>
              <w:instrText>PAGEREF _Toc895849268 \h</w:instrText>
            </w:r>
            <w:r w:rsidRPr="000A12E5">
              <w:rPr>
                <w:rFonts w:ascii="Arial" w:hAnsi="Arial" w:cs="Arial"/>
                <w:noProof/>
                <w:sz w:val="24"/>
                <w:szCs w:val="24"/>
              </w:rPr>
            </w:r>
            <w:r w:rsidRPr="000A12E5">
              <w:rPr>
                <w:rFonts w:ascii="Arial" w:hAnsi="Arial" w:cs="Arial"/>
                <w:noProof/>
                <w:sz w:val="24"/>
                <w:szCs w:val="24"/>
              </w:rPr>
              <w:fldChar w:fldCharType="separate"/>
            </w:r>
            <w:r w:rsidR="00185C79">
              <w:rPr>
                <w:rFonts w:ascii="Arial" w:hAnsi="Arial" w:cs="Arial"/>
                <w:noProof/>
                <w:sz w:val="24"/>
                <w:szCs w:val="24"/>
              </w:rPr>
              <w:t>8</w:t>
            </w:r>
            <w:r w:rsidRPr="000A12E5">
              <w:rPr>
                <w:rFonts w:ascii="Arial" w:hAnsi="Arial" w:cs="Arial"/>
                <w:noProof/>
                <w:sz w:val="24"/>
                <w:szCs w:val="24"/>
              </w:rPr>
              <w:fldChar w:fldCharType="end"/>
            </w:r>
          </w:hyperlink>
          <w:r w:rsidRPr="000A12E5">
            <w:rPr>
              <w:rFonts w:ascii="Arial" w:hAnsi="Arial" w:cs="Arial"/>
              <w:sz w:val="24"/>
              <w:szCs w:val="24"/>
            </w:rPr>
            <w:fldChar w:fldCharType="end"/>
          </w:r>
        </w:p>
      </w:sdtContent>
    </w:sdt>
    <w:p w14:paraId="70BD13C8" w14:textId="77777777" w:rsidR="000A12E5" w:rsidRPr="000A12E5" w:rsidRDefault="000A12E5" w:rsidP="000A12E5">
      <w:pPr>
        <w:spacing w:line="360" w:lineRule="auto"/>
        <w:jc w:val="both"/>
        <w:rPr>
          <w:rFonts w:ascii="Arial" w:hAnsi="Arial" w:cs="Arial"/>
          <w:sz w:val="24"/>
          <w:szCs w:val="24"/>
        </w:rPr>
      </w:pPr>
      <w:r w:rsidRPr="000A12E5">
        <w:rPr>
          <w:rFonts w:ascii="Arial" w:hAnsi="Arial" w:cs="Arial"/>
          <w:sz w:val="24"/>
          <w:szCs w:val="24"/>
        </w:rPr>
        <w:br w:type="page"/>
      </w:r>
    </w:p>
    <w:p w14:paraId="20ACDB5D" w14:textId="77777777" w:rsidR="000A12E5" w:rsidRPr="000A12E5" w:rsidRDefault="000A12E5" w:rsidP="002F0182">
      <w:pPr>
        <w:pStyle w:val="Heading1"/>
        <w:spacing w:line="360" w:lineRule="auto"/>
        <w:jc w:val="both"/>
        <w:rPr>
          <w:rFonts w:ascii="Arial" w:hAnsi="Arial" w:cs="Arial"/>
          <w:b/>
          <w:bCs/>
          <w:color w:val="auto"/>
          <w:sz w:val="24"/>
          <w:szCs w:val="24"/>
        </w:rPr>
      </w:pPr>
      <w:bookmarkStart w:id="0" w:name="_Toc1807332348"/>
      <w:r w:rsidRPr="000A12E5">
        <w:rPr>
          <w:rFonts w:ascii="Arial" w:hAnsi="Arial" w:cs="Arial"/>
          <w:b/>
          <w:bCs/>
          <w:color w:val="auto"/>
          <w:sz w:val="24"/>
          <w:szCs w:val="24"/>
        </w:rPr>
        <w:lastRenderedPageBreak/>
        <w:t xml:space="preserve">Introduction </w:t>
      </w:r>
      <w:bookmarkEnd w:id="0"/>
    </w:p>
    <w:p w14:paraId="2268546E" w14:textId="77777777" w:rsidR="000A12E5" w:rsidRPr="000A12E5" w:rsidRDefault="000A12E5" w:rsidP="002F0182">
      <w:pPr>
        <w:shd w:val="clear" w:color="auto" w:fill="FFFFFF" w:themeFill="background1"/>
        <w:spacing w:line="360" w:lineRule="auto"/>
        <w:jc w:val="both"/>
        <w:rPr>
          <w:rFonts w:ascii="Arial" w:eastAsia="Times New Roman" w:hAnsi="Arial" w:cs="Arial"/>
          <w:sz w:val="24"/>
          <w:szCs w:val="24"/>
          <w:lang w:val="en-US"/>
        </w:rPr>
      </w:pPr>
      <w:r w:rsidRPr="000A12E5">
        <w:rPr>
          <w:rFonts w:ascii="Arial" w:eastAsia="Times New Roman" w:hAnsi="Arial" w:cs="Arial"/>
          <w:sz w:val="24"/>
          <w:szCs w:val="24"/>
        </w:rPr>
        <w:t xml:space="preserve">In this section, we shall analyse reflective essay on community engagement and therefore will use Gibb’s reflective model basing all our illustrations on the case study of Imaginary Journeys.  </w:t>
      </w:r>
      <w:r w:rsidRPr="000A12E5">
        <w:rPr>
          <w:rFonts w:ascii="Arial" w:eastAsia="Times New Roman" w:hAnsi="Arial" w:cs="Arial"/>
          <w:sz w:val="24"/>
          <w:szCs w:val="24"/>
          <w:lang w:val="en-US"/>
        </w:rPr>
        <w:t>The Gibbs reflective cycle is a brief reflection on a specific reflective cycle. A Gibbs reflective cycle is a method of reflection that uses the epistemological and temporal foundations of a reflective cycle to reflect on issues within a specific context. The Gibbs reflective cycle was first developed by Gibbs (1974). The Gibbs reflective cycle refers to a series of processes that researchers can use to help move beyond the current state of knowledge and research and help to move in the direction of critical inquiry. The Gibbs reflective cycle can be used to investigate research projects, projects that might move beyond the current state of knowledge, and research projects that are a step in the development of critical inquiry.</w:t>
      </w:r>
    </w:p>
    <w:p w14:paraId="177BCB0B"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 xml:space="preserve">This reflection will all be done </w:t>
      </w:r>
      <w:bookmarkStart w:id="1" w:name="_Int_y4eVmuVX"/>
      <w:r w:rsidRPr="000A12E5">
        <w:rPr>
          <w:rFonts w:ascii="Arial" w:eastAsia="Times New Roman" w:hAnsi="Arial" w:cs="Arial"/>
          <w:sz w:val="24"/>
          <w:szCs w:val="24"/>
        </w:rPr>
        <w:t>to</w:t>
      </w:r>
      <w:bookmarkEnd w:id="1"/>
      <w:r w:rsidRPr="000A12E5">
        <w:rPr>
          <w:rFonts w:ascii="Arial" w:eastAsia="Times New Roman" w:hAnsi="Arial" w:cs="Arial"/>
          <w:sz w:val="24"/>
          <w:szCs w:val="24"/>
        </w:rPr>
        <w:t xml:space="preserve"> consider the case original study social action process and society engagement's intended goals to ensure that art happens across the society. There will be discussion on how to engage various artists in the community, how to build relationships with them so that they can build professional development (</w:t>
      </w:r>
      <w:proofErr w:type="spellStart"/>
      <w:r w:rsidRPr="000A12E5">
        <w:rPr>
          <w:rFonts w:ascii="Arial" w:eastAsia="Times New Roman" w:hAnsi="Arial" w:cs="Arial"/>
          <w:sz w:val="24"/>
          <w:szCs w:val="24"/>
        </w:rPr>
        <w:t>Koster</w:t>
      </w:r>
      <w:proofErr w:type="spellEnd"/>
      <w:r w:rsidRPr="000A12E5">
        <w:rPr>
          <w:rFonts w:ascii="Arial" w:eastAsia="Times New Roman" w:hAnsi="Arial" w:cs="Arial"/>
          <w:sz w:val="24"/>
          <w:szCs w:val="24"/>
        </w:rPr>
        <w:t xml:space="preserve"> and </w:t>
      </w:r>
      <w:proofErr w:type="spellStart"/>
      <w:r w:rsidRPr="000A12E5">
        <w:rPr>
          <w:rFonts w:ascii="Arial" w:eastAsia="Times New Roman" w:hAnsi="Arial" w:cs="Arial"/>
          <w:sz w:val="24"/>
          <w:szCs w:val="24"/>
        </w:rPr>
        <w:t>Lemelin</w:t>
      </w:r>
      <w:proofErr w:type="spellEnd"/>
      <w:r w:rsidRPr="000A12E5">
        <w:rPr>
          <w:rFonts w:ascii="Arial" w:eastAsia="Times New Roman" w:hAnsi="Arial" w:cs="Arial"/>
          <w:sz w:val="24"/>
          <w:szCs w:val="24"/>
        </w:rPr>
        <w:t>, 2012). The advancement of active participation in the community so that they can grasp content out of the community and ensure that their areas of residence are well represented and so that the community can have a sense of belonging for their Travel Agency support and cultural incorporation and respect for diversity. The suggestions and evaluation of the reflection paper in aspects of the overview will wrap up the piece.</w:t>
      </w:r>
    </w:p>
    <w:p w14:paraId="032918A0" w14:textId="77777777" w:rsidR="000A12E5" w:rsidRPr="000A12E5" w:rsidRDefault="000A12E5" w:rsidP="002F0182">
      <w:pPr>
        <w:pStyle w:val="Heading1"/>
        <w:spacing w:line="360" w:lineRule="auto"/>
        <w:jc w:val="both"/>
        <w:rPr>
          <w:rFonts w:ascii="Arial" w:hAnsi="Arial" w:cs="Arial"/>
          <w:b/>
          <w:bCs/>
          <w:color w:val="auto"/>
          <w:sz w:val="24"/>
          <w:szCs w:val="24"/>
        </w:rPr>
      </w:pPr>
      <w:bookmarkStart w:id="2" w:name="_Toc1073451079"/>
      <w:r w:rsidRPr="000A12E5">
        <w:rPr>
          <w:rFonts w:ascii="Arial" w:hAnsi="Arial" w:cs="Arial"/>
          <w:b/>
          <w:bCs/>
          <w:color w:val="auto"/>
          <w:sz w:val="24"/>
          <w:szCs w:val="24"/>
        </w:rPr>
        <w:t>Mentoring the community</w:t>
      </w:r>
      <w:bookmarkEnd w:id="2"/>
    </w:p>
    <w:p w14:paraId="5AA26B5E"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The case study claims that Imaginary journeys was engaging the neighbourhood in the effort to ensure that artists in each community can bring about a sense of belonging to the community. The incorporation of Wild works ensured that each community was well represented and ensure that there was an interaction with the non-traditional arts but get contents from the community to ensure that there was a sense of belonging through Travel Agency</w:t>
      </w:r>
      <w:bookmarkStart w:id="3" w:name="_Int_W1hFeNNN"/>
      <w:r w:rsidRPr="000A12E5">
        <w:rPr>
          <w:rFonts w:ascii="Arial" w:eastAsia="Times New Roman" w:hAnsi="Arial" w:cs="Arial"/>
          <w:sz w:val="24"/>
          <w:szCs w:val="24"/>
        </w:rPr>
        <w:t xml:space="preserve">. </w:t>
      </w:r>
      <w:bookmarkEnd w:id="3"/>
      <w:r w:rsidRPr="000A12E5">
        <w:rPr>
          <w:rFonts w:ascii="Arial" w:eastAsia="Times New Roman" w:hAnsi="Arial" w:cs="Arial"/>
          <w:sz w:val="24"/>
          <w:szCs w:val="24"/>
        </w:rPr>
        <w:t>We saw that Wild works travel agency offered the community in 2009 an engaging and fun activity which engaged most of the community members because of the criteria they used that majority of those who participated were the local people</w:t>
      </w:r>
      <w:bookmarkStart w:id="4" w:name="_Int_C06ERdIj"/>
      <w:r w:rsidRPr="000A12E5">
        <w:rPr>
          <w:rFonts w:ascii="Arial" w:eastAsia="Times New Roman" w:hAnsi="Arial" w:cs="Arial"/>
          <w:sz w:val="24"/>
          <w:szCs w:val="24"/>
        </w:rPr>
        <w:t xml:space="preserve">. On </w:t>
      </w:r>
      <w:r w:rsidRPr="000A12E5">
        <w:rPr>
          <w:rFonts w:ascii="Arial" w:eastAsia="Times New Roman" w:hAnsi="Arial" w:cs="Arial"/>
          <w:sz w:val="24"/>
          <w:szCs w:val="24"/>
        </w:rPr>
        <w:lastRenderedPageBreak/>
        <w:t xml:space="preserve">the other hand, Cloud9 time travel was designed to engage the community through various points such as the shopping centres when people went for shopping, those students who went to school, those who were rare to access also were engaged so that they could be involved in time and space travel. </w:t>
      </w:r>
      <w:bookmarkEnd w:id="4"/>
      <w:r w:rsidRPr="000A12E5">
        <w:rPr>
          <w:rFonts w:ascii="Arial" w:eastAsia="Times New Roman" w:hAnsi="Arial" w:cs="Arial"/>
          <w:sz w:val="24"/>
          <w:szCs w:val="24"/>
        </w:rPr>
        <w:t xml:space="preserve">The Imaginary Journeys ensured that they interacted with the people in all the areas where they could find them and we could see in two instances of Wild works and Cloud 9 Time travel who maximized their engagement with the community field (David and </w:t>
      </w:r>
      <w:proofErr w:type="spellStart"/>
      <w:r w:rsidRPr="000A12E5">
        <w:rPr>
          <w:rFonts w:ascii="Arial" w:eastAsia="Times New Roman" w:hAnsi="Arial" w:cs="Arial"/>
          <w:sz w:val="24"/>
          <w:szCs w:val="24"/>
        </w:rPr>
        <w:t>Cantoni</w:t>
      </w:r>
      <w:proofErr w:type="spellEnd"/>
      <w:r w:rsidRPr="000A12E5">
        <w:rPr>
          <w:rFonts w:ascii="Arial" w:eastAsia="Times New Roman" w:hAnsi="Arial" w:cs="Arial"/>
          <w:sz w:val="24"/>
          <w:szCs w:val="24"/>
        </w:rPr>
        <w:t xml:space="preserve">, 2013). The success of Imaginary Journeys was due to the engagement of the relevant parties, who were able to subject the societies to take part in various community projects that promoted a sense of belonging. </w:t>
      </w:r>
    </w:p>
    <w:p w14:paraId="23FDECAA" w14:textId="77777777" w:rsidR="000A12E5" w:rsidRPr="000A12E5" w:rsidRDefault="000A12E5" w:rsidP="002F0182">
      <w:pPr>
        <w:pStyle w:val="Heading1"/>
        <w:spacing w:line="360" w:lineRule="auto"/>
        <w:jc w:val="both"/>
        <w:rPr>
          <w:rFonts w:ascii="Arial" w:hAnsi="Arial" w:cs="Arial"/>
          <w:b/>
          <w:bCs/>
          <w:color w:val="auto"/>
          <w:sz w:val="24"/>
          <w:szCs w:val="24"/>
        </w:rPr>
      </w:pPr>
      <w:bookmarkStart w:id="5" w:name="_Toc962171045"/>
      <w:r w:rsidRPr="000A12E5">
        <w:rPr>
          <w:rFonts w:ascii="Arial" w:hAnsi="Arial" w:cs="Arial"/>
          <w:b/>
          <w:bCs/>
          <w:color w:val="auto"/>
          <w:sz w:val="24"/>
          <w:szCs w:val="24"/>
        </w:rPr>
        <w:t>Ways of building a relationship with the community</w:t>
      </w:r>
      <w:bookmarkEnd w:id="5"/>
    </w:p>
    <w:p w14:paraId="5F6CF55F"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Imaginary journeys and various stakeholders are seen to have used the best initiative to engage the community because of their organization of events that required the attention of the public to be part of the development process. This is seen in the scenario of Wild works which ensured that at least a representative of one artist in the society was required and that the content should portray the ways of the society so that a sense of belonging would be fostered in the community. One major principle that was seen to have worked out in the process of community engagement is engaging the residents through various places where majority of them are seen to be involved in their daily activities such as the community marketplace which Cloud 9 time and travel situated its premises. They could get to receive views and convince the people on how Cloud 9 time and travel was a good company, and which brought the members of the community through the event of travelling. This process was a successful community engagement because the views of all were taken right from the children up to the elderly and this got the community together through travel.</w:t>
      </w:r>
    </w:p>
    <w:p w14:paraId="720E1F84" w14:textId="77777777" w:rsidR="000A12E5" w:rsidRPr="000A12E5" w:rsidRDefault="000A12E5" w:rsidP="002F0182">
      <w:pPr>
        <w:pStyle w:val="Heading1"/>
        <w:spacing w:line="360" w:lineRule="auto"/>
        <w:jc w:val="both"/>
        <w:rPr>
          <w:rFonts w:ascii="Arial" w:hAnsi="Arial" w:cs="Arial"/>
          <w:b/>
          <w:bCs/>
          <w:color w:val="auto"/>
          <w:sz w:val="24"/>
          <w:szCs w:val="24"/>
        </w:rPr>
      </w:pPr>
      <w:bookmarkStart w:id="6" w:name="_Toc149063227"/>
      <w:r w:rsidRPr="000A12E5">
        <w:rPr>
          <w:rFonts w:ascii="Arial" w:hAnsi="Arial" w:cs="Arial"/>
          <w:b/>
          <w:bCs/>
          <w:color w:val="auto"/>
          <w:sz w:val="24"/>
          <w:szCs w:val="24"/>
        </w:rPr>
        <w:t>Coaching the community</w:t>
      </w:r>
      <w:bookmarkEnd w:id="6"/>
    </w:p>
    <w:p w14:paraId="22DBFB46"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 xml:space="preserve"> The use of the technique that ensured a continuity and the development of various premises in town ensured that various engagements in the society came to being through one of the projects seen in the case study about Cloud 9 time and travel which ensured that there was an occupation of the empty premises in the community and bring about </w:t>
      </w:r>
      <w:r w:rsidRPr="000A12E5">
        <w:rPr>
          <w:rFonts w:ascii="Arial" w:eastAsia="Times New Roman" w:hAnsi="Arial" w:cs="Arial"/>
          <w:sz w:val="24"/>
          <w:szCs w:val="24"/>
        </w:rPr>
        <w:lastRenderedPageBreak/>
        <w:t>value out of it. This ensured that the rural area got to develop through the erection of Cloud 9 company in the area and then engaging the people to utilize the facility through participating in giving their views and getting to travel on space as a community. This ensured that the community shopping centre grew and benefit the people as well since those who did their business in the centre also benefitted through Cloud 9 engagement with the community (</w:t>
      </w:r>
      <w:proofErr w:type="spellStart"/>
      <w:r w:rsidRPr="000A12E5">
        <w:rPr>
          <w:rFonts w:ascii="Arial" w:eastAsia="Times New Roman" w:hAnsi="Arial" w:cs="Arial"/>
          <w:sz w:val="24"/>
          <w:szCs w:val="24"/>
        </w:rPr>
        <w:t>Bringle</w:t>
      </w:r>
      <w:proofErr w:type="spellEnd"/>
      <w:r w:rsidRPr="000A12E5">
        <w:rPr>
          <w:rFonts w:ascii="Arial" w:eastAsia="Times New Roman" w:hAnsi="Arial" w:cs="Arial"/>
          <w:sz w:val="24"/>
          <w:szCs w:val="24"/>
        </w:rPr>
        <w:t xml:space="preserve"> and Hatcher, 2009). </w:t>
      </w:r>
    </w:p>
    <w:p w14:paraId="6C436AB1" w14:textId="77777777" w:rsidR="000A12E5" w:rsidRPr="000A12E5" w:rsidRDefault="000A12E5" w:rsidP="002F0182">
      <w:pPr>
        <w:spacing w:line="360" w:lineRule="auto"/>
        <w:jc w:val="both"/>
        <w:rPr>
          <w:rFonts w:ascii="Arial" w:eastAsia="Times New Roman" w:hAnsi="Arial" w:cs="Arial"/>
          <w:sz w:val="24"/>
          <w:szCs w:val="24"/>
        </w:rPr>
      </w:pPr>
      <w:bookmarkStart w:id="7" w:name="_Int_ptDvKzcc"/>
      <w:r w:rsidRPr="000A12E5">
        <w:rPr>
          <w:rFonts w:ascii="Arial" w:eastAsia="Times New Roman" w:hAnsi="Arial" w:cs="Arial"/>
          <w:sz w:val="24"/>
          <w:szCs w:val="24"/>
        </w:rPr>
        <w:t>In the community, various people are seen to be talented and therefore to ensure that most of the people give their views, Imaginary journeys used art-based strategies which aided in facilitating creative engagement with the community and the place by ensuring that each artist took part in the representation of each community and that the culture of the community was incorporated in the process of content development by those artists. This process ensured community engagement because these artists had to consult the local people in the community about various activities before translating them into music. This ensured that the community felt a sense of belonging seeing that whatever they had as culture was something which was incorporated by artists which, motivated more members of the community to participate</w:t>
      </w:r>
      <w:bookmarkStart w:id="8" w:name="_Int_EB03ulXb"/>
      <w:r w:rsidRPr="000A12E5">
        <w:rPr>
          <w:rFonts w:ascii="Arial" w:eastAsia="Times New Roman" w:hAnsi="Arial" w:cs="Arial"/>
          <w:sz w:val="24"/>
          <w:szCs w:val="24"/>
        </w:rPr>
        <w:t xml:space="preserve">. </w:t>
      </w:r>
      <w:bookmarkEnd w:id="8"/>
      <w:r w:rsidRPr="000A12E5">
        <w:rPr>
          <w:rFonts w:ascii="Arial" w:eastAsia="Times New Roman" w:hAnsi="Arial" w:cs="Arial"/>
          <w:sz w:val="24"/>
          <w:szCs w:val="24"/>
        </w:rPr>
        <w:t>Since</w:t>
      </w:r>
      <w:bookmarkEnd w:id="7"/>
      <w:r w:rsidRPr="000A12E5">
        <w:rPr>
          <w:rFonts w:ascii="Arial" w:eastAsia="Times New Roman" w:hAnsi="Arial" w:cs="Arial"/>
          <w:sz w:val="24"/>
          <w:szCs w:val="24"/>
        </w:rPr>
        <w:t xml:space="preserve"> most people in the area love music especially during events in their society, there might have been a sizable turnout of people in support of the project and fostering of their own culture (Greenwood et.al, 2022).</w:t>
      </w:r>
    </w:p>
    <w:p w14:paraId="71610654" w14:textId="77777777" w:rsidR="000A12E5" w:rsidRPr="000A12E5" w:rsidRDefault="000A12E5" w:rsidP="002F0182">
      <w:pPr>
        <w:pStyle w:val="Heading1"/>
        <w:spacing w:line="360" w:lineRule="auto"/>
        <w:jc w:val="both"/>
        <w:rPr>
          <w:rFonts w:ascii="Arial" w:hAnsi="Arial" w:cs="Arial"/>
          <w:b/>
          <w:bCs/>
          <w:color w:val="auto"/>
          <w:sz w:val="24"/>
          <w:szCs w:val="24"/>
        </w:rPr>
      </w:pPr>
      <w:bookmarkStart w:id="9" w:name="_Toc1476258680"/>
      <w:r w:rsidRPr="000A12E5">
        <w:rPr>
          <w:rFonts w:ascii="Arial" w:hAnsi="Arial" w:cs="Arial"/>
          <w:b/>
          <w:bCs/>
          <w:color w:val="auto"/>
          <w:sz w:val="24"/>
          <w:szCs w:val="24"/>
        </w:rPr>
        <w:t>Ways of engaging the community</w:t>
      </w:r>
      <w:bookmarkEnd w:id="9"/>
    </w:p>
    <w:p w14:paraId="323CB270"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 xml:space="preserve">Through reflection, we discover that community engagement is made up of numerous sections with various functionalities and applicability that meet societal demands while adhering to predetermined or established boundaries. For instance, the government enacts laws and regulates activities, the government puts laws in place, the schools educate and help people develop moral behaviour, the health facilities provide medications and other care services, and the churches and other places of worship concentrate on intellectual and spiritual well-being. (Henry, 2011). This should now be translated to the community in the sense that each section of the ways there are obligations should make sure that they carry out their work appropriately. Therefore, this will result in a more favourable society with many structures that communicate functions and deal with any </w:t>
      </w:r>
      <w:bookmarkStart w:id="10" w:name="_Int_JHXyyY6a"/>
      <w:r w:rsidRPr="000A12E5">
        <w:rPr>
          <w:rFonts w:ascii="Arial" w:eastAsia="Times New Roman" w:hAnsi="Arial" w:cs="Arial"/>
          <w:sz w:val="24"/>
          <w:szCs w:val="24"/>
        </w:rPr>
        <w:t>contemporary issues</w:t>
      </w:r>
      <w:bookmarkEnd w:id="10"/>
      <w:r w:rsidRPr="000A12E5">
        <w:rPr>
          <w:rFonts w:ascii="Arial" w:eastAsia="Times New Roman" w:hAnsi="Arial" w:cs="Arial"/>
          <w:sz w:val="24"/>
          <w:szCs w:val="24"/>
        </w:rPr>
        <w:t xml:space="preserve"> so that the society's welfare is maintained. </w:t>
      </w:r>
      <w:r w:rsidRPr="000A12E5">
        <w:rPr>
          <w:rFonts w:ascii="Arial" w:eastAsia="Times New Roman" w:hAnsi="Arial" w:cs="Arial"/>
          <w:sz w:val="24"/>
          <w:szCs w:val="24"/>
        </w:rPr>
        <w:lastRenderedPageBreak/>
        <w:t xml:space="preserve">Connectivity, collaboration, and teamwork are necessary from all sectors to fully address challenges that the nation faces </w:t>
      </w:r>
      <w:bookmarkStart w:id="11" w:name="_Int_mynyAHct"/>
      <w:r w:rsidRPr="000A12E5">
        <w:rPr>
          <w:rFonts w:ascii="Arial" w:eastAsia="Times New Roman" w:hAnsi="Arial" w:cs="Arial"/>
          <w:sz w:val="24"/>
          <w:szCs w:val="24"/>
        </w:rPr>
        <w:t>to</w:t>
      </w:r>
      <w:bookmarkEnd w:id="11"/>
      <w:r w:rsidRPr="000A12E5">
        <w:rPr>
          <w:rFonts w:ascii="Arial" w:eastAsia="Times New Roman" w:hAnsi="Arial" w:cs="Arial"/>
          <w:sz w:val="24"/>
          <w:szCs w:val="24"/>
        </w:rPr>
        <w:t xml:space="preserve"> maximize everyone's well-being and equitable participation in the process as seen in the case study on Wild works (Thompson et.al, 1990).</w:t>
      </w:r>
    </w:p>
    <w:p w14:paraId="5D963825"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 xml:space="preserve">A community member's sense of belonging to the group can be expanded beyond the frame of reference of the intellectuals and leaders of the group by </w:t>
      </w:r>
      <w:bookmarkStart w:id="12" w:name="_Int_6r4N7RTC"/>
      <w:r w:rsidRPr="000A12E5">
        <w:rPr>
          <w:rFonts w:ascii="Arial" w:eastAsia="Times New Roman" w:hAnsi="Arial" w:cs="Arial"/>
          <w:sz w:val="24"/>
          <w:szCs w:val="24"/>
        </w:rPr>
        <w:t>considering</w:t>
      </w:r>
      <w:bookmarkEnd w:id="12"/>
      <w:r w:rsidRPr="000A12E5">
        <w:rPr>
          <w:rFonts w:ascii="Arial" w:eastAsia="Times New Roman" w:hAnsi="Arial" w:cs="Arial"/>
          <w:sz w:val="24"/>
          <w:szCs w:val="24"/>
        </w:rPr>
        <w:t xml:space="preserve"> individual perspectives within the group. This has been observed in situations where </w:t>
      </w:r>
      <w:bookmarkStart w:id="13" w:name="_Int_E3mC3iXB"/>
      <w:r w:rsidRPr="000A12E5">
        <w:rPr>
          <w:rFonts w:ascii="Arial" w:eastAsia="Times New Roman" w:hAnsi="Arial" w:cs="Arial"/>
          <w:sz w:val="24"/>
          <w:szCs w:val="24"/>
        </w:rPr>
        <w:t>residents</w:t>
      </w:r>
      <w:bookmarkEnd w:id="13"/>
      <w:r w:rsidRPr="000A12E5">
        <w:rPr>
          <w:rFonts w:ascii="Arial" w:eastAsia="Times New Roman" w:hAnsi="Arial" w:cs="Arial"/>
          <w:sz w:val="24"/>
          <w:szCs w:val="24"/>
        </w:rPr>
        <w:t xml:space="preserve"> change how they perceive the society, which has been seen to have an impact on daily activities in society (</w:t>
      </w:r>
      <w:proofErr w:type="spellStart"/>
      <w:r w:rsidRPr="000A12E5">
        <w:rPr>
          <w:rFonts w:ascii="Arial" w:eastAsia="Times New Roman" w:hAnsi="Arial" w:cs="Arial"/>
          <w:sz w:val="24"/>
          <w:szCs w:val="24"/>
        </w:rPr>
        <w:t>Minkler</w:t>
      </w:r>
      <w:proofErr w:type="spellEnd"/>
      <w:r w:rsidRPr="000A12E5">
        <w:rPr>
          <w:rFonts w:ascii="Arial" w:eastAsia="Times New Roman" w:hAnsi="Arial" w:cs="Arial"/>
          <w:sz w:val="24"/>
          <w:szCs w:val="24"/>
        </w:rPr>
        <w:t xml:space="preserve"> et.al, 2004). William James (1890) thought about this and provided his analysis on two situations: first, how "I" judge myself, and second, how "I" am perceived by others. He contends that these two incidents aid in identifying and raising a feeling of community identity that other people may not be considering. He continues by saying that most individuals base their conclusions on a person's personality traits or origin. Most individuals in the neighbourhood today think and view the world differently than they did in the past. It is crucial to understand how members of a society interact with one another and with their shared interests to form a congregation.</w:t>
      </w:r>
    </w:p>
    <w:p w14:paraId="66F4CBE4" w14:textId="77777777" w:rsidR="000A12E5" w:rsidRPr="000A12E5" w:rsidRDefault="000A12E5" w:rsidP="002F0182">
      <w:pPr>
        <w:pStyle w:val="Heading1"/>
        <w:spacing w:line="360" w:lineRule="auto"/>
        <w:jc w:val="both"/>
        <w:rPr>
          <w:rFonts w:ascii="Arial" w:hAnsi="Arial" w:cs="Arial"/>
          <w:b/>
          <w:bCs/>
          <w:color w:val="auto"/>
          <w:sz w:val="24"/>
          <w:szCs w:val="24"/>
        </w:rPr>
      </w:pPr>
      <w:bookmarkStart w:id="14" w:name="_Toc1005973824"/>
      <w:r w:rsidRPr="000A12E5">
        <w:rPr>
          <w:rFonts w:ascii="Arial" w:hAnsi="Arial" w:cs="Arial"/>
          <w:b/>
          <w:bCs/>
          <w:color w:val="auto"/>
          <w:sz w:val="24"/>
          <w:szCs w:val="24"/>
        </w:rPr>
        <w:t>Benefits of community engagement</w:t>
      </w:r>
      <w:bookmarkEnd w:id="14"/>
    </w:p>
    <w:p w14:paraId="583ECB9C"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 xml:space="preserve">The society and the people who are involved significantly assist from these procedures of making sure that the societies have been seen to do so. Involvement in the society has been found to have positive effects that form the cornerstone of advancement and consistency (Stanley, 2009). Participatory alters how projects are begun and their possibilities of getting money has been seen to be an achievement, and as a result, many initiatives have been finished such as the construction of new, entertainment areas, and many others as seen in Wild works. This is one of the advantages that were seen to accumulate to culture. These are the types of projects that call for the community to come together and brainstorm strategies for success and this has been evidenced by Imaginary Journeys. The level of trust among the organizations providing support services has increased </w:t>
      </w:r>
      <w:bookmarkStart w:id="15" w:name="_Int_7swB1Pgm"/>
      <w:r w:rsidRPr="000A12E5">
        <w:rPr>
          <w:rFonts w:ascii="Arial" w:eastAsia="Times New Roman" w:hAnsi="Arial" w:cs="Arial"/>
          <w:sz w:val="24"/>
          <w:szCs w:val="24"/>
        </w:rPr>
        <w:t>because of</w:t>
      </w:r>
      <w:bookmarkEnd w:id="15"/>
      <w:r w:rsidRPr="000A12E5">
        <w:rPr>
          <w:rFonts w:ascii="Arial" w:eastAsia="Times New Roman" w:hAnsi="Arial" w:cs="Arial"/>
          <w:sz w:val="24"/>
          <w:szCs w:val="24"/>
        </w:rPr>
        <w:t xml:space="preserve"> this. This is evident in the various organizations and collaborations that are observed to form alliances merely </w:t>
      </w:r>
      <w:bookmarkStart w:id="16" w:name="_Int_Ea6iP5JM"/>
      <w:r w:rsidRPr="000A12E5">
        <w:rPr>
          <w:rFonts w:ascii="Arial" w:eastAsia="Times New Roman" w:hAnsi="Arial" w:cs="Arial"/>
          <w:sz w:val="24"/>
          <w:szCs w:val="24"/>
        </w:rPr>
        <w:t>because of</w:t>
      </w:r>
      <w:bookmarkEnd w:id="16"/>
      <w:r w:rsidRPr="000A12E5">
        <w:rPr>
          <w:rFonts w:ascii="Arial" w:eastAsia="Times New Roman" w:hAnsi="Arial" w:cs="Arial"/>
          <w:sz w:val="24"/>
          <w:szCs w:val="24"/>
        </w:rPr>
        <w:t xml:space="preserve"> the collaboration seen in the community, which has led to the success of the society for example Cloud 9 travel which </w:t>
      </w:r>
      <w:r w:rsidRPr="000A12E5">
        <w:rPr>
          <w:rFonts w:ascii="Arial" w:eastAsia="Times New Roman" w:hAnsi="Arial" w:cs="Arial"/>
          <w:sz w:val="24"/>
          <w:szCs w:val="24"/>
        </w:rPr>
        <w:lastRenderedPageBreak/>
        <w:t>brought about occupation in empty premises and resurrected growth in the community. This has made it more likely that modifications to research techniques, tools, strategies, acknowledgement, sampling procedures, conversation, and data transfer will be incorporated.</w:t>
      </w:r>
    </w:p>
    <w:p w14:paraId="7C15FB15" w14:textId="2A2EB8FC" w:rsidR="000A12E5" w:rsidRPr="000A12E5" w:rsidRDefault="000A12E5" w:rsidP="002F0182">
      <w:pPr>
        <w:pStyle w:val="Heading1"/>
        <w:spacing w:line="360" w:lineRule="auto"/>
        <w:jc w:val="both"/>
        <w:rPr>
          <w:rFonts w:ascii="Arial" w:hAnsi="Arial" w:cs="Arial"/>
          <w:b/>
          <w:bCs/>
          <w:color w:val="auto"/>
          <w:sz w:val="24"/>
          <w:szCs w:val="24"/>
        </w:rPr>
      </w:pPr>
      <w:bookmarkStart w:id="17" w:name="_Toc1885379901"/>
      <w:r>
        <w:rPr>
          <w:rFonts w:ascii="Arial" w:hAnsi="Arial" w:cs="Arial"/>
          <w:b/>
          <w:bCs/>
          <w:color w:val="auto"/>
          <w:sz w:val="24"/>
          <w:szCs w:val="24"/>
        </w:rPr>
        <w:t>C</w:t>
      </w:r>
      <w:r w:rsidRPr="000A12E5">
        <w:rPr>
          <w:rFonts w:ascii="Arial" w:hAnsi="Arial" w:cs="Arial"/>
          <w:b/>
          <w:bCs/>
          <w:color w:val="auto"/>
          <w:sz w:val="24"/>
          <w:szCs w:val="24"/>
        </w:rPr>
        <w:t>onclusion</w:t>
      </w:r>
      <w:bookmarkEnd w:id="17"/>
    </w:p>
    <w:p w14:paraId="724E458B"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t xml:space="preserve">In conclusion about this reflective report, I have covered </w:t>
      </w:r>
      <w:bookmarkStart w:id="18" w:name="_Int_v1uwSZUN"/>
      <w:r w:rsidRPr="000A12E5">
        <w:rPr>
          <w:rFonts w:ascii="Arial" w:eastAsia="Times New Roman" w:hAnsi="Arial" w:cs="Arial"/>
          <w:sz w:val="24"/>
          <w:szCs w:val="24"/>
        </w:rPr>
        <w:t>most of</w:t>
      </w:r>
      <w:bookmarkEnd w:id="18"/>
      <w:r w:rsidRPr="000A12E5">
        <w:rPr>
          <w:rFonts w:ascii="Arial" w:eastAsia="Times New Roman" w:hAnsi="Arial" w:cs="Arial"/>
          <w:sz w:val="24"/>
          <w:szCs w:val="24"/>
        </w:rPr>
        <w:t xml:space="preserve"> the accomplishments and pertinent actions that Imaginary Journeys used to involve the neighbourhood in the construction of the play area on shared assets. This has been coordinated to the effective methods that could be used to entail the interested parties in the application of the public participation. The culturally diverse and social aspects of the people participating must be </w:t>
      </w:r>
      <w:bookmarkStart w:id="19" w:name="_Int_RJxUl7Nj"/>
      <w:r w:rsidRPr="000A12E5">
        <w:rPr>
          <w:rFonts w:ascii="Arial" w:eastAsia="Times New Roman" w:hAnsi="Arial" w:cs="Arial"/>
          <w:sz w:val="24"/>
          <w:szCs w:val="24"/>
        </w:rPr>
        <w:t>considered</w:t>
      </w:r>
      <w:bookmarkEnd w:id="19"/>
      <w:r w:rsidRPr="000A12E5">
        <w:rPr>
          <w:rFonts w:ascii="Arial" w:eastAsia="Times New Roman" w:hAnsi="Arial" w:cs="Arial"/>
          <w:sz w:val="24"/>
          <w:szCs w:val="24"/>
        </w:rPr>
        <w:t xml:space="preserve"> when doing this. community engagement is a key unit in the society which should be taken keenly by all the individuals so that the interaction with it becomes amicable and that this process impacts the citizens positively and get to run their duties well. Ethics are an important aspect in the field of communication, but this should be translated to the field of assisting human trivial in all the areas and get to develop personal interests. This is normally applicable by ensuring that the individuals in a particular area in the society gets to embrace the existing regulations and legislations of the community which applies to anyone in the community. It is important to know how the individuals in the society engage in their well-beings and their mutual relationships that made up a community.</w:t>
      </w:r>
    </w:p>
    <w:p w14:paraId="3FCEDB82" w14:textId="77777777" w:rsidR="000A12E5" w:rsidRPr="000A12E5" w:rsidRDefault="000A12E5" w:rsidP="002F0182">
      <w:pPr>
        <w:spacing w:line="360" w:lineRule="auto"/>
        <w:jc w:val="both"/>
        <w:rPr>
          <w:rFonts w:ascii="Arial" w:eastAsia="Times New Roman" w:hAnsi="Arial" w:cs="Arial"/>
          <w:sz w:val="24"/>
          <w:szCs w:val="24"/>
        </w:rPr>
      </w:pPr>
      <w:r w:rsidRPr="000A12E5">
        <w:rPr>
          <w:rFonts w:ascii="Arial" w:eastAsia="Times New Roman" w:hAnsi="Arial" w:cs="Arial"/>
          <w:sz w:val="24"/>
          <w:szCs w:val="24"/>
        </w:rPr>
        <w:br w:type="page"/>
      </w:r>
    </w:p>
    <w:p w14:paraId="7DC7E75C" w14:textId="77777777" w:rsidR="000A12E5" w:rsidRPr="000A12E5" w:rsidRDefault="000A12E5" w:rsidP="002F0182">
      <w:pPr>
        <w:pStyle w:val="Heading1"/>
        <w:spacing w:line="360" w:lineRule="auto"/>
        <w:jc w:val="both"/>
        <w:rPr>
          <w:rFonts w:ascii="Arial" w:hAnsi="Arial" w:cs="Arial"/>
          <w:b/>
          <w:bCs/>
          <w:color w:val="auto"/>
          <w:sz w:val="24"/>
          <w:szCs w:val="24"/>
        </w:rPr>
      </w:pPr>
      <w:bookmarkStart w:id="20" w:name="_Toc895849268"/>
      <w:r w:rsidRPr="000A12E5">
        <w:rPr>
          <w:rFonts w:ascii="Arial" w:hAnsi="Arial" w:cs="Arial"/>
          <w:b/>
          <w:bCs/>
          <w:color w:val="auto"/>
          <w:sz w:val="24"/>
          <w:szCs w:val="24"/>
        </w:rPr>
        <w:lastRenderedPageBreak/>
        <w:t xml:space="preserve">References </w:t>
      </w:r>
      <w:bookmarkEnd w:id="20"/>
    </w:p>
    <w:p w14:paraId="7903AC27"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proofErr w:type="spellStart"/>
      <w:r w:rsidRPr="000A12E5">
        <w:rPr>
          <w:rFonts w:ascii="Arial" w:eastAsia="Times New Roman" w:hAnsi="Arial" w:cs="Arial"/>
          <w:sz w:val="24"/>
          <w:szCs w:val="24"/>
        </w:rPr>
        <w:t>Bringle</w:t>
      </w:r>
      <w:proofErr w:type="spellEnd"/>
      <w:r w:rsidRPr="000A12E5">
        <w:rPr>
          <w:rFonts w:ascii="Arial" w:eastAsia="Times New Roman" w:hAnsi="Arial" w:cs="Arial"/>
          <w:sz w:val="24"/>
          <w:szCs w:val="24"/>
        </w:rPr>
        <w:t xml:space="preserve">, R.G. and Hatcher, J.A., 2009. Innovative practices in service-learning and curricular engagement. </w:t>
      </w:r>
      <w:r w:rsidRPr="000A12E5">
        <w:rPr>
          <w:rFonts w:ascii="Arial" w:eastAsia="Times New Roman" w:hAnsi="Arial" w:cs="Arial"/>
          <w:i/>
          <w:iCs/>
          <w:sz w:val="24"/>
          <w:szCs w:val="24"/>
        </w:rPr>
        <w:t>New directions for higher education</w:t>
      </w:r>
      <w:r w:rsidRPr="000A12E5">
        <w:rPr>
          <w:rFonts w:ascii="Arial" w:eastAsia="Times New Roman" w:hAnsi="Arial" w:cs="Arial"/>
          <w:sz w:val="24"/>
          <w:szCs w:val="24"/>
        </w:rPr>
        <w:t xml:space="preserve">, </w:t>
      </w:r>
      <w:r w:rsidRPr="000A12E5">
        <w:rPr>
          <w:rFonts w:ascii="Arial" w:eastAsia="Times New Roman" w:hAnsi="Arial" w:cs="Arial"/>
          <w:i/>
          <w:iCs/>
          <w:sz w:val="24"/>
          <w:szCs w:val="24"/>
        </w:rPr>
        <w:t>147</w:t>
      </w:r>
      <w:r w:rsidRPr="000A12E5">
        <w:rPr>
          <w:rFonts w:ascii="Arial" w:eastAsia="Times New Roman" w:hAnsi="Arial" w:cs="Arial"/>
          <w:sz w:val="24"/>
          <w:szCs w:val="24"/>
        </w:rPr>
        <w:t>(147), pp.37-46.</w:t>
      </w:r>
    </w:p>
    <w:p w14:paraId="1CF05E90"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r w:rsidRPr="000A12E5">
        <w:rPr>
          <w:rFonts w:ascii="Arial" w:eastAsia="Times New Roman" w:hAnsi="Arial" w:cs="Arial"/>
          <w:sz w:val="24"/>
          <w:szCs w:val="24"/>
        </w:rPr>
        <w:t xml:space="preserve">David, S., </w:t>
      </w:r>
      <w:proofErr w:type="spellStart"/>
      <w:r w:rsidRPr="000A12E5">
        <w:rPr>
          <w:rFonts w:ascii="Arial" w:eastAsia="Times New Roman" w:hAnsi="Arial" w:cs="Arial"/>
          <w:sz w:val="24"/>
          <w:szCs w:val="24"/>
        </w:rPr>
        <w:t>Sabiescu</w:t>
      </w:r>
      <w:proofErr w:type="spellEnd"/>
      <w:r w:rsidRPr="000A12E5">
        <w:rPr>
          <w:rFonts w:ascii="Arial" w:eastAsia="Times New Roman" w:hAnsi="Arial" w:cs="Arial"/>
          <w:sz w:val="24"/>
          <w:szCs w:val="24"/>
        </w:rPr>
        <w:t xml:space="preserve">, A.G. and </w:t>
      </w:r>
      <w:proofErr w:type="spellStart"/>
      <w:r w:rsidRPr="000A12E5">
        <w:rPr>
          <w:rFonts w:ascii="Arial" w:eastAsia="Times New Roman" w:hAnsi="Arial" w:cs="Arial"/>
          <w:sz w:val="24"/>
          <w:szCs w:val="24"/>
        </w:rPr>
        <w:t>Cantoni</w:t>
      </w:r>
      <w:proofErr w:type="spellEnd"/>
      <w:r w:rsidRPr="000A12E5">
        <w:rPr>
          <w:rFonts w:ascii="Arial" w:eastAsia="Times New Roman" w:hAnsi="Arial" w:cs="Arial"/>
          <w:sz w:val="24"/>
          <w:szCs w:val="24"/>
        </w:rPr>
        <w:t xml:space="preserve">, L., 2013, November. Co-design with communities. A reflection on the literature. In </w:t>
      </w:r>
      <w:r w:rsidRPr="000A12E5">
        <w:rPr>
          <w:rFonts w:ascii="Arial" w:eastAsia="Times New Roman" w:hAnsi="Arial" w:cs="Arial"/>
          <w:i/>
          <w:iCs/>
          <w:sz w:val="24"/>
          <w:szCs w:val="24"/>
        </w:rPr>
        <w:t>Proceedings of the 7th International Development Informatics Association Conference</w:t>
      </w:r>
      <w:r w:rsidRPr="000A12E5">
        <w:rPr>
          <w:rFonts w:ascii="Arial" w:eastAsia="Times New Roman" w:hAnsi="Arial" w:cs="Arial"/>
          <w:sz w:val="24"/>
          <w:szCs w:val="24"/>
        </w:rPr>
        <w:t xml:space="preserve"> (No. 2013, pp. 152-166). Pretoria, South Africa: IDIA.</w:t>
      </w:r>
    </w:p>
    <w:p w14:paraId="4C6880AB"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r w:rsidRPr="000A12E5">
        <w:rPr>
          <w:rFonts w:ascii="Arial" w:eastAsia="Times New Roman" w:hAnsi="Arial" w:cs="Arial"/>
          <w:sz w:val="24"/>
          <w:szCs w:val="24"/>
        </w:rPr>
        <w:t xml:space="preserve">Greenwood, K., Robertson, S., Vogel, E., Vella, C., Ward, T., </w:t>
      </w:r>
      <w:proofErr w:type="spellStart"/>
      <w:r w:rsidRPr="000A12E5">
        <w:rPr>
          <w:rFonts w:ascii="Arial" w:eastAsia="Times New Roman" w:hAnsi="Arial" w:cs="Arial"/>
          <w:sz w:val="24"/>
          <w:szCs w:val="24"/>
        </w:rPr>
        <w:t>McGourty</w:t>
      </w:r>
      <w:proofErr w:type="spellEnd"/>
      <w:r w:rsidRPr="000A12E5">
        <w:rPr>
          <w:rFonts w:ascii="Arial" w:eastAsia="Times New Roman" w:hAnsi="Arial" w:cs="Arial"/>
          <w:sz w:val="24"/>
          <w:szCs w:val="24"/>
        </w:rPr>
        <w:t xml:space="preserve">, A., </w:t>
      </w:r>
      <w:proofErr w:type="spellStart"/>
      <w:r w:rsidRPr="000A12E5">
        <w:rPr>
          <w:rFonts w:ascii="Arial" w:eastAsia="Times New Roman" w:hAnsi="Arial" w:cs="Arial"/>
          <w:sz w:val="24"/>
          <w:szCs w:val="24"/>
        </w:rPr>
        <w:t>Sacadura</w:t>
      </w:r>
      <w:proofErr w:type="spellEnd"/>
      <w:r w:rsidRPr="000A12E5">
        <w:rPr>
          <w:rFonts w:ascii="Arial" w:eastAsia="Times New Roman" w:hAnsi="Arial" w:cs="Arial"/>
          <w:sz w:val="24"/>
          <w:szCs w:val="24"/>
        </w:rPr>
        <w:t>, C., Hardy, A., Rus</w:t>
      </w:r>
      <w:r w:rsidRPr="000A12E5">
        <w:rPr>
          <w:rFonts w:ascii="Cambria Math" w:eastAsia="Times New Roman" w:hAnsi="Cambria Math" w:cs="Cambria Math"/>
          <w:sz w:val="24"/>
          <w:szCs w:val="24"/>
        </w:rPr>
        <w:t>‐</w:t>
      </w:r>
      <w:proofErr w:type="spellStart"/>
      <w:r w:rsidRPr="000A12E5">
        <w:rPr>
          <w:rFonts w:ascii="Arial" w:eastAsia="Times New Roman" w:hAnsi="Arial" w:cs="Arial"/>
          <w:sz w:val="24"/>
          <w:szCs w:val="24"/>
        </w:rPr>
        <w:t>Calafell</w:t>
      </w:r>
      <w:proofErr w:type="spellEnd"/>
      <w:r w:rsidRPr="000A12E5">
        <w:rPr>
          <w:rFonts w:ascii="Arial" w:eastAsia="Times New Roman" w:hAnsi="Arial" w:cs="Arial"/>
          <w:sz w:val="24"/>
          <w:szCs w:val="24"/>
        </w:rPr>
        <w:t xml:space="preserve">, M., Collett, N. and Emsley, R., 2022. The impact of Patient and Public Involvement in the </w:t>
      </w:r>
      <w:proofErr w:type="spellStart"/>
      <w:r w:rsidRPr="000A12E5">
        <w:rPr>
          <w:rFonts w:ascii="Arial" w:eastAsia="Times New Roman" w:hAnsi="Arial" w:cs="Arial"/>
          <w:sz w:val="24"/>
          <w:szCs w:val="24"/>
        </w:rPr>
        <w:t>SlowMo</w:t>
      </w:r>
      <w:proofErr w:type="spellEnd"/>
      <w:r w:rsidRPr="000A12E5">
        <w:rPr>
          <w:rFonts w:ascii="Arial" w:eastAsia="Times New Roman" w:hAnsi="Arial" w:cs="Arial"/>
          <w:sz w:val="24"/>
          <w:szCs w:val="24"/>
        </w:rPr>
        <w:t xml:space="preserve"> study: Reflections on peer innovation. </w:t>
      </w:r>
      <w:r w:rsidRPr="000A12E5">
        <w:rPr>
          <w:rFonts w:ascii="Arial" w:eastAsia="Times New Roman" w:hAnsi="Arial" w:cs="Arial"/>
          <w:i/>
          <w:iCs/>
          <w:sz w:val="24"/>
          <w:szCs w:val="24"/>
        </w:rPr>
        <w:t>Health Expectations</w:t>
      </w:r>
      <w:r w:rsidRPr="000A12E5">
        <w:rPr>
          <w:rFonts w:ascii="Arial" w:eastAsia="Times New Roman" w:hAnsi="Arial" w:cs="Arial"/>
          <w:sz w:val="24"/>
          <w:szCs w:val="24"/>
        </w:rPr>
        <w:t xml:space="preserve">, </w:t>
      </w:r>
      <w:r w:rsidRPr="000A12E5">
        <w:rPr>
          <w:rFonts w:ascii="Arial" w:eastAsia="Times New Roman" w:hAnsi="Arial" w:cs="Arial"/>
          <w:i/>
          <w:iCs/>
          <w:sz w:val="24"/>
          <w:szCs w:val="24"/>
        </w:rPr>
        <w:t>25</w:t>
      </w:r>
      <w:r w:rsidRPr="000A12E5">
        <w:rPr>
          <w:rFonts w:ascii="Arial" w:eastAsia="Times New Roman" w:hAnsi="Arial" w:cs="Arial"/>
          <w:sz w:val="24"/>
          <w:szCs w:val="24"/>
        </w:rPr>
        <w:t>(1), pp.191-202.</w:t>
      </w:r>
    </w:p>
    <w:p w14:paraId="601D0F77"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r w:rsidRPr="000A12E5">
        <w:rPr>
          <w:rFonts w:ascii="Arial" w:eastAsia="Times New Roman" w:hAnsi="Arial" w:cs="Arial"/>
          <w:sz w:val="24"/>
          <w:szCs w:val="24"/>
        </w:rPr>
        <w:t>Henry SG The tyranny of reality JAMA 2011;305(4):338-339</w:t>
      </w:r>
    </w:p>
    <w:p w14:paraId="55E71EEC"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r w:rsidRPr="000A12E5">
        <w:rPr>
          <w:rFonts w:ascii="Arial" w:eastAsia="Times New Roman" w:hAnsi="Arial" w:cs="Arial"/>
          <w:sz w:val="24"/>
          <w:szCs w:val="24"/>
        </w:rPr>
        <w:t xml:space="preserve">James, C.D. and Schmitz, C.L., 2011. Transforming sustainability education: Ethics, leadership, community engagement, and social entrepreneurship. </w:t>
      </w:r>
      <w:r w:rsidRPr="000A12E5">
        <w:rPr>
          <w:rFonts w:ascii="Arial" w:eastAsia="Times New Roman" w:hAnsi="Arial" w:cs="Arial"/>
          <w:i/>
          <w:iCs/>
          <w:sz w:val="24"/>
          <w:szCs w:val="24"/>
        </w:rPr>
        <w:t>International Journal of Business and Social Science</w:t>
      </w:r>
      <w:r w:rsidRPr="000A12E5">
        <w:rPr>
          <w:rFonts w:ascii="Arial" w:eastAsia="Times New Roman" w:hAnsi="Arial" w:cs="Arial"/>
          <w:sz w:val="24"/>
          <w:szCs w:val="24"/>
        </w:rPr>
        <w:t xml:space="preserve">, </w:t>
      </w:r>
      <w:r w:rsidRPr="000A12E5">
        <w:rPr>
          <w:rFonts w:ascii="Arial" w:eastAsia="Times New Roman" w:hAnsi="Arial" w:cs="Arial"/>
          <w:i/>
          <w:iCs/>
          <w:sz w:val="24"/>
          <w:szCs w:val="24"/>
        </w:rPr>
        <w:t>2</w:t>
      </w:r>
      <w:r w:rsidRPr="000A12E5">
        <w:rPr>
          <w:rFonts w:ascii="Arial" w:eastAsia="Times New Roman" w:hAnsi="Arial" w:cs="Arial"/>
          <w:sz w:val="24"/>
          <w:szCs w:val="24"/>
        </w:rPr>
        <w:t>(5), pp.1-7.</w:t>
      </w:r>
    </w:p>
    <w:p w14:paraId="1E9A23A5"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proofErr w:type="spellStart"/>
      <w:r w:rsidRPr="000A12E5">
        <w:rPr>
          <w:rFonts w:ascii="Arial" w:eastAsia="Times New Roman" w:hAnsi="Arial" w:cs="Arial"/>
          <w:sz w:val="24"/>
          <w:szCs w:val="24"/>
        </w:rPr>
        <w:t>Koster</w:t>
      </w:r>
      <w:proofErr w:type="spellEnd"/>
      <w:r w:rsidRPr="000A12E5">
        <w:rPr>
          <w:rFonts w:ascii="Arial" w:eastAsia="Times New Roman" w:hAnsi="Arial" w:cs="Arial"/>
          <w:sz w:val="24"/>
          <w:szCs w:val="24"/>
        </w:rPr>
        <w:t xml:space="preserve">, R., </w:t>
      </w:r>
      <w:proofErr w:type="spellStart"/>
      <w:r w:rsidRPr="000A12E5">
        <w:rPr>
          <w:rFonts w:ascii="Arial" w:eastAsia="Times New Roman" w:hAnsi="Arial" w:cs="Arial"/>
          <w:sz w:val="24"/>
          <w:szCs w:val="24"/>
        </w:rPr>
        <w:t>Baccar</w:t>
      </w:r>
      <w:proofErr w:type="spellEnd"/>
      <w:r w:rsidRPr="000A12E5">
        <w:rPr>
          <w:rFonts w:ascii="Arial" w:eastAsia="Times New Roman" w:hAnsi="Arial" w:cs="Arial"/>
          <w:sz w:val="24"/>
          <w:szCs w:val="24"/>
        </w:rPr>
        <w:t xml:space="preserve">, K. and </w:t>
      </w:r>
      <w:proofErr w:type="spellStart"/>
      <w:r w:rsidRPr="000A12E5">
        <w:rPr>
          <w:rFonts w:ascii="Arial" w:eastAsia="Times New Roman" w:hAnsi="Arial" w:cs="Arial"/>
          <w:sz w:val="24"/>
          <w:szCs w:val="24"/>
        </w:rPr>
        <w:t>Lemelin</w:t>
      </w:r>
      <w:proofErr w:type="spellEnd"/>
      <w:r w:rsidRPr="000A12E5">
        <w:rPr>
          <w:rFonts w:ascii="Arial" w:eastAsia="Times New Roman" w:hAnsi="Arial" w:cs="Arial"/>
          <w:sz w:val="24"/>
          <w:szCs w:val="24"/>
        </w:rPr>
        <w:t>, R.H., 2012. Moving from research ON, to research WITH and FOR Indigenous communities: A critical reflection on community</w:t>
      </w:r>
      <w:r w:rsidRPr="000A12E5">
        <w:rPr>
          <w:rFonts w:ascii="Cambria Math" w:eastAsia="Times New Roman" w:hAnsi="Cambria Math" w:cs="Cambria Math"/>
          <w:sz w:val="24"/>
          <w:szCs w:val="24"/>
        </w:rPr>
        <w:t>‐</w:t>
      </w:r>
      <w:r w:rsidRPr="000A12E5">
        <w:rPr>
          <w:rFonts w:ascii="Arial" w:eastAsia="Times New Roman" w:hAnsi="Arial" w:cs="Arial"/>
          <w:sz w:val="24"/>
          <w:szCs w:val="24"/>
        </w:rPr>
        <w:t xml:space="preserve">based participatory research. </w:t>
      </w:r>
      <w:r w:rsidRPr="000A12E5">
        <w:rPr>
          <w:rFonts w:ascii="Arial" w:eastAsia="Times New Roman" w:hAnsi="Arial" w:cs="Arial"/>
          <w:i/>
          <w:iCs/>
          <w:sz w:val="24"/>
          <w:szCs w:val="24"/>
        </w:rPr>
        <w:t xml:space="preserve">The Canadian Geographer/Le </w:t>
      </w:r>
      <w:proofErr w:type="spellStart"/>
      <w:r w:rsidRPr="000A12E5">
        <w:rPr>
          <w:rFonts w:ascii="Arial" w:eastAsia="Times New Roman" w:hAnsi="Arial" w:cs="Arial"/>
          <w:i/>
          <w:iCs/>
          <w:sz w:val="24"/>
          <w:szCs w:val="24"/>
        </w:rPr>
        <w:t>Géographe</w:t>
      </w:r>
      <w:proofErr w:type="spellEnd"/>
      <w:r w:rsidRPr="000A12E5">
        <w:rPr>
          <w:rFonts w:ascii="Arial" w:eastAsia="Times New Roman" w:hAnsi="Arial" w:cs="Arial"/>
          <w:i/>
          <w:iCs/>
          <w:sz w:val="24"/>
          <w:szCs w:val="24"/>
        </w:rPr>
        <w:t xml:space="preserve"> </w:t>
      </w:r>
      <w:proofErr w:type="spellStart"/>
      <w:r w:rsidRPr="000A12E5">
        <w:rPr>
          <w:rFonts w:ascii="Arial" w:eastAsia="Times New Roman" w:hAnsi="Arial" w:cs="Arial"/>
          <w:i/>
          <w:iCs/>
          <w:sz w:val="24"/>
          <w:szCs w:val="24"/>
        </w:rPr>
        <w:t>canadien</w:t>
      </w:r>
      <w:proofErr w:type="spellEnd"/>
      <w:r w:rsidRPr="000A12E5">
        <w:rPr>
          <w:rFonts w:ascii="Arial" w:eastAsia="Times New Roman" w:hAnsi="Arial" w:cs="Arial"/>
          <w:sz w:val="24"/>
          <w:szCs w:val="24"/>
        </w:rPr>
        <w:t xml:space="preserve">, </w:t>
      </w:r>
      <w:r w:rsidRPr="000A12E5">
        <w:rPr>
          <w:rFonts w:ascii="Arial" w:eastAsia="Times New Roman" w:hAnsi="Arial" w:cs="Arial"/>
          <w:i/>
          <w:iCs/>
          <w:sz w:val="24"/>
          <w:szCs w:val="24"/>
        </w:rPr>
        <w:t>56</w:t>
      </w:r>
      <w:r w:rsidRPr="000A12E5">
        <w:rPr>
          <w:rFonts w:ascii="Arial" w:eastAsia="Times New Roman" w:hAnsi="Arial" w:cs="Arial"/>
          <w:sz w:val="24"/>
          <w:szCs w:val="24"/>
        </w:rPr>
        <w:t>(2), pp.195-210.</w:t>
      </w:r>
    </w:p>
    <w:p w14:paraId="1A56379A"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proofErr w:type="spellStart"/>
      <w:r w:rsidRPr="000A12E5">
        <w:rPr>
          <w:rFonts w:ascii="Arial" w:eastAsia="Times New Roman" w:hAnsi="Arial" w:cs="Arial"/>
          <w:sz w:val="24"/>
          <w:szCs w:val="24"/>
        </w:rPr>
        <w:t>Minkler</w:t>
      </w:r>
      <w:proofErr w:type="spellEnd"/>
      <w:r w:rsidRPr="000A12E5">
        <w:rPr>
          <w:rFonts w:ascii="Arial" w:eastAsia="Times New Roman" w:hAnsi="Arial" w:cs="Arial"/>
          <w:sz w:val="24"/>
          <w:szCs w:val="24"/>
        </w:rPr>
        <w:t xml:space="preserve"> M Community organizing and community building for health (2nd ed) Piscataway (NJ): Rutgers University; 2004</w:t>
      </w:r>
    </w:p>
    <w:p w14:paraId="789FCD6F"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r w:rsidRPr="000A12E5">
        <w:rPr>
          <w:rFonts w:ascii="Arial" w:eastAsia="Times New Roman" w:hAnsi="Arial" w:cs="Arial"/>
          <w:sz w:val="24"/>
          <w:szCs w:val="24"/>
        </w:rPr>
        <w:t>Staley K Exploring impact: public involvement in NHS, public health and social care research. Eastleigh, United Kingdom: INVOLVE; 2009</w:t>
      </w:r>
    </w:p>
    <w:p w14:paraId="259907E6" w14:textId="77777777" w:rsidR="000A12E5" w:rsidRPr="000A12E5" w:rsidRDefault="000A12E5" w:rsidP="002F0182">
      <w:pPr>
        <w:pStyle w:val="ListParagraph"/>
        <w:numPr>
          <w:ilvl w:val="0"/>
          <w:numId w:val="1"/>
        </w:numPr>
        <w:spacing w:line="360" w:lineRule="auto"/>
        <w:jc w:val="both"/>
        <w:rPr>
          <w:rFonts w:ascii="Arial" w:eastAsia="Times New Roman" w:hAnsi="Arial" w:cs="Arial"/>
          <w:color w:val="000000" w:themeColor="text1"/>
          <w:sz w:val="24"/>
          <w:szCs w:val="24"/>
        </w:rPr>
      </w:pPr>
      <w:r w:rsidRPr="000A12E5">
        <w:rPr>
          <w:rFonts w:ascii="Arial" w:eastAsia="Times New Roman" w:hAnsi="Arial" w:cs="Arial"/>
          <w:sz w:val="24"/>
          <w:szCs w:val="24"/>
        </w:rPr>
        <w:t xml:space="preserve">Thompson B, </w:t>
      </w:r>
      <w:proofErr w:type="spellStart"/>
      <w:r w:rsidRPr="000A12E5">
        <w:rPr>
          <w:rFonts w:ascii="Arial" w:eastAsia="Times New Roman" w:hAnsi="Arial" w:cs="Arial"/>
          <w:sz w:val="24"/>
          <w:szCs w:val="24"/>
        </w:rPr>
        <w:t>Kinne</w:t>
      </w:r>
      <w:proofErr w:type="spellEnd"/>
      <w:r w:rsidRPr="000A12E5">
        <w:rPr>
          <w:rFonts w:ascii="Arial" w:eastAsia="Times New Roman" w:hAnsi="Arial" w:cs="Arial"/>
          <w:sz w:val="24"/>
          <w:szCs w:val="24"/>
        </w:rPr>
        <w:t xml:space="preserve"> S Social change theory: applications to community health </w:t>
      </w:r>
      <w:proofErr w:type="gramStart"/>
      <w:r w:rsidRPr="000A12E5">
        <w:rPr>
          <w:rFonts w:ascii="Arial" w:eastAsia="Times New Roman" w:hAnsi="Arial" w:cs="Arial"/>
          <w:sz w:val="24"/>
          <w:szCs w:val="24"/>
        </w:rPr>
        <w:t>In</w:t>
      </w:r>
      <w:proofErr w:type="gramEnd"/>
      <w:r w:rsidRPr="000A12E5">
        <w:rPr>
          <w:rFonts w:ascii="Arial" w:eastAsia="Times New Roman" w:hAnsi="Arial" w:cs="Arial"/>
          <w:sz w:val="24"/>
          <w:szCs w:val="24"/>
        </w:rPr>
        <w:t>: Bracht N (editor) Health promotion at the community level (1st ed, pp 45-65) Newbury Park (CA): Sage; 1990</w:t>
      </w:r>
    </w:p>
    <w:p w14:paraId="7AD0BDAB" w14:textId="77777777" w:rsidR="000A12E5" w:rsidRPr="000A12E5" w:rsidRDefault="000A12E5" w:rsidP="002F0182">
      <w:pPr>
        <w:spacing w:line="360" w:lineRule="auto"/>
        <w:jc w:val="both"/>
        <w:rPr>
          <w:rFonts w:ascii="Arial" w:eastAsia="Times New Roman" w:hAnsi="Arial" w:cs="Arial"/>
          <w:sz w:val="24"/>
          <w:szCs w:val="24"/>
        </w:rPr>
      </w:pPr>
    </w:p>
    <w:p w14:paraId="0863E176" w14:textId="77777777" w:rsidR="00CE6642" w:rsidRPr="000A12E5" w:rsidRDefault="00CE6642" w:rsidP="002F0182">
      <w:pPr>
        <w:jc w:val="both"/>
        <w:rPr>
          <w:rFonts w:ascii="Arial" w:hAnsi="Arial" w:cs="Arial"/>
          <w:sz w:val="24"/>
          <w:szCs w:val="24"/>
        </w:rPr>
      </w:pPr>
    </w:p>
    <w:sectPr w:rsidR="00CE6642" w:rsidRPr="000A12E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FA1DA" w14:textId="77777777" w:rsidR="00066FA7" w:rsidRDefault="00066FA7" w:rsidP="00185C79">
      <w:pPr>
        <w:spacing w:after="0" w:line="240" w:lineRule="auto"/>
      </w:pPr>
      <w:r>
        <w:separator/>
      </w:r>
    </w:p>
  </w:endnote>
  <w:endnote w:type="continuationSeparator" w:id="0">
    <w:p w14:paraId="33D74775" w14:textId="77777777" w:rsidR="00066FA7" w:rsidRDefault="00066FA7" w:rsidP="00185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8990274"/>
      <w:docPartObj>
        <w:docPartGallery w:val="Page Numbers (Bottom of Page)"/>
        <w:docPartUnique/>
      </w:docPartObj>
    </w:sdtPr>
    <w:sdtEndPr>
      <w:rPr>
        <w:noProof/>
      </w:rPr>
    </w:sdtEndPr>
    <w:sdtContent>
      <w:p w14:paraId="35095563" w14:textId="77777777" w:rsidR="00703D3B" w:rsidRDefault="00066F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1D9201" w14:textId="77777777" w:rsidR="00703D3B" w:rsidRDefault="00066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06E75" w14:textId="77777777" w:rsidR="00066FA7" w:rsidRDefault="00066FA7" w:rsidP="00185C79">
      <w:pPr>
        <w:spacing w:after="0" w:line="240" w:lineRule="auto"/>
      </w:pPr>
      <w:r>
        <w:separator/>
      </w:r>
    </w:p>
  </w:footnote>
  <w:footnote w:type="continuationSeparator" w:id="0">
    <w:p w14:paraId="6868060E" w14:textId="77777777" w:rsidR="00066FA7" w:rsidRDefault="00066FA7" w:rsidP="00185C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D7ED4"/>
    <w:multiLevelType w:val="hybridMultilevel"/>
    <w:tmpl w:val="B7BAE4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190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2E5"/>
    <w:rsid w:val="00066FA7"/>
    <w:rsid w:val="000A12E5"/>
    <w:rsid w:val="00185C79"/>
    <w:rsid w:val="002F0182"/>
    <w:rsid w:val="003D3F63"/>
    <w:rsid w:val="00401696"/>
    <w:rsid w:val="00AC717D"/>
    <w:rsid w:val="00CB3F2C"/>
    <w:rsid w:val="00CC536F"/>
    <w:rsid w:val="00CE6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C0FA02"/>
  <w15:chartTrackingRefBased/>
  <w15:docId w15:val="{7808444C-28D9-1D40-BBA3-0557F9E73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2E5"/>
    <w:pPr>
      <w:spacing w:after="160" w:line="259" w:lineRule="auto"/>
    </w:pPr>
    <w:rPr>
      <w:sz w:val="22"/>
      <w:szCs w:val="22"/>
    </w:rPr>
  </w:style>
  <w:style w:type="paragraph" w:styleId="Heading1">
    <w:name w:val="heading 1"/>
    <w:basedOn w:val="Normal"/>
    <w:next w:val="Normal"/>
    <w:link w:val="Heading1Char"/>
    <w:uiPriority w:val="9"/>
    <w:qFormat/>
    <w:rsid w:val="000A12E5"/>
    <w:pPr>
      <w:keepNext/>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2E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A12E5"/>
    <w:pPr>
      <w:ind w:left="720"/>
      <w:contextualSpacing/>
    </w:pPr>
  </w:style>
  <w:style w:type="paragraph" w:styleId="TOC1">
    <w:name w:val="toc 1"/>
    <w:basedOn w:val="Normal"/>
    <w:next w:val="Normal"/>
    <w:uiPriority w:val="39"/>
    <w:unhideWhenUsed/>
    <w:rsid w:val="000A12E5"/>
    <w:pPr>
      <w:spacing w:after="100"/>
    </w:pPr>
  </w:style>
  <w:style w:type="paragraph" w:styleId="Footer">
    <w:name w:val="footer"/>
    <w:basedOn w:val="Normal"/>
    <w:link w:val="FooterChar"/>
    <w:uiPriority w:val="99"/>
    <w:unhideWhenUsed/>
    <w:rsid w:val="000A12E5"/>
    <w:pPr>
      <w:tabs>
        <w:tab w:val="center" w:pos="4680"/>
        <w:tab w:val="right" w:pos="9360"/>
      </w:tabs>
      <w:spacing w:after="0"/>
    </w:pPr>
  </w:style>
  <w:style w:type="character" w:customStyle="1" w:styleId="FooterChar">
    <w:name w:val="Footer Char"/>
    <w:basedOn w:val="DefaultParagraphFont"/>
    <w:link w:val="Footer"/>
    <w:uiPriority w:val="99"/>
    <w:rsid w:val="000A12E5"/>
    <w:rPr>
      <w:sz w:val="22"/>
      <w:szCs w:val="22"/>
    </w:rPr>
  </w:style>
  <w:style w:type="character" w:styleId="Hyperlink">
    <w:name w:val="Hyperlink"/>
    <w:basedOn w:val="DefaultParagraphFont"/>
    <w:uiPriority w:val="99"/>
    <w:unhideWhenUsed/>
    <w:rsid w:val="000A12E5"/>
    <w:rPr>
      <w:color w:val="0563C1" w:themeColor="hyperlink"/>
      <w:u w:val="single"/>
    </w:rPr>
  </w:style>
  <w:style w:type="paragraph" w:styleId="Header">
    <w:name w:val="header"/>
    <w:basedOn w:val="Normal"/>
    <w:link w:val="HeaderChar"/>
    <w:uiPriority w:val="99"/>
    <w:unhideWhenUsed/>
    <w:rsid w:val="00185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C79"/>
    <w:rPr>
      <w:sz w:val="22"/>
      <w:szCs w:val="22"/>
    </w:rPr>
  </w:style>
  <w:style w:type="table" w:styleId="TableGrid">
    <w:name w:val="Table Grid"/>
    <w:basedOn w:val="TableNormal"/>
    <w:uiPriority w:val="59"/>
    <w:rsid w:val="00AC717D"/>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8</Pages>
  <Words>2120</Words>
  <Characters>11283</Characters>
  <Application>Microsoft Office Word</Application>
  <DocSecurity>0</DocSecurity>
  <Lines>203</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14</cp:revision>
  <cp:lastPrinted>2022-09-06T19:22:00Z</cp:lastPrinted>
  <dcterms:created xsi:type="dcterms:W3CDTF">2022-09-06T19:18:00Z</dcterms:created>
  <dcterms:modified xsi:type="dcterms:W3CDTF">2022-09-06T19:42:00Z</dcterms:modified>
  <cp:category/>
</cp:coreProperties>
</file>