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160" w:line="259"/>
        <w:ind w:right="0" w:left="0" w:firstLine="0"/>
        <w:jc w:val="left"/>
        <w:rPr>
          <w:rFonts w:ascii="Arial Nova" w:hAnsi="Arial Nova" w:cs="Arial Nova" w:eastAsia="Arial Nova"/>
          <w:b/>
          <w:color w:val="0E101A"/>
          <w:spacing w:val="0"/>
          <w:position w:val="0"/>
          <w:sz w:val="22"/>
          <w:shd w:fill="auto" w:val="clear"/>
        </w:rPr>
      </w:pPr>
      <w:r>
        <w:rPr>
          <w:rFonts w:ascii="Arial Nova" w:hAnsi="Arial Nova" w:cs="Arial Nova" w:eastAsia="Arial Nova"/>
          <w:b/>
          <w:color w:val="0E101A"/>
          <w:spacing w:val="0"/>
          <w:position w:val="0"/>
          <w:sz w:val="22"/>
          <w:shd w:fill="auto" w:val="clear"/>
        </w:rPr>
        <w:t xml:space="preserve">                                                                                                  Student Number: 2234893</w:t>
      </w:r>
    </w:p>
    <w:p>
      <w:pPr>
        <w:spacing w:before="0" w:after="160" w:line="259"/>
        <w:ind w:right="0" w:left="0" w:firstLine="0"/>
        <w:jc w:val="left"/>
        <w:rPr>
          <w:rFonts w:ascii="Arial Nova" w:hAnsi="Arial Nova" w:cs="Arial Nova" w:eastAsia="Arial Nova"/>
          <w:b/>
          <w:color w:val="0E101A"/>
          <w:spacing w:val="0"/>
          <w:position w:val="0"/>
          <w:sz w:val="22"/>
          <w:shd w:fill="auto" w:val="clear"/>
        </w:rPr>
      </w:pPr>
      <w:r>
        <w:rPr>
          <w:rFonts w:ascii="Arial Nova" w:hAnsi="Arial Nova" w:cs="Arial Nova" w:eastAsia="Arial Nova"/>
          <w:b/>
          <w:color w:val="0E101A"/>
          <w:spacing w:val="0"/>
          <w:position w:val="0"/>
          <w:sz w:val="22"/>
          <w:shd w:fill="auto" w:val="clear"/>
        </w:rPr>
        <w:t xml:space="preserve">Q: To what extent, if at all, is the Doctrine of the Trinity significant in understanding the Doctrine of Creation? Give reasons for your answer.</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br/>
      </w:r>
    </w:p>
    <w:p>
      <w:pPr>
        <w:spacing w:before="0" w:after="160" w:line="259"/>
        <w:ind w:right="0" w:left="0" w:firstLine="0"/>
        <w:jc w:val="left"/>
        <w:rPr>
          <w:rFonts w:ascii="Arial Nova" w:hAnsi="Arial Nova" w:cs="Arial Nova" w:eastAsia="Arial Nova"/>
          <w:color w:val="0E101A"/>
          <w:spacing w:val="0"/>
          <w:position w:val="0"/>
          <w:sz w:val="22"/>
          <w:shd w:fill="auto" w:val="clear"/>
        </w:rPr>
      </w:pPr>
      <w:r>
        <w:rPr>
          <w:rFonts w:ascii="Arial Nova" w:hAnsi="Arial Nova" w:cs="Arial Nova" w:eastAsia="Arial Nova"/>
          <w:color w:val="0E101A"/>
          <w:spacing w:val="0"/>
          <w:position w:val="0"/>
          <w:sz w:val="22"/>
          <w:shd w:fill="auto" w:val="clear"/>
        </w:rPr>
        <w:t xml:space="preserve">INTRODUCTION</w:t>
      </w:r>
    </w:p>
    <w:p>
      <w:pPr>
        <w:spacing w:before="0" w:after="160" w:line="259"/>
        <w:ind w:right="0" w:left="0" w:firstLine="0"/>
        <w:jc w:val="left"/>
        <w:rPr>
          <w:rFonts w:ascii="Arial Nova" w:hAnsi="Arial Nova" w:cs="Arial Nova" w:eastAsia="Arial Nova"/>
          <w:color w:val="0E101A"/>
          <w:spacing w:val="0"/>
          <w:position w:val="0"/>
          <w:sz w:val="22"/>
          <w:shd w:fill="auto" w:val="clear"/>
        </w:rPr>
      </w:pPr>
      <w:r>
        <w:rPr>
          <w:rFonts w:ascii="Arial Nova" w:hAnsi="Arial Nova" w:cs="Arial Nova" w:eastAsia="Arial Nova"/>
          <w:color w:val="0E101A"/>
          <w:spacing w:val="0"/>
          <w:position w:val="0"/>
          <w:sz w:val="22"/>
          <w:shd w:fill="auto" w:val="clear"/>
        </w:rPr>
        <w:t xml:space="preserve">Creation is the work of the Triune God. In the bible, the first 3 verses of Genesis chapter 1: 1-3 reveal God as the creator of all things; the heaven and the earth with all three members of the Trinity involved. God’s role as creator is the principle of his identity as the one true God. Creation is a divine work, and all things originate from the Father through the Son in the Spirit. According to Bavinck ‘’The Father is the first cause; the initiative for creation proceeds from him.’’ Creation is specifically attributed to the Father. The Son is the person of Wisdom, the Logos, by whom everything is created; everything rests and holds together in him according to Colossians. 1:17 ‘He is before all things and in him, all things hold together’.</w:t>
      </w:r>
    </w:p>
    <w:p>
      <w:pPr>
        <w:spacing w:before="0" w:after="160" w:line="259"/>
        <w:ind w:right="0" w:left="0" w:firstLine="0"/>
        <w:jc w:val="left"/>
        <w:rPr>
          <w:rFonts w:ascii="Arial Nova" w:hAnsi="Arial Nova" w:cs="Arial Nova" w:eastAsia="Arial Nova"/>
          <w:color w:val="0E101A"/>
          <w:spacing w:val="0"/>
          <w:position w:val="0"/>
          <w:sz w:val="22"/>
          <w:shd w:fill="auto" w:val="clear"/>
        </w:rPr>
      </w:pPr>
      <w:r>
        <w:rPr>
          <w:rFonts w:ascii="Arial Nova" w:hAnsi="Arial Nova" w:cs="Arial Nova" w:eastAsia="Arial Nova"/>
          <w:color w:val="0E101A"/>
          <w:spacing w:val="0"/>
          <w:position w:val="0"/>
          <w:sz w:val="22"/>
          <w:shd w:fill="auto" w:val="clear"/>
        </w:rPr>
        <w:t xml:space="preserve">Pre-modern, post-modern, and recent theological debates on the doctrine of creation by philosophers, scholars and various religious faith pose challenges to the Christian faith. These arguments range from cosmological views on God’s creation of the universe ‘out of nothing’. Some question if the universe has always existed with no beginning or whether it started from a beginning. Scientists' view of the Big Bang theory has left many questioning God’s creative ability. Nowadays environmentalists raise concerns about man’s relationship with ecology. The feminists and process theologians also query the relationship between God and creation. Reflecting on the above concerns, the Knowledge of the doctrine of the trinity becomes vital in understanding the doctrine of creation as it helps develop the right concept in responding to the challenges that our contemporary culture and the Christian faith face today. David Ferguson in his book quotes Aaron Armstrong on the relationship between the doctrine of the Trinity and the doctrine of creation, he states ‘‘if we lose our grasp on the Trinity, our doctrine of creation collapses. The two stand and fall together.’’ </w:t>
      </w:r>
    </w:p>
    <w:p>
      <w:pPr>
        <w:spacing w:before="0" w:after="160" w:line="259"/>
        <w:ind w:right="0" w:left="0" w:firstLine="0"/>
        <w:jc w:val="left"/>
        <w:rPr>
          <w:rFonts w:ascii="Arial Nova" w:hAnsi="Arial Nova" w:cs="Arial Nova" w:eastAsia="Arial Nova"/>
          <w:color w:val="0E101A"/>
          <w:spacing w:val="0"/>
          <w:position w:val="0"/>
          <w:sz w:val="22"/>
          <w:shd w:fill="auto" w:val="clear"/>
        </w:rPr>
      </w:pPr>
      <w:r>
        <w:rPr>
          <w:rFonts w:ascii="Arial Nova" w:hAnsi="Arial Nova" w:cs="Arial Nova" w:eastAsia="Arial Nova"/>
          <w:color w:val="0E101A"/>
          <w:spacing w:val="0"/>
          <w:position w:val="0"/>
          <w:sz w:val="22"/>
          <w:shd w:fill="auto" w:val="clear"/>
        </w:rPr>
        <w:t xml:space="preserve">This essay aims at highlighting the significance of the doctrine of the Trinity in understanding the doctrine of creation. I will begin by presenting arguments on the doctrine of creation and the role of the Trinity in creation. I will then move on to explore God’s long-term plan for the universe; in so doing, I will focus on the salvation and redemption of creation, not leaving out the environment and ecology.</w:t>
      </w:r>
    </w:p>
    <w:p>
      <w:pPr>
        <w:spacing w:before="0" w:after="160" w:line="259"/>
        <w:ind w:right="0" w:left="0" w:firstLine="0"/>
        <w:jc w:val="left"/>
        <w:rPr>
          <w:rFonts w:ascii="Arial Nova" w:hAnsi="Arial Nova" w:cs="Arial Nova" w:eastAsia="Arial Nova"/>
          <w:color w:val="0E101A"/>
          <w:spacing w:val="0"/>
          <w:position w:val="0"/>
          <w:sz w:val="22"/>
          <w:shd w:fill="auto" w:val="clear"/>
        </w:rPr>
      </w:pPr>
      <w:r>
        <w:rPr>
          <w:rFonts w:ascii="Arial Nova" w:hAnsi="Arial Nova" w:cs="Arial Nova" w:eastAsia="Arial Nova"/>
          <w:color w:val="0E101A"/>
          <w:spacing w:val="0"/>
          <w:position w:val="0"/>
          <w:sz w:val="22"/>
          <w:shd w:fill="auto" w:val="clear"/>
        </w:rPr>
        <w:t xml:space="preserve"> </w:t>
      </w:r>
    </w:p>
    <w:p>
      <w:pPr>
        <w:spacing w:before="0" w:after="160" w:line="259"/>
        <w:ind w:right="0" w:left="0" w:firstLine="0"/>
        <w:jc w:val="left"/>
        <w:rPr>
          <w:rFonts w:ascii="Arial Nova" w:hAnsi="Arial Nova" w:cs="Arial Nova" w:eastAsia="Arial Nova"/>
          <w:color w:val="0E101A"/>
          <w:spacing w:val="0"/>
          <w:position w:val="0"/>
          <w:sz w:val="22"/>
          <w:shd w:fill="auto" w:val="clear"/>
        </w:rPr>
      </w:pPr>
      <w:r>
        <w:rPr>
          <w:rFonts w:ascii="Arial Nova" w:hAnsi="Arial Nova" w:cs="Arial Nova" w:eastAsia="Arial Nova"/>
          <w:color w:val="0E101A"/>
          <w:spacing w:val="0"/>
          <w:position w:val="0"/>
          <w:sz w:val="22"/>
          <w:shd w:fill="auto" w:val="clear"/>
        </w:rPr>
        <w:t xml:space="preserve">TRINITY AND CREATION</w:t>
      </w:r>
    </w:p>
    <w:p>
      <w:pPr>
        <w:spacing w:before="0" w:after="160" w:line="259"/>
        <w:ind w:right="0" w:left="0" w:firstLine="0"/>
        <w:jc w:val="left"/>
        <w:rPr>
          <w:rFonts w:ascii="Arial Nova" w:hAnsi="Arial Nova" w:cs="Arial Nova" w:eastAsia="Arial Nova"/>
          <w:color w:val="0E101A"/>
          <w:spacing w:val="0"/>
          <w:position w:val="0"/>
          <w:sz w:val="22"/>
          <w:shd w:fill="auto" w:val="clear"/>
        </w:rPr>
      </w:pPr>
      <w:r>
        <w:rPr>
          <w:rFonts w:ascii="Arial Nova" w:hAnsi="Arial Nova" w:cs="Arial Nova" w:eastAsia="Arial Nova"/>
          <w:color w:val="0E101A"/>
          <w:spacing w:val="0"/>
          <w:position w:val="0"/>
          <w:sz w:val="22"/>
          <w:shd w:fill="auto" w:val="clear"/>
        </w:rPr>
        <w:t xml:space="preserve">The doctrine of creation has been the subject of many questions, debates, and theological arguments. The Bible in Genesis 1:1 state clearly ‘In the beginning God created the heavens and the earth’. Genesis 1: 2-3 goes on to identify the role of each person of the Trinity. God the Father, God the Son and God the Holy Spirit are creation's unique and indivisible foundations. The Christian faith believes that God created the universe from nothing and not from something. The universe, therefore, has its beginning in the creator, who is the Triune God. </w:t>
      </w:r>
    </w:p>
    <w:p>
      <w:pPr>
        <w:spacing w:before="0" w:after="160" w:line="259"/>
        <w:ind w:right="0" w:left="0" w:firstLine="0"/>
        <w:jc w:val="left"/>
        <w:rPr>
          <w:rFonts w:ascii="Arial Nova" w:hAnsi="Arial Nova" w:cs="Arial Nova" w:eastAsia="Arial Nova"/>
          <w:color w:val="0E101A"/>
          <w:spacing w:val="0"/>
          <w:position w:val="0"/>
          <w:sz w:val="22"/>
          <w:shd w:fill="auto" w:val="clear"/>
        </w:rPr>
      </w:pPr>
      <w:r>
        <w:rPr>
          <w:rFonts w:ascii="Arial Nova" w:hAnsi="Arial Nova" w:cs="Arial Nova" w:eastAsia="Arial Nova"/>
          <w:color w:val="0E101A"/>
          <w:spacing w:val="0"/>
          <w:position w:val="0"/>
          <w:sz w:val="22"/>
          <w:shd w:fill="auto" w:val="clear"/>
        </w:rPr>
        <w:t xml:space="preserve">Some ancient Greek philosophers have argued that the universe was a result of the evolution of matter. Whilst other cosmologists argue that everything that exists must have a cause and since the universe exists it must have a cause. In response to these arguments, Theophilus of Antioch in his book </w:t>
      </w:r>
      <w:r>
        <w:rPr>
          <w:rFonts w:ascii="Arial Nova" w:hAnsi="Arial Nova" w:cs="Arial Nova" w:eastAsia="Arial Nova"/>
          <w:i/>
          <w:color w:val="0E101A"/>
          <w:spacing w:val="0"/>
          <w:position w:val="0"/>
          <w:sz w:val="22"/>
          <w:shd w:fill="auto" w:val="clear"/>
        </w:rPr>
        <w:t xml:space="preserve">Creatio ex nihilo,</w:t>
      </w:r>
      <w:r>
        <w:rPr>
          <w:rFonts w:ascii="Arial Nova" w:hAnsi="Arial Nova" w:cs="Arial Nova" w:eastAsia="Arial Nova"/>
          <w:color w:val="0E101A"/>
          <w:spacing w:val="0"/>
          <w:position w:val="0"/>
          <w:sz w:val="22"/>
          <w:shd w:fill="auto" w:val="clear"/>
        </w:rPr>
        <w:t xml:space="preserve"> states that ‘if matter exists externally alongside God, then God cannot be regarded as the creator of everything’. He goes on to explain that ‘the sovereignty and power of God reside in God having created the world out of nothing and that creation out of pre-existent matter would not reflect the greatness of God’. The doctrine of creation was supported by an article of faith, the Nicene Creed which affirms the Christian faith: the first sentence reads ‘’I believe in God the Father, maker of heaven and earth.’’ the writers of the creed could have had Hebrews 11:3 in mind which states ‘’By faith we understand that the entire universe was formed at God’s command, that what we now see did not come from anything that can be seen’’. This statement refutes arguments on creation out of pre-existing matter by the Gnostic concept.</w:t>
      </w:r>
    </w:p>
    <w:p>
      <w:pPr>
        <w:spacing w:before="0" w:after="160" w:line="259"/>
        <w:ind w:right="0" w:left="0" w:firstLine="0"/>
        <w:jc w:val="left"/>
        <w:rPr>
          <w:rFonts w:ascii="Arial Nova" w:hAnsi="Arial Nova" w:cs="Arial Nova" w:eastAsia="Arial Nova"/>
          <w:color w:val="0E101A"/>
          <w:spacing w:val="0"/>
          <w:position w:val="0"/>
          <w:sz w:val="22"/>
          <w:shd w:fill="auto" w:val="clear"/>
        </w:rPr>
      </w:pPr>
      <w:r>
        <w:rPr>
          <w:rFonts w:ascii="Arial Nova" w:hAnsi="Arial Nova" w:cs="Arial Nova" w:eastAsia="Arial Nova"/>
          <w:color w:val="0E101A"/>
          <w:spacing w:val="0"/>
          <w:position w:val="0"/>
          <w:sz w:val="22"/>
          <w:shd w:fill="auto" w:val="clear"/>
        </w:rPr>
        <w:t xml:space="preserve">The argument of Theophilus was taken further by Irenaeus whose arguments were in support of the trinitarian creation of the universe out of nothing; Gunton quotes him ‘’ While men, indeed cannot make anything out of nothing, but only out of matter already existing, yet God is in this point preeminently superior to men, that He called into being the substance of His creation when previously it had no existence.’’</w:t>
      </w:r>
    </w:p>
    <w:p>
      <w:pPr>
        <w:spacing w:before="0" w:after="160" w:line="259"/>
        <w:ind w:right="0" w:left="0" w:firstLine="0"/>
        <w:jc w:val="left"/>
        <w:rPr>
          <w:rFonts w:ascii="Arial Nova" w:hAnsi="Arial Nova" w:cs="Arial Nova" w:eastAsia="Arial Nova"/>
          <w:color w:val="0E101A"/>
          <w:spacing w:val="0"/>
          <w:position w:val="0"/>
          <w:sz w:val="22"/>
          <w:shd w:fill="auto" w:val="clear"/>
        </w:rPr>
      </w:pPr>
      <w:r>
        <w:rPr>
          <w:rFonts w:ascii="Arial Nova" w:hAnsi="Arial Nova" w:cs="Arial Nova" w:eastAsia="Arial Nova"/>
          <w:color w:val="0E101A"/>
          <w:spacing w:val="0"/>
          <w:position w:val="0"/>
          <w:sz w:val="22"/>
          <w:shd w:fill="auto" w:val="clear"/>
        </w:rPr>
        <w:t xml:space="preserve">Gunton continues to quote Irenaeus as stressing that the will of God is the main purpose of creation. Irenaeus could have been inspired by the scripture in Revelation 4:11b’’You are worthy, our Lord and God, to receive glory, honor, and power, for you created all things, and by your will, they were created and have their being’’. Apostle Paul in his epistle in 1 Corinthians 8:6 makes clear ‘’There is one God, the Father, by whom all things were created, and for whom we live.’’ This affirms the Triune God as the cause of creation and the final cause of creation.’’</w:t>
      </w:r>
    </w:p>
    <w:p>
      <w:pPr>
        <w:spacing w:before="0" w:after="160" w:line="259"/>
        <w:ind w:right="0" w:left="0" w:firstLine="0"/>
        <w:jc w:val="left"/>
        <w:rPr>
          <w:rFonts w:ascii="Arial Nova" w:hAnsi="Arial Nova" w:cs="Arial Nova" w:eastAsia="Arial Nova"/>
          <w:color w:val="0E101A"/>
          <w:spacing w:val="0"/>
          <w:position w:val="0"/>
          <w:sz w:val="22"/>
          <w:shd w:fill="auto" w:val="clear"/>
        </w:rPr>
      </w:pPr>
      <w:r>
        <w:rPr>
          <w:rFonts w:ascii="Arial Nova" w:hAnsi="Arial Nova" w:cs="Arial Nova" w:eastAsia="Arial Nova"/>
          <w:color w:val="0E101A"/>
          <w:spacing w:val="0"/>
          <w:position w:val="0"/>
          <w:sz w:val="22"/>
          <w:shd w:fill="auto" w:val="clear"/>
        </w:rPr>
        <w:t xml:space="preserve">Oppositions by post-modern and modern science discoveries present the Big Bang theory that explains the origin of the universe as emerging from an ultra-dense and high-temperature state. Ferguson, in refuting the mythologies on the doctrine of creation, states that ‘there is nothing before the entire universe which can explain why it came to be when it did.’. For Irenaeus, ‘’ Creator and Trinity go hand in hand, just as creation and redemption.’ </w:t>
      </w:r>
    </w:p>
    <w:p>
      <w:pPr>
        <w:spacing w:before="0" w:after="160" w:line="259"/>
        <w:ind w:right="0" w:left="0" w:firstLine="0"/>
        <w:jc w:val="left"/>
        <w:rPr>
          <w:rFonts w:ascii="Arial Nova" w:hAnsi="Arial Nova" w:cs="Arial Nova" w:eastAsia="Arial Nova"/>
          <w:color w:val="0E101A"/>
          <w:spacing w:val="0"/>
          <w:position w:val="0"/>
          <w:sz w:val="22"/>
          <w:shd w:fill="auto" w:val="clear"/>
        </w:rPr>
      </w:pPr>
    </w:p>
    <w:p>
      <w:pPr>
        <w:spacing w:before="0" w:after="160" w:line="259"/>
        <w:ind w:right="0" w:left="0" w:firstLine="0"/>
        <w:jc w:val="left"/>
        <w:rPr>
          <w:rFonts w:ascii="Arial Nova" w:hAnsi="Arial Nova" w:cs="Arial Nova" w:eastAsia="Arial Nova"/>
          <w:color w:val="0E101A"/>
          <w:spacing w:val="0"/>
          <w:position w:val="0"/>
          <w:sz w:val="22"/>
          <w:shd w:fill="auto" w:val="clear"/>
        </w:rPr>
      </w:pPr>
      <w:r>
        <w:rPr>
          <w:rFonts w:ascii="Arial Nova" w:hAnsi="Arial Nova" w:cs="Arial Nova" w:eastAsia="Arial Nova"/>
          <w:color w:val="0E101A"/>
          <w:spacing w:val="0"/>
          <w:position w:val="0"/>
          <w:sz w:val="22"/>
          <w:shd w:fill="auto" w:val="clear"/>
        </w:rPr>
        <w:t xml:space="preserve">SALVATION AND REDEMPTION</w:t>
      </w:r>
    </w:p>
    <w:p>
      <w:pPr>
        <w:spacing w:before="0" w:after="160" w:line="259"/>
        <w:ind w:right="0" w:left="0" w:firstLine="0"/>
        <w:jc w:val="left"/>
        <w:rPr>
          <w:rFonts w:ascii="Arial Nova" w:hAnsi="Arial Nova" w:cs="Arial Nova" w:eastAsia="Arial Nova"/>
          <w:color w:val="0E101A"/>
          <w:spacing w:val="0"/>
          <w:position w:val="0"/>
          <w:sz w:val="22"/>
          <w:shd w:fill="auto" w:val="clear"/>
        </w:rPr>
      </w:pPr>
      <w:r>
        <w:rPr>
          <w:rFonts w:ascii="Arial Nova" w:hAnsi="Arial Nova" w:cs="Arial Nova" w:eastAsia="Arial Nova"/>
          <w:color w:val="0E101A"/>
          <w:spacing w:val="0"/>
          <w:position w:val="0"/>
          <w:sz w:val="22"/>
          <w:shd w:fill="auto" w:val="clear"/>
        </w:rPr>
        <w:t xml:space="preserve">Creation’s subject to fall reveals God’s wrath and Judgment but God’s providence brought about the incarnation of the word to save and redeem God’s creation. The whole work of creation belongs to God's plan of salvation which is a hidden mystery in God who created all things. According to Ephesians 3: 9;11, ‘’. this mysterious plan that God, the creator of all things, had kept secret from the beginning...This was his eternal plan, which he carried out through Christ Jesus our Lord’’. </w:t>
      </w:r>
    </w:p>
    <w:p>
      <w:pPr>
        <w:spacing w:before="0" w:after="160" w:line="259"/>
        <w:ind w:right="0" w:left="0" w:firstLine="0"/>
        <w:jc w:val="left"/>
        <w:rPr>
          <w:rFonts w:ascii="Arial Nova" w:hAnsi="Arial Nova" w:cs="Arial Nova" w:eastAsia="Arial Nova"/>
          <w:color w:val="0E101A"/>
          <w:spacing w:val="0"/>
          <w:position w:val="0"/>
          <w:sz w:val="22"/>
          <w:shd w:fill="auto" w:val="clear"/>
        </w:rPr>
      </w:pPr>
      <w:r>
        <w:rPr>
          <w:rFonts w:ascii="Arial Nova" w:hAnsi="Arial Nova" w:cs="Arial Nova" w:eastAsia="Arial Nova"/>
          <w:color w:val="0E101A"/>
          <w:spacing w:val="0"/>
          <w:position w:val="0"/>
          <w:sz w:val="22"/>
          <w:shd w:fill="auto" w:val="clear"/>
        </w:rPr>
        <w:t xml:space="preserve">God through salvation and redemption achieves His purpose in creation. St Athanasius on </w:t>
      </w:r>
      <w:r>
        <w:rPr>
          <w:rFonts w:ascii="Arial Nova" w:hAnsi="Arial Nova" w:cs="Arial Nova" w:eastAsia="Arial Nova"/>
          <w:i/>
          <w:color w:val="0E101A"/>
          <w:spacing w:val="0"/>
          <w:position w:val="0"/>
          <w:sz w:val="22"/>
          <w:shd w:fill="auto" w:val="clear"/>
        </w:rPr>
        <w:t xml:space="preserve">the Incarnation of the word </w:t>
      </w:r>
      <w:r>
        <w:rPr>
          <w:rFonts w:ascii="Arial Nova" w:hAnsi="Arial Nova" w:cs="Arial Nova" w:eastAsia="Arial Nova"/>
          <w:color w:val="0E101A"/>
          <w:spacing w:val="0"/>
          <w:position w:val="0"/>
          <w:sz w:val="22"/>
          <w:shd w:fill="auto" w:val="clear"/>
        </w:rPr>
        <w:t xml:space="preserve">argues that ‘’the renewal of creation has been wrought by the self-same word who made it in the beginning’’. He argues there is no inconsistency between creation and salvation for the One Father has employed the same Agent for both works, effecting the salvation of the world through the same Word Who made it in the beginning.’’ The scripture in Romans 8: 19-22 states ‘For all creation is waiting eagerly for that future day when God will reveal who his children are. Against its will, all creation was subjected to God’s curse. But with eager hope, the creation looks forward to the day when it will join God’s children in glorious freedom from death and decay.’’ This scripture explains that salvation and redemption by the ‘same Word who made it’, is not only for humanity but also for the entire universe. Thomas Aquinas asserts that all things have been created so that they may be summed up in Christ the Son. All creation has this as its goal." This goal as Miller quotes Michael Northcott "Just as the fall of the 'first man Adam' had implications for the whole cosmos, so too does the salvation effect by the 'last man' Christ." </w:t>
      </w:r>
    </w:p>
    <w:p>
      <w:pPr>
        <w:spacing w:before="0" w:after="160" w:line="259"/>
        <w:ind w:right="0" w:left="0" w:firstLine="0"/>
        <w:jc w:val="left"/>
        <w:rPr>
          <w:rFonts w:ascii="Arial Nova" w:hAnsi="Arial Nova" w:cs="Arial Nova" w:eastAsia="Arial Nova"/>
          <w:color w:val="0E101A"/>
          <w:spacing w:val="0"/>
          <w:position w:val="0"/>
          <w:sz w:val="22"/>
          <w:shd w:fill="auto" w:val="clear"/>
        </w:rPr>
      </w:pPr>
      <w:r>
        <w:rPr>
          <w:rFonts w:ascii="Arial Nova" w:hAnsi="Arial Nova" w:cs="Arial Nova" w:eastAsia="Arial Nova"/>
          <w:color w:val="0E101A"/>
          <w:spacing w:val="0"/>
          <w:position w:val="0"/>
          <w:sz w:val="22"/>
          <w:shd w:fill="auto" w:val="clear"/>
        </w:rPr>
        <w:t xml:space="preserve">Karl Barth views Creation as an act of God’s revelation. God’s revelation shows God’s providence, which means that God is in total control by which, with love and wisdom He cares and is sovereign over the universe. Through providence, God accomplishes His will of salvation and redemption. In support of this argument, Claritas in his </w:t>
      </w:r>
      <w:r>
        <w:rPr>
          <w:rFonts w:ascii="Arial Nova" w:hAnsi="Arial Nova" w:cs="Arial Nova" w:eastAsia="Arial Nova"/>
          <w:i/>
          <w:color w:val="0E101A"/>
          <w:spacing w:val="0"/>
          <w:position w:val="0"/>
          <w:sz w:val="22"/>
          <w:shd w:fill="auto" w:val="clear"/>
        </w:rPr>
        <w:t xml:space="preserve">journal of dialogue and culture</w:t>
      </w:r>
      <w:r>
        <w:rPr>
          <w:rFonts w:ascii="Arial Nova" w:hAnsi="Arial Nova" w:cs="Arial Nova" w:eastAsia="Arial Nova"/>
          <w:color w:val="0E101A"/>
          <w:spacing w:val="0"/>
          <w:position w:val="0"/>
          <w:sz w:val="22"/>
          <w:shd w:fill="auto" w:val="clear"/>
        </w:rPr>
        <w:t xml:space="preserve"> quotes Calvin, “On learning that there is a Creator, it must forthwith infer that he is also the Governor and Preserver, and that, not by producing a kind of general motion in the machine of the globe as well as in each of its parts, but by a special Providence, sustaining, cherishing, superintending, all the things which he has made, to the very minutest, even to the sparrow.” </w:t>
      </w:r>
    </w:p>
    <w:p>
      <w:pPr>
        <w:spacing w:before="0" w:after="160" w:line="259"/>
        <w:ind w:right="0" w:left="0" w:firstLine="0"/>
        <w:jc w:val="left"/>
        <w:rPr>
          <w:rFonts w:ascii="Arial Nova" w:hAnsi="Arial Nova" w:cs="Arial Nova" w:eastAsia="Arial Nova"/>
          <w:color w:val="0E101A"/>
          <w:spacing w:val="0"/>
          <w:position w:val="0"/>
          <w:sz w:val="22"/>
          <w:shd w:fill="auto" w:val="clear"/>
        </w:rPr>
      </w:pPr>
    </w:p>
    <w:p>
      <w:pPr>
        <w:spacing w:before="0" w:after="160" w:line="259"/>
        <w:ind w:right="0" w:left="0" w:firstLine="0"/>
        <w:jc w:val="left"/>
        <w:rPr>
          <w:rFonts w:ascii="Arial Nova" w:hAnsi="Arial Nova" w:cs="Arial Nova" w:eastAsia="Arial Nova"/>
          <w:color w:val="0E101A"/>
          <w:spacing w:val="0"/>
          <w:position w:val="0"/>
          <w:sz w:val="22"/>
          <w:shd w:fill="auto" w:val="clear"/>
        </w:rPr>
      </w:pPr>
      <w:r>
        <w:rPr>
          <w:rFonts w:ascii="Arial Nova" w:hAnsi="Arial Nova" w:cs="Arial Nova" w:eastAsia="Arial Nova"/>
          <w:color w:val="0E101A"/>
          <w:spacing w:val="0"/>
          <w:position w:val="0"/>
          <w:sz w:val="22"/>
          <w:shd w:fill="auto" w:val="clear"/>
        </w:rPr>
        <w:t xml:space="preserve">THE ENVIRONMENT AND ECOLOGY</w:t>
      </w:r>
    </w:p>
    <w:p>
      <w:pPr>
        <w:spacing w:before="0" w:after="160" w:line="259"/>
        <w:ind w:right="0" w:left="0" w:firstLine="0"/>
        <w:jc w:val="left"/>
        <w:rPr>
          <w:rFonts w:ascii="Arial Nova" w:hAnsi="Arial Nova" w:cs="Arial Nova" w:eastAsia="Arial Nova"/>
          <w:color w:val="0E101A"/>
          <w:spacing w:val="0"/>
          <w:position w:val="0"/>
          <w:sz w:val="22"/>
          <w:shd w:fill="auto" w:val="clear"/>
        </w:rPr>
      </w:pPr>
      <w:r>
        <w:rPr>
          <w:rFonts w:ascii="Arial Nova" w:hAnsi="Arial Nova" w:cs="Arial Nova" w:eastAsia="Arial Nova"/>
          <w:color w:val="0E101A"/>
          <w:spacing w:val="0"/>
          <w:position w:val="0"/>
          <w:sz w:val="22"/>
          <w:shd w:fill="auto" w:val="clear"/>
        </w:rPr>
        <w:t xml:space="preserve">As it is essential that God's goodness, which is one and undivided, should be evident in numerous ways in His creation, God's goodness is manifested through diversity. We understand the scripture in Genesis Chapter 1:27 as it states ‘’So God created human beings in his image and likeness’’ Mankind was created in the image of God, representing God, and built for relationship with the Triune God, each other, and the rest of creation. God placed man in a position of responsibility over His creation. Humankind was positioned to participate in the Triune God's economic work towards Creation. God is said to have made all things through His goodness so that his divine goodness might be represented in all things. </w:t>
      </w:r>
    </w:p>
    <w:p>
      <w:pPr>
        <w:spacing w:before="0" w:after="160" w:line="259"/>
        <w:ind w:right="0" w:left="0" w:firstLine="0"/>
        <w:jc w:val="left"/>
        <w:rPr>
          <w:rFonts w:ascii="Arial Nova" w:hAnsi="Arial Nova" w:cs="Arial Nova" w:eastAsia="Arial Nova"/>
          <w:color w:val="0E101A"/>
          <w:spacing w:val="0"/>
          <w:position w:val="0"/>
          <w:sz w:val="22"/>
          <w:shd w:fill="auto" w:val="clear"/>
        </w:rPr>
      </w:pPr>
      <w:r>
        <w:rPr>
          <w:rFonts w:ascii="Arial Nova" w:hAnsi="Arial Nova" w:cs="Arial Nova" w:eastAsia="Arial Nova"/>
          <w:color w:val="0E101A"/>
          <w:spacing w:val="0"/>
          <w:position w:val="0"/>
          <w:sz w:val="22"/>
          <w:shd w:fill="auto" w:val="clear"/>
        </w:rPr>
        <w:t xml:space="preserve">Ferguson affirms that ‘’the goodness of the Father towards creation reflects the love that the Father has from all eternity for the son in the spirit and which is rendered back to the Father by the Son in the Spirit’’ Hence a free expression of the personal love within the Triune being’’. God placed man in a position of responsibility over His creation. Lynn White charges Christians not to be ‘exploitative or exact supremacy towards the created order’’ David Hunt and Constance Cumbey opposed White’s argument by stating that ‘’God did not care for the earth and that it was up to humankind to take control of it’’. </w:t>
      </w:r>
    </w:p>
    <w:p>
      <w:pPr>
        <w:spacing w:before="0" w:after="160" w:line="259"/>
        <w:ind w:right="0" w:left="0" w:firstLine="0"/>
        <w:jc w:val="left"/>
        <w:rPr>
          <w:rFonts w:ascii="Arial Nova" w:hAnsi="Arial Nova" w:cs="Arial Nova" w:eastAsia="Arial Nova"/>
          <w:color w:val="0E101A"/>
          <w:spacing w:val="0"/>
          <w:position w:val="0"/>
          <w:sz w:val="22"/>
          <w:shd w:fill="auto" w:val="clear"/>
        </w:rPr>
      </w:pPr>
      <w:r>
        <w:rPr>
          <w:rFonts w:ascii="Arial Nova" w:hAnsi="Arial Nova" w:cs="Arial Nova" w:eastAsia="Arial Nova"/>
          <w:color w:val="0E101A"/>
          <w:spacing w:val="0"/>
          <w:position w:val="0"/>
          <w:sz w:val="22"/>
          <w:shd w:fill="auto" w:val="clear"/>
        </w:rPr>
        <w:t xml:space="preserve">We understand that by Christ’s [</w:t>
      </w:r>
      <w:r>
        <w:rPr>
          <w:rFonts w:ascii="Arial Nova" w:hAnsi="Arial Nova" w:cs="Arial Nova" w:eastAsia="Arial Nova"/>
          <w:i/>
          <w:color w:val="0E101A"/>
          <w:spacing w:val="0"/>
          <w:position w:val="0"/>
          <w:sz w:val="22"/>
          <w:shd w:fill="auto" w:val="clear"/>
        </w:rPr>
        <w:t xml:space="preserve">the Incarnate Word’] </w:t>
      </w:r>
      <w:r>
        <w:rPr>
          <w:rFonts w:ascii="Arial Nova" w:hAnsi="Arial Nova" w:cs="Arial Nova" w:eastAsia="Arial Nova"/>
          <w:color w:val="0E101A"/>
          <w:spacing w:val="0"/>
          <w:position w:val="0"/>
          <w:sz w:val="22"/>
          <w:shd w:fill="auto" w:val="clear"/>
        </w:rPr>
        <w:t xml:space="preserve">mission on earth, humanity's broken relationships with God and the natural environment are restored and reconciled. Through reconciliation, God has given humanity the awesome responsibility to live in harmony with all creation. Therefore, the role of man in the environment goes beyond protecting and preserving it to healing and liberating it. In Genesis 2:15 the bible tells us ‘The Lord placed the man in the Garden of Eden to tend and watch over it. In Leviticus 25:23, God says ‘. for the land belongs to me. You are foreigners and tenant farmers working for me. Theologians like David T. Williams believe that ‘’God is one, who exists as three coequal persons; it means that within the Godhead there is distinctiveness, but at the same time there is harmony, even unity. These unities are to be found in the created world.’’</w:t>
      </w:r>
    </w:p>
    <w:p>
      <w:pPr>
        <w:spacing w:before="0" w:after="160" w:line="259"/>
        <w:ind w:right="0" w:left="0" w:firstLine="0"/>
        <w:jc w:val="left"/>
        <w:rPr>
          <w:rFonts w:ascii="Arial Nova" w:hAnsi="Arial Nova" w:cs="Arial Nova" w:eastAsia="Arial Nova"/>
          <w:color w:val="0E101A"/>
          <w:spacing w:val="0"/>
          <w:position w:val="0"/>
          <w:sz w:val="22"/>
          <w:shd w:fill="auto" w:val="clear"/>
        </w:rPr>
      </w:pPr>
      <w:r>
        <w:rPr>
          <w:rFonts w:ascii="Arial Nova" w:hAnsi="Arial Nova" w:cs="Arial Nova" w:eastAsia="Arial Nova"/>
          <w:color w:val="0E101A"/>
          <w:spacing w:val="0"/>
          <w:position w:val="0"/>
          <w:sz w:val="22"/>
          <w:shd w:fill="auto" w:val="clear"/>
        </w:rPr>
        <w:t xml:space="preserve"> Williams continues to support his argument by stating that ‘’Christians might relate to the natural environment "in a way parallel to the relationships within the Trinity. ’He further puts this into ecological terms, stating ‘it means that the value of each living species is to be respected, and even that there is value in the inanimate creation as well. This is because the various forms of life and the material environment have a deep interrelationship’. </w:t>
      </w:r>
    </w:p>
    <w:p>
      <w:pPr>
        <w:spacing w:before="0" w:after="160" w:line="259"/>
        <w:ind w:right="0" w:left="0" w:firstLine="0"/>
        <w:jc w:val="left"/>
        <w:rPr>
          <w:rFonts w:ascii="Arial Nova" w:hAnsi="Arial Nova" w:cs="Arial Nova" w:eastAsia="Arial Nova"/>
          <w:color w:val="0E101A"/>
          <w:spacing w:val="0"/>
          <w:position w:val="0"/>
          <w:sz w:val="22"/>
          <w:shd w:fill="auto" w:val="clear"/>
        </w:rPr>
      </w:pPr>
      <w:r>
        <w:rPr>
          <w:rFonts w:ascii="Arial Nova" w:hAnsi="Arial Nova" w:cs="Arial Nova" w:eastAsia="Arial Nova"/>
          <w:color w:val="0E101A"/>
          <w:spacing w:val="0"/>
          <w:position w:val="0"/>
          <w:sz w:val="22"/>
          <w:shd w:fill="auto" w:val="clear"/>
        </w:rPr>
        <w:t xml:space="preserve">To maintain good interrelation, caution must be taken in activities that could pose danger to both humanity and ecology such as Industrial waste and pollution. On the contrary, theologians like Thomas Aquinas understand the doctrine of creation to be most relevant ‘for human relationship with God rather than for human interactions with one another or the natural environment’. Miller quotes Emery Giles as supporting Aquinas in his statement, ‘theological thinking, even about ecology, must have God as its focal point rather than humanity or the environment’. </w:t>
      </w:r>
    </w:p>
    <w:p>
      <w:pPr>
        <w:spacing w:before="0" w:after="160" w:line="259"/>
        <w:ind w:right="0" w:left="0" w:firstLine="0"/>
        <w:jc w:val="left"/>
        <w:rPr>
          <w:rFonts w:ascii="Arial Nova" w:hAnsi="Arial Nova" w:cs="Arial Nova" w:eastAsia="Arial Nova"/>
          <w:color w:val="0E101A"/>
          <w:spacing w:val="0"/>
          <w:position w:val="0"/>
          <w:sz w:val="22"/>
          <w:shd w:fill="auto" w:val="clear"/>
        </w:rPr>
      </w:pPr>
      <w:r>
        <w:rPr>
          <w:rFonts w:ascii="Arial Nova" w:hAnsi="Arial Nova" w:cs="Arial Nova" w:eastAsia="Arial Nova"/>
          <w:color w:val="0E101A"/>
          <w:spacing w:val="0"/>
          <w:position w:val="0"/>
          <w:sz w:val="22"/>
          <w:shd w:fill="auto" w:val="clear"/>
        </w:rPr>
        <w:t xml:space="preserve">Daniel Miller asserts that Christian environmental action will appear ‘’trinitarian in its participation in Christ's economic mission rather than as a model of the immanent trinitarian relationships.’’, Hence every human action that works toward the healing of the world is a participation in the restoration of the universe that God has already initiated. This aims towards the healing of the earth while still awaiting its final renewal. </w:t>
      </w:r>
    </w:p>
    <w:p>
      <w:pPr>
        <w:spacing w:before="0" w:after="160" w:line="259"/>
        <w:ind w:right="0" w:left="0" w:firstLine="0"/>
        <w:jc w:val="left"/>
        <w:rPr>
          <w:rFonts w:ascii="Arial Nova" w:hAnsi="Arial Nova" w:cs="Arial Nova" w:eastAsia="Arial Nova"/>
          <w:color w:val="0E101A"/>
          <w:spacing w:val="0"/>
          <w:position w:val="0"/>
          <w:sz w:val="22"/>
          <w:shd w:fill="auto" w:val="clear"/>
        </w:rPr>
      </w:pPr>
    </w:p>
    <w:p>
      <w:pPr>
        <w:spacing w:before="0" w:after="160" w:line="259"/>
        <w:ind w:right="0" w:left="0" w:firstLine="0"/>
        <w:jc w:val="left"/>
        <w:rPr>
          <w:rFonts w:ascii="Arial Nova" w:hAnsi="Arial Nova" w:cs="Arial Nova" w:eastAsia="Arial Nova"/>
          <w:color w:val="0E101A"/>
          <w:spacing w:val="0"/>
          <w:position w:val="0"/>
          <w:sz w:val="22"/>
          <w:shd w:fill="auto" w:val="clear"/>
        </w:rPr>
      </w:pPr>
      <w:r>
        <w:rPr>
          <w:rFonts w:ascii="Arial Nova" w:hAnsi="Arial Nova" w:cs="Arial Nova" w:eastAsia="Arial Nova"/>
          <w:color w:val="0E101A"/>
          <w:spacing w:val="0"/>
          <w:position w:val="0"/>
          <w:sz w:val="22"/>
          <w:shd w:fill="auto" w:val="clear"/>
        </w:rPr>
        <w:t xml:space="preserve">CONCLUSION</w:t>
      </w:r>
    </w:p>
    <w:p>
      <w:pPr>
        <w:spacing w:before="0" w:after="160" w:line="259"/>
        <w:ind w:right="0" w:left="0" w:firstLine="0"/>
        <w:jc w:val="left"/>
        <w:rPr>
          <w:rFonts w:ascii="Arial Nova" w:hAnsi="Arial Nova" w:cs="Arial Nova" w:eastAsia="Arial Nova"/>
          <w:color w:val="0E101A"/>
          <w:spacing w:val="0"/>
          <w:position w:val="0"/>
          <w:sz w:val="22"/>
          <w:shd w:fill="auto" w:val="clear"/>
        </w:rPr>
      </w:pPr>
      <w:r>
        <w:rPr>
          <w:rFonts w:ascii="Arial Nova" w:hAnsi="Arial Nova" w:cs="Arial Nova" w:eastAsia="Arial Nova"/>
          <w:color w:val="0E101A"/>
          <w:spacing w:val="0"/>
          <w:position w:val="0"/>
          <w:sz w:val="22"/>
          <w:shd w:fill="auto" w:val="clear"/>
        </w:rPr>
        <w:t xml:space="preserve">In conclusion, I affirm that Creation is undoubtedly the work of the triune God with all three persons involved. The work of the Trinity can be found in the creation of the universe and humanity. Humanity has been charged with the responsibility of caring for the earth. The doctrine of the Trinity provides evidence of God's care for the world and a motivation for human care for it. God gave his own Son to redeem and reunite humanity and the natural world to himself. The triunity within the three persons of the Trinity should reflect in the activities done by humankind with the rest of creation. Arian’s argument on subordination can be applied in this context, that God gave humanity dominion over the rest of creation though, I argue not in support of the concept of subordination within the Trinity, as all three persons are one and co-equal. I affirm Christian's commitment towards maintaining a good relationship with God, one another, and the rest of creation.</w:t>
      </w: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r>
        <w:rPr>
          <w:rFonts w:ascii="Arial" w:hAnsi="Arial" w:cs="Arial" w:eastAsia="Arial"/>
          <w:b/>
          <w:color w:val="000000"/>
          <w:spacing w:val="0"/>
          <w:position w:val="0"/>
          <w:sz w:val="22"/>
          <w:shd w:fill="auto" w:val="clear"/>
        </w:rPr>
        <w:t xml:space="preserve">BIBLIOGRAPHY</w:t>
      </w:r>
    </w:p>
    <w:p>
      <w:pPr>
        <w:spacing w:before="0" w:after="160" w:line="240"/>
        <w:ind w:right="0" w:left="0" w:firstLine="0"/>
        <w:jc w:val="left"/>
        <w:rPr>
          <w:rFonts w:ascii="Calibri" w:hAnsi="Calibri" w:cs="Calibri" w:eastAsia="Calibri"/>
          <w:color w:val="auto"/>
          <w:spacing w:val="0"/>
          <w:position w:val="0"/>
          <w:sz w:val="22"/>
          <w:shd w:fill="auto" w:val="clear"/>
        </w:rPr>
      </w:pPr>
      <w:r>
        <w:rPr>
          <w:rFonts w:ascii="Arial" w:hAnsi="Arial" w:cs="Arial" w:eastAsia="Arial"/>
          <w:color w:val="000000"/>
          <w:spacing w:val="0"/>
          <w:position w:val="0"/>
          <w:sz w:val="22"/>
          <w:shd w:fill="auto" w:val="clear"/>
        </w:rPr>
        <w:t xml:space="preserve">Aquinas, St Thomas, Summa Theologiae (Edinburgh: T &amp; T Clark, 1975). </w:t>
      </w:r>
    </w:p>
    <w:p>
      <w:pPr>
        <w:spacing w:before="0" w:after="160" w:line="240"/>
        <w:ind w:right="0" w:left="0" w:firstLine="0"/>
        <w:jc w:val="left"/>
        <w:rPr>
          <w:rFonts w:ascii="Calibri" w:hAnsi="Calibri" w:cs="Calibri" w:eastAsia="Calibri"/>
          <w:color w:val="auto"/>
          <w:spacing w:val="0"/>
          <w:position w:val="0"/>
          <w:sz w:val="22"/>
          <w:shd w:fill="auto" w:val="clear"/>
        </w:rPr>
      </w:pPr>
      <w:r>
        <w:rPr>
          <w:rFonts w:ascii="Arial" w:hAnsi="Arial" w:cs="Arial" w:eastAsia="Arial"/>
          <w:color w:val="000000"/>
          <w:spacing w:val="0"/>
          <w:position w:val="0"/>
          <w:sz w:val="22"/>
          <w:shd w:fill="auto" w:val="clear"/>
        </w:rPr>
        <w:t xml:space="preserve">Athanasius, </w:t>
      </w:r>
      <w:r>
        <w:rPr>
          <w:rFonts w:ascii="Arial" w:hAnsi="Arial" w:cs="Arial" w:eastAsia="Arial"/>
          <w:i/>
          <w:color w:val="000000"/>
          <w:spacing w:val="0"/>
          <w:position w:val="0"/>
          <w:sz w:val="22"/>
          <w:shd w:fill="auto" w:val="clear"/>
        </w:rPr>
        <w:t xml:space="preserve">On the Incarnation </w:t>
      </w:r>
      <w:r>
        <w:rPr>
          <w:rFonts w:ascii="Arial" w:hAnsi="Arial" w:cs="Arial" w:eastAsia="Arial"/>
          <w:color w:val="000000"/>
          <w:spacing w:val="0"/>
          <w:position w:val="0"/>
          <w:sz w:val="22"/>
          <w:shd w:fill="auto" w:val="clear"/>
        </w:rPr>
        <w:t xml:space="preserve">(</w:t>
      </w:r>
      <w:r>
        <w:rPr>
          <w:rFonts w:ascii="Arial" w:hAnsi="Arial" w:cs="Arial" w:eastAsia="Arial"/>
          <w:i/>
          <w:color w:val="000000"/>
          <w:spacing w:val="0"/>
          <w:position w:val="0"/>
          <w:sz w:val="22"/>
          <w:shd w:fill="auto" w:val="clear"/>
        </w:rPr>
        <w:t xml:space="preserve">De Incarnatione Verbi Dei</w:t>
      </w:r>
      <w:r>
        <w:rPr>
          <w:rFonts w:ascii="Arial" w:hAnsi="Arial" w:cs="Arial" w:eastAsia="Arial"/>
          <w:color w:val="000000"/>
          <w:spacing w:val="0"/>
          <w:position w:val="0"/>
          <w:sz w:val="22"/>
          <w:shd w:fill="auto" w:val="clear"/>
        </w:rPr>
        <w:t xml:space="preserve">) Online</w:t>
      </w:r>
    </w:p>
    <w:p>
      <w:pPr>
        <w:spacing w:before="0" w:after="160" w:line="240"/>
        <w:ind w:right="0" w:left="0" w:firstLine="0"/>
        <w:jc w:val="left"/>
        <w:rPr>
          <w:rFonts w:ascii="Calibri" w:hAnsi="Calibri" w:cs="Calibri" w:eastAsia="Calibri"/>
          <w:color w:val="auto"/>
          <w:spacing w:val="0"/>
          <w:position w:val="0"/>
          <w:sz w:val="22"/>
          <w:shd w:fill="auto" w:val="clear"/>
        </w:rPr>
      </w:pPr>
      <w:r>
        <w:rPr>
          <w:rFonts w:ascii="Arial" w:hAnsi="Arial" w:cs="Arial" w:eastAsia="Arial"/>
          <w:color w:val="000000"/>
          <w:spacing w:val="0"/>
          <w:position w:val="0"/>
          <w:sz w:val="22"/>
          <w:shd w:fill="auto" w:val="clear"/>
        </w:rPr>
        <w:t xml:space="preserve">Augustine, </w:t>
      </w:r>
      <w:r>
        <w:rPr>
          <w:rFonts w:ascii="Arial" w:hAnsi="Arial" w:cs="Arial" w:eastAsia="Arial"/>
          <w:i/>
          <w:color w:val="000000"/>
          <w:spacing w:val="0"/>
          <w:position w:val="0"/>
          <w:sz w:val="22"/>
          <w:shd w:fill="auto" w:val="clear"/>
        </w:rPr>
        <w:t xml:space="preserve">The Trinity</w:t>
      </w:r>
      <w:r>
        <w:rPr>
          <w:rFonts w:ascii="Arial" w:hAnsi="Arial" w:cs="Arial" w:eastAsia="Arial"/>
          <w:color w:val="000000"/>
          <w:spacing w:val="0"/>
          <w:position w:val="0"/>
          <w:sz w:val="22"/>
          <w:shd w:fill="auto" w:val="clear"/>
        </w:rPr>
        <w:t xml:space="preserve"> (Brooklyn, NY: New City Press, c.1991).</w:t>
      </w:r>
    </w:p>
    <w:p>
      <w:pPr>
        <w:spacing w:before="0" w:after="160" w:line="240"/>
        <w:ind w:right="0" w:left="0" w:firstLine="0"/>
        <w:jc w:val="left"/>
        <w:rPr>
          <w:rFonts w:ascii="Calibri" w:hAnsi="Calibri" w:cs="Calibri" w:eastAsia="Calibri"/>
          <w:color w:val="auto"/>
          <w:spacing w:val="0"/>
          <w:position w:val="0"/>
          <w:sz w:val="22"/>
          <w:shd w:fill="auto" w:val="clear"/>
        </w:rPr>
      </w:pPr>
      <w:r>
        <w:rPr>
          <w:rFonts w:ascii="Arial" w:hAnsi="Arial" w:cs="Arial" w:eastAsia="Arial"/>
          <w:color w:val="000000"/>
          <w:spacing w:val="0"/>
          <w:position w:val="0"/>
          <w:sz w:val="22"/>
          <w:shd w:fill="auto" w:val="clear"/>
        </w:rPr>
        <w:t xml:space="preserve">Barth, Karl </w:t>
      </w:r>
      <w:r>
        <w:rPr>
          <w:rFonts w:ascii="Arial" w:hAnsi="Arial" w:cs="Arial" w:eastAsia="Arial"/>
          <w:i/>
          <w:color w:val="000000"/>
          <w:spacing w:val="0"/>
          <w:position w:val="0"/>
          <w:sz w:val="22"/>
          <w:shd w:fill="auto" w:val="clear"/>
        </w:rPr>
        <w:t xml:space="preserve">Church Dogmatics</w:t>
      </w:r>
      <w:r>
        <w:rPr>
          <w:rFonts w:ascii="Arial" w:hAnsi="Arial" w:cs="Arial" w:eastAsia="Arial"/>
          <w:color w:val="000000"/>
          <w:spacing w:val="0"/>
          <w:position w:val="0"/>
          <w:sz w:val="22"/>
          <w:shd w:fill="auto" w:val="clear"/>
        </w:rPr>
        <w:t xml:space="preserve"> I/I (Edinburgh: T &amp; T Clark, 1936), pp. 295-383 </w:t>
      </w:r>
    </w:p>
    <w:p>
      <w:pPr>
        <w:spacing w:before="0" w:after="160" w:line="240"/>
        <w:ind w:right="0" w:left="0" w:firstLine="0"/>
        <w:jc w:val="left"/>
        <w:rPr>
          <w:rFonts w:ascii="Calibri" w:hAnsi="Calibri" w:cs="Calibri" w:eastAsia="Calibri"/>
          <w:color w:val="auto"/>
          <w:spacing w:val="0"/>
          <w:position w:val="0"/>
          <w:sz w:val="22"/>
          <w:shd w:fill="auto" w:val="clear"/>
        </w:rPr>
      </w:pPr>
      <w:r>
        <w:rPr>
          <w:rFonts w:ascii="Arial" w:hAnsi="Arial" w:cs="Arial" w:eastAsia="Arial"/>
          <w:color w:val="000000"/>
          <w:spacing w:val="0"/>
          <w:position w:val="0"/>
          <w:sz w:val="22"/>
          <w:shd w:fill="auto" w:val="clear"/>
        </w:rPr>
        <w:t xml:space="preserve">Bavinck, Herman </w:t>
      </w:r>
      <w:r>
        <w:rPr>
          <w:rFonts w:ascii="Arial" w:hAnsi="Arial" w:cs="Arial" w:eastAsia="Arial"/>
          <w:i/>
          <w:color w:val="000000"/>
          <w:spacing w:val="0"/>
          <w:position w:val="0"/>
          <w:sz w:val="22"/>
          <w:shd w:fill="auto" w:val="clear"/>
        </w:rPr>
        <w:t xml:space="preserve">Reformed Dogmatics: God and creation, </w:t>
      </w:r>
      <w:r>
        <w:rPr>
          <w:rFonts w:ascii="Arial" w:hAnsi="Arial" w:cs="Arial" w:eastAsia="Arial"/>
          <w:color w:val="000000"/>
          <w:spacing w:val="0"/>
          <w:position w:val="0"/>
          <w:sz w:val="22"/>
          <w:shd w:fill="auto" w:val="clear"/>
        </w:rPr>
        <w:t xml:space="preserve">Vol. 2, [423Y 2013], pp. 20-31</w:t>
      </w:r>
    </w:p>
    <w:p>
      <w:pPr>
        <w:spacing w:before="0" w:after="160" w:line="240"/>
        <w:ind w:right="0" w:left="0" w:firstLine="0"/>
        <w:jc w:val="left"/>
        <w:rPr>
          <w:rFonts w:ascii="Calibri" w:hAnsi="Calibri" w:cs="Calibri" w:eastAsia="Calibri"/>
          <w:color w:val="auto"/>
          <w:spacing w:val="0"/>
          <w:position w:val="0"/>
          <w:sz w:val="22"/>
          <w:shd w:fill="auto" w:val="clear"/>
        </w:rPr>
      </w:pPr>
      <w:r>
        <w:rPr>
          <w:rFonts w:ascii="Arial" w:hAnsi="Arial" w:cs="Arial" w:eastAsia="Arial"/>
          <w:color w:val="000000"/>
          <w:spacing w:val="0"/>
          <w:position w:val="0"/>
          <w:sz w:val="22"/>
          <w:shd w:fill="auto" w:val="clear"/>
        </w:rPr>
        <w:t xml:space="preserve">Claritas</w:t>
      </w:r>
      <w:r>
        <w:rPr>
          <w:rFonts w:ascii="Arial" w:hAnsi="Arial" w:cs="Arial" w:eastAsia="Arial"/>
          <w:i/>
          <w:color w:val="000000"/>
          <w:spacing w:val="0"/>
          <w:position w:val="0"/>
          <w:sz w:val="22"/>
          <w:shd w:fill="auto" w:val="clear"/>
        </w:rPr>
        <w:t xml:space="preserve"> Journal of Dialogue and Culture Vol. 4, No. 1 [March 2015]</w:t>
      </w:r>
    </w:p>
    <w:p>
      <w:pPr>
        <w:spacing w:before="0" w:after="160" w:line="240"/>
        <w:ind w:right="0" w:left="0" w:firstLine="0"/>
        <w:jc w:val="left"/>
        <w:rPr>
          <w:rFonts w:ascii="Calibri" w:hAnsi="Calibri" w:cs="Calibri" w:eastAsia="Calibri"/>
          <w:color w:val="auto"/>
          <w:spacing w:val="0"/>
          <w:position w:val="0"/>
          <w:sz w:val="22"/>
          <w:shd w:fill="auto" w:val="clear"/>
        </w:rPr>
      </w:pPr>
      <w:r>
        <w:rPr>
          <w:rFonts w:ascii="Arial" w:hAnsi="Arial" w:cs="Arial" w:eastAsia="Arial"/>
          <w:color w:val="000000"/>
          <w:spacing w:val="0"/>
          <w:position w:val="0"/>
          <w:sz w:val="22"/>
          <w:shd w:fill="auto" w:val="clear"/>
        </w:rPr>
        <w:t xml:space="preserve">David T. Williams, </w:t>
      </w:r>
      <w:r>
        <w:rPr>
          <w:rFonts w:ascii="Arial" w:hAnsi="Arial" w:cs="Arial" w:eastAsia="Arial"/>
          <w:i/>
          <w:color w:val="000000"/>
          <w:spacing w:val="0"/>
          <w:position w:val="0"/>
          <w:sz w:val="22"/>
          <w:shd w:fill="auto" w:val="clear"/>
        </w:rPr>
        <w:t xml:space="preserve">‘’Trinitarian Ecology, ’Scottish Bulletin of Evangelical Theology,</w:t>
      </w:r>
      <w:r>
        <w:rPr>
          <w:rFonts w:ascii="Arial" w:hAnsi="Arial" w:cs="Arial" w:eastAsia="Arial"/>
          <w:color w:val="000000"/>
          <w:spacing w:val="0"/>
          <w:position w:val="0"/>
          <w:sz w:val="22"/>
          <w:shd w:fill="auto" w:val="clear"/>
        </w:rPr>
        <w:t xml:space="preserve"> Vol. 18 (Autumn 2000) pp 142-159</w:t>
      </w:r>
    </w:p>
    <w:p>
      <w:pPr>
        <w:spacing w:before="0" w:after="160" w:line="240"/>
        <w:ind w:right="0" w:left="0" w:firstLine="0"/>
        <w:jc w:val="left"/>
        <w:rPr>
          <w:rFonts w:ascii="Calibri" w:hAnsi="Calibri" w:cs="Calibri" w:eastAsia="Calibri"/>
          <w:color w:val="auto"/>
          <w:spacing w:val="0"/>
          <w:position w:val="0"/>
          <w:sz w:val="22"/>
          <w:shd w:fill="auto" w:val="clear"/>
        </w:rPr>
      </w:pPr>
      <w:r>
        <w:rPr>
          <w:rFonts w:ascii="Arial" w:hAnsi="Arial" w:cs="Arial" w:eastAsia="Arial"/>
          <w:color w:val="000000"/>
          <w:spacing w:val="0"/>
          <w:position w:val="0"/>
          <w:sz w:val="22"/>
          <w:shd w:fill="auto" w:val="clear"/>
        </w:rPr>
        <w:t xml:space="preserve">Ferguson, David</w:t>
      </w:r>
      <w:r>
        <w:rPr>
          <w:rFonts w:ascii="Arial" w:hAnsi="Arial" w:cs="Arial" w:eastAsia="Arial"/>
          <w:i/>
          <w:color w:val="000000"/>
          <w:spacing w:val="0"/>
          <w:position w:val="0"/>
          <w:sz w:val="22"/>
          <w:shd w:fill="auto" w:val="clear"/>
        </w:rPr>
        <w:t xml:space="preserve"> The Cosmos and the Creator: An Introduction to the Theology of Creation </w:t>
      </w:r>
      <w:r>
        <w:rPr>
          <w:rFonts w:ascii="Arial" w:hAnsi="Arial" w:cs="Arial" w:eastAsia="Arial"/>
          <w:color w:val="000000"/>
          <w:spacing w:val="0"/>
          <w:position w:val="0"/>
          <w:sz w:val="22"/>
          <w:shd w:fill="auto" w:val="clear"/>
        </w:rPr>
        <w:t xml:space="preserve">[London: SPCK,1998]</w:t>
      </w:r>
    </w:p>
    <w:p>
      <w:pPr>
        <w:spacing w:before="0" w:after="160" w:line="276"/>
        <w:ind w:right="0" w:left="0" w:firstLine="0"/>
        <w:jc w:val="left"/>
        <w:rPr>
          <w:rFonts w:ascii="Calibri" w:hAnsi="Calibri" w:cs="Calibri" w:eastAsia="Calibri"/>
          <w:color w:val="auto"/>
          <w:spacing w:val="0"/>
          <w:position w:val="0"/>
          <w:sz w:val="22"/>
          <w:shd w:fill="auto" w:val="clear"/>
        </w:rPr>
      </w:pPr>
      <w:r>
        <w:rPr>
          <w:rFonts w:ascii="Arial" w:hAnsi="Arial" w:cs="Arial" w:eastAsia="Arial"/>
          <w:color w:val="000000"/>
          <w:spacing w:val="0"/>
          <w:position w:val="0"/>
          <w:sz w:val="22"/>
          <w:shd w:fill="auto" w:val="clear"/>
        </w:rPr>
        <w:t xml:space="preserve">Gunton, E Colin [ed], </w:t>
      </w:r>
      <w:r>
        <w:rPr>
          <w:rFonts w:ascii="Arial" w:hAnsi="Arial" w:cs="Arial" w:eastAsia="Arial"/>
          <w:i/>
          <w:color w:val="000000"/>
          <w:spacing w:val="0"/>
          <w:position w:val="0"/>
          <w:sz w:val="22"/>
          <w:shd w:fill="auto" w:val="clear"/>
        </w:rPr>
        <w:t xml:space="preserve">The Doctrine of Creation</w:t>
      </w:r>
      <w:r>
        <w:rPr>
          <w:rFonts w:ascii="Arial" w:hAnsi="Arial" w:cs="Arial" w:eastAsia="Arial"/>
          <w:color w:val="000000"/>
          <w:spacing w:val="0"/>
          <w:position w:val="0"/>
          <w:sz w:val="22"/>
          <w:shd w:fill="auto" w:val="clear"/>
        </w:rPr>
        <w:t xml:space="preserve"> [Edinburgh: t&amp;T Clark, 1997]</w:t>
      </w:r>
    </w:p>
    <w:p>
      <w:pPr>
        <w:spacing w:before="0" w:after="160" w:line="240"/>
        <w:ind w:right="0" w:left="0" w:firstLine="0"/>
        <w:jc w:val="left"/>
        <w:rPr>
          <w:rFonts w:ascii="Calibri" w:hAnsi="Calibri" w:cs="Calibri" w:eastAsia="Calibri"/>
          <w:color w:val="auto"/>
          <w:spacing w:val="0"/>
          <w:position w:val="0"/>
          <w:sz w:val="22"/>
          <w:shd w:fill="auto" w:val="clear"/>
        </w:rPr>
      </w:pPr>
      <w:r>
        <w:rPr>
          <w:rFonts w:ascii="Arial" w:hAnsi="Arial" w:cs="Arial" w:eastAsia="Arial"/>
          <w:color w:val="000000"/>
          <w:spacing w:val="0"/>
          <w:position w:val="0"/>
          <w:sz w:val="22"/>
          <w:shd w:fill="auto" w:val="clear"/>
        </w:rPr>
        <w:t xml:space="preserve">Gunton, E. Colin T</w:t>
      </w:r>
      <w:r>
        <w:rPr>
          <w:rFonts w:ascii="Arial" w:hAnsi="Arial" w:cs="Arial" w:eastAsia="Arial"/>
          <w:i/>
          <w:color w:val="000000"/>
          <w:spacing w:val="0"/>
          <w:position w:val="0"/>
          <w:sz w:val="22"/>
          <w:shd w:fill="auto" w:val="clear"/>
        </w:rPr>
        <w:t xml:space="preserve">he Triune Creator: A Historical and Systematic Study</w:t>
      </w:r>
      <w:r>
        <w:rPr>
          <w:rFonts w:ascii="Arial" w:hAnsi="Arial" w:cs="Arial" w:eastAsia="Arial"/>
          <w:color w:val="000000"/>
          <w:spacing w:val="0"/>
          <w:position w:val="0"/>
          <w:sz w:val="22"/>
          <w:shd w:fill="auto" w:val="clear"/>
        </w:rPr>
        <w:t xml:space="preserve"> [Grand Rapids, MI: Eerdmans,1998]</w:t>
      </w:r>
    </w:p>
    <w:p>
      <w:pPr>
        <w:spacing w:before="0" w:after="160" w:line="240"/>
        <w:ind w:right="0" w:left="0" w:firstLine="0"/>
        <w:jc w:val="left"/>
        <w:rPr>
          <w:rFonts w:ascii="Calibri" w:hAnsi="Calibri" w:cs="Calibri" w:eastAsia="Calibri"/>
          <w:color w:val="auto"/>
          <w:spacing w:val="0"/>
          <w:position w:val="0"/>
          <w:sz w:val="22"/>
          <w:shd w:fill="auto" w:val="clear"/>
        </w:rPr>
      </w:pPr>
      <w:hyperlink xmlns:r="http://schemas.openxmlformats.org/officeDocument/2006/relationships" r:id="docRId0">
        <w:r>
          <w:rPr>
            <w:rFonts w:ascii="Arial" w:hAnsi="Arial" w:cs="Arial" w:eastAsia="Arial"/>
            <w:color w:val="0563C1"/>
            <w:spacing w:val="0"/>
            <w:position w:val="0"/>
            <w:sz w:val="22"/>
            <w:u w:val="single"/>
            <w:shd w:fill="auto" w:val="clear"/>
          </w:rPr>
          <w:t xml:space="preserve">Https://www,biblegateway.com/versons/New-Living-Translation-NLT-Bible</w:t>
        </w:r>
      </w:hyperlink>
      <w:r>
        <w:rPr>
          <w:rFonts w:ascii="Arial" w:hAnsi="Arial" w:cs="Arial" w:eastAsia="Arial"/>
          <w:color w:val="auto"/>
          <w:spacing w:val="0"/>
          <w:position w:val="0"/>
          <w:sz w:val="22"/>
          <w:shd w:fill="auto" w:val="clear"/>
        </w:rPr>
        <w:t xml:space="preserve">. Genesis 1: 1-3;27; Genesis 2:15; Colossians 1:17; 1 Corinthians 8:6; Ephesians 3:9,11; Hebrews 11:3; Leviticus 25:23; Psalm 33:6,9</w:t>
      </w:r>
    </w:p>
    <w:p>
      <w:pPr>
        <w:spacing w:before="0" w:after="160" w:line="240"/>
        <w:ind w:right="0" w:left="0" w:firstLine="0"/>
        <w:jc w:val="left"/>
        <w:rPr>
          <w:rFonts w:ascii="Calibri" w:hAnsi="Calibri" w:cs="Calibri" w:eastAsia="Calibri"/>
          <w:color w:val="auto"/>
          <w:spacing w:val="0"/>
          <w:position w:val="0"/>
          <w:sz w:val="22"/>
          <w:shd w:fill="auto" w:val="clear"/>
        </w:rPr>
      </w:pPr>
      <w:r>
        <w:rPr>
          <w:rFonts w:ascii="Arial" w:hAnsi="Arial" w:cs="Arial" w:eastAsia="Arial"/>
          <w:color w:val="000000"/>
          <w:spacing w:val="0"/>
          <w:position w:val="0"/>
          <w:sz w:val="22"/>
          <w:shd w:fill="auto" w:val="clear"/>
        </w:rPr>
        <w:t xml:space="preserve">May, Gerhard [2004] </w:t>
      </w:r>
      <w:r>
        <w:rPr>
          <w:rFonts w:ascii="Arial" w:hAnsi="Arial" w:cs="Arial" w:eastAsia="Arial"/>
          <w:i/>
          <w:color w:val="000000"/>
          <w:spacing w:val="0"/>
          <w:position w:val="0"/>
          <w:sz w:val="22"/>
          <w:shd w:fill="auto" w:val="clear"/>
        </w:rPr>
        <w:t xml:space="preserve">Creatio ex nihilo</w:t>
      </w:r>
      <w:r>
        <w:rPr>
          <w:rFonts w:ascii="Arial" w:hAnsi="Arial" w:cs="Arial" w:eastAsia="Arial"/>
          <w:color w:val="000000"/>
          <w:spacing w:val="0"/>
          <w:position w:val="0"/>
          <w:sz w:val="22"/>
          <w:shd w:fill="auto" w:val="clear"/>
        </w:rPr>
        <w:t xml:space="preserve"> T&amp;T Clarke International isbn 97808317832</w:t>
      </w:r>
    </w:p>
    <w:p>
      <w:pPr>
        <w:spacing w:before="0" w:after="160" w:line="240"/>
        <w:ind w:right="0" w:left="0" w:firstLine="0"/>
        <w:jc w:val="left"/>
        <w:rPr>
          <w:rFonts w:ascii="Calibri" w:hAnsi="Calibri" w:cs="Calibri" w:eastAsia="Calibri"/>
          <w:color w:val="auto"/>
          <w:spacing w:val="0"/>
          <w:position w:val="0"/>
          <w:sz w:val="22"/>
          <w:shd w:fill="auto" w:val="clear"/>
        </w:rPr>
      </w:pPr>
      <w:r>
        <w:rPr>
          <w:rFonts w:ascii="Arial" w:hAnsi="Arial" w:cs="Arial" w:eastAsia="Arial"/>
          <w:color w:val="000000"/>
          <w:spacing w:val="0"/>
          <w:position w:val="0"/>
          <w:sz w:val="22"/>
          <w:shd w:fill="auto" w:val="clear"/>
        </w:rPr>
        <w:t xml:space="preserve">Miller, Daniel </w:t>
      </w:r>
      <w:r>
        <w:rPr>
          <w:rFonts w:ascii="Arial" w:hAnsi="Arial" w:cs="Arial" w:eastAsia="Arial"/>
          <w:i/>
          <w:color w:val="000000"/>
          <w:spacing w:val="0"/>
          <w:position w:val="0"/>
          <w:sz w:val="22"/>
          <w:shd w:fill="auto" w:val="clear"/>
        </w:rPr>
        <w:t xml:space="preserve">The Doctrine of the Trinity and Christian Environmental Action (</w:t>
      </w:r>
      <w:r>
        <w:rPr>
          <w:rFonts w:ascii="Arial" w:hAnsi="Arial" w:cs="Arial" w:eastAsia="Arial"/>
          <w:color w:val="auto"/>
          <w:spacing w:val="0"/>
          <w:position w:val="0"/>
          <w:sz w:val="22"/>
          <w:shd w:fill="auto" w:val="clear"/>
        </w:rPr>
        <w:t xml:space="preserve">New Black Friars)</w:t>
      </w:r>
      <w:r>
        <w:rPr>
          <w:rFonts w:ascii="Arial" w:hAnsi="Arial" w:cs="Arial" w:eastAsia="Arial"/>
          <w:color w:val="000000"/>
          <w:spacing w:val="0"/>
          <w:position w:val="0"/>
          <w:sz w:val="22"/>
          <w:u w:val="single"/>
          <w:shd w:fill="auto" w:val="clear"/>
        </w:rPr>
        <w:t xml:space="preserve"> </w:t>
      </w:r>
      <w:r>
        <w:rPr>
          <w:rFonts w:ascii="Arial" w:hAnsi="Arial" w:cs="Arial" w:eastAsia="Arial"/>
          <w:color w:val="000000"/>
          <w:spacing w:val="0"/>
          <w:position w:val="0"/>
          <w:sz w:val="22"/>
          <w:shd w:fill="auto" w:val="clear"/>
        </w:rPr>
        <w:t xml:space="preserve">Vol. 94, No. 1049 (January)</w:t>
      </w:r>
    </w:p>
    <w:p>
      <w:pPr>
        <w:spacing w:before="0" w:after="160" w:line="259"/>
        <w:ind w:right="0" w:left="0" w:firstLine="0"/>
        <w:jc w:val="left"/>
        <w:rPr>
          <w:rFonts w:ascii="Arial Nova" w:hAnsi="Arial Nova" w:cs="Arial Nova" w:eastAsia="Arial Nova"/>
          <w:color w:val="auto"/>
          <w:spacing w:val="0"/>
          <w:position w:val="0"/>
          <w:sz w:val="22"/>
          <w:shd w:fill="auto" w:val="clear"/>
        </w:rPr>
      </w:pPr>
      <w:r>
        <w:rPr>
          <w:rFonts w:ascii="Calibri" w:hAnsi="Calibri" w:cs="Calibri" w:eastAsia="Calibri"/>
          <w:color w:val="auto"/>
          <w:spacing w:val="0"/>
          <w:position w:val="0"/>
          <w:sz w:val="22"/>
          <w:shd w:fill="auto" w:val="clear"/>
        </w:rPr>
        <w:br/>
      </w:r>
    </w:p>
    <w:p>
      <w:pPr>
        <w:spacing w:before="0" w:after="160" w:line="259"/>
        <w:ind w:right="0" w:left="0" w:firstLine="0"/>
        <w:jc w:val="left"/>
        <w:rPr>
          <w:rFonts w:ascii="Arial Nova" w:hAnsi="Arial Nova" w:cs="Arial Nova" w:eastAsia="Arial Nova"/>
          <w:color w:val="0E101A"/>
          <w:spacing w:val="0"/>
          <w:position w:val="0"/>
          <w:sz w:val="22"/>
          <w:shd w:fill="auto" w:val="clear"/>
        </w:rPr>
      </w:pPr>
    </w:p>
    <w:p>
      <w:pPr>
        <w:spacing w:before="0" w:after="160" w:line="259"/>
        <w:ind w:right="0" w:left="0" w:firstLine="0"/>
        <w:jc w:val="left"/>
        <w:rPr>
          <w:rFonts w:ascii="Arial Nova" w:hAnsi="Arial Nova" w:cs="Arial Nova" w:eastAsia="Arial Nova"/>
          <w:color w:val="auto"/>
          <w:spacing w:val="0"/>
          <w:position w:val="0"/>
          <w:sz w:val="22"/>
          <w:shd w:fill="auto" w:val="clear"/>
        </w:rPr>
      </w:pP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Mode="External" Target="https://www,biblegateway.com/versons/New-Living-Translation-NLT-Bible" Id="docRId0" Type="http://schemas.openxmlformats.org/officeDocument/2006/relationships/hyperlink" /><Relationship Target="numbering.xml" Id="docRId1" Type="http://schemas.openxmlformats.org/officeDocument/2006/relationships/numbering" /><Relationship Target="styles.xml" Id="docRId2" Type="http://schemas.openxmlformats.org/officeDocument/2006/relationships/styles" /></Relationships>
</file>