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F72D8" w14:textId="5EDF2334" w:rsidR="00FF3513" w:rsidRPr="004A6883" w:rsidRDefault="00FF3513">
      <w:pPr>
        <w:rPr>
          <w:rFonts w:cstheme="minorHAnsi"/>
          <w:sz w:val="24"/>
          <w:szCs w:val="24"/>
        </w:rPr>
      </w:pPr>
      <w:bookmarkStart w:id="0" w:name="_GoBack"/>
      <w:bookmarkEnd w:id="0"/>
      <w:r w:rsidRPr="004A6883">
        <w:rPr>
          <w:rFonts w:cstheme="minorHAnsi"/>
          <w:sz w:val="24"/>
          <w:szCs w:val="24"/>
        </w:rPr>
        <w:t>Discuss the relationship of Plutarch’s works to the Spartan mirage</w:t>
      </w:r>
    </w:p>
    <w:p w14:paraId="3156610D" w14:textId="59D5FD6C" w:rsidR="00FF3513" w:rsidRPr="004A6883" w:rsidRDefault="00FF3513">
      <w:pPr>
        <w:rPr>
          <w:rFonts w:cstheme="minorHAnsi"/>
          <w:sz w:val="24"/>
          <w:szCs w:val="24"/>
        </w:rPr>
      </w:pPr>
    </w:p>
    <w:p w14:paraId="0167FFF0" w14:textId="77777777" w:rsidR="00FF3513" w:rsidRPr="004A6883" w:rsidRDefault="00FF3513">
      <w:pPr>
        <w:rPr>
          <w:rFonts w:cstheme="minorHAnsi"/>
          <w:sz w:val="24"/>
          <w:szCs w:val="24"/>
        </w:rPr>
      </w:pPr>
    </w:p>
    <w:p w14:paraId="3A28AF27" w14:textId="17CB615F" w:rsidR="00984182" w:rsidRPr="004A6883" w:rsidRDefault="00F10CBC">
      <w:pPr>
        <w:rPr>
          <w:rFonts w:cstheme="minorHAnsi"/>
          <w:sz w:val="24"/>
          <w:szCs w:val="24"/>
        </w:rPr>
      </w:pPr>
      <w:r>
        <w:rPr>
          <w:rFonts w:cstheme="minorHAnsi"/>
          <w:sz w:val="24"/>
          <w:szCs w:val="24"/>
        </w:rPr>
        <w:t>The portrayal of Sparta has been a dominant image throughout the post-classical period, though it has fluctuated over time</w:t>
      </w:r>
      <w:r w:rsidR="00C438E6" w:rsidRPr="004A6883">
        <w:rPr>
          <w:rFonts w:cstheme="minorHAnsi"/>
          <w:sz w:val="24"/>
          <w:szCs w:val="24"/>
        </w:rPr>
        <w:t>.</w:t>
      </w:r>
      <w:r w:rsidR="00C438E6" w:rsidRPr="004A6883">
        <w:rPr>
          <w:rStyle w:val="FootnoteReference"/>
          <w:rFonts w:cstheme="minorHAnsi"/>
          <w:sz w:val="24"/>
          <w:szCs w:val="24"/>
        </w:rPr>
        <w:footnoteReference w:id="1"/>
      </w:r>
      <w:r w:rsidR="00FB36FC" w:rsidRPr="004A6883">
        <w:rPr>
          <w:rFonts w:cstheme="minorHAnsi"/>
          <w:sz w:val="24"/>
          <w:szCs w:val="24"/>
        </w:rPr>
        <w:t xml:space="preserve"> Depending on the time and society involved, the image of the Spartans has been portrayed as both negative and positive.</w:t>
      </w:r>
      <w:r w:rsidR="00FB36FC" w:rsidRPr="004A6883">
        <w:rPr>
          <w:rStyle w:val="FootnoteReference"/>
          <w:rFonts w:cstheme="minorHAnsi"/>
          <w:sz w:val="24"/>
          <w:szCs w:val="24"/>
        </w:rPr>
        <w:footnoteReference w:id="2"/>
      </w:r>
      <w:r w:rsidR="00FB36FC" w:rsidRPr="004A6883">
        <w:rPr>
          <w:rFonts w:cstheme="minorHAnsi"/>
          <w:sz w:val="24"/>
          <w:szCs w:val="24"/>
        </w:rPr>
        <w:t xml:space="preserve"> Plutarch—one of our best sources for Sparta’s ancient history—has had a </w:t>
      </w:r>
      <w:r w:rsidR="00930AC0">
        <w:rPr>
          <w:rFonts w:cstheme="minorHAnsi"/>
          <w:sz w:val="24"/>
          <w:szCs w:val="24"/>
        </w:rPr>
        <w:t>significant</w:t>
      </w:r>
      <w:r w:rsidR="00FB36FC" w:rsidRPr="004A6883">
        <w:rPr>
          <w:rFonts w:cstheme="minorHAnsi"/>
          <w:sz w:val="24"/>
          <w:szCs w:val="24"/>
        </w:rPr>
        <w:t xml:space="preserve"> impact on these images of Sparta, often known as the </w:t>
      </w:r>
      <w:r w:rsidR="00930AC0">
        <w:rPr>
          <w:rFonts w:cstheme="minorHAnsi"/>
          <w:sz w:val="24"/>
          <w:szCs w:val="24"/>
        </w:rPr>
        <w:t>‘</w:t>
      </w:r>
      <w:r w:rsidR="00FB36FC" w:rsidRPr="004A6883">
        <w:rPr>
          <w:rFonts w:cstheme="minorHAnsi"/>
          <w:sz w:val="24"/>
          <w:szCs w:val="24"/>
        </w:rPr>
        <w:t>Spartan mirage</w:t>
      </w:r>
      <w:r w:rsidR="00930AC0">
        <w:rPr>
          <w:rFonts w:cstheme="minorHAnsi"/>
          <w:sz w:val="24"/>
          <w:szCs w:val="24"/>
        </w:rPr>
        <w:t>’;</w:t>
      </w:r>
      <w:r w:rsidR="00FB36FC" w:rsidRPr="004A6883">
        <w:rPr>
          <w:rFonts w:cstheme="minorHAnsi"/>
          <w:sz w:val="24"/>
          <w:szCs w:val="24"/>
        </w:rPr>
        <w:t xml:space="preserve"> </w:t>
      </w:r>
      <w:r w:rsidR="009F0EC2" w:rsidRPr="004A6883">
        <w:rPr>
          <w:rFonts w:cstheme="minorHAnsi"/>
          <w:sz w:val="24"/>
          <w:szCs w:val="24"/>
        </w:rPr>
        <w:t>The image of Sparta to notable historians is often influenced with Plutarch’s viewpoint.</w:t>
      </w:r>
      <w:r w:rsidR="009F0EC2" w:rsidRPr="004A6883">
        <w:rPr>
          <w:rStyle w:val="FootnoteReference"/>
          <w:rFonts w:cstheme="minorHAnsi"/>
          <w:sz w:val="24"/>
          <w:szCs w:val="24"/>
        </w:rPr>
        <w:footnoteReference w:id="3"/>
      </w:r>
      <w:r w:rsidR="009F0EC2" w:rsidRPr="004A6883">
        <w:rPr>
          <w:rFonts w:cstheme="minorHAnsi"/>
          <w:sz w:val="24"/>
          <w:szCs w:val="24"/>
        </w:rPr>
        <w:t xml:space="preserve"> However, this is an important topic because Plutarch not only had an impact on this mirage, as he was also influenced by it, writing in the 1</w:t>
      </w:r>
      <w:r w:rsidR="009F0EC2" w:rsidRPr="004A6883">
        <w:rPr>
          <w:rFonts w:cstheme="minorHAnsi"/>
          <w:sz w:val="24"/>
          <w:szCs w:val="24"/>
          <w:vertAlign w:val="superscript"/>
        </w:rPr>
        <w:t>st</w:t>
      </w:r>
      <w:r w:rsidR="009F0EC2" w:rsidRPr="004A6883">
        <w:rPr>
          <w:rFonts w:cstheme="minorHAnsi"/>
          <w:sz w:val="24"/>
          <w:szCs w:val="24"/>
        </w:rPr>
        <w:t xml:space="preserve"> century CE, and drawing heavily upon Xenophon and Aristotle.</w:t>
      </w:r>
      <w:r w:rsidR="009F0EC2" w:rsidRPr="004A6883">
        <w:rPr>
          <w:rStyle w:val="FootnoteReference"/>
          <w:rFonts w:cstheme="minorHAnsi"/>
          <w:sz w:val="24"/>
          <w:szCs w:val="24"/>
        </w:rPr>
        <w:footnoteReference w:id="4"/>
      </w:r>
      <w:r w:rsidR="009F0EC2" w:rsidRPr="004A6883">
        <w:rPr>
          <w:rFonts w:cstheme="minorHAnsi"/>
          <w:sz w:val="24"/>
          <w:szCs w:val="24"/>
        </w:rPr>
        <w:t xml:space="preserve"> This means Plutarch will have seen Sparta through the perceptions of these other writers, and therefore it is crucial to understand the complex relationship between Plutarch’s writings and the mirage. </w:t>
      </w:r>
      <w:r w:rsidR="005D2AAB" w:rsidRPr="004A6883">
        <w:rPr>
          <w:rFonts w:cstheme="minorHAnsi"/>
          <w:sz w:val="24"/>
          <w:szCs w:val="24"/>
        </w:rPr>
        <w:t xml:space="preserve">The aim of this essay is to evaluate how, and conclude that Sparta’s mirage heavily influenced the writings of Plutarch, and that this, in turn changed and adapted the mirage for modern readers. </w:t>
      </w:r>
      <w:r w:rsidR="009F0EC2" w:rsidRPr="004A6883">
        <w:rPr>
          <w:rFonts w:cstheme="minorHAnsi"/>
          <w:sz w:val="24"/>
          <w:szCs w:val="24"/>
        </w:rPr>
        <w:t>This essay therefore</w:t>
      </w:r>
      <w:r w:rsidR="008E30BA">
        <w:rPr>
          <w:rFonts w:cstheme="minorHAnsi"/>
          <w:sz w:val="24"/>
          <w:szCs w:val="24"/>
        </w:rPr>
        <w:t xml:space="preserve"> critically assesses key elements of the Spartan mirage, how Plutarch was affected by the mirage, and how he affected the modern mirage in relation to each element</w:t>
      </w:r>
      <w:r w:rsidR="009F0EC2" w:rsidRPr="004A6883">
        <w:rPr>
          <w:rFonts w:cstheme="minorHAnsi"/>
          <w:sz w:val="24"/>
          <w:szCs w:val="24"/>
        </w:rPr>
        <w:t>.</w:t>
      </w:r>
      <w:r w:rsidR="004A6883">
        <w:rPr>
          <w:rFonts w:cstheme="minorHAnsi"/>
          <w:sz w:val="24"/>
          <w:szCs w:val="24"/>
        </w:rPr>
        <w:t xml:space="preserve"> Before addressing these notions however, it is imperative to first look upon the historiography of Plutarch’s writings.</w:t>
      </w:r>
    </w:p>
    <w:p w14:paraId="7A93239F" w14:textId="4DBB4E04" w:rsidR="004A6883" w:rsidRDefault="004A6883" w:rsidP="004A6883">
      <w:pPr>
        <w:rPr>
          <w:rFonts w:cstheme="minorHAnsi"/>
          <w:sz w:val="24"/>
          <w:szCs w:val="24"/>
        </w:rPr>
      </w:pPr>
      <w:r>
        <w:rPr>
          <w:rFonts w:cstheme="minorHAnsi"/>
          <w:sz w:val="24"/>
          <w:szCs w:val="24"/>
        </w:rPr>
        <w:t>Unfortunately, crucial works by Plutarch that could afford us with valuable information about Sparta are lost in time.</w:t>
      </w:r>
      <w:r>
        <w:rPr>
          <w:rStyle w:val="FootnoteReference"/>
          <w:rFonts w:cstheme="minorHAnsi"/>
          <w:sz w:val="24"/>
          <w:szCs w:val="24"/>
        </w:rPr>
        <w:footnoteReference w:id="5"/>
      </w:r>
      <w:r>
        <w:rPr>
          <w:rFonts w:cstheme="minorHAnsi"/>
          <w:sz w:val="24"/>
          <w:szCs w:val="24"/>
        </w:rPr>
        <w:t xml:space="preserve"> </w:t>
      </w:r>
      <w:r w:rsidR="004450D5">
        <w:rPr>
          <w:rFonts w:cstheme="minorHAnsi"/>
          <w:sz w:val="24"/>
          <w:szCs w:val="24"/>
        </w:rPr>
        <w:t xml:space="preserve">A large body of work preserved, the </w:t>
      </w:r>
      <w:r w:rsidR="004450D5" w:rsidRPr="004450D5">
        <w:rPr>
          <w:rFonts w:cstheme="minorHAnsi"/>
          <w:i/>
          <w:sz w:val="24"/>
          <w:szCs w:val="24"/>
        </w:rPr>
        <w:t>Parallel lives</w:t>
      </w:r>
      <w:r w:rsidR="004450D5">
        <w:rPr>
          <w:rFonts w:cstheme="minorHAnsi"/>
          <w:sz w:val="24"/>
          <w:szCs w:val="24"/>
        </w:rPr>
        <w:t>, uses many sources—other than just Xenophon and Aristotle—and features many important Spartans.</w:t>
      </w:r>
      <w:r w:rsidR="004450D5">
        <w:rPr>
          <w:rStyle w:val="FootnoteReference"/>
          <w:rFonts w:cstheme="minorHAnsi"/>
          <w:sz w:val="24"/>
          <w:szCs w:val="24"/>
        </w:rPr>
        <w:footnoteReference w:id="6"/>
      </w:r>
      <w:r w:rsidR="00200EE2">
        <w:rPr>
          <w:rFonts w:cstheme="minorHAnsi"/>
          <w:sz w:val="24"/>
          <w:szCs w:val="24"/>
        </w:rPr>
        <w:t xml:space="preserve"> Plutarch’s source Xenophon looked favourably upon the Spartan institutions, and therefore this element of the mirage would have influenced Plutarch’s opinion on specific aspects of Sparta.</w:t>
      </w:r>
      <w:r w:rsidR="00200EE2">
        <w:rPr>
          <w:rStyle w:val="FootnoteReference"/>
          <w:rFonts w:cstheme="minorHAnsi"/>
          <w:sz w:val="24"/>
          <w:szCs w:val="24"/>
        </w:rPr>
        <w:footnoteReference w:id="7"/>
      </w:r>
      <w:r w:rsidR="004450D5">
        <w:rPr>
          <w:rFonts w:cstheme="minorHAnsi"/>
          <w:sz w:val="24"/>
          <w:szCs w:val="24"/>
        </w:rPr>
        <w:t xml:space="preserve"> </w:t>
      </w:r>
      <w:r w:rsidRPr="004A6883">
        <w:rPr>
          <w:rFonts w:cstheme="minorHAnsi"/>
          <w:sz w:val="24"/>
          <w:szCs w:val="24"/>
        </w:rPr>
        <w:t>Plutarch’s general opinions on both Greece</w:t>
      </w:r>
      <w:r w:rsidR="00A004D3">
        <w:rPr>
          <w:rFonts w:cstheme="minorHAnsi"/>
          <w:sz w:val="24"/>
          <w:szCs w:val="24"/>
        </w:rPr>
        <w:t>,</w:t>
      </w:r>
      <w:r w:rsidRPr="004A6883">
        <w:rPr>
          <w:rFonts w:cstheme="minorHAnsi"/>
          <w:sz w:val="24"/>
          <w:szCs w:val="24"/>
        </w:rPr>
        <w:t xml:space="preserve"> and Rome were positive, as Plutarch favourably talks about the Roman occupiers of Greece, and the Greeks themselves.</w:t>
      </w:r>
      <w:r w:rsidRPr="004A6883">
        <w:rPr>
          <w:rStyle w:val="FootnoteReference"/>
          <w:rFonts w:cstheme="minorHAnsi"/>
          <w:sz w:val="24"/>
          <w:szCs w:val="24"/>
        </w:rPr>
        <w:footnoteReference w:id="8"/>
      </w:r>
      <w:r w:rsidRPr="004A6883">
        <w:rPr>
          <w:rFonts w:cstheme="minorHAnsi"/>
          <w:sz w:val="24"/>
          <w:szCs w:val="24"/>
        </w:rPr>
        <w:t xml:space="preserve"> </w:t>
      </w:r>
      <w:r w:rsidR="00A004D3">
        <w:rPr>
          <w:rFonts w:cstheme="minorHAnsi"/>
          <w:sz w:val="24"/>
          <w:szCs w:val="24"/>
        </w:rPr>
        <w:t xml:space="preserve">Plutarch </w:t>
      </w:r>
      <w:r w:rsidR="00B06AAA">
        <w:rPr>
          <w:rFonts w:cstheme="minorHAnsi"/>
          <w:sz w:val="24"/>
          <w:szCs w:val="24"/>
        </w:rPr>
        <w:t>visited the city and its archive to inform his research, demonstrating a desire for historical accuracy, and a personal interest in Spartan history</w:t>
      </w:r>
      <w:r w:rsidR="00A004D3">
        <w:rPr>
          <w:rFonts w:cstheme="minorHAnsi"/>
          <w:sz w:val="24"/>
          <w:szCs w:val="24"/>
        </w:rPr>
        <w:t>.</w:t>
      </w:r>
      <w:r w:rsidR="00A004D3">
        <w:rPr>
          <w:rStyle w:val="FootnoteReference"/>
          <w:rFonts w:cstheme="minorHAnsi"/>
          <w:sz w:val="24"/>
          <w:szCs w:val="24"/>
        </w:rPr>
        <w:footnoteReference w:id="9"/>
      </w:r>
      <w:r w:rsidR="00A004D3">
        <w:rPr>
          <w:rFonts w:cstheme="minorHAnsi"/>
          <w:sz w:val="24"/>
          <w:szCs w:val="24"/>
        </w:rPr>
        <w:t xml:space="preserve"> </w:t>
      </w:r>
      <w:r w:rsidR="004450D5">
        <w:rPr>
          <w:rFonts w:cstheme="minorHAnsi"/>
          <w:sz w:val="24"/>
          <w:szCs w:val="24"/>
        </w:rPr>
        <w:t>This would therefore suggest that Plutarch would write impartially concerning the Spartans. However, Plutarch</w:t>
      </w:r>
      <w:r w:rsidR="00704C3D">
        <w:rPr>
          <w:rFonts w:cstheme="minorHAnsi"/>
          <w:sz w:val="24"/>
          <w:szCs w:val="24"/>
        </w:rPr>
        <w:t xml:space="preserve"> famously as a biographer used his characters to educate the reader on morality.</w:t>
      </w:r>
      <w:r w:rsidR="00A004D3">
        <w:rPr>
          <w:rStyle w:val="FootnoteReference"/>
          <w:rFonts w:cstheme="minorHAnsi"/>
          <w:sz w:val="24"/>
          <w:szCs w:val="24"/>
        </w:rPr>
        <w:footnoteReference w:id="10"/>
      </w:r>
      <w:r w:rsidR="00704C3D">
        <w:rPr>
          <w:rFonts w:cstheme="minorHAnsi"/>
          <w:sz w:val="24"/>
          <w:szCs w:val="24"/>
        </w:rPr>
        <w:t xml:space="preserve"> This causes Plutarch’s narrative to focus on the shared traits of the two figures Plutarch is contrasting in </w:t>
      </w:r>
      <w:r w:rsidR="00704C3D">
        <w:rPr>
          <w:rFonts w:cstheme="minorHAnsi"/>
          <w:sz w:val="24"/>
          <w:szCs w:val="24"/>
        </w:rPr>
        <w:lastRenderedPageBreak/>
        <w:t>each pair of lives, making both positive and negative traits stand out in the narrative, and possibly affecting the accuracy of the account.</w:t>
      </w:r>
      <w:r w:rsidR="00704C3D">
        <w:rPr>
          <w:rStyle w:val="FootnoteReference"/>
          <w:rFonts w:cstheme="minorHAnsi"/>
          <w:sz w:val="24"/>
          <w:szCs w:val="24"/>
        </w:rPr>
        <w:footnoteReference w:id="11"/>
      </w:r>
    </w:p>
    <w:p w14:paraId="363635C9" w14:textId="1318814E" w:rsidR="00435E2E" w:rsidRDefault="00435E2E" w:rsidP="004A6883">
      <w:pPr>
        <w:rPr>
          <w:rFonts w:cstheme="minorHAnsi"/>
          <w:sz w:val="24"/>
          <w:szCs w:val="24"/>
        </w:rPr>
      </w:pPr>
      <w:r>
        <w:rPr>
          <w:rFonts w:cstheme="minorHAnsi"/>
          <w:sz w:val="24"/>
          <w:szCs w:val="24"/>
        </w:rPr>
        <w:t xml:space="preserve">The first key element examined is the </w:t>
      </w:r>
      <w:r w:rsidRPr="00435E2E">
        <w:rPr>
          <w:rFonts w:cstheme="minorHAnsi"/>
          <w:sz w:val="24"/>
          <w:szCs w:val="24"/>
        </w:rPr>
        <w:t>agoge</w:t>
      </w:r>
      <w:r w:rsidR="00400465">
        <w:rPr>
          <w:rFonts w:cstheme="minorHAnsi"/>
          <w:sz w:val="24"/>
          <w:szCs w:val="24"/>
        </w:rPr>
        <w:t>, and the Spartan values of physical prowess</w:t>
      </w:r>
      <w:r>
        <w:rPr>
          <w:rFonts w:cstheme="minorHAnsi"/>
          <w:sz w:val="24"/>
          <w:szCs w:val="24"/>
        </w:rPr>
        <w:t xml:space="preserve">. Plutarch’s experience at Sparta is clear in his harsh retelling of the </w:t>
      </w:r>
      <w:r w:rsidRPr="00435E2E">
        <w:rPr>
          <w:rFonts w:cstheme="minorHAnsi"/>
          <w:sz w:val="24"/>
          <w:szCs w:val="24"/>
        </w:rPr>
        <w:t>agoge</w:t>
      </w:r>
      <w:r>
        <w:rPr>
          <w:rFonts w:cstheme="minorHAnsi"/>
          <w:sz w:val="24"/>
          <w:szCs w:val="24"/>
        </w:rPr>
        <w:t xml:space="preserve"> and treatment of the youth in Sparta.</w:t>
      </w:r>
      <w:r>
        <w:rPr>
          <w:rStyle w:val="FootnoteReference"/>
          <w:rFonts w:cstheme="minorHAnsi"/>
          <w:sz w:val="24"/>
          <w:szCs w:val="24"/>
        </w:rPr>
        <w:footnoteReference w:id="12"/>
      </w:r>
      <w:r>
        <w:rPr>
          <w:rFonts w:cstheme="minorHAnsi"/>
          <w:sz w:val="24"/>
          <w:szCs w:val="24"/>
        </w:rPr>
        <w:t xml:space="preserve"> </w:t>
      </w:r>
      <w:r w:rsidR="00E978BE">
        <w:rPr>
          <w:rFonts w:cstheme="minorHAnsi"/>
          <w:sz w:val="24"/>
          <w:szCs w:val="24"/>
        </w:rPr>
        <w:t>Plutarch describes the brutal treatment of the child population in Sparta, as the children were not permitted to be embraced, as it was seen as a bad sign of affection.</w:t>
      </w:r>
      <w:r w:rsidR="00E978BE">
        <w:rPr>
          <w:rStyle w:val="FootnoteReference"/>
          <w:rFonts w:cstheme="minorHAnsi"/>
          <w:sz w:val="24"/>
          <w:szCs w:val="24"/>
        </w:rPr>
        <w:footnoteReference w:id="13"/>
      </w:r>
      <w:r w:rsidR="00E978BE">
        <w:rPr>
          <w:rFonts w:cstheme="minorHAnsi"/>
          <w:sz w:val="24"/>
          <w:szCs w:val="24"/>
        </w:rPr>
        <w:t xml:space="preserve"> Plutarch’s accounts of the </w:t>
      </w:r>
      <w:r w:rsidR="00B677CA">
        <w:rPr>
          <w:rFonts w:cstheme="minorHAnsi"/>
          <w:sz w:val="24"/>
          <w:szCs w:val="24"/>
        </w:rPr>
        <w:t>agoge do however, show that it has benefits, such as that it trains the children to be obedient.</w:t>
      </w:r>
      <w:r w:rsidR="00B677CA">
        <w:rPr>
          <w:rStyle w:val="FootnoteReference"/>
          <w:rFonts w:cstheme="minorHAnsi"/>
          <w:sz w:val="24"/>
          <w:szCs w:val="24"/>
        </w:rPr>
        <w:footnoteReference w:id="14"/>
      </w:r>
      <w:r w:rsidR="00B677CA">
        <w:rPr>
          <w:rFonts w:cstheme="minorHAnsi"/>
          <w:sz w:val="24"/>
          <w:szCs w:val="24"/>
        </w:rPr>
        <w:t xml:space="preserve"> Cartledge claims that both Xenophon and Plutarch view the agoge through the mirage.</w:t>
      </w:r>
      <w:r w:rsidR="00B677CA">
        <w:rPr>
          <w:rStyle w:val="FootnoteReference"/>
          <w:rFonts w:cstheme="minorHAnsi"/>
          <w:sz w:val="24"/>
          <w:szCs w:val="24"/>
        </w:rPr>
        <w:footnoteReference w:id="15"/>
      </w:r>
      <w:r w:rsidR="00B152F6">
        <w:rPr>
          <w:rFonts w:cstheme="minorHAnsi"/>
          <w:sz w:val="24"/>
          <w:szCs w:val="24"/>
        </w:rPr>
        <w:t xml:space="preserve"> </w:t>
      </w:r>
      <w:r w:rsidR="00B06AAA">
        <w:rPr>
          <w:rFonts w:cstheme="minorHAnsi"/>
          <w:sz w:val="24"/>
          <w:szCs w:val="24"/>
        </w:rPr>
        <w:t>Cartledge’s statement shows a false equivalency insofar as while</w:t>
      </w:r>
      <w:r w:rsidR="00B152F6">
        <w:rPr>
          <w:rFonts w:cstheme="minorHAnsi"/>
          <w:sz w:val="24"/>
          <w:szCs w:val="24"/>
        </w:rPr>
        <w:t xml:space="preserve"> it is true that Plutarch would have seen the agoge in the Roman period, </w:t>
      </w:r>
      <w:r w:rsidR="00282998">
        <w:rPr>
          <w:rFonts w:cstheme="minorHAnsi"/>
          <w:sz w:val="24"/>
          <w:szCs w:val="24"/>
        </w:rPr>
        <w:t>Xenophon’s own sons went through the agoge, so it is likely Xenophon had considerable insight from his own family and experience.</w:t>
      </w:r>
      <w:r w:rsidR="00282998">
        <w:rPr>
          <w:rStyle w:val="FootnoteReference"/>
          <w:rFonts w:cstheme="minorHAnsi"/>
          <w:sz w:val="24"/>
          <w:szCs w:val="24"/>
        </w:rPr>
        <w:footnoteReference w:id="16"/>
      </w:r>
      <w:r w:rsidR="00B35087">
        <w:rPr>
          <w:rFonts w:cstheme="minorHAnsi"/>
          <w:sz w:val="24"/>
          <w:szCs w:val="24"/>
        </w:rPr>
        <w:t xml:space="preserve"> While Xenophon may be influenced by the mirage, as an outsider, Plutarch was viewing the ‘restored’ Sparta, operating as a tourism sight for Roman visitors.</w:t>
      </w:r>
      <w:r w:rsidR="00B35087">
        <w:rPr>
          <w:rStyle w:val="FootnoteReference"/>
          <w:rFonts w:cstheme="minorHAnsi"/>
          <w:sz w:val="24"/>
          <w:szCs w:val="24"/>
        </w:rPr>
        <w:footnoteReference w:id="17"/>
      </w:r>
      <w:r w:rsidR="004F43EE">
        <w:rPr>
          <w:rFonts w:cstheme="minorHAnsi"/>
          <w:sz w:val="24"/>
          <w:szCs w:val="24"/>
        </w:rPr>
        <w:t xml:space="preserve"> This vision of Sparta was used by the people of the polis to regain wealth and celebrate their past, but probably was very dissimilar to the agoge or the traditions of the </w:t>
      </w:r>
      <w:r w:rsidR="001776B9">
        <w:rPr>
          <w:rFonts w:cstheme="minorHAnsi"/>
          <w:sz w:val="24"/>
          <w:szCs w:val="24"/>
        </w:rPr>
        <w:t>4</w:t>
      </w:r>
      <w:r w:rsidR="001776B9" w:rsidRPr="001776B9">
        <w:rPr>
          <w:rFonts w:cstheme="minorHAnsi"/>
          <w:sz w:val="24"/>
          <w:szCs w:val="24"/>
          <w:vertAlign w:val="superscript"/>
        </w:rPr>
        <w:t>th</w:t>
      </w:r>
      <w:r w:rsidR="001776B9">
        <w:rPr>
          <w:rFonts w:cstheme="minorHAnsi"/>
          <w:sz w:val="24"/>
          <w:szCs w:val="24"/>
        </w:rPr>
        <w:t xml:space="preserve"> and 3</w:t>
      </w:r>
      <w:r w:rsidR="001776B9" w:rsidRPr="001776B9">
        <w:rPr>
          <w:rFonts w:cstheme="minorHAnsi"/>
          <w:sz w:val="24"/>
          <w:szCs w:val="24"/>
          <w:vertAlign w:val="superscript"/>
        </w:rPr>
        <w:t>rd</w:t>
      </w:r>
      <w:r w:rsidR="001776B9">
        <w:rPr>
          <w:rFonts w:cstheme="minorHAnsi"/>
          <w:sz w:val="24"/>
          <w:szCs w:val="24"/>
        </w:rPr>
        <w:t xml:space="preserve"> centuries, with Sparta having lost the helots and the </w:t>
      </w:r>
      <w:proofErr w:type="spellStart"/>
      <w:r w:rsidR="001776B9">
        <w:rPr>
          <w:rFonts w:cstheme="minorHAnsi"/>
          <w:sz w:val="24"/>
          <w:szCs w:val="24"/>
        </w:rPr>
        <w:t>perioikoi</w:t>
      </w:r>
      <w:proofErr w:type="spellEnd"/>
      <w:r w:rsidR="001776B9">
        <w:rPr>
          <w:rFonts w:cstheme="minorHAnsi"/>
          <w:sz w:val="24"/>
          <w:szCs w:val="24"/>
        </w:rPr>
        <w:t xml:space="preserve"> many years before Plutarch’s visits.</w:t>
      </w:r>
      <w:r w:rsidR="001776B9">
        <w:rPr>
          <w:rStyle w:val="FootnoteReference"/>
          <w:rFonts w:cstheme="minorHAnsi"/>
          <w:sz w:val="24"/>
          <w:szCs w:val="24"/>
        </w:rPr>
        <w:footnoteReference w:id="18"/>
      </w:r>
      <w:r w:rsidR="001776B9">
        <w:rPr>
          <w:rFonts w:cstheme="minorHAnsi"/>
          <w:sz w:val="24"/>
          <w:szCs w:val="24"/>
        </w:rPr>
        <w:t xml:space="preserve"> Perhaps even more powerful than </w:t>
      </w:r>
      <w:r w:rsidR="00650391">
        <w:rPr>
          <w:rFonts w:cstheme="minorHAnsi"/>
          <w:sz w:val="24"/>
          <w:szCs w:val="24"/>
        </w:rPr>
        <w:t xml:space="preserve">any modern </w:t>
      </w:r>
      <w:r w:rsidR="001776B9">
        <w:rPr>
          <w:rFonts w:cstheme="minorHAnsi"/>
          <w:sz w:val="24"/>
          <w:szCs w:val="24"/>
        </w:rPr>
        <w:t>literary image of Sparta, Plutarch’s visits must have had a great effect on his ideas of Sparta, which in turn would reflect the mirage of Sparta to any reader of his later works.</w:t>
      </w:r>
      <w:r w:rsidR="001776B9">
        <w:rPr>
          <w:rStyle w:val="FootnoteReference"/>
          <w:rFonts w:cstheme="minorHAnsi"/>
          <w:sz w:val="24"/>
          <w:szCs w:val="24"/>
        </w:rPr>
        <w:footnoteReference w:id="19"/>
      </w:r>
      <w:r w:rsidR="00CD1753">
        <w:rPr>
          <w:rFonts w:cstheme="minorHAnsi"/>
          <w:sz w:val="24"/>
          <w:szCs w:val="24"/>
        </w:rPr>
        <w:t xml:space="preserve"> Plutarch shows us that the Spartans valued ferocity and the physicality of a warrior.</w:t>
      </w:r>
      <w:r w:rsidR="00CD1753">
        <w:rPr>
          <w:rStyle w:val="FootnoteReference"/>
          <w:rFonts w:cstheme="minorHAnsi"/>
          <w:sz w:val="24"/>
          <w:szCs w:val="24"/>
        </w:rPr>
        <w:footnoteReference w:id="20"/>
      </w:r>
      <w:r w:rsidR="00CD1753">
        <w:rPr>
          <w:rFonts w:cstheme="minorHAnsi"/>
          <w:sz w:val="24"/>
          <w:szCs w:val="24"/>
        </w:rPr>
        <w:t xml:space="preserve"> </w:t>
      </w:r>
      <w:r w:rsidR="002F08F9">
        <w:rPr>
          <w:rFonts w:cstheme="minorHAnsi"/>
          <w:sz w:val="24"/>
          <w:szCs w:val="24"/>
        </w:rPr>
        <w:t>This emphasis that the Spartan’s had on physical prowess is a typical association that Plutarch draws upon.</w:t>
      </w:r>
      <w:r w:rsidR="002F08F9">
        <w:rPr>
          <w:rStyle w:val="FootnoteReference"/>
          <w:rFonts w:cstheme="minorHAnsi"/>
          <w:sz w:val="24"/>
          <w:szCs w:val="24"/>
        </w:rPr>
        <w:footnoteReference w:id="21"/>
      </w:r>
      <w:r w:rsidR="002F08F9">
        <w:rPr>
          <w:rFonts w:cstheme="minorHAnsi"/>
          <w:sz w:val="24"/>
          <w:szCs w:val="24"/>
        </w:rPr>
        <w:t xml:space="preserve"> </w:t>
      </w:r>
      <w:r w:rsidR="003F32B1">
        <w:rPr>
          <w:rFonts w:cstheme="minorHAnsi"/>
          <w:sz w:val="24"/>
          <w:szCs w:val="24"/>
        </w:rPr>
        <w:t xml:space="preserve">The Spartan mirage in modern thought </w:t>
      </w:r>
      <w:r w:rsidR="00400465">
        <w:rPr>
          <w:rFonts w:cstheme="minorHAnsi"/>
          <w:sz w:val="24"/>
          <w:szCs w:val="24"/>
        </w:rPr>
        <w:t>has similar elements, showing that it could be taken from Plutarch’s work, due to his prominence.</w:t>
      </w:r>
      <w:r w:rsidR="00400465">
        <w:rPr>
          <w:rStyle w:val="FootnoteReference"/>
          <w:rFonts w:cstheme="minorHAnsi"/>
          <w:sz w:val="24"/>
          <w:szCs w:val="24"/>
        </w:rPr>
        <w:footnoteReference w:id="22"/>
      </w:r>
    </w:p>
    <w:p w14:paraId="139977D5" w14:textId="0C8914DA" w:rsidR="00D84839" w:rsidRDefault="00A46784" w:rsidP="004A6883">
      <w:pPr>
        <w:rPr>
          <w:rFonts w:cstheme="minorHAnsi"/>
          <w:sz w:val="24"/>
          <w:szCs w:val="24"/>
        </w:rPr>
      </w:pPr>
      <w:r>
        <w:rPr>
          <w:rFonts w:cstheme="minorHAnsi"/>
          <w:sz w:val="24"/>
          <w:szCs w:val="24"/>
        </w:rPr>
        <w:t>The second key aspect of the mirage that Plutarch is involved with is the Spartan women. Plutarch’s collection of Spartan women’s sayings is very characteristic of his idea of the mirage of Sparta. For example, Gorgo as a child is depicted as being extremely fierce and knowledgeable of foreign affairs.</w:t>
      </w:r>
      <w:r>
        <w:rPr>
          <w:rStyle w:val="FootnoteReference"/>
          <w:rFonts w:cstheme="minorHAnsi"/>
          <w:sz w:val="24"/>
          <w:szCs w:val="24"/>
        </w:rPr>
        <w:footnoteReference w:id="23"/>
      </w:r>
      <w:r w:rsidR="006440BB">
        <w:rPr>
          <w:rFonts w:cstheme="minorHAnsi"/>
          <w:sz w:val="24"/>
          <w:szCs w:val="24"/>
        </w:rPr>
        <w:t xml:space="preserve"> This recording however, does reveal that, if true, Spartans must have had anxiety concerning their own leaders susceptible to being bribed, which does not fit the mirage’s image of incorruptible Spartans who do not care for material wealth.</w:t>
      </w:r>
      <w:r w:rsidR="006440BB">
        <w:rPr>
          <w:rStyle w:val="FootnoteReference"/>
          <w:rFonts w:cstheme="minorHAnsi"/>
          <w:sz w:val="24"/>
          <w:szCs w:val="24"/>
        </w:rPr>
        <w:footnoteReference w:id="24"/>
      </w:r>
      <w:r w:rsidR="006440BB">
        <w:rPr>
          <w:rFonts w:cstheme="minorHAnsi"/>
          <w:sz w:val="24"/>
          <w:szCs w:val="24"/>
        </w:rPr>
        <w:t xml:space="preserve"> Gorgo</w:t>
      </w:r>
      <w:r>
        <w:rPr>
          <w:rFonts w:cstheme="minorHAnsi"/>
          <w:sz w:val="24"/>
          <w:szCs w:val="24"/>
        </w:rPr>
        <w:t xml:space="preserve"> is also portrayed to </w:t>
      </w:r>
      <w:r w:rsidR="00B06AAA">
        <w:rPr>
          <w:rFonts w:cstheme="minorHAnsi"/>
          <w:sz w:val="24"/>
          <w:szCs w:val="24"/>
        </w:rPr>
        <w:t>reiterate</w:t>
      </w:r>
      <w:r>
        <w:rPr>
          <w:rFonts w:cstheme="minorHAnsi"/>
          <w:sz w:val="24"/>
          <w:szCs w:val="24"/>
        </w:rPr>
        <w:t xml:space="preserve"> that the </w:t>
      </w:r>
      <w:r w:rsidR="00B06AAA">
        <w:rPr>
          <w:rFonts w:cstheme="minorHAnsi"/>
          <w:sz w:val="24"/>
          <w:szCs w:val="24"/>
        </w:rPr>
        <w:t xml:space="preserve">idea that </w:t>
      </w:r>
      <w:r>
        <w:rPr>
          <w:rFonts w:cstheme="minorHAnsi"/>
          <w:sz w:val="24"/>
          <w:szCs w:val="24"/>
        </w:rPr>
        <w:t xml:space="preserve">Spartan women believed that because they were Spartan, they were superior to foreign men, which seems to be </w:t>
      </w:r>
      <w:r>
        <w:rPr>
          <w:rFonts w:cstheme="minorHAnsi"/>
          <w:sz w:val="24"/>
          <w:szCs w:val="24"/>
        </w:rPr>
        <w:lastRenderedPageBreak/>
        <w:t>quite a bold statement for Plutarch to find it worthy of record.</w:t>
      </w:r>
      <w:r>
        <w:rPr>
          <w:rStyle w:val="FootnoteReference"/>
          <w:rFonts w:cstheme="minorHAnsi"/>
          <w:sz w:val="24"/>
          <w:szCs w:val="24"/>
        </w:rPr>
        <w:footnoteReference w:id="25"/>
      </w:r>
      <w:r>
        <w:rPr>
          <w:rFonts w:cstheme="minorHAnsi"/>
          <w:sz w:val="24"/>
          <w:szCs w:val="24"/>
        </w:rPr>
        <w:t xml:space="preserve"> Plutarch does note that women in Sparta have considerable power in the polis, while also asserting Spartan e</w:t>
      </w:r>
      <w:r w:rsidR="00B06AAA">
        <w:rPr>
          <w:rFonts w:cstheme="minorHAnsi"/>
          <w:sz w:val="24"/>
          <w:szCs w:val="24"/>
        </w:rPr>
        <w:t>xceptionalism</w:t>
      </w:r>
      <w:r>
        <w:rPr>
          <w:rFonts w:cstheme="minorHAnsi"/>
          <w:sz w:val="24"/>
          <w:szCs w:val="24"/>
        </w:rPr>
        <w:t>.</w:t>
      </w:r>
      <w:r>
        <w:rPr>
          <w:rStyle w:val="FootnoteReference"/>
          <w:rFonts w:cstheme="minorHAnsi"/>
          <w:sz w:val="24"/>
          <w:szCs w:val="24"/>
        </w:rPr>
        <w:footnoteReference w:id="26"/>
      </w:r>
      <w:r w:rsidR="006440BB">
        <w:rPr>
          <w:rFonts w:cstheme="minorHAnsi"/>
          <w:sz w:val="24"/>
          <w:szCs w:val="24"/>
        </w:rPr>
        <w:t xml:space="preserve"> Aristotle also records the ‘unusual’ importance of women in Spartan society.</w:t>
      </w:r>
      <w:r w:rsidR="006440BB">
        <w:rPr>
          <w:rStyle w:val="FootnoteReference"/>
          <w:rFonts w:cstheme="minorHAnsi"/>
          <w:sz w:val="24"/>
          <w:szCs w:val="24"/>
        </w:rPr>
        <w:footnoteReference w:id="27"/>
      </w:r>
      <w:r w:rsidR="006440BB">
        <w:rPr>
          <w:rFonts w:cstheme="minorHAnsi"/>
          <w:sz w:val="24"/>
          <w:szCs w:val="24"/>
        </w:rPr>
        <w:t xml:space="preserve"> </w:t>
      </w:r>
      <w:r w:rsidR="00816C63">
        <w:rPr>
          <w:rFonts w:cstheme="minorHAnsi"/>
          <w:sz w:val="24"/>
          <w:szCs w:val="24"/>
        </w:rPr>
        <w:t>Plutarch contributed to an element of the mirage, noting that it was disordered and the women were murderous.</w:t>
      </w:r>
      <w:r w:rsidR="00816C63">
        <w:rPr>
          <w:rStyle w:val="FootnoteReference"/>
          <w:rFonts w:cstheme="minorHAnsi"/>
          <w:sz w:val="24"/>
          <w:szCs w:val="24"/>
        </w:rPr>
        <w:footnoteReference w:id="28"/>
      </w:r>
      <w:r w:rsidR="00816C63">
        <w:rPr>
          <w:rFonts w:cstheme="minorHAnsi"/>
          <w:sz w:val="24"/>
          <w:szCs w:val="24"/>
        </w:rPr>
        <w:t xml:space="preserve"> This is typical of many other writers in ancient Greece discussing this subject, as the mirage is often seen to portray Spartan women as being strong and bold, but their influence and power is a sign of a failure in politics.</w:t>
      </w:r>
      <w:r w:rsidR="00816C63">
        <w:rPr>
          <w:rStyle w:val="FootnoteReference"/>
          <w:rFonts w:cstheme="minorHAnsi"/>
          <w:sz w:val="24"/>
          <w:szCs w:val="24"/>
        </w:rPr>
        <w:footnoteReference w:id="29"/>
      </w:r>
      <w:r w:rsidR="004111EA">
        <w:rPr>
          <w:rFonts w:cstheme="minorHAnsi"/>
          <w:sz w:val="24"/>
          <w:szCs w:val="24"/>
        </w:rPr>
        <w:t xml:space="preserve"> </w:t>
      </w:r>
      <w:r w:rsidR="00D84839">
        <w:rPr>
          <w:rFonts w:cstheme="minorHAnsi"/>
          <w:sz w:val="24"/>
          <w:szCs w:val="24"/>
        </w:rPr>
        <w:t xml:space="preserve">The image of Spartan women </w:t>
      </w:r>
      <w:r w:rsidR="00B06AAA">
        <w:rPr>
          <w:rFonts w:cstheme="minorHAnsi"/>
          <w:sz w:val="24"/>
          <w:szCs w:val="24"/>
        </w:rPr>
        <w:t>therefore,</w:t>
      </w:r>
      <w:r w:rsidR="00D84839">
        <w:rPr>
          <w:rFonts w:cstheme="minorHAnsi"/>
          <w:sz w:val="24"/>
          <w:szCs w:val="24"/>
        </w:rPr>
        <w:t xml:space="preserve"> comes across </w:t>
      </w:r>
      <w:r w:rsidR="00B06AAA">
        <w:rPr>
          <w:rFonts w:cstheme="minorHAnsi"/>
          <w:sz w:val="24"/>
          <w:szCs w:val="24"/>
        </w:rPr>
        <w:t>in these ways</w:t>
      </w:r>
      <w:r w:rsidR="00D84839">
        <w:rPr>
          <w:rFonts w:cstheme="minorHAnsi"/>
          <w:sz w:val="24"/>
          <w:szCs w:val="24"/>
        </w:rPr>
        <w:t xml:space="preserve"> to any readers of Plutarch’s work</w:t>
      </w:r>
      <w:r w:rsidR="00B06AAA">
        <w:rPr>
          <w:rFonts w:cstheme="minorHAnsi"/>
          <w:sz w:val="24"/>
          <w:szCs w:val="24"/>
        </w:rPr>
        <w:t>.</w:t>
      </w:r>
      <w:r w:rsidR="00D84839">
        <w:rPr>
          <w:rFonts w:cstheme="minorHAnsi"/>
          <w:sz w:val="24"/>
          <w:szCs w:val="24"/>
        </w:rPr>
        <w:t xml:space="preserve"> </w:t>
      </w:r>
      <w:r w:rsidR="00B06AAA">
        <w:rPr>
          <w:rFonts w:cstheme="minorHAnsi"/>
          <w:sz w:val="24"/>
          <w:szCs w:val="24"/>
        </w:rPr>
        <w:t>Plutarch even</w:t>
      </w:r>
      <w:r w:rsidR="00D84839">
        <w:rPr>
          <w:rFonts w:cstheme="minorHAnsi"/>
          <w:sz w:val="24"/>
          <w:szCs w:val="24"/>
        </w:rPr>
        <w:t xml:space="preserve"> sent </w:t>
      </w:r>
      <w:r w:rsidR="00B06AAA">
        <w:rPr>
          <w:rFonts w:cstheme="minorHAnsi"/>
          <w:sz w:val="24"/>
          <w:szCs w:val="24"/>
        </w:rPr>
        <w:t xml:space="preserve">a copy </w:t>
      </w:r>
      <w:r w:rsidR="00D84839">
        <w:rPr>
          <w:rFonts w:cstheme="minorHAnsi"/>
          <w:sz w:val="24"/>
          <w:szCs w:val="24"/>
        </w:rPr>
        <w:t>to emperor Trajan, exposing the emperor to this aspect of the mirage that Plutarch had been influenced by</w:t>
      </w:r>
      <w:r w:rsidR="00B06AAA">
        <w:rPr>
          <w:rFonts w:cstheme="minorHAnsi"/>
          <w:sz w:val="24"/>
          <w:szCs w:val="24"/>
        </w:rPr>
        <w:t>, and surely spreading this idea widely</w:t>
      </w:r>
      <w:r w:rsidR="00D84839">
        <w:rPr>
          <w:rFonts w:cstheme="minorHAnsi"/>
          <w:sz w:val="24"/>
          <w:szCs w:val="24"/>
        </w:rPr>
        <w:t>.</w:t>
      </w:r>
      <w:r w:rsidR="00D84839">
        <w:rPr>
          <w:rStyle w:val="FootnoteReference"/>
          <w:rFonts w:cstheme="minorHAnsi"/>
          <w:sz w:val="24"/>
          <w:szCs w:val="24"/>
        </w:rPr>
        <w:footnoteReference w:id="30"/>
      </w:r>
      <w:r w:rsidR="00D84839">
        <w:rPr>
          <w:rFonts w:cstheme="minorHAnsi"/>
          <w:sz w:val="24"/>
          <w:szCs w:val="24"/>
        </w:rPr>
        <w:t xml:space="preserve"> </w:t>
      </w:r>
      <w:r w:rsidR="00B06AAA">
        <w:rPr>
          <w:rFonts w:cstheme="minorHAnsi"/>
          <w:sz w:val="24"/>
          <w:szCs w:val="24"/>
        </w:rPr>
        <w:t xml:space="preserve">Also, </w:t>
      </w:r>
      <w:r w:rsidR="00E03528">
        <w:rPr>
          <w:rFonts w:cstheme="minorHAnsi"/>
          <w:sz w:val="24"/>
          <w:szCs w:val="24"/>
        </w:rPr>
        <w:t>Plutarch’s women seem to act unnaturally, being happy t</w:t>
      </w:r>
      <w:r w:rsidR="00B06AAA">
        <w:rPr>
          <w:rFonts w:cstheme="minorHAnsi"/>
          <w:sz w:val="24"/>
          <w:szCs w:val="24"/>
        </w:rPr>
        <w:t>hat their child has fallen in battle</w:t>
      </w:r>
      <w:r w:rsidR="00E03528">
        <w:rPr>
          <w:rFonts w:cstheme="minorHAnsi"/>
          <w:sz w:val="24"/>
          <w:szCs w:val="24"/>
        </w:rPr>
        <w:t>, and being sad to see their son has survived and dishonoured them.</w:t>
      </w:r>
      <w:r w:rsidR="00E03528">
        <w:rPr>
          <w:rStyle w:val="FootnoteReference"/>
          <w:rFonts w:cstheme="minorHAnsi"/>
          <w:sz w:val="24"/>
          <w:szCs w:val="24"/>
        </w:rPr>
        <w:footnoteReference w:id="31"/>
      </w:r>
      <w:r w:rsidR="00E03528">
        <w:rPr>
          <w:rFonts w:cstheme="minorHAnsi"/>
          <w:sz w:val="24"/>
          <w:szCs w:val="24"/>
        </w:rPr>
        <w:t xml:space="preserve"> This seems highly unlikely, as it is simply </w:t>
      </w:r>
      <w:r w:rsidR="00B06AAA">
        <w:rPr>
          <w:rFonts w:cstheme="minorHAnsi"/>
          <w:sz w:val="24"/>
          <w:szCs w:val="24"/>
        </w:rPr>
        <w:t xml:space="preserve">implausible </w:t>
      </w:r>
      <w:r w:rsidR="00E03528">
        <w:rPr>
          <w:rFonts w:cstheme="minorHAnsi"/>
          <w:sz w:val="24"/>
          <w:szCs w:val="24"/>
        </w:rPr>
        <w:t xml:space="preserve">for </w:t>
      </w:r>
      <w:r w:rsidR="00B06AAA">
        <w:rPr>
          <w:rFonts w:cstheme="minorHAnsi"/>
          <w:sz w:val="24"/>
          <w:szCs w:val="24"/>
        </w:rPr>
        <w:t>all</w:t>
      </w:r>
      <w:r w:rsidR="00E03528">
        <w:rPr>
          <w:rFonts w:cstheme="minorHAnsi"/>
          <w:sz w:val="24"/>
          <w:szCs w:val="24"/>
        </w:rPr>
        <w:t xml:space="preserve"> mother</w:t>
      </w:r>
      <w:r w:rsidR="00B06AAA">
        <w:rPr>
          <w:rFonts w:cstheme="minorHAnsi"/>
          <w:sz w:val="24"/>
          <w:szCs w:val="24"/>
        </w:rPr>
        <w:t>s</w:t>
      </w:r>
      <w:r w:rsidR="00E03528">
        <w:rPr>
          <w:rFonts w:cstheme="minorHAnsi"/>
          <w:sz w:val="24"/>
          <w:szCs w:val="24"/>
        </w:rPr>
        <w:t xml:space="preserve"> to be pleased to find out her son has died, and whether Plutarch believed this due to the mirage, or Plutarch added this element, is unknown</w:t>
      </w:r>
      <w:r w:rsidR="00B06AAA">
        <w:rPr>
          <w:rFonts w:cstheme="minorHAnsi"/>
          <w:sz w:val="24"/>
          <w:szCs w:val="24"/>
        </w:rPr>
        <w:t>,</w:t>
      </w:r>
      <w:r w:rsidR="00E03528">
        <w:rPr>
          <w:rFonts w:cstheme="minorHAnsi"/>
          <w:sz w:val="24"/>
          <w:szCs w:val="24"/>
        </w:rPr>
        <w:t xml:space="preserve"> a</w:t>
      </w:r>
      <w:r w:rsidR="00B4230D">
        <w:rPr>
          <w:rFonts w:cstheme="minorHAnsi"/>
          <w:sz w:val="24"/>
          <w:szCs w:val="24"/>
        </w:rPr>
        <w:t>lthough</w:t>
      </w:r>
      <w:r w:rsidR="00E03528">
        <w:rPr>
          <w:rFonts w:cstheme="minorHAnsi"/>
          <w:sz w:val="24"/>
          <w:szCs w:val="24"/>
        </w:rPr>
        <w:t xml:space="preserve"> Xenophon does mention s</w:t>
      </w:r>
      <w:r w:rsidR="00B4230D">
        <w:rPr>
          <w:rFonts w:cstheme="minorHAnsi"/>
          <w:sz w:val="24"/>
          <w:szCs w:val="24"/>
        </w:rPr>
        <w:t xml:space="preserve">imilarly </w:t>
      </w:r>
      <w:r w:rsidR="00BA4546">
        <w:rPr>
          <w:rFonts w:cstheme="minorHAnsi"/>
          <w:sz w:val="24"/>
          <w:szCs w:val="24"/>
        </w:rPr>
        <w:t>curious</w:t>
      </w:r>
      <w:r w:rsidR="00E03528">
        <w:rPr>
          <w:rFonts w:cstheme="minorHAnsi"/>
          <w:sz w:val="24"/>
          <w:szCs w:val="24"/>
        </w:rPr>
        <w:t xml:space="preserve"> reactions</w:t>
      </w:r>
      <w:r w:rsidR="00B4230D">
        <w:rPr>
          <w:rFonts w:cstheme="minorHAnsi"/>
          <w:sz w:val="24"/>
          <w:szCs w:val="24"/>
        </w:rPr>
        <w:t xml:space="preserve"> in a comparable scenario</w:t>
      </w:r>
      <w:r w:rsidR="00E03528">
        <w:rPr>
          <w:rFonts w:cstheme="minorHAnsi"/>
          <w:sz w:val="24"/>
          <w:szCs w:val="24"/>
        </w:rPr>
        <w:t>.</w:t>
      </w:r>
      <w:r w:rsidR="00E03528">
        <w:rPr>
          <w:rStyle w:val="FootnoteReference"/>
          <w:rFonts w:cstheme="minorHAnsi"/>
          <w:sz w:val="24"/>
          <w:szCs w:val="24"/>
        </w:rPr>
        <w:footnoteReference w:id="32"/>
      </w:r>
    </w:p>
    <w:p w14:paraId="17E3960B" w14:textId="01F19F4E" w:rsidR="00A46784" w:rsidRDefault="004111EA" w:rsidP="004A6883">
      <w:pPr>
        <w:rPr>
          <w:rFonts w:cstheme="minorHAnsi"/>
          <w:sz w:val="24"/>
          <w:szCs w:val="24"/>
        </w:rPr>
      </w:pPr>
      <w:r>
        <w:rPr>
          <w:rFonts w:cstheme="minorHAnsi"/>
          <w:sz w:val="24"/>
          <w:szCs w:val="24"/>
        </w:rPr>
        <w:t>Another way in which Plutarch influenced the mirage, albeit unintentionally, comes from a mistranslation of Plutarch, which stated women in religious offices could be buried with grave inscriptions.</w:t>
      </w:r>
      <w:r>
        <w:rPr>
          <w:rStyle w:val="FootnoteReference"/>
          <w:rFonts w:cstheme="minorHAnsi"/>
          <w:sz w:val="24"/>
          <w:szCs w:val="24"/>
        </w:rPr>
        <w:footnoteReference w:id="33"/>
      </w:r>
      <w:r>
        <w:rPr>
          <w:rFonts w:cstheme="minorHAnsi"/>
          <w:sz w:val="24"/>
          <w:szCs w:val="24"/>
        </w:rPr>
        <w:t xml:space="preserve"> This was translated without any reason or evidence to instead refer to women who die in childbirt</w:t>
      </w:r>
      <w:r w:rsidR="003D7E4C">
        <w:rPr>
          <w:rFonts w:cstheme="minorHAnsi"/>
          <w:sz w:val="24"/>
          <w:szCs w:val="24"/>
        </w:rPr>
        <w:t>h.</w:t>
      </w:r>
      <w:r w:rsidR="003D7E4C">
        <w:rPr>
          <w:rStyle w:val="FootnoteReference"/>
          <w:rFonts w:cstheme="minorHAnsi"/>
          <w:sz w:val="24"/>
          <w:szCs w:val="24"/>
        </w:rPr>
        <w:footnoteReference w:id="34"/>
      </w:r>
      <w:r>
        <w:rPr>
          <w:rFonts w:cstheme="minorHAnsi"/>
          <w:sz w:val="24"/>
          <w:szCs w:val="24"/>
        </w:rPr>
        <w:t xml:space="preserve"> </w:t>
      </w:r>
      <w:r w:rsidR="003D7E4C">
        <w:rPr>
          <w:rFonts w:cstheme="minorHAnsi"/>
          <w:sz w:val="24"/>
          <w:szCs w:val="24"/>
        </w:rPr>
        <w:t>This</w:t>
      </w:r>
      <w:r>
        <w:rPr>
          <w:rFonts w:cstheme="minorHAnsi"/>
          <w:sz w:val="24"/>
          <w:szCs w:val="24"/>
        </w:rPr>
        <w:t xml:space="preserve"> gave rise to </w:t>
      </w:r>
      <w:r w:rsidR="003D7E4C">
        <w:rPr>
          <w:rFonts w:cstheme="minorHAnsi"/>
          <w:sz w:val="24"/>
          <w:szCs w:val="24"/>
        </w:rPr>
        <w:t>popular ideas that Sparta positively regarded women as important,</w:t>
      </w:r>
      <w:r w:rsidR="00D84839">
        <w:rPr>
          <w:rFonts w:cstheme="minorHAnsi"/>
          <w:sz w:val="24"/>
          <w:szCs w:val="24"/>
        </w:rPr>
        <w:t xml:space="preserve"> specifically</w:t>
      </w:r>
      <w:r w:rsidR="003D7E4C">
        <w:rPr>
          <w:rFonts w:cstheme="minorHAnsi"/>
          <w:sz w:val="24"/>
          <w:szCs w:val="24"/>
        </w:rPr>
        <w:t xml:space="preserve"> due to their child-bearing nature and their importance in the home.</w:t>
      </w:r>
      <w:r w:rsidR="003D7E4C">
        <w:rPr>
          <w:rStyle w:val="FootnoteReference"/>
          <w:rFonts w:cstheme="minorHAnsi"/>
          <w:sz w:val="24"/>
          <w:szCs w:val="24"/>
        </w:rPr>
        <w:footnoteReference w:id="35"/>
      </w:r>
      <w:r w:rsidR="00554F58">
        <w:rPr>
          <w:rFonts w:cstheme="minorHAnsi"/>
          <w:sz w:val="24"/>
          <w:szCs w:val="24"/>
        </w:rPr>
        <w:t xml:space="preserve"> </w:t>
      </w:r>
    </w:p>
    <w:p w14:paraId="6A00730B" w14:textId="77CF1F2C" w:rsidR="00B4230D" w:rsidRPr="00B4230D" w:rsidRDefault="00B4230D" w:rsidP="004A6883">
      <w:pPr>
        <w:rPr>
          <w:rFonts w:cstheme="minorHAnsi"/>
          <w:sz w:val="24"/>
          <w:szCs w:val="24"/>
        </w:rPr>
      </w:pPr>
      <w:r>
        <w:rPr>
          <w:rFonts w:cstheme="minorHAnsi"/>
          <w:sz w:val="24"/>
          <w:szCs w:val="24"/>
        </w:rPr>
        <w:t xml:space="preserve">Lysander, an interesting character and the protagonist of Plutarch’s work </w:t>
      </w:r>
      <w:r>
        <w:rPr>
          <w:rFonts w:cstheme="minorHAnsi"/>
          <w:i/>
          <w:sz w:val="24"/>
          <w:szCs w:val="24"/>
        </w:rPr>
        <w:t>Lysander</w:t>
      </w:r>
      <w:r>
        <w:rPr>
          <w:rFonts w:cstheme="minorHAnsi"/>
          <w:sz w:val="24"/>
          <w:szCs w:val="24"/>
        </w:rPr>
        <w:t>, was used by Plutarch to address the notion of Spartan cunning.</w:t>
      </w:r>
      <w:r>
        <w:rPr>
          <w:rStyle w:val="FootnoteReference"/>
          <w:rFonts w:cstheme="minorHAnsi"/>
          <w:sz w:val="24"/>
          <w:szCs w:val="24"/>
        </w:rPr>
        <w:footnoteReference w:id="36"/>
      </w:r>
      <w:r>
        <w:rPr>
          <w:rFonts w:cstheme="minorHAnsi"/>
          <w:sz w:val="24"/>
          <w:szCs w:val="24"/>
        </w:rPr>
        <w:t xml:space="preserve"> </w:t>
      </w:r>
      <w:r w:rsidR="00BA4546">
        <w:rPr>
          <w:rFonts w:cstheme="minorHAnsi"/>
          <w:sz w:val="24"/>
          <w:szCs w:val="24"/>
        </w:rPr>
        <w:t>The notion of the ‘cunning Spartan’ features frequently in ancient Greek literature, contributing significantly to this aspect of the Spartan mirage</w:t>
      </w:r>
      <w:r w:rsidR="002F08F9">
        <w:rPr>
          <w:rFonts w:cstheme="minorHAnsi"/>
          <w:sz w:val="24"/>
          <w:szCs w:val="24"/>
        </w:rPr>
        <w:t>.</w:t>
      </w:r>
      <w:r w:rsidR="002F08F9">
        <w:rPr>
          <w:rStyle w:val="FootnoteReference"/>
          <w:rFonts w:cstheme="minorHAnsi"/>
          <w:sz w:val="24"/>
          <w:szCs w:val="24"/>
        </w:rPr>
        <w:footnoteReference w:id="37"/>
      </w:r>
      <w:r w:rsidR="002F08F9">
        <w:rPr>
          <w:rFonts w:cstheme="minorHAnsi"/>
          <w:sz w:val="24"/>
          <w:szCs w:val="24"/>
        </w:rPr>
        <w:t xml:space="preserve"> </w:t>
      </w:r>
      <w:r>
        <w:rPr>
          <w:rFonts w:cstheme="minorHAnsi"/>
          <w:sz w:val="24"/>
          <w:szCs w:val="24"/>
        </w:rPr>
        <w:t>Plutarch both shows how the Spartan’s had a strong sense of honour, and yet, also characters like Lysander, who openly and proudly used deceit and cunning in strategy.</w:t>
      </w:r>
      <w:r>
        <w:rPr>
          <w:rStyle w:val="FootnoteReference"/>
          <w:rFonts w:cstheme="minorHAnsi"/>
          <w:sz w:val="24"/>
          <w:szCs w:val="24"/>
        </w:rPr>
        <w:footnoteReference w:id="38"/>
      </w:r>
      <w:r>
        <w:rPr>
          <w:rFonts w:cstheme="minorHAnsi"/>
          <w:sz w:val="24"/>
          <w:szCs w:val="24"/>
        </w:rPr>
        <w:t xml:space="preserve"> Plutarch here shows the </w:t>
      </w:r>
      <w:r w:rsidR="00836FAB">
        <w:rPr>
          <w:rFonts w:cstheme="minorHAnsi"/>
          <w:sz w:val="24"/>
          <w:szCs w:val="24"/>
        </w:rPr>
        <w:t>cunning</w:t>
      </w:r>
      <w:r>
        <w:rPr>
          <w:rFonts w:cstheme="minorHAnsi"/>
          <w:sz w:val="24"/>
          <w:szCs w:val="24"/>
        </w:rPr>
        <w:t xml:space="preserve"> of Lysander’s character, </w:t>
      </w:r>
      <w:r w:rsidR="00836FAB">
        <w:rPr>
          <w:rFonts w:cstheme="minorHAnsi"/>
          <w:sz w:val="24"/>
          <w:szCs w:val="24"/>
        </w:rPr>
        <w:t xml:space="preserve">but shows disapproval of it at the same time, </w:t>
      </w:r>
      <w:r>
        <w:rPr>
          <w:rFonts w:cstheme="minorHAnsi"/>
          <w:sz w:val="24"/>
          <w:szCs w:val="24"/>
        </w:rPr>
        <w:t xml:space="preserve">which fits into </w:t>
      </w:r>
      <w:r w:rsidR="00836FAB">
        <w:rPr>
          <w:rFonts w:cstheme="minorHAnsi"/>
          <w:sz w:val="24"/>
          <w:szCs w:val="24"/>
        </w:rPr>
        <w:t>some modern perspectives of the Spartan mirage.</w:t>
      </w:r>
      <w:r w:rsidR="00836FAB">
        <w:rPr>
          <w:rStyle w:val="FootnoteReference"/>
          <w:rFonts w:cstheme="minorHAnsi"/>
          <w:sz w:val="24"/>
          <w:szCs w:val="24"/>
        </w:rPr>
        <w:footnoteReference w:id="39"/>
      </w:r>
      <w:r w:rsidR="00CD1753">
        <w:rPr>
          <w:rFonts w:cstheme="minorHAnsi"/>
          <w:sz w:val="24"/>
          <w:szCs w:val="24"/>
        </w:rPr>
        <w:t xml:space="preserve"> Some scholars </w:t>
      </w:r>
      <w:r w:rsidR="00836FAB">
        <w:rPr>
          <w:rFonts w:cstheme="minorHAnsi"/>
          <w:sz w:val="24"/>
          <w:szCs w:val="24"/>
        </w:rPr>
        <w:t>see that Lysander’s desire for powe</w:t>
      </w:r>
      <w:r w:rsidR="00BA4546">
        <w:rPr>
          <w:rFonts w:cstheme="minorHAnsi"/>
          <w:sz w:val="24"/>
          <w:szCs w:val="24"/>
        </w:rPr>
        <w:t xml:space="preserve">r is described by </w:t>
      </w:r>
      <w:r w:rsidR="00836FAB">
        <w:rPr>
          <w:rFonts w:cstheme="minorHAnsi"/>
          <w:sz w:val="24"/>
          <w:szCs w:val="24"/>
        </w:rPr>
        <w:t>Plutarch</w:t>
      </w:r>
      <w:r w:rsidR="00BA4546">
        <w:rPr>
          <w:rFonts w:cstheme="minorHAnsi"/>
          <w:sz w:val="24"/>
          <w:szCs w:val="24"/>
        </w:rPr>
        <w:t xml:space="preserve"> a</w:t>
      </w:r>
      <w:r w:rsidR="00836FAB">
        <w:rPr>
          <w:rFonts w:cstheme="minorHAnsi"/>
          <w:sz w:val="24"/>
          <w:szCs w:val="24"/>
        </w:rPr>
        <w:t xml:space="preserve">s a </w:t>
      </w:r>
      <w:r w:rsidR="00836FAB">
        <w:rPr>
          <w:rFonts w:cstheme="minorHAnsi"/>
          <w:sz w:val="24"/>
          <w:szCs w:val="24"/>
        </w:rPr>
        <w:lastRenderedPageBreak/>
        <w:t>primary cause of Sparta’s downfall</w:t>
      </w:r>
      <w:r w:rsidR="00670F9B">
        <w:rPr>
          <w:rFonts w:cstheme="minorHAnsi"/>
          <w:sz w:val="24"/>
          <w:szCs w:val="24"/>
        </w:rPr>
        <w:t>, which seems unlikely as Lysander was only one character, and did not directly cause any great losses</w:t>
      </w:r>
      <w:r w:rsidR="00836FAB">
        <w:rPr>
          <w:rFonts w:cstheme="minorHAnsi"/>
          <w:sz w:val="24"/>
          <w:szCs w:val="24"/>
        </w:rPr>
        <w:t>.</w:t>
      </w:r>
      <w:r w:rsidR="00836FAB">
        <w:rPr>
          <w:rStyle w:val="FootnoteReference"/>
          <w:rFonts w:cstheme="minorHAnsi"/>
          <w:sz w:val="24"/>
          <w:szCs w:val="24"/>
        </w:rPr>
        <w:footnoteReference w:id="40"/>
      </w:r>
    </w:p>
    <w:p w14:paraId="265891C6" w14:textId="19DEAC2B" w:rsidR="00973AF1" w:rsidRDefault="00973AF1">
      <w:pPr>
        <w:rPr>
          <w:rFonts w:cstheme="minorHAnsi"/>
          <w:sz w:val="24"/>
          <w:szCs w:val="24"/>
        </w:rPr>
      </w:pPr>
      <w:r>
        <w:rPr>
          <w:rFonts w:cstheme="minorHAnsi"/>
          <w:sz w:val="24"/>
          <w:szCs w:val="24"/>
        </w:rPr>
        <w:t>Conce</w:t>
      </w:r>
      <w:r w:rsidR="008C00A8">
        <w:rPr>
          <w:rFonts w:cstheme="minorHAnsi"/>
          <w:sz w:val="24"/>
          <w:szCs w:val="24"/>
        </w:rPr>
        <w:t>r</w:t>
      </w:r>
      <w:r>
        <w:rPr>
          <w:rFonts w:cstheme="minorHAnsi"/>
          <w:sz w:val="24"/>
          <w:szCs w:val="24"/>
        </w:rPr>
        <w:t xml:space="preserve">ning the notion of Spartan brutality, Plutarch </w:t>
      </w:r>
      <w:r w:rsidR="00BA4546">
        <w:rPr>
          <w:rFonts w:cstheme="minorHAnsi"/>
          <w:sz w:val="24"/>
          <w:szCs w:val="24"/>
        </w:rPr>
        <w:t>wrote with</w:t>
      </w:r>
      <w:r>
        <w:rPr>
          <w:rFonts w:cstheme="minorHAnsi"/>
          <w:sz w:val="24"/>
          <w:szCs w:val="24"/>
        </w:rPr>
        <w:t xml:space="preserve"> disapproval of the </w:t>
      </w:r>
      <w:proofErr w:type="spellStart"/>
      <w:r>
        <w:rPr>
          <w:rFonts w:cstheme="minorHAnsi"/>
          <w:sz w:val="24"/>
          <w:szCs w:val="24"/>
        </w:rPr>
        <w:t>Krypteia</w:t>
      </w:r>
      <w:proofErr w:type="spellEnd"/>
      <w:r>
        <w:rPr>
          <w:rFonts w:cstheme="minorHAnsi"/>
          <w:sz w:val="24"/>
          <w:szCs w:val="24"/>
        </w:rPr>
        <w:t>, a selected group of youths who were required to go and kill a helot without detection.</w:t>
      </w:r>
      <w:r>
        <w:rPr>
          <w:rStyle w:val="FootnoteReference"/>
          <w:rFonts w:cstheme="minorHAnsi"/>
          <w:sz w:val="24"/>
          <w:szCs w:val="24"/>
        </w:rPr>
        <w:footnoteReference w:id="41"/>
      </w:r>
      <w:r>
        <w:rPr>
          <w:rFonts w:cstheme="minorHAnsi"/>
          <w:sz w:val="24"/>
          <w:szCs w:val="24"/>
        </w:rPr>
        <w:t xml:space="preserve"> Plutarch criticises this notion as being of Lycurgus’ doing, as it does not promote righteousness.</w:t>
      </w:r>
      <w:r>
        <w:rPr>
          <w:rStyle w:val="FootnoteReference"/>
          <w:rFonts w:cstheme="minorHAnsi"/>
          <w:sz w:val="24"/>
          <w:szCs w:val="24"/>
        </w:rPr>
        <w:footnoteReference w:id="42"/>
      </w:r>
      <w:r>
        <w:rPr>
          <w:rFonts w:cstheme="minorHAnsi"/>
          <w:sz w:val="24"/>
          <w:szCs w:val="24"/>
        </w:rPr>
        <w:t xml:space="preserve"> This shows how Plutarch was affected by the mirage as Plutarch rejects the notion of Lycurgus’ involvement with this practice, even though Aristotle—who was present during the time of the agoge—claims it to be devised by Lycurgus.</w:t>
      </w:r>
      <w:r>
        <w:rPr>
          <w:rStyle w:val="FootnoteReference"/>
          <w:rFonts w:cstheme="minorHAnsi"/>
          <w:sz w:val="24"/>
          <w:szCs w:val="24"/>
        </w:rPr>
        <w:footnoteReference w:id="43"/>
      </w:r>
      <w:r>
        <w:rPr>
          <w:rFonts w:cstheme="minorHAnsi"/>
          <w:sz w:val="24"/>
          <w:szCs w:val="24"/>
        </w:rPr>
        <w:t xml:space="preserve"> </w:t>
      </w:r>
      <w:r w:rsidR="00422CFC">
        <w:rPr>
          <w:rFonts w:cstheme="minorHAnsi"/>
          <w:sz w:val="24"/>
          <w:szCs w:val="24"/>
        </w:rPr>
        <w:t>Plutarch clearly respects and enjoys the idea of Lycurgus, being incredibly positive about him, and the defence of Lycurgus show his inherent perspective bias that was given to him by the mirage of the potentially mythical Lycurgus.</w:t>
      </w:r>
      <w:r w:rsidR="00422CFC">
        <w:rPr>
          <w:rStyle w:val="FootnoteReference"/>
          <w:rFonts w:cstheme="minorHAnsi"/>
          <w:sz w:val="24"/>
          <w:szCs w:val="24"/>
        </w:rPr>
        <w:footnoteReference w:id="44"/>
      </w:r>
      <w:r w:rsidR="008C00A8">
        <w:rPr>
          <w:rFonts w:cstheme="minorHAnsi"/>
          <w:sz w:val="24"/>
          <w:szCs w:val="24"/>
        </w:rPr>
        <w:t xml:space="preserve"> This in turn, will have affected all those readers who use Plutarch as a source for Spartan history. Modern scholars reading this naturally question whether Lycurgus did indeed create the </w:t>
      </w:r>
      <w:proofErr w:type="spellStart"/>
      <w:r w:rsidR="008C00A8">
        <w:rPr>
          <w:rFonts w:cstheme="minorHAnsi"/>
          <w:sz w:val="24"/>
          <w:szCs w:val="24"/>
        </w:rPr>
        <w:t>Krypteia</w:t>
      </w:r>
      <w:proofErr w:type="spellEnd"/>
      <w:r w:rsidR="008C00A8">
        <w:rPr>
          <w:rFonts w:cstheme="minorHAnsi"/>
          <w:sz w:val="24"/>
          <w:szCs w:val="24"/>
        </w:rPr>
        <w:t>, and like Plutarch, will see Lycurgus as that legendary lawgiver</w:t>
      </w:r>
      <w:r w:rsidR="00BA4546">
        <w:rPr>
          <w:rFonts w:cstheme="minorHAnsi"/>
          <w:sz w:val="24"/>
          <w:szCs w:val="24"/>
        </w:rPr>
        <w:t>, reinforced by</w:t>
      </w:r>
      <w:r w:rsidR="008C00A8">
        <w:rPr>
          <w:rFonts w:cstheme="minorHAnsi"/>
          <w:sz w:val="24"/>
          <w:szCs w:val="24"/>
        </w:rPr>
        <w:t xml:space="preserve"> Plutarch.</w:t>
      </w:r>
      <w:r w:rsidR="008C00A8">
        <w:rPr>
          <w:rStyle w:val="FootnoteReference"/>
          <w:rFonts w:cstheme="minorHAnsi"/>
          <w:sz w:val="24"/>
          <w:szCs w:val="24"/>
        </w:rPr>
        <w:footnoteReference w:id="45"/>
      </w:r>
    </w:p>
    <w:p w14:paraId="753FFEBF" w14:textId="0E7F9EDA" w:rsidR="00BA1E11" w:rsidRPr="00973AF1" w:rsidRDefault="00BA1E11">
      <w:pPr>
        <w:rPr>
          <w:rFonts w:cstheme="minorHAnsi"/>
          <w:sz w:val="24"/>
          <w:szCs w:val="24"/>
        </w:rPr>
      </w:pPr>
      <w:r>
        <w:rPr>
          <w:rFonts w:cstheme="minorHAnsi"/>
          <w:sz w:val="24"/>
          <w:szCs w:val="24"/>
        </w:rPr>
        <w:t>Indeed, another element of the mirage that Plutarch propagated was the idea of the Spartan Utopia.</w:t>
      </w:r>
      <w:r>
        <w:rPr>
          <w:rStyle w:val="FootnoteReference"/>
          <w:rFonts w:cstheme="minorHAnsi"/>
          <w:sz w:val="24"/>
          <w:szCs w:val="24"/>
        </w:rPr>
        <w:footnoteReference w:id="46"/>
      </w:r>
      <w:r>
        <w:rPr>
          <w:rFonts w:cstheme="minorHAnsi"/>
          <w:sz w:val="24"/>
          <w:szCs w:val="24"/>
        </w:rPr>
        <w:t xml:space="preserve"> </w:t>
      </w:r>
      <w:r w:rsidR="00650391">
        <w:rPr>
          <w:rFonts w:cstheme="minorHAnsi"/>
          <w:sz w:val="24"/>
          <w:szCs w:val="24"/>
        </w:rPr>
        <w:t>Aristotle, one of Plutarch’s sources for Sparta, praised Sparta’s political system, and declared that many believe it to be the best constitution—a combination of democratic, monarchic, and oligarchic—for a polis to possess.</w:t>
      </w:r>
      <w:r w:rsidR="00650391">
        <w:rPr>
          <w:rStyle w:val="FootnoteReference"/>
          <w:rFonts w:cstheme="minorHAnsi"/>
          <w:sz w:val="24"/>
          <w:szCs w:val="24"/>
        </w:rPr>
        <w:footnoteReference w:id="47"/>
      </w:r>
      <w:r w:rsidR="00650391">
        <w:rPr>
          <w:rFonts w:cstheme="minorHAnsi"/>
          <w:sz w:val="24"/>
          <w:szCs w:val="24"/>
        </w:rPr>
        <w:t xml:space="preserve"> This constitution was certainly however not in place when Plutarch visited Sparta, and therefore he could see it only through the ancient sources, and their own perceptions of the mirage.</w:t>
      </w:r>
      <w:r w:rsidR="00650391">
        <w:rPr>
          <w:rStyle w:val="FootnoteReference"/>
          <w:rFonts w:cstheme="minorHAnsi"/>
          <w:sz w:val="24"/>
          <w:szCs w:val="24"/>
        </w:rPr>
        <w:footnoteReference w:id="48"/>
      </w:r>
      <w:r w:rsidR="00650391">
        <w:rPr>
          <w:rFonts w:cstheme="minorHAnsi"/>
          <w:sz w:val="24"/>
          <w:szCs w:val="24"/>
        </w:rPr>
        <w:t xml:space="preserve"> </w:t>
      </w:r>
      <w:r>
        <w:rPr>
          <w:rFonts w:cstheme="minorHAnsi"/>
          <w:sz w:val="24"/>
          <w:szCs w:val="24"/>
        </w:rPr>
        <w:t>Plutarch’s praise for Lycurgus’ creation was profound.</w:t>
      </w:r>
      <w:r>
        <w:rPr>
          <w:rStyle w:val="FootnoteReference"/>
          <w:rFonts w:cstheme="minorHAnsi"/>
          <w:sz w:val="24"/>
          <w:szCs w:val="24"/>
        </w:rPr>
        <w:footnoteReference w:id="49"/>
      </w:r>
      <w:r w:rsidR="00486ED5">
        <w:rPr>
          <w:rFonts w:cstheme="minorHAnsi"/>
          <w:sz w:val="24"/>
          <w:szCs w:val="24"/>
        </w:rPr>
        <w:t xml:space="preserve"> He praised Lycurgus’ creation of the common messes, excellent promotion of prudent virtue, and rejection of displays of wealth.</w:t>
      </w:r>
      <w:r w:rsidR="00486ED5">
        <w:rPr>
          <w:rStyle w:val="FootnoteReference"/>
          <w:rFonts w:cstheme="minorHAnsi"/>
          <w:sz w:val="24"/>
          <w:szCs w:val="24"/>
        </w:rPr>
        <w:footnoteReference w:id="50"/>
      </w:r>
      <w:r w:rsidR="00486ED5">
        <w:rPr>
          <w:rFonts w:cstheme="minorHAnsi"/>
          <w:sz w:val="24"/>
          <w:szCs w:val="24"/>
        </w:rPr>
        <w:t xml:space="preserve"> A modern historian, Rousseau, found Sparta to be a utopia, inspired undoubtedly by ancient authors such as Plutarch praising Lycurgus in such a way, yet surely ignoring the brutality of it.</w:t>
      </w:r>
      <w:r w:rsidR="00650391" w:rsidRPr="00650391">
        <w:rPr>
          <w:rStyle w:val="FootnoteReference"/>
          <w:rFonts w:cstheme="minorHAnsi"/>
          <w:sz w:val="24"/>
          <w:szCs w:val="24"/>
        </w:rPr>
        <w:t xml:space="preserve"> </w:t>
      </w:r>
      <w:r w:rsidR="00650391">
        <w:rPr>
          <w:rStyle w:val="FootnoteReference"/>
          <w:rFonts w:cstheme="minorHAnsi"/>
          <w:sz w:val="24"/>
          <w:szCs w:val="24"/>
        </w:rPr>
        <w:footnoteReference w:id="51"/>
      </w:r>
      <w:r w:rsidR="00650391">
        <w:rPr>
          <w:rFonts w:cstheme="minorHAnsi"/>
          <w:sz w:val="24"/>
          <w:szCs w:val="24"/>
        </w:rPr>
        <w:t xml:space="preserve"> This demonstrates the impact ancient authors can have upon modern thinking, as the praise Plutarch gives to Lycurgus and the Spartan system is propagated throughout modern ideas of utopian societies.</w:t>
      </w:r>
      <w:r w:rsidR="00650391">
        <w:rPr>
          <w:rStyle w:val="FootnoteReference"/>
          <w:rFonts w:cstheme="minorHAnsi"/>
          <w:sz w:val="24"/>
          <w:szCs w:val="24"/>
        </w:rPr>
        <w:footnoteReference w:id="52"/>
      </w:r>
    </w:p>
    <w:p w14:paraId="4D57AB0D" w14:textId="532A339A" w:rsidR="00315F7E" w:rsidRPr="004A6883" w:rsidRDefault="002F08F9">
      <w:pPr>
        <w:rPr>
          <w:rFonts w:cstheme="minorHAnsi"/>
          <w:sz w:val="24"/>
          <w:szCs w:val="24"/>
        </w:rPr>
      </w:pPr>
      <w:r>
        <w:rPr>
          <w:rFonts w:cstheme="minorHAnsi"/>
          <w:sz w:val="24"/>
          <w:szCs w:val="24"/>
        </w:rPr>
        <w:t>In conclusion</w:t>
      </w:r>
      <w:r w:rsidR="00B15C2B">
        <w:rPr>
          <w:rFonts w:cstheme="minorHAnsi"/>
          <w:sz w:val="24"/>
          <w:szCs w:val="24"/>
        </w:rPr>
        <w:t xml:space="preserve">, several aspects within the Spartan mirage, such as the agoge, women, </w:t>
      </w:r>
      <w:r w:rsidR="00F23E48">
        <w:rPr>
          <w:rFonts w:cstheme="minorHAnsi"/>
          <w:sz w:val="24"/>
          <w:szCs w:val="24"/>
        </w:rPr>
        <w:t>Lysander’s corruption, the brutality, and the supposedly utopian constitution, have all touched Plutarch’s writings, and imparted their influence onto future thought.</w:t>
      </w:r>
      <w:r w:rsidR="00B15C2B">
        <w:rPr>
          <w:rFonts w:cstheme="minorHAnsi"/>
          <w:sz w:val="24"/>
          <w:szCs w:val="24"/>
        </w:rPr>
        <w:t xml:space="preserve"> </w:t>
      </w:r>
      <w:r w:rsidR="00AE18F4">
        <w:rPr>
          <w:rFonts w:cstheme="minorHAnsi"/>
          <w:sz w:val="24"/>
          <w:szCs w:val="24"/>
        </w:rPr>
        <w:t xml:space="preserve"> Plutarch’s idea of Sparta that came from writings such as Aristotle’s lost work on the Spartan </w:t>
      </w:r>
      <w:r w:rsidR="00AE18F4">
        <w:rPr>
          <w:rFonts w:cstheme="minorHAnsi"/>
          <w:sz w:val="24"/>
          <w:szCs w:val="24"/>
        </w:rPr>
        <w:lastRenderedPageBreak/>
        <w:t>constitution, and his own visits to the Roman-ruled city of Sparta that was then almost exclusively a tourist attraction</w:t>
      </w:r>
      <w:r w:rsidR="00B566E4">
        <w:rPr>
          <w:rFonts w:cstheme="minorHAnsi"/>
          <w:sz w:val="24"/>
          <w:szCs w:val="24"/>
        </w:rPr>
        <w:t xml:space="preserve"> with less than a thousand Spartiates in residence</w:t>
      </w:r>
      <w:r w:rsidR="00AE18F4">
        <w:rPr>
          <w:rFonts w:cstheme="minorHAnsi"/>
          <w:sz w:val="24"/>
          <w:szCs w:val="24"/>
        </w:rPr>
        <w:t>, was simply part of the ancient Spartan mirage.</w:t>
      </w:r>
      <w:r w:rsidR="00AE18F4">
        <w:rPr>
          <w:rStyle w:val="FootnoteReference"/>
          <w:rFonts w:cstheme="minorHAnsi"/>
          <w:sz w:val="24"/>
          <w:szCs w:val="24"/>
        </w:rPr>
        <w:footnoteReference w:id="53"/>
      </w:r>
      <w:r w:rsidR="00AE18F4">
        <w:rPr>
          <w:rFonts w:cstheme="minorHAnsi"/>
          <w:sz w:val="24"/>
          <w:szCs w:val="24"/>
        </w:rPr>
        <w:t xml:space="preserve"> The impressive notion of Sparta’s political harmony is soured by the reality we see of the helot revolts </w:t>
      </w:r>
      <w:r w:rsidR="00B566E4">
        <w:rPr>
          <w:rFonts w:cstheme="minorHAnsi"/>
          <w:sz w:val="24"/>
          <w:szCs w:val="24"/>
        </w:rPr>
        <w:t>and how Sparta was crippled by instability, unable to attack Athens for fear of losing their helots.</w:t>
      </w:r>
      <w:r w:rsidR="00B566E4">
        <w:rPr>
          <w:rStyle w:val="FootnoteReference"/>
          <w:rFonts w:cstheme="minorHAnsi"/>
          <w:sz w:val="24"/>
          <w:szCs w:val="24"/>
        </w:rPr>
        <w:footnoteReference w:id="54"/>
      </w:r>
      <w:r w:rsidR="005869B5">
        <w:rPr>
          <w:rFonts w:cstheme="minorHAnsi"/>
          <w:sz w:val="24"/>
          <w:szCs w:val="24"/>
        </w:rPr>
        <w:t xml:space="preserve"> Again, Plutarch has affected the mirage for modern scholars through his experiences, which are inconsistent with other sources, and likely rely on his own examinations, in his own time period.</w:t>
      </w:r>
      <w:r w:rsidR="005869B5">
        <w:rPr>
          <w:rStyle w:val="FootnoteReference"/>
          <w:rFonts w:cstheme="minorHAnsi"/>
          <w:sz w:val="24"/>
          <w:szCs w:val="24"/>
        </w:rPr>
        <w:footnoteReference w:id="55"/>
      </w:r>
      <w:r w:rsidR="005869B5">
        <w:rPr>
          <w:rFonts w:cstheme="minorHAnsi"/>
          <w:sz w:val="24"/>
          <w:szCs w:val="24"/>
        </w:rPr>
        <w:t xml:space="preserve"> </w:t>
      </w:r>
      <w:r w:rsidR="00F23E48">
        <w:rPr>
          <w:rFonts w:cstheme="minorHAnsi"/>
          <w:sz w:val="24"/>
          <w:szCs w:val="24"/>
        </w:rPr>
        <w:t>Furthermore, h</w:t>
      </w:r>
      <w:r w:rsidR="005869B5">
        <w:rPr>
          <w:rFonts w:cstheme="minorHAnsi"/>
          <w:sz w:val="24"/>
          <w:szCs w:val="24"/>
        </w:rPr>
        <w:t>is moralistic values impede the clarity of his work, which causes further issues as modern scholars will interpret the passages differently, creating different facets to aspects of the mirage.</w:t>
      </w:r>
      <w:r w:rsidR="00F23E48">
        <w:rPr>
          <w:rStyle w:val="FootnoteReference"/>
          <w:rFonts w:cstheme="minorHAnsi"/>
          <w:sz w:val="24"/>
          <w:szCs w:val="24"/>
        </w:rPr>
        <w:footnoteReference w:id="56"/>
      </w:r>
      <w:r w:rsidR="00B15C2B">
        <w:rPr>
          <w:rFonts w:cstheme="minorHAnsi"/>
          <w:sz w:val="24"/>
          <w:szCs w:val="24"/>
        </w:rPr>
        <w:t xml:space="preserve"> Overall, Plutarch and the Spartan mirage have a complex relationship, with the mirage of Plutarch’s time influencing his work, and his work influencing the modern ideas of the Spartan mirage. </w:t>
      </w:r>
    </w:p>
    <w:p w14:paraId="2EAE53E0" w14:textId="70D47CDB" w:rsidR="00C919DD" w:rsidRPr="004A6883" w:rsidRDefault="00C919DD">
      <w:pPr>
        <w:rPr>
          <w:rFonts w:cstheme="minorHAnsi"/>
          <w:sz w:val="24"/>
          <w:szCs w:val="24"/>
        </w:rPr>
      </w:pPr>
    </w:p>
    <w:p w14:paraId="22C6DE83" w14:textId="4253124B" w:rsidR="00C919DD" w:rsidRPr="004A6883" w:rsidRDefault="00C919DD">
      <w:pPr>
        <w:rPr>
          <w:rFonts w:cstheme="minorHAnsi"/>
          <w:sz w:val="24"/>
          <w:szCs w:val="24"/>
        </w:rPr>
      </w:pPr>
    </w:p>
    <w:p w14:paraId="2E76A5BA" w14:textId="18C0AD56" w:rsidR="00C919DD" w:rsidRPr="004A6883" w:rsidRDefault="00C919DD">
      <w:pPr>
        <w:rPr>
          <w:rFonts w:cstheme="minorHAnsi"/>
          <w:sz w:val="24"/>
          <w:szCs w:val="24"/>
        </w:rPr>
      </w:pPr>
    </w:p>
    <w:p w14:paraId="7C866DC0" w14:textId="77777777" w:rsidR="000C6D58" w:rsidRPr="004A6883" w:rsidRDefault="000C6D58">
      <w:pPr>
        <w:rPr>
          <w:rFonts w:cstheme="minorHAnsi"/>
          <w:sz w:val="24"/>
          <w:szCs w:val="24"/>
        </w:rPr>
      </w:pPr>
    </w:p>
    <w:p w14:paraId="05249702" w14:textId="77777777" w:rsidR="000C6D58" w:rsidRPr="004A6883" w:rsidRDefault="000C6D58">
      <w:pPr>
        <w:rPr>
          <w:rFonts w:cstheme="minorHAnsi"/>
          <w:sz w:val="24"/>
          <w:szCs w:val="24"/>
        </w:rPr>
      </w:pPr>
    </w:p>
    <w:p w14:paraId="1225D586" w14:textId="77777777" w:rsidR="000C6D58" w:rsidRPr="004A6883" w:rsidRDefault="000C6D58">
      <w:pPr>
        <w:rPr>
          <w:rFonts w:cstheme="minorHAnsi"/>
          <w:sz w:val="24"/>
          <w:szCs w:val="24"/>
        </w:rPr>
      </w:pPr>
    </w:p>
    <w:p w14:paraId="6E1F0400" w14:textId="77777777" w:rsidR="000C6D58" w:rsidRPr="004A6883" w:rsidRDefault="000C6D58">
      <w:pPr>
        <w:rPr>
          <w:rFonts w:cstheme="minorHAnsi"/>
          <w:sz w:val="24"/>
          <w:szCs w:val="24"/>
        </w:rPr>
      </w:pPr>
    </w:p>
    <w:p w14:paraId="3363F480" w14:textId="77777777" w:rsidR="000C6D58" w:rsidRPr="004A6883" w:rsidRDefault="000C6D58">
      <w:pPr>
        <w:rPr>
          <w:rFonts w:cstheme="minorHAnsi"/>
          <w:sz w:val="24"/>
          <w:szCs w:val="24"/>
        </w:rPr>
      </w:pPr>
    </w:p>
    <w:p w14:paraId="6652055F" w14:textId="77777777" w:rsidR="000C6D58" w:rsidRPr="004A6883" w:rsidRDefault="000C6D58">
      <w:pPr>
        <w:rPr>
          <w:rFonts w:cstheme="minorHAnsi"/>
          <w:sz w:val="24"/>
          <w:szCs w:val="24"/>
        </w:rPr>
      </w:pPr>
    </w:p>
    <w:p w14:paraId="1C4E6B33" w14:textId="77777777" w:rsidR="000C6D58" w:rsidRPr="004A6883" w:rsidRDefault="000C6D58">
      <w:pPr>
        <w:rPr>
          <w:rFonts w:cstheme="minorHAnsi"/>
          <w:sz w:val="24"/>
          <w:szCs w:val="24"/>
        </w:rPr>
      </w:pPr>
    </w:p>
    <w:p w14:paraId="6DC0C89D" w14:textId="77777777" w:rsidR="000C6D58" w:rsidRPr="004A6883" w:rsidRDefault="000C6D58">
      <w:pPr>
        <w:rPr>
          <w:rFonts w:cstheme="minorHAnsi"/>
          <w:sz w:val="24"/>
          <w:szCs w:val="24"/>
        </w:rPr>
      </w:pPr>
    </w:p>
    <w:p w14:paraId="19FFD934" w14:textId="77777777" w:rsidR="000C6D58" w:rsidRPr="004A6883" w:rsidRDefault="000C6D58">
      <w:pPr>
        <w:rPr>
          <w:rFonts w:cstheme="minorHAnsi"/>
          <w:sz w:val="24"/>
          <w:szCs w:val="24"/>
        </w:rPr>
      </w:pPr>
    </w:p>
    <w:p w14:paraId="3464C022" w14:textId="77777777" w:rsidR="000C6D58" w:rsidRPr="004A6883" w:rsidRDefault="000C6D58">
      <w:pPr>
        <w:rPr>
          <w:rFonts w:cstheme="minorHAnsi"/>
          <w:sz w:val="24"/>
          <w:szCs w:val="24"/>
        </w:rPr>
      </w:pPr>
    </w:p>
    <w:p w14:paraId="609365A2" w14:textId="77777777" w:rsidR="000C6D58" w:rsidRPr="004A6883" w:rsidRDefault="000C6D58">
      <w:pPr>
        <w:rPr>
          <w:rFonts w:cstheme="minorHAnsi"/>
          <w:sz w:val="24"/>
          <w:szCs w:val="24"/>
        </w:rPr>
      </w:pPr>
    </w:p>
    <w:p w14:paraId="7D868440" w14:textId="77777777" w:rsidR="000C6D58" w:rsidRPr="004A6883" w:rsidRDefault="000C6D58">
      <w:pPr>
        <w:rPr>
          <w:rFonts w:cstheme="minorHAnsi"/>
          <w:sz w:val="24"/>
          <w:szCs w:val="24"/>
        </w:rPr>
      </w:pPr>
    </w:p>
    <w:p w14:paraId="25B7DF82" w14:textId="77777777" w:rsidR="000C6D58" w:rsidRPr="004A6883" w:rsidRDefault="000C6D58">
      <w:pPr>
        <w:rPr>
          <w:rFonts w:cstheme="minorHAnsi"/>
          <w:sz w:val="24"/>
          <w:szCs w:val="24"/>
        </w:rPr>
      </w:pPr>
    </w:p>
    <w:p w14:paraId="7F1D04FA" w14:textId="77777777" w:rsidR="000C6D58" w:rsidRPr="004A6883" w:rsidRDefault="000C6D58">
      <w:pPr>
        <w:rPr>
          <w:rFonts w:cstheme="minorHAnsi"/>
          <w:sz w:val="24"/>
          <w:szCs w:val="24"/>
        </w:rPr>
      </w:pPr>
    </w:p>
    <w:p w14:paraId="3A7BE118" w14:textId="77777777" w:rsidR="00F10CBC" w:rsidRDefault="00F10CBC">
      <w:pPr>
        <w:rPr>
          <w:rFonts w:cstheme="minorHAnsi"/>
          <w:sz w:val="24"/>
          <w:szCs w:val="24"/>
        </w:rPr>
      </w:pPr>
    </w:p>
    <w:p w14:paraId="712C1AB8" w14:textId="525FA64E" w:rsidR="002B4AF2" w:rsidRPr="004A6883" w:rsidRDefault="008E30BA">
      <w:pPr>
        <w:rPr>
          <w:rFonts w:cstheme="minorHAnsi"/>
          <w:sz w:val="24"/>
          <w:szCs w:val="24"/>
          <w:u w:val="single"/>
        </w:rPr>
      </w:pPr>
      <w:r>
        <w:rPr>
          <w:rFonts w:cstheme="minorHAnsi"/>
          <w:sz w:val="24"/>
          <w:szCs w:val="24"/>
          <w:u w:val="single"/>
        </w:rPr>
        <w:lastRenderedPageBreak/>
        <w:t>Bibliography</w:t>
      </w:r>
    </w:p>
    <w:p w14:paraId="664F8646" w14:textId="2BC6F208" w:rsidR="00903221" w:rsidRDefault="00903221">
      <w:pPr>
        <w:rPr>
          <w:rFonts w:cstheme="minorHAnsi"/>
          <w:sz w:val="24"/>
          <w:szCs w:val="24"/>
        </w:rPr>
      </w:pPr>
      <w:r w:rsidRPr="004A6883">
        <w:rPr>
          <w:rFonts w:cstheme="minorHAnsi"/>
          <w:sz w:val="24"/>
          <w:szCs w:val="24"/>
        </w:rPr>
        <w:t>Ancient sources:</w:t>
      </w:r>
    </w:p>
    <w:p w14:paraId="0A3FD927" w14:textId="0067894F" w:rsidR="00670F9B" w:rsidRPr="00670F9B" w:rsidRDefault="00670F9B">
      <w:pPr>
        <w:rPr>
          <w:rFonts w:cstheme="minorHAnsi"/>
          <w:sz w:val="24"/>
          <w:szCs w:val="24"/>
        </w:rPr>
      </w:pPr>
      <w:r>
        <w:rPr>
          <w:rFonts w:cstheme="minorHAnsi"/>
          <w:sz w:val="24"/>
          <w:szCs w:val="24"/>
        </w:rPr>
        <w:t xml:space="preserve">Aristotle, </w:t>
      </w:r>
      <w:r>
        <w:rPr>
          <w:rFonts w:cstheme="minorHAnsi"/>
          <w:i/>
          <w:sz w:val="24"/>
          <w:szCs w:val="24"/>
        </w:rPr>
        <w:t>Politics.</w:t>
      </w:r>
      <w:r>
        <w:rPr>
          <w:rFonts w:cstheme="minorHAnsi"/>
          <w:sz w:val="24"/>
          <w:szCs w:val="24"/>
        </w:rPr>
        <w:t xml:space="preserve"> H. Rackham (trans.). 1944. London William Heinemann Ltd.</w:t>
      </w:r>
    </w:p>
    <w:p w14:paraId="275099C2" w14:textId="48D07078" w:rsidR="002B4AF2" w:rsidRPr="004A6883" w:rsidRDefault="002B4AF2">
      <w:pPr>
        <w:rPr>
          <w:rFonts w:cstheme="minorHAnsi"/>
          <w:sz w:val="24"/>
          <w:szCs w:val="24"/>
        </w:rPr>
      </w:pPr>
      <w:r w:rsidRPr="004A6883">
        <w:rPr>
          <w:rFonts w:cstheme="minorHAnsi"/>
          <w:sz w:val="24"/>
          <w:szCs w:val="24"/>
        </w:rPr>
        <w:t xml:space="preserve">Plutarch, </w:t>
      </w:r>
      <w:r w:rsidR="00315F7E" w:rsidRPr="004A6883">
        <w:rPr>
          <w:rFonts w:cstheme="minorHAnsi"/>
          <w:i/>
          <w:sz w:val="24"/>
          <w:szCs w:val="24"/>
        </w:rPr>
        <w:t>Agesilaus.</w:t>
      </w:r>
      <w:r w:rsidR="00315F7E" w:rsidRPr="004A6883">
        <w:rPr>
          <w:rFonts w:cstheme="minorHAnsi"/>
          <w:sz w:val="24"/>
          <w:szCs w:val="24"/>
        </w:rPr>
        <w:t xml:space="preserve"> B. Perrin (trans.). 1917. London: William Heinemann Ltd. </w:t>
      </w:r>
    </w:p>
    <w:p w14:paraId="7F777CF6" w14:textId="47B8A35C" w:rsidR="00900117" w:rsidRPr="004A6883" w:rsidRDefault="00900117">
      <w:pPr>
        <w:rPr>
          <w:rFonts w:cstheme="minorHAnsi"/>
          <w:sz w:val="24"/>
          <w:szCs w:val="24"/>
        </w:rPr>
      </w:pPr>
      <w:r w:rsidRPr="004A6883">
        <w:rPr>
          <w:rFonts w:cstheme="minorHAnsi"/>
          <w:sz w:val="24"/>
          <w:szCs w:val="24"/>
        </w:rPr>
        <w:t xml:space="preserve">Plutarch, </w:t>
      </w:r>
      <w:r w:rsidRPr="004A6883">
        <w:rPr>
          <w:rFonts w:cstheme="minorHAnsi"/>
          <w:i/>
          <w:sz w:val="24"/>
          <w:szCs w:val="24"/>
        </w:rPr>
        <w:t xml:space="preserve">Alcibiades. </w:t>
      </w:r>
      <w:r w:rsidRPr="004A6883">
        <w:rPr>
          <w:rFonts w:cstheme="minorHAnsi"/>
          <w:sz w:val="24"/>
          <w:szCs w:val="24"/>
        </w:rPr>
        <w:t>B. Perrin (trans.). 1916. London: William Heinemann Ltd.</w:t>
      </w:r>
    </w:p>
    <w:p w14:paraId="3888BA68" w14:textId="209B031C" w:rsidR="00315F7E" w:rsidRDefault="00315F7E">
      <w:pPr>
        <w:rPr>
          <w:rFonts w:cstheme="minorHAnsi"/>
          <w:sz w:val="24"/>
          <w:szCs w:val="24"/>
        </w:rPr>
      </w:pPr>
      <w:r w:rsidRPr="004A6883">
        <w:rPr>
          <w:rFonts w:cstheme="minorHAnsi"/>
          <w:sz w:val="24"/>
          <w:szCs w:val="24"/>
        </w:rPr>
        <w:t xml:space="preserve">Plutarch, </w:t>
      </w:r>
      <w:proofErr w:type="spellStart"/>
      <w:r w:rsidRPr="004A6883">
        <w:rPr>
          <w:rFonts w:cstheme="minorHAnsi"/>
          <w:i/>
          <w:sz w:val="24"/>
          <w:szCs w:val="24"/>
        </w:rPr>
        <w:t>Cleomenes</w:t>
      </w:r>
      <w:proofErr w:type="spellEnd"/>
      <w:r w:rsidRPr="004A6883">
        <w:rPr>
          <w:rFonts w:cstheme="minorHAnsi"/>
          <w:i/>
          <w:sz w:val="24"/>
          <w:szCs w:val="24"/>
        </w:rPr>
        <w:t xml:space="preserve">. </w:t>
      </w:r>
      <w:r w:rsidRPr="004A6883">
        <w:rPr>
          <w:rFonts w:cstheme="minorHAnsi"/>
          <w:sz w:val="24"/>
          <w:szCs w:val="24"/>
        </w:rPr>
        <w:t>B. Perrin (trans.). 1917. London: William Heinemann Ltd.</w:t>
      </w:r>
    </w:p>
    <w:p w14:paraId="75D30F60" w14:textId="5F47A921" w:rsidR="00A46784" w:rsidRPr="00A46784" w:rsidRDefault="00A46784">
      <w:pPr>
        <w:rPr>
          <w:rFonts w:cstheme="minorHAnsi"/>
          <w:sz w:val="24"/>
          <w:szCs w:val="24"/>
        </w:rPr>
      </w:pPr>
      <w:r>
        <w:rPr>
          <w:rFonts w:cstheme="minorHAnsi"/>
          <w:sz w:val="24"/>
          <w:szCs w:val="24"/>
        </w:rPr>
        <w:t xml:space="preserve">Plutarch, </w:t>
      </w:r>
      <w:proofErr w:type="spellStart"/>
      <w:r>
        <w:rPr>
          <w:rFonts w:cstheme="minorHAnsi"/>
          <w:i/>
          <w:sz w:val="24"/>
          <w:szCs w:val="24"/>
        </w:rPr>
        <w:t>Lacaenarum</w:t>
      </w:r>
      <w:proofErr w:type="spellEnd"/>
      <w:r>
        <w:rPr>
          <w:rFonts w:cstheme="minorHAnsi"/>
          <w:i/>
          <w:sz w:val="24"/>
          <w:szCs w:val="24"/>
        </w:rPr>
        <w:t xml:space="preserve"> </w:t>
      </w:r>
      <w:proofErr w:type="spellStart"/>
      <w:r>
        <w:rPr>
          <w:rFonts w:cstheme="minorHAnsi"/>
          <w:i/>
          <w:sz w:val="24"/>
          <w:szCs w:val="24"/>
        </w:rPr>
        <w:t>Apophthegmata</w:t>
      </w:r>
      <w:proofErr w:type="spellEnd"/>
      <w:r>
        <w:rPr>
          <w:rFonts w:cstheme="minorHAnsi"/>
          <w:i/>
          <w:sz w:val="24"/>
          <w:szCs w:val="24"/>
        </w:rPr>
        <w:t xml:space="preserve">. </w:t>
      </w:r>
      <w:r>
        <w:rPr>
          <w:rFonts w:cstheme="minorHAnsi"/>
          <w:sz w:val="24"/>
          <w:szCs w:val="24"/>
        </w:rPr>
        <w:t>F.C. Babbitt (trans.). 1931. London: William Heinemann Ltd.</w:t>
      </w:r>
    </w:p>
    <w:p w14:paraId="01D5FFB5" w14:textId="56664FEA" w:rsidR="00315F7E" w:rsidRPr="004A6883" w:rsidRDefault="00315F7E">
      <w:pPr>
        <w:rPr>
          <w:rFonts w:cstheme="minorHAnsi"/>
          <w:sz w:val="24"/>
          <w:szCs w:val="24"/>
        </w:rPr>
      </w:pPr>
      <w:r w:rsidRPr="004A6883">
        <w:rPr>
          <w:rFonts w:cstheme="minorHAnsi"/>
          <w:sz w:val="24"/>
          <w:szCs w:val="24"/>
        </w:rPr>
        <w:t xml:space="preserve">Plutarch, </w:t>
      </w:r>
      <w:r w:rsidRPr="004A6883">
        <w:rPr>
          <w:rFonts w:cstheme="minorHAnsi"/>
          <w:i/>
          <w:sz w:val="24"/>
          <w:szCs w:val="24"/>
        </w:rPr>
        <w:t xml:space="preserve">Lycurgus. </w:t>
      </w:r>
      <w:r w:rsidRPr="004A6883">
        <w:rPr>
          <w:rFonts w:cstheme="minorHAnsi"/>
          <w:sz w:val="24"/>
          <w:szCs w:val="24"/>
        </w:rPr>
        <w:t xml:space="preserve">B. Perrin (trans.). 1914. London: William Heinemann Ltd. </w:t>
      </w:r>
    </w:p>
    <w:p w14:paraId="503A666E" w14:textId="17753D01" w:rsidR="00C919DD" w:rsidRDefault="00F52DFF">
      <w:pPr>
        <w:rPr>
          <w:rFonts w:cstheme="minorHAnsi"/>
          <w:sz w:val="24"/>
          <w:szCs w:val="24"/>
        </w:rPr>
      </w:pPr>
      <w:r w:rsidRPr="004A6883">
        <w:rPr>
          <w:rFonts w:cstheme="minorHAnsi"/>
          <w:sz w:val="24"/>
          <w:szCs w:val="24"/>
        </w:rPr>
        <w:t xml:space="preserve">Plutarch, </w:t>
      </w:r>
      <w:proofErr w:type="spellStart"/>
      <w:r w:rsidRPr="004A6883">
        <w:rPr>
          <w:rFonts w:cstheme="minorHAnsi"/>
          <w:i/>
          <w:sz w:val="24"/>
          <w:szCs w:val="24"/>
        </w:rPr>
        <w:t>Instituta</w:t>
      </w:r>
      <w:proofErr w:type="spellEnd"/>
      <w:r w:rsidRPr="004A6883">
        <w:rPr>
          <w:rFonts w:cstheme="minorHAnsi"/>
          <w:i/>
          <w:sz w:val="24"/>
          <w:szCs w:val="24"/>
        </w:rPr>
        <w:t xml:space="preserve"> </w:t>
      </w:r>
      <w:r w:rsidR="00C919DD" w:rsidRPr="004A6883">
        <w:rPr>
          <w:rFonts w:cstheme="minorHAnsi"/>
          <w:i/>
          <w:sz w:val="24"/>
          <w:szCs w:val="24"/>
        </w:rPr>
        <w:t>Laconi</w:t>
      </w:r>
      <w:r w:rsidR="00E978BE">
        <w:rPr>
          <w:rFonts w:cstheme="minorHAnsi"/>
          <w:i/>
          <w:sz w:val="24"/>
          <w:szCs w:val="24"/>
        </w:rPr>
        <w:t>c</w:t>
      </w:r>
      <w:r w:rsidR="00C919DD" w:rsidRPr="004A6883">
        <w:rPr>
          <w:rFonts w:cstheme="minorHAnsi"/>
          <w:i/>
          <w:sz w:val="24"/>
          <w:szCs w:val="24"/>
        </w:rPr>
        <w:t xml:space="preserve">a. </w:t>
      </w:r>
      <w:r w:rsidR="00C919DD" w:rsidRPr="004A6883">
        <w:rPr>
          <w:rFonts w:cstheme="minorHAnsi"/>
          <w:sz w:val="24"/>
          <w:szCs w:val="24"/>
        </w:rPr>
        <w:t>F.C. Babbitt (trans.). 1931. London: William Heinemann Ltd.</w:t>
      </w:r>
    </w:p>
    <w:p w14:paraId="07B204B7" w14:textId="2F754745" w:rsidR="00E978BE" w:rsidRDefault="00E978BE">
      <w:pPr>
        <w:rPr>
          <w:rFonts w:cstheme="minorHAnsi"/>
          <w:sz w:val="24"/>
          <w:szCs w:val="24"/>
        </w:rPr>
      </w:pPr>
      <w:r>
        <w:rPr>
          <w:rFonts w:cstheme="minorHAnsi"/>
          <w:sz w:val="24"/>
          <w:szCs w:val="24"/>
        </w:rPr>
        <w:t xml:space="preserve">Plutarch, </w:t>
      </w:r>
      <w:r w:rsidRPr="00E978BE">
        <w:rPr>
          <w:rFonts w:cstheme="minorHAnsi"/>
          <w:i/>
          <w:sz w:val="24"/>
          <w:szCs w:val="24"/>
        </w:rPr>
        <w:t>Pyrrhus.</w:t>
      </w:r>
      <w:r>
        <w:rPr>
          <w:rFonts w:cstheme="minorHAnsi"/>
          <w:i/>
          <w:sz w:val="24"/>
          <w:szCs w:val="24"/>
        </w:rPr>
        <w:t xml:space="preserve"> </w:t>
      </w:r>
      <w:r>
        <w:rPr>
          <w:rFonts w:cstheme="minorHAnsi"/>
          <w:sz w:val="24"/>
          <w:szCs w:val="24"/>
        </w:rPr>
        <w:t xml:space="preserve">B. Perrin (trans.). 1920. </w:t>
      </w:r>
      <w:r w:rsidR="00973AF1">
        <w:rPr>
          <w:rFonts w:cstheme="minorHAnsi"/>
          <w:sz w:val="24"/>
          <w:szCs w:val="24"/>
        </w:rPr>
        <w:t>London: William Heinemann Ltd.</w:t>
      </w:r>
    </w:p>
    <w:p w14:paraId="413BFE87" w14:textId="52618623" w:rsidR="00282998" w:rsidRPr="00282998" w:rsidRDefault="00282998">
      <w:pPr>
        <w:rPr>
          <w:rFonts w:cstheme="minorHAnsi"/>
          <w:sz w:val="24"/>
          <w:szCs w:val="24"/>
        </w:rPr>
      </w:pPr>
      <w:r>
        <w:rPr>
          <w:rFonts w:cstheme="minorHAnsi"/>
          <w:sz w:val="24"/>
          <w:szCs w:val="24"/>
        </w:rPr>
        <w:t xml:space="preserve">Xenophon, </w:t>
      </w:r>
      <w:r>
        <w:rPr>
          <w:rFonts w:cstheme="minorHAnsi"/>
          <w:i/>
          <w:sz w:val="24"/>
          <w:szCs w:val="24"/>
        </w:rPr>
        <w:t xml:space="preserve">Hellenica. </w:t>
      </w:r>
      <w:r>
        <w:rPr>
          <w:rFonts w:cstheme="minorHAnsi"/>
          <w:sz w:val="24"/>
          <w:szCs w:val="24"/>
        </w:rPr>
        <w:t>C.L. Brownson (trans.). London: William Heinemann Ltd.</w:t>
      </w:r>
    </w:p>
    <w:p w14:paraId="0451A462" w14:textId="77777777" w:rsidR="00C919DD" w:rsidRPr="004A6883" w:rsidRDefault="00C919DD">
      <w:pPr>
        <w:rPr>
          <w:rFonts w:cstheme="minorHAnsi"/>
          <w:sz w:val="24"/>
          <w:szCs w:val="24"/>
        </w:rPr>
      </w:pPr>
    </w:p>
    <w:p w14:paraId="78D9AB57" w14:textId="08324D71" w:rsidR="00903221" w:rsidRDefault="00903221">
      <w:pPr>
        <w:rPr>
          <w:rFonts w:cstheme="minorHAnsi"/>
          <w:sz w:val="24"/>
          <w:szCs w:val="24"/>
        </w:rPr>
      </w:pPr>
      <w:r w:rsidRPr="004A6883">
        <w:rPr>
          <w:rFonts w:cstheme="minorHAnsi"/>
          <w:sz w:val="24"/>
          <w:szCs w:val="24"/>
        </w:rPr>
        <w:t>Modern scholarship:</w:t>
      </w:r>
    </w:p>
    <w:p w14:paraId="0CD1B00F" w14:textId="01F71403" w:rsidR="00A004D3" w:rsidRDefault="00A004D3">
      <w:pPr>
        <w:rPr>
          <w:rFonts w:cstheme="minorHAnsi"/>
          <w:sz w:val="24"/>
          <w:szCs w:val="24"/>
        </w:rPr>
      </w:pPr>
      <w:r>
        <w:rPr>
          <w:rFonts w:cstheme="minorHAnsi"/>
          <w:sz w:val="24"/>
          <w:szCs w:val="24"/>
        </w:rPr>
        <w:t xml:space="preserve">Beck, M. 2014. ‘Introduction’, in M. Beck (ed.), </w:t>
      </w:r>
      <w:r>
        <w:rPr>
          <w:rFonts w:cstheme="minorHAnsi"/>
          <w:i/>
          <w:sz w:val="24"/>
          <w:szCs w:val="24"/>
        </w:rPr>
        <w:t>A Companion to Plutarch.</w:t>
      </w:r>
      <w:r>
        <w:rPr>
          <w:rFonts w:cstheme="minorHAnsi"/>
          <w:sz w:val="24"/>
          <w:szCs w:val="24"/>
        </w:rPr>
        <w:t xml:space="preserve"> Oxford: Blackwell Publishing Ltd</w:t>
      </w:r>
      <w:r w:rsidR="006440BB">
        <w:rPr>
          <w:rFonts w:cstheme="minorHAnsi"/>
          <w:sz w:val="24"/>
          <w:szCs w:val="24"/>
        </w:rPr>
        <w:t>. 1-10.</w:t>
      </w:r>
    </w:p>
    <w:p w14:paraId="7EC76445" w14:textId="195E8035" w:rsidR="002F08F9" w:rsidRPr="00A004D3" w:rsidRDefault="002F08F9">
      <w:pPr>
        <w:rPr>
          <w:rFonts w:cstheme="minorHAnsi"/>
          <w:sz w:val="24"/>
          <w:szCs w:val="24"/>
        </w:rPr>
      </w:pPr>
      <w:r>
        <w:rPr>
          <w:rFonts w:cstheme="minorHAnsi"/>
          <w:sz w:val="24"/>
          <w:szCs w:val="24"/>
        </w:rPr>
        <w:t xml:space="preserve">Bradford, A.S. 1994. ‘The duplicitous Spartan’, in A. Powell &amp; S. Hodkinson (eds.), </w:t>
      </w:r>
      <w:r>
        <w:rPr>
          <w:rFonts w:cstheme="minorHAnsi"/>
          <w:i/>
          <w:sz w:val="24"/>
          <w:szCs w:val="24"/>
        </w:rPr>
        <w:t xml:space="preserve">The Shadow of Sparta. </w:t>
      </w:r>
      <w:r>
        <w:rPr>
          <w:rFonts w:cstheme="minorHAnsi"/>
          <w:sz w:val="24"/>
          <w:szCs w:val="24"/>
        </w:rPr>
        <w:t>Swansea: The Classical Press of Wales, 59-86.</w:t>
      </w:r>
    </w:p>
    <w:p w14:paraId="10E9CBB8" w14:textId="5519B24F" w:rsidR="00FB36FC" w:rsidRPr="004A6883" w:rsidRDefault="00FB36FC">
      <w:pPr>
        <w:rPr>
          <w:rFonts w:cstheme="minorHAnsi"/>
          <w:sz w:val="24"/>
          <w:szCs w:val="24"/>
        </w:rPr>
      </w:pPr>
      <w:r w:rsidRPr="004A6883">
        <w:rPr>
          <w:rFonts w:cstheme="minorHAnsi"/>
          <w:sz w:val="24"/>
          <w:szCs w:val="24"/>
        </w:rPr>
        <w:t xml:space="preserve">Cartledge, P. 2001. </w:t>
      </w:r>
      <w:r w:rsidRPr="004A6883">
        <w:rPr>
          <w:rFonts w:cstheme="minorHAnsi"/>
          <w:i/>
          <w:sz w:val="24"/>
          <w:szCs w:val="24"/>
        </w:rPr>
        <w:t xml:space="preserve">Spartan Reflections. </w:t>
      </w:r>
      <w:r w:rsidRPr="004A6883">
        <w:rPr>
          <w:rFonts w:cstheme="minorHAnsi"/>
          <w:sz w:val="24"/>
          <w:szCs w:val="24"/>
        </w:rPr>
        <w:t>London: Gerald Duckworth &amp; Co. Ltd.</w:t>
      </w:r>
    </w:p>
    <w:p w14:paraId="55DA69D3" w14:textId="34152C1B" w:rsidR="009F0EC2" w:rsidRDefault="009F0EC2">
      <w:pPr>
        <w:rPr>
          <w:rFonts w:cstheme="minorHAnsi"/>
          <w:sz w:val="24"/>
          <w:szCs w:val="24"/>
        </w:rPr>
      </w:pPr>
      <w:r w:rsidRPr="004A6883">
        <w:rPr>
          <w:rFonts w:cstheme="minorHAnsi"/>
          <w:sz w:val="24"/>
          <w:szCs w:val="24"/>
        </w:rPr>
        <w:t xml:space="preserve">Cartledge, P. 2006. ‘Spartan traditions and receptions.’, </w:t>
      </w:r>
      <w:proofErr w:type="spellStart"/>
      <w:r w:rsidRPr="004A6883">
        <w:rPr>
          <w:rFonts w:cstheme="minorHAnsi"/>
          <w:i/>
          <w:sz w:val="24"/>
          <w:szCs w:val="24"/>
        </w:rPr>
        <w:t>Hermathena</w:t>
      </w:r>
      <w:proofErr w:type="spellEnd"/>
      <w:r w:rsidRPr="004A6883">
        <w:rPr>
          <w:rFonts w:cstheme="minorHAnsi"/>
          <w:i/>
          <w:sz w:val="24"/>
          <w:szCs w:val="24"/>
        </w:rPr>
        <w:t>.</w:t>
      </w:r>
      <w:r w:rsidRPr="004A6883">
        <w:rPr>
          <w:rFonts w:cstheme="minorHAnsi"/>
          <w:sz w:val="24"/>
          <w:szCs w:val="24"/>
        </w:rPr>
        <w:t xml:space="preserve"> 181. 41-50.</w:t>
      </w:r>
    </w:p>
    <w:p w14:paraId="2B49DD9A" w14:textId="2F72797A" w:rsidR="00435E2E" w:rsidRDefault="00435E2E">
      <w:pPr>
        <w:rPr>
          <w:rFonts w:cstheme="minorHAnsi"/>
          <w:sz w:val="24"/>
          <w:szCs w:val="24"/>
        </w:rPr>
      </w:pPr>
      <w:proofErr w:type="spellStart"/>
      <w:r>
        <w:rPr>
          <w:rFonts w:cstheme="minorHAnsi"/>
          <w:sz w:val="24"/>
          <w:szCs w:val="24"/>
        </w:rPr>
        <w:t>Chrimes</w:t>
      </w:r>
      <w:proofErr w:type="spellEnd"/>
      <w:r>
        <w:rPr>
          <w:rFonts w:cstheme="minorHAnsi"/>
          <w:sz w:val="24"/>
          <w:szCs w:val="24"/>
        </w:rPr>
        <w:t xml:space="preserve">, K.M.T. 1999. </w:t>
      </w:r>
      <w:r>
        <w:rPr>
          <w:rFonts w:cstheme="minorHAnsi"/>
          <w:i/>
          <w:sz w:val="24"/>
          <w:szCs w:val="24"/>
        </w:rPr>
        <w:t>Ancient Sparta: A Re-examination of the Evidence.</w:t>
      </w:r>
      <w:r>
        <w:rPr>
          <w:rFonts w:cstheme="minorHAnsi"/>
          <w:sz w:val="24"/>
          <w:szCs w:val="24"/>
        </w:rPr>
        <w:t xml:space="preserve"> Manchester: Manchester University Press.</w:t>
      </w:r>
    </w:p>
    <w:p w14:paraId="55AB1A9B" w14:textId="65968269" w:rsidR="006440BB" w:rsidRDefault="006440BB">
      <w:pPr>
        <w:rPr>
          <w:rFonts w:cstheme="minorHAnsi"/>
          <w:sz w:val="24"/>
          <w:szCs w:val="24"/>
        </w:rPr>
      </w:pPr>
      <w:proofErr w:type="spellStart"/>
      <w:r>
        <w:rPr>
          <w:rFonts w:cstheme="minorHAnsi"/>
          <w:sz w:val="24"/>
          <w:szCs w:val="24"/>
        </w:rPr>
        <w:t>Figueira</w:t>
      </w:r>
      <w:proofErr w:type="spellEnd"/>
      <w:r>
        <w:rPr>
          <w:rFonts w:cstheme="minorHAnsi"/>
          <w:sz w:val="24"/>
          <w:szCs w:val="24"/>
        </w:rPr>
        <w:t xml:space="preserve">, T.J. 2010. ‘Gynecocracy: how women policed masculine behaviour in Archaic and Classical Sparta’, in A. Powell &amp; S. Hodkinson (eds.), </w:t>
      </w:r>
      <w:r>
        <w:rPr>
          <w:rFonts w:cstheme="minorHAnsi"/>
          <w:i/>
          <w:sz w:val="24"/>
          <w:szCs w:val="24"/>
        </w:rPr>
        <w:t>Sparta: The Body Politic.</w:t>
      </w:r>
      <w:r>
        <w:rPr>
          <w:rFonts w:cstheme="minorHAnsi"/>
          <w:sz w:val="24"/>
          <w:szCs w:val="24"/>
        </w:rPr>
        <w:t xml:space="preserve"> Swansea: The Classical Press of Wales, 265-296.</w:t>
      </w:r>
    </w:p>
    <w:p w14:paraId="5A15E257" w14:textId="72D171B9" w:rsidR="00B566E4" w:rsidRPr="00B566E4" w:rsidRDefault="00B566E4">
      <w:pPr>
        <w:rPr>
          <w:rFonts w:cstheme="minorHAnsi"/>
          <w:sz w:val="24"/>
          <w:szCs w:val="24"/>
        </w:rPr>
      </w:pPr>
      <w:r>
        <w:rPr>
          <w:rFonts w:cstheme="minorHAnsi"/>
          <w:sz w:val="24"/>
          <w:szCs w:val="24"/>
        </w:rPr>
        <w:t xml:space="preserve">Forrest, W.G. 1968. </w:t>
      </w:r>
      <w:r>
        <w:rPr>
          <w:rFonts w:cstheme="minorHAnsi"/>
          <w:i/>
          <w:sz w:val="24"/>
          <w:szCs w:val="24"/>
        </w:rPr>
        <w:t xml:space="preserve">A History of Sparta. </w:t>
      </w:r>
      <w:r>
        <w:rPr>
          <w:rFonts w:cstheme="minorHAnsi"/>
          <w:sz w:val="24"/>
          <w:szCs w:val="24"/>
        </w:rPr>
        <w:t>London: Hutchinson &amp; Co. Ltd.</w:t>
      </w:r>
    </w:p>
    <w:p w14:paraId="2602DBE5" w14:textId="3B5B427E" w:rsidR="00486ED5" w:rsidRPr="00435E2E" w:rsidRDefault="00486ED5">
      <w:pPr>
        <w:rPr>
          <w:rFonts w:cstheme="minorHAnsi"/>
          <w:sz w:val="24"/>
          <w:szCs w:val="24"/>
        </w:rPr>
      </w:pPr>
      <w:r>
        <w:rPr>
          <w:rFonts w:cstheme="minorHAnsi"/>
          <w:sz w:val="24"/>
          <w:szCs w:val="24"/>
        </w:rPr>
        <w:t xml:space="preserve">Hodkinson, S. 1994. ‘’Blind Ploutos’? Contemporary images of the role of wealth in classical Sparta’, in A. Powell &amp; S. Hodkinson (eds.), </w:t>
      </w:r>
      <w:r>
        <w:rPr>
          <w:rFonts w:cstheme="minorHAnsi"/>
          <w:i/>
          <w:sz w:val="24"/>
          <w:szCs w:val="24"/>
        </w:rPr>
        <w:t xml:space="preserve">The Shadow of Sparta. </w:t>
      </w:r>
      <w:r>
        <w:rPr>
          <w:rFonts w:cstheme="minorHAnsi"/>
          <w:sz w:val="24"/>
          <w:szCs w:val="24"/>
        </w:rPr>
        <w:t>Swansea: The Classical Press of Wales</w:t>
      </w:r>
      <w:r w:rsidR="002F08F9">
        <w:rPr>
          <w:rFonts w:cstheme="minorHAnsi"/>
          <w:sz w:val="24"/>
          <w:szCs w:val="24"/>
        </w:rPr>
        <w:t>, 183-222.</w:t>
      </w:r>
    </w:p>
    <w:p w14:paraId="32722EAA" w14:textId="53DFE58F" w:rsidR="00FB36FC" w:rsidRPr="004A6883" w:rsidRDefault="00FB36FC">
      <w:pPr>
        <w:rPr>
          <w:rFonts w:cstheme="minorHAnsi"/>
          <w:sz w:val="24"/>
          <w:szCs w:val="24"/>
        </w:rPr>
      </w:pPr>
      <w:r w:rsidRPr="004A6883">
        <w:rPr>
          <w:rFonts w:cstheme="minorHAnsi"/>
          <w:sz w:val="24"/>
          <w:szCs w:val="24"/>
        </w:rPr>
        <w:t xml:space="preserve">Morris, I.M. &amp; Hodkinson, S. 2012. ‘Introduction’, </w:t>
      </w:r>
      <w:r w:rsidR="00836FAB" w:rsidRPr="004A6883">
        <w:rPr>
          <w:rFonts w:cstheme="minorHAnsi"/>
          <w:sz w:val="24"/>
          <w:szCs w:val="24"/>
        </w:rPr>
        <w:t>in</w:t>
      </w:r>
      <w:r w:rsidR="00836FAB">
        <w:rPr>
          <w:rFonts w:cstheme="minorHAnsi"/>
          <w:sz w:val="24"/>
          <w:szCs w:val="24"/>
        </w:rPr>
        <w:t xml:space="preserve"> I.M.</w:t>
      </w:r>
      <w:r w:rsidR="00836FAB" w:rsidRPr="004A6883">
        <w:rPr>
          <w:rFonts w:cstheme="minorHAnsi"/>
          <w:sz w:val="24"/>
          <w:szCs w:val="24"/>
        </w:rPr>
        <w:t xml:space="preserve"> Morris &amp; </w:t>
      </w:r>
      <w:r w:rsidR="00836FAB">
        <w:rPr>
          <w:rFonts w:cstheme="minorHAnsi"/>
          <w:sz w:val="24"/>
          <w:szCs w:val="24"/>
        </w:rPr>
        <w:t xml:space="preserve">S. </w:t>
      </w:r>
      <w:r w:rsidR="00836FAB" w:rsidRPr="004A6883">
        <w:rPr>
          <w:rFonts w:cstheme="minorHAnsi"/>
          <w:sz w:val="24"/>
          <w:szCs w:val="24"/>
        </w:rPr>
        <w:t xml:space="preserve">Hodkinson (eds.), </w:t>
      </w:r>
      <w:r w:rsidR="00836FAB" w:rsidRPr="004A6883">
        <w:rPr>
          <w:rFonts w:cstheme="minorHAnsi"/>
          <w:i/>
          <w:sz w:val="24"/>
          <w:szCs w:val="24"/>
        </w:rPr>
        <w:t xml:space="preserve">Sparta in Modern Thought. </w:t>
      </w:r>
      <w:r w:rsidR="00836FAB" w:rsidRPr="004A6883">
        <w:rPr>
          <w:rFonts w:cstheme="minorHAnsi"/>
          <w:sz w:val="24"/>
          <w:szCs w:val="24"/>
        </w:rPr>
        <w:t>Swansea: The Classical Press of Wales, vii-xxvi.</w:t>
      </w:r>
    </w:p>
    <w:p w14:paraId="238D2172" w14:textId="7A1E6A25" w:rsidR="00903221" w:rsidRDefault="000C6D58">
      <w:pPr>
        <w:rPr>
          <w:rFonts w:cstheme="minorHAnsi"/>
          <w:sz w:val="24"/>
          <w:szCs w:val="24"/>
        </w:rPr>
      </w:pPr>
      <w:proofErr w:type="spellStart"/>
      <w:r w:rsidRPr="004A6883">
        <w:rPr>
          <w:rFonts w:cstheme="minorHAnsi"/>
          <w:sz w:val="24"/>
          <w:szCs w:val="24"/>
        </w:rPr>
        <w:t>Stadter</w:t>
      </w:r>
      <w:proofErr w:type="spellEnd"/>
      <w:r w:rsidRPr="004A6883">
        <w:rPr>
          <w:rFonts w:cstheme="minorHAnsi"/>
          <w:sz w:val="24"/>
          <w:szCs w:val="24"/>
        </w:rPr>
        <w:t>, P.A. 1958. ‘Plutarch and Rome’, in</w:t>
      </w:r>
      <w:r w:rsidR="004450D5">
        <w:rPr>
          <w:rFonts w:cstheme="minorHAnsi"/>
          <w:sz w:val="24"/>
          <w:szCs w:val="24"/>
        </w:rPr>
        <w:t xml:space="preserve"> M.</w:t>
      </w:r>
      <w:r w:rsidRPr="004A6883">
        <w:rPr>
          <w:rFonts w:cstheme="minorHAnsi"/>
          <w:sz w:val="24"/>
          <w:szCs w:val="24"/>
        </w:rPr>
        <w:t xml:space="preserve"> </w:t>
      </w:r>
      <w:r w:rsidR="00900117" w:rsidRPr="004A6883">
        <w:rPr>
          <w:rFonts w:cstheme="minorHAnsi"/>
          <w:sz w:val="24"/>
          <w:szCs w:val="24"/>
        </w:rPr>
        <w:t>Beck</w:t>
      </w:r>
      <w:r w:rsidRPr="004A6883">
        <w:rPr>
          <w:rFonts w:cstheme="minorHAnsi"/>
          <w:sz w:val="24"/>
          <w:szCs w:val="24"/>
        </w:rPr>
        <w:t xml:space="preserve"> (ed.),</w:t>
      </w:r>
      <w:r w:rsidR="00900117" w:rsidRPr="004A6883">
        <w:rPr>
          <w:rFonts w:cstheme="minorHAnsi"/>
          <w:sz w:val="24"/>
          <w:szCs w:val="24"/>
        </w:rPr>
        <w:t xml:space="preserve"> </w:t>
      </w:r>
      <w:r w:rsidR="00900117" w:rsidRPr="004A6883">
        <w:rPr>
          <w:rFonts w:cstheme="minorHAnsi"/>
          <w:i/>
          <w:sz w:val="24"/>
          <w:szCs w:val="24"/>
        </w:rPr>
        <w:t xml:space="preserve">A companion to Plutarch. </w:t>
      </w:r>
      <w:r w:rsidR="00900117" w:rsidRPr="004A6883">
        <w:rPr>
          <w:rFonts w:cstheme="minorHAnsi"/>
          <w:sz w:val="24"/>
          <w:szCs w:val="24"/>
        </w:rPr>
        <w:t>Oxford: Wiley-Blackwell</w:t>
      </w:r>
      <w:r w:rsidRPr="004A6883">
        <w:rPr>
          <w:rFonts w:cstheme="minorHAnsi"/>
          <w:sz w:val="24"/>
          <w:szCs w:val="24"/>
        </w:rPr>
        <w:t>, 13-31.</w:t>
      </w:r>
    </w:p>
    <w:p w14:paraId="7BDAF5F7" w14:textId="472BD806" w:rsidR="00B35087" w:rsidRPr="00B35087" w:rsidRDefault="00B35087">
      <w:pPr>
        <w:rPr>
          <w:rFonts w:cstheme="minorHAnsi"/>
          <w:sz w:val="24"/>
          <w:szCs w:val="24"/>
        </w:rPr>
      </w:pPr>
      <w:r>
        <w:rPr>
          <w:rFonts w:cstheme="minorHAnsi"/>
          <w:sz w:val="24"/>
          <w:szCs w:val="24"/>
        </w:rPr>
        <w:lastRenderedPageBreak/>
        <w:t xml:space="preserve">Rawson, E. 1969. </w:t>
      </w:r>
      <w:r>
        <w:rPr>
          <w:rFonts w:cstheme="minorHAnsi"/>
          <w:i/>
          <w:sz w:val="24"/>
          <w:szCs w:val="24"/>
        </w:rPr>
        <w:t xml:space="preserve">The Spartan Tradition in European Thought. </w:t>
      </w:r>
      <w:r>
        <w:rPr>
          <w:rFonts w:cstheme="minorHAnsi"/>
          <w:sz w:val="24"/>
          <w:szCs w:val="24"/>
        </w:rPr>
        <w:t xml:space="preserve">Oxford: Clarendon Press. </w:t>
      </w:r>
    </w:p>
    <w:p w14:paraId="1B29206A" w14:textId="79A68005" w:rsidR="004450D5" w:rsidRDefault="004450D5">
      <w:pPr>
        <w:rPr>
          <w:rFonts w:cstheme="minorHAnsi"/>
          <w:sz w:val="24"/>
          <w:szCs w:val="24"/>
        </w:rPr>
      </w:pPr>
      <w:r>
        <w:rPr>
          <w:rFonts w:cstheme="minorHAnsi"/>
          <w:sz w:val="24"/>
          <w:szCs w:val="24"/>
        </w:rPr>
        <w:t xml:space="preserve">Rhodes, P.J. 2007. ‘Documents and the Greek Historians’, in J. </w:t>
      </w:r>
      <w:proofErr w:type="spellStart"/>
      <w:r>
        <w:rPr>
          <w:rFonts w:cstheme="minorHAnsi"/>
          <w:sz w:val="24"/>
          <w:szCs w:val="24"/>
        </w:rPr>
        <w:t>Marincola</w:t>
      </w:r>
      <w:proofErr w:type="spellEnd"/>
      <w:r>
        <w:rPr>
          <w:rFonts w:cstheme="minorHAnsi"/>
          <w:sz w:val="24"/>
          <w:szCs w:val="24"/>
        </w:rPr>
        <w:t xml:space="preserve"> (ed.), </w:t>
      </w:r>
      <w:r>
        <w:rPr>
          <w:rFonts w:cstheme="minorHAnsi"/>
          <w:i/>
          <w:sz w:val="24"/>
          <w:szCs w:val="24"/>
        </w:rPr>
        <w:t xml:space="preserve">A Companion to Greek and Roman Historiography. </w:t>
      </w:r>
      <w:r>
        <w:rPr>
          <w:rFonts w:cstheme="minorHAnsi"/>
          <w:sz w:val="24"/>
          <w:szCs w:val="24"/>
        </w:rPr>
        <w:t>Malden: Blackwell Publishing Ltd.</w:t>
      </w:r>
      <w:r w:rsidR="006440BB">
        <w:rPr>
          <w:rFonts w:cstheme="minorHAnsi"/>
          <w:sz w:val="24"/>
          <w:szCs w:val="24"/>
        </w:rPr>
        <w:t xml:space="preserve"> 56-66</w:t>
      </w:r>
    </w:p>
    <w:p w14:paraId="038A4A70" w14:textId="41B4DD22" w:rsidR="00670F9B" w:rsidRDefault="00670F9B">
      <w:pPr>
        <w:rPr>
          <w:rFonts w:cstheme="minorHAnsi"/>
          <w:sz w:val="24"/>
          <w:szCs w:val="24"/>
        </w:rPr>
      </w:pPr>
      <w:r>
        <w:rPr>
          <w:rFonts w:cstheme="minorHAnsi"/>
          <w:sz w:val="24"/>
          <w:szCs w:val="24"/>
        </w:rPr>
        <w:t>Roche, H.</w:t>
      </w:r>
      <w:r w:rsidRPr="00670F9B">
        <w:rPr>
          <w:rFonts w:cstheme="minorHAnsi"/>
          <w:sz w:val="24"/>
          <w:szCs w:val="24"/>
        </w:rPr>
        <w:t xml:space="preserve"> </w:t>
      </w:r>
      <w:r>
        <w:rPr>
          <w:rFonts w:cstheme="minorHAnsi"/>
          <w:sz w:val="24"/>
          <w:szCs w:val="24"/>
        </w:rPr>
        <w:t>2012. ‘</w:t>
      </w:r>
      <w:proofErr w:type="spellStart"/>
      <w:r>
        <w:rPr>
          <w:rFonts w:cstheme="minorHAnsi"/>
          <w:sz w:val="24"/>
          <w:szCs w:val="24"/>
        </w:rPr>
        <w:t>Spartanische</w:t>
      </w:r>
      <w:proofErr w:type="spellEnd"/>
      <w:r>
        <w:rPr>
          <w:rFonts w:cstheme="minorHAnsi"/>
          <w:sz w:val="24"/>
          <w:szCs w:val="24"/>
        </w:rPr>
        <w:t xml:space="preserve"> </w:t>
      </w:r>
      <w:proofErr w:type="spellStart"/>
      <w:r>
        <w:rPr>
          <w:rFonts w:cstheme="minorHAnsi"/>
          <w:sz w:val="24"/>
          <w:szCs w:val="24"/>
        </w:rPr>
        <w:t>Pimpfe</w:t>
      </w:r>
      <w:proofErr w:type="spellEnd"/>
      <w:r>
        <w:rPr>
          <w:rFonts w:cstheme="minorHAnsi"/>
          <w:sz w:val="24"/>
          <w:szCs w:val="24"/>
        </w:rPr>
        <w:t xml:space="preserve">: The importance of Sparta in the educational ideology of the Adolf Hitler Schools’, </w:t>
      </w:r>
      <w:r w:rsidRPr="004A6883">
        <w:rPr>
          <w:rFonts w:cstheme="minorHAnsi"/>
          <w:sz w:val="24"/>
          <w:szCs w:val="24"/>
        </w:rPr>
        <w:t>in</w:t>
      </w:r>
      <w:r>
        <w:rPr>
          <w:rFonts w:cstheme="minorHAnsi"/>
          <w:sz w:val="24"/>
          <w:szCs w:val="24"/>
        </w:rPr>
        <w:t xml:space="preserve"> I.M.</w:t>
      </w:r>
      <w:r w:rsidRPr="004A6883">
        <w:rPr>
          <w:rFonts w:cstheme="minorHAnsi"/>
          <w:sz w:val="24"/>
          <w:szCs w:val="24"/>
        </w:rPr>
        <w:t xml:space="preserve"> Morris &amp; </w:t>
      </w:r>
      <w:r>
        <w:rPr>
          <w:rFonts w:cstheme="minorHAnsi"/>
          <w:sz w:val="24"/>
          <w:szCs w:val="24"/>
        </w:rPr>
        <w:t xml:space="preserve">S. </w:t>
      </w:r>
      <w:r w:rsidRPr="004A6883">
        <w:rPr>
          <w:rFonts w:cstheme="minorHAnsi"/>
          <w:sz w:val="24"/>
          <w:szCs w:val="24"/>
        </w:rPr>
        <w:t xml:space="preserve">Hodkinson (eds.), </w:t>
      </w:r>
      <w:r w:rsidRPr="004A6883">
        <w:rPr>
          <w:rFonts w:cstheme="minorHAnsi"/>
          <w:i/>
          <w:sz w:val="24"/>
          <w:szCs w:val="24"/>
        </w:rPr>
        <w:t xml:space="preserve">Sparta in Modern Thought. </w:t>
      </w:r>
      <w:r w:rsidRPr="004A6883">
        <w:rPr>
          <w:rFonts w:cstheme="minorHAnsi"/>
          <w:sz w:val="24"/>
          <w:szCs w:val="24"/>
        </w:rPr>
        <w:t>Swansea: The Classical Press of Wales,</w:t>
      </w:r>
      <w:r>
        <w:rPr>
          <w:rFonts w:cstheme="minorHAnsi"/>
          <w:sz w:val="24"/>
          <w:szCs w:val="24"/>
        </w:rPr>
        <w:t xml:space="preserve"> 315-342</w:t>
      </w:r>
      <w:r w:rsidRPr="004A6883">
        <w:rPr>
          <w:rFonts w:cstheme="minorHAnsi"/>
          <w:sz w:val="24"/>
          <w:szCs w:val="24"/>
        </w:rPr>
        <w:t>.</w:t>
      </w:r>
    </w:p>
    <w:p w14:paraId="0473A560" w14:textId="47F0CB72" w:rsidR="00625484" w:rsidRDefault="00625484">
      <w:pPr>
        <w:rPr>
          <w:rFonts w:cstheme="minorHAnsi"/>
          <w:sz w:val="24"/>
          <w:szCs w:val="24"/>
        </w:rPr>
      </w:pPr>
      <w:r>
        <w:rPr>
          <w:rFonts w:cstheme="minorHAnsi"/>
          <w:sz w:val="24"/>
          <w:szCs w:val="24"/>
        </w:rPr>
        <w:t xml:space="preserve">Whitby, M. 1994. ‘Two Shadows: images of Spartans and helots’, in A. Powell &amp; S. Hodkinson (eds.), </w:t>
      </w:r>
      <w:r>
        <w:rPr>
          <w:rFonts w:cstheme="minorHAnsi"/>
          <w:i/>
          <w:sz w:val="24"/>
          <w:szCs w:val="24"/>
        </w:rPr>
        <w:t xml:space="preserve">The Shadow of Sparta. </w:t>
      </w:r>
      <w:r>
        <w:rPr>
          <w:rFonts w:cstheme="minorHAnsi"/>
          <w:sz w:val="24"/>
          <w:szCs w:val="24"/>
        </w:rPr>
        <w:t>Swansea: The Classical Press of Wales</w:t>
      </w:r>
      <w:r w:rsidR="00486ED5">
        <w:rPr>
          <w:rFonts w:cstheme="minorHAnsi"/>
          <w:sz w:val="24"/>
          <w:szCs w:val="24"/>
        </w:rPr>
        <w:t>, 87-126</w:t>
      </w:r>
    </w:p>
    <w:p w14:paraId="7BB9B1EC" w14:textId="3074F445" w:rsidR="00836FAB" w:rsidRPr="00625484" w:rsidRDefault="00836FAB">
      <w:pPr>
        <w:rPr>
          <w:rFonts w:cstheme="minorHAnsi"/>
          <w:sz w:val="24"/>
          <w:szCs w:val="24"/>
        </w:rPr>
      </w:pPr>
      <w:r>
        <w:rPr>
          <w:rFonts w:cstheme="minorHAnsi"/>
          <w:sz w:val="24"/>
          <w:szCs w:val="24"/>
        </w:rPr>
        <w:t xml:space="preserve">Winston, M. 2012. ‘Spartans and savages: mirage and myth in eighteenth-century France’, </w:t>
      </w:r>
      <w:r w:rsidRPr="004A6883">
        <w:rPr>
          <w:rFonts w:cstheme="minorHAnsi"/>
          <w:sz w:val="24"/>
          <w:szCs w:val="24"/>
        </w:rPr>
        <w:t>in</w:t>
      </w:r>
      <w:r>
        <w:rPr>
          <w:rFonts w:cstheme="minorHAnsi"/>
          <w:sz w:val="24"/>
          <w:szCs w:val="24"/>
        </w:rPr>
        <w:t xml:space="preserve"> I.M.</w:t>
      </w:r>
      <w:r w:rsidRPr="004A6883">
        <w:rPr>
          <w:rFonts w:cstheme="minorHAnsi"/>
          <w:sz w:val="24"/>
          <w:szCs w:val="24"/>
        </w:rPr>
        <w:t xml:space="preserve"> Morris &amp; </w:t>
      </w:r>
      <w:r>
        <w:rPr>
          <w:rFonts w:cstheme="minorHAnsi"/>
          <w:sz w:val="24"/>
          <w:szCs w:val="24"/>
        </w:rPr>
        <w:t xml:space="preserve">S. </w:t>
      </w:r>
      <w:r w:rsidRPr="004A6883">
        <w:rPr>
          <w:rFonts w:cstheme="minorHAnsi"/>
          <w:sz w:val="24"/>
          <w:szCs w:val="24"/>
        </w:rPr>
        <w:t xml:space="preserve">Hodkinson (eds.), </w:t>
      </w:r>
      <w:r w:rsidRPr="004A6883">
        <w:rPr>
          <w:rFonts w:cstheme="minorHAnsi"/>
          <w:i/>
          <w:sz w:val="24"/>
          <w:szCs w:val="24"/>
        </w:rPr>
        <w:t xml:space="preserve">Sparta in Modern Thought. </w:t>
      </w:r>
      <w:r w:rsidRPr="004A6883">
        <w:rPr>
          <w:rFonts w:cstheme="minorHAnsi"/>
          <w:sz w:val="24"/>
          <w:szCs w:val="24"/>
        </w:rPr>
        <w:t>Swansea: The Classical Press of Wales,</w:t>
      </w:r>
      <w:r>
        <w:rPr>
          <w:rFonts w:cstheme="minorHAnsi"/>
          <w:sz w:val="24"/>
          <w:szCs w:val="24"/>
        </w:rPr>
        <w:t xml:space="preserve"> 105-164</w:t>
      </w:r>
      <w:r w:rsidRPr="004A6883">
        <w:rPr>
          <w:rFonts w:cstheme="minorHAnsi"/>
          <w:sz w:val="24"/>
          <w:szCs w:val="24"/>
        </w:rPr>
        <w:t>.</w:t>
      </w:r>
    </w:p>
    <w:p w14:paraId="0E5C3668" w14:textId="77777777" w:rsidR="00315F7E" w:rsidRPr="00315F7E" w:rsidRDefault="00315F7E"/>
    <w:sectPr w:rsidR="00315F7E" w:rsidRPr="00315F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7518D" w14:textId="77777777" w:rsidR="00995B3F" w:rsidRDefault="00995B3F" w:rsidP="000C6D58">
      <w:pPr>
        <w:spacing w:after="0" w:line="240" w:lineRule="auto"/>
      </w:pPr>
      <w:r>
        <w:separator/>
      </w:r>
    </w:p>
  </w:endnote>
  <w:endnote w:type="continuationSeparator" w:id="0">
    <w:p w14:paraId="783A78C2" w14:textId="77777777" w:rsidR="00995B3F" w:rsidRDefault="00995B3F" w:rsidP="000C6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00D26" w14:textId="77777777" w:rsidR="00995B3F" w:rsidRDefault="00995B3F" w:rsidP="000C6D58">
      <w:pPr>
        <w:spacing w:after="0" w:line="240" w:lineRule="auto"/>
      </w:pPr>
      <w:r>
        <w:separator/>
      </w:r>
    </w:p>
  </w:footnote>
  <w:footnote w:type="continuationSeparator" w:id="0">
    <w:p w14:paraId="536C46E9" w14:textId="77777777" w:rsidR="00995B3F" w:rsidRDefault="00995B3F" w:rsidP="000C6D58">
      <w:pPr>
        <w:spacing w:after="0" w:line="240" w:lineRule="auto"/>
      </w:pPr>
      <w:r>
        <w:continuationSeparator/>
      </w:r>
    </w:p>
  </w:footnote>
  <w:footnote w:id="1">
    <w:p w14:paraId="47CCE3D8" w14:textId="524F806B" w:rsidR="00A46784" w:rsidRDefault="00A46784">
      <w:pPr>
        <w:pStyle w:val="FootnoteText"/>
      </w:pPr>
      <w:r>
        <w:rPr>
          <w:rStyle w:val="FootnoteReference"/>
        </w:rPr>
        <w:footnoteRef/>
      </w:r>
      <w:r>
        <w:t xml:space="preserve"> Morris &amp; Hodkinson 2012: vii-ix</w:t>
      </w:r>
    </w:p>
  </w:footnote>
  <w:footnote w:id="2">
    <w:p w14:paraId="41655F53" w14:textId="6A0F095D" w:rsidR="00A46784" w:rsidRDefault="00A46784">
      <w:pPr>
        <w:pStyle w:val="FootnoteText"/>
      </w:pPr>
      <w:r>
        <w:rPr>
          <w:rStyle w:val="FootnoteReference"/>
        </w:rPr>
        <w:footnoteRef/>
      </w:r>
      <w:r>
        <w:t xml:space="preserve"> Morris &amp; Hodkinson 2012: vii-ix</w:t>
      </w:r>
    </w:p>
  </w:footnote>
  <w:footnote w:id="3">
    <w:p w14:paraId="4CF7238A" w14:textId="59B19282" w:rsidR="00A46784" w:rsidRDefault="00A46784">
      <w:pPr>
        <w:pStyle w:val="FootnoteText"/>
      </w:pPr>
      <w:r>
        <w:rPr>
          <w:rStyle w:val="FootnoteReference"/>
        </w:rPr>
        <w:footnoteRef/>
      </w:r>
      <w:r>
        <w:t xml:space="preserve"> Cartledge 2006: 46</w:t>
      </w:r>
      <w:r w:rsidR="00930AC0">
        <w:t>; Cartledge 2001: 26, 93, 96, 112-113</w:t>
      </w:r>
    </w:p>
  </w:footnote>
  <w:footnote w:id="4">
    <w:p w14:paraId="4C4768FF" w14:textId="3199240C" w:rsidR="00A46784" w:rsidRDefault="00A46784">
      <w:pPr>
        <w:pStyle w:val="FootnoteText"/>
      </w:pPr>
      <w:r>
        <w:rPr>
          <w:rStyle w:val="FootnoteReference"/>
        </w:rPr>
        <w:footnoteRef/>
      </w:r>
      <w:r>
        <w:t xml:space="preserve"> Cartledge 2001: 26, 112</w:t>
      </w:r>
    </w:p>
  </w:footnote>
  <w:footnote w:id="5">
    <w:p w14:paraId="6972E5DC" w14:textId="503F5C9D" w:rsidR="00A46784" w:rsidRDefault="00A46784">
      <w:pPr>
        <w:pStyle w:val="FootnoteText"/>
      </w:pPr>
      <w:r>
        <w:rPr>
          <w:rStyle w:val="FootnoteReference"/>
        </w:rPr>
        <w:footnoteRef/>
      </w:r>
      <w:r>
        <w:t xml:space="preserve"> Cartledge 2006: 46</w:t>
      </w:r>
    </w:p>
  </w:footnote>
  <w:footnote w:id="6">
    <w:p w14:paraId="35E5DF0A" w14:textId="3C67A5F6" w:rsidR="00A46784" w:rsidRDefault="00A46784">
      <w:pPr>
        <w:pStyle w:val="FootnoteText"/>
      </w:pPr>
      <w:r>
        <w:rPr>
          <w:rStyle w:val="FootnoteReference"/>
        </w:rPr>
        <w:footnoteRef/>
      </w:r>
      <w:r>
        <w:t xml:space="preserve"> </w:t>
      </w:r>
      <w:proofErr w:type="spellStart"/>
      <w:r>
        <w:t>Plut</w:t>
      </w:r>
      <w:proofErr w:type="spellEnd"/>
      <w:r>
        <w:t xml:space="preserve">. </w:t>
      </w:r>
      <w:r w:rsidRPr="006053F9">
        <w:rPr>
          <w:i/>
        </w:rPr>
        <w:t>Ages</w:t>
      </w:r>
      <w:r>
        <w:t xml:space="preserve">. 1.1; Plut. </w:t>
      </w:r>
      <w:r w:rsidRPr="00E978BE">
        <w:rPr>
          <w:i/>
        </w:rPr>
        <w:t>Alc.</w:t>
      </w:r>
      <w:r>
        <w:t xml:space="preserve"> 1.1; Plut. </w:t>
      </w:r>
      <w:r w:rsidRPr="00E978BE">
        <w:rPr>
          <w:i/>
        </w:rPr>
        <w:t xml:space="preserve">Lyc. </w:t>
      </w:r>
      <w:r>
        <w:t>1.1; Rhodes 2007: 65; Cartledge 2001: 112</w:t>
      </w:r>
    </w:p>
  </w:footnote>
  <w:footnote w:id="7">
    <w:p w14:paraId="723BCB2F" w14:textId="34028B4F" w:rsidR="00A46784" w:rsidRDefault="00A46784">
      <w:pPr>
        <w:pStyle w:val="FootnoteText"/>
      </w:pPr>
      <w:r>
        <w:rPr>
          <w:rStyle w:val="FootnoteReference"/>
        </w:rPr>
        <w:footnoteRef/>
      </w:r>
      <w:r>
        <w:t xml:space="preserve"> Whitby 1994: 108; Cartledge 2001: 112</w:t>
      </w:r>
    </w:p>
  </w:footnote>
  <w:footnote w:id="8">
    <w:p w14:paraId="79CA8CC2" w14:textId="77777777" w:rsidR="00A46784" w:rsidRDefault="00A46784" w:rsidP="004A6883">
      <w:pPr>
        <w:pStyle w:val="FootnoteText"/>
      </w:pPr>
      <w:r>
        <w:rPr>
          <w:rStyle w:val="FootnoteReference"/>
        </w:rPr>
        <w:footnoteRef/>
      </w:r>
      <w:r>
        <w:t xml:space="preserve"> </w:t>
      </w:r>
      <w:proofErr w:type="spellStart"/>
      <w:r>
        <w:t>Stadter</w:t>
      </w:r>
      <w:proofErr w:type="spellEnd"/>
      <w:r>
        <w:t xml:space="preserve"> 1958: 22</w:t>
      </w:r>
    </w:p>
  </w:footnote>
  <w:footnote w:id="9">
    <w:p w14:paraId="6CCFE422" w14:textId="014AE1EF" w:rsidR="00A46784" w:rsidRDefault="00A46784">
      <w:pPr>
        <w:pStyle w:val="FootnoteText"/>
      </w:pPr>
      <w:r>
        <w:rPr>
          <w:rStyle w:val="FootnoteReference"/>
        </w:rPr>
        <w:footnoteRef/>
      </w:r>
      <w:r>
        <w:t xml:space="preserve"> Beck 2014: 4</w:t>
      </w:r>
    </w:p>
  </w:footnote>
  <w:footnote w:id="10">
    <w:p w14:paraId="7D0D8C37" w14:textId="69F5E858" w:rsidR="00A46784" w:rsidRDefault="00A46784">
      <w:pPr>
        <w:pStyle w:val="FootnoteText"/>
      </w:pPr>
      <w:r>
        <w:rPr>
          <w:rStyle w:val="FootnoteReference"/>
        </w:rPr>
        <w:footnoteRef/>
      </w:r>
      <w:r>
        <w:t xml:space="preserve"> </w:t>
      </w:r>
      <w:proofErr w:type="spellStart"/>
      <w:r>
        <w:t>Stadter</w:t>
      </w:r>
      <w:proofErr w:type="spellEnd"/>
      <w:r>
        <w:t xml:space="preserve"> 1958: 5</w:t>
      </w:r>
    </w:p>
  </w:footnote>
  <w:footnote w:id="11">
    <w:p w14:paraId="0F1B4664" w14:textId="5E78229F" w:rsidR="00A46784" w:rsidRDefault="00A46784">
      <w:pPr>
        <w:pStyle w:val="FootnoteText"/>
      </w:pPr>
      <w:r>
        <w:rPr>
          <w:rStyle w:val="FootnoteReference"/>
        </w:rPr>
        <w:footnoteRef/>
      </w:r>
      <w:r>
        <w:t xml:space="preserve"> </w:t>
      </w:r>
      <w:proofErr w:type="spellStart"/>
      <w:r>
        <w:t>Stadter</w:t>
      </w:r>
      <w:proofErr w:type="spellEnd"/>
      <w:r>
        <w:t xml:space="preserve"> 1958: 5</w:t>
      </w:r>
    </w:p>
  </w:footnote>
  <w:footnote w:id="12">
    <w:p w14:paraId="03A65867" w14:textId="0AF05EFD" w:rsidR="00A46784" w:rsidRPr="00E978BE" w:rsidRDefault="00A46784">
      <w:pPr>
        <w:pStyle w:val="FootnoteText"/>
      </w:pPr>
      <w:r>
        <w:rPr>
          <w:rStyle w:val="FootnoteReference"/>
        </w:rPr>
        <w:footnoteRef/>
      </w:r>
      <w:r>
        <w:t xml:space="preserve"> </w:t>
      </w:r>
      <w:proofErr w:type="spellStart"/>
      <w:r>
        <w:t>Chrimes</w:t>
      </w:r>
      <w:proofErr w:type="spellEnd"/>
      <w:r>
        <w:t xml:space="preserve"> 1999: 266; </w:t>
      </w:r>
      <w:proofErr w:type="spellStart"/>
      <w:r>
        <w:t>Plut</w:t>
      </w:r>
      <w:proofErr w:type="spellEnd"/>
      <w:r>
        <w:t>.</w:t>
      </w:r>
      <w:r w:rsidRPr="00E978BE">
        <w:rPr>
          <w:i/>
        </w:rPr>
        <w:t xml:space="preserve"> Inst.</w:t>
      </w:r>
      <w:r>
        <w:rPr>
          <w:i/>
        </w:rPr>
        <w:t xml:space="preserve"> </w:t>
      </w:r>
      <w:r>
        <w:t>7</w:t>
      </w:r>
    </w:p>
  </w:footnote>
  <w:footnote w:id="13">
    <w:p w14:paraId="7DF404A7" w14:textId="5375E037" w:rsidR="00A46784" w:rsidRPr="00E978BE" w:rsidRDefault="00A46784">
      <w:pPr>
        <w:pStyle w:val="FootnoteText"/>
      </w:pPr>
      <w:r>
        <w:rPr>
          <w:rStyle w:val="FootnoteReference"/>
        </w:rPr>
        <w:footnoteRef/>
      </w:r>
      <w:r>
        <w:t xml:space="preserve"> </w:t>
      </w:r>
      <w:proofErr w:type="spellStart"/>
      <w:r>
        <w:t>Plut</w:t>
      </w:r>
      <w:proofErr w:type="spellEnd"/>
      <w:r>
        <w:t xml:space="preserve">. </w:t>
      </w:r>
      <w:r w:rsidRPr="00E978BE">
        <w:rPr>
          <w:i/>
        </w:rPr>
        <w:t>Inst</w:t>
      </w:r>
      <w:r>
        <w:t>. 7</w:t>
      </w:r>
    </w:p>
  </w:footnote>
  <w:footnote w:id="14">
    <w:p w14:paraId="4B5A7B1D" w14:textId="44B92362" w:rsidR="00A46784" w:rsidRDefault="00A46784">
      <w:pPr>
        <w:pStyle w:val="FootnoteText"/>
      </w:pPr>
      <w:r>
        <w:rPr>
          <w:rStyle w:val="FootnoteReference"/>
        </w:rPr>
        <w:footnoteRef/>
      </w:r>
      <w:r>
        <w:t xml:space="preserve"> </w:t>
      </w:r>
      <w:proofErr w:type="spellStart"/>
      <w:r>
        <w:t>Plut</w:t>
      </w:r>
      <w:proofErr w:type="spellEnd"/>
      <w:r>
        <w:t>.</w:t>
      </w:r>
      <w:r w:rsidRPr="00B677CA">
        <w:rPr>
          <w:i/>
        </w:rPr>
        <w:t xml:space="preserve"> Ages</w:t>
      </w:r>
      <w:r>
        <w:t>. 1.1</w:t>
      </w:r>
    </w:p>
  </w:footnote>
  <w:footnote w:id="15">
    <w:p w14:paraId="25294C2A" w14:textId="07240A3E" w:rsidR="00A46784" w:rsidRDefault="00A46784">
      <w:pPr>
        <w:pStyle w:val="FootnoteText"/>
      </w:pPr>
      <w:r>
        <w:rPr>
          <w:rStyle w:val="FootnoteReference"/>
        </w:rPr>
        <w:footnoteRef/>
      </w:r>
      <w:r>
        <w:t xml:space="preserve"> Cartledge 2001: 93</w:t>
      </w:r>
    </w:p>
  </w:footnote>
  <w:footnote w:id="16">
    <w:p w14:paraId="35DDA2AB" w14:textId="07CBC7B2" w:rsidR="00A46784" w:rsidRDefault="00A46784">
      <w:pPr>
        <w:pStyle w:val="FootnoteText"/>
      </w:pPr>
      <w:r>
        <w:rPr>
          <w:rStyle w:val="FootnoteReference"/>
        </w:rPr>
        <w:footnoteRef/>
      </w:r>
      <w:r>
        <w:t xml:space="preserve"> Xen. </w:t>
      </w:r>
      <w:r w:rsidRPr="00282998">
        <w:rPr>
          <w:i/>
        </w:rPr>
        <w:t>Hell.</w:t>
      </w:r>
      <w:r>
        <w:t xml:space="preserve"> 5.3.9; Beck 2014: 4.</w:t>
      </w:r>
    </w:p>
  </w:footnote>
  <w:footnote w:id="17">
    <w:p w14:paraId="5D7493E1" w14:textId="28E87D5F" w:rsidR="00A46784" w:rsidRDefault="00A46784">
      <w:pPr>
        <w:pStyle w:val="FootnoteText"/>
      </w:pPr>
      <w:r>
        <w:rPr>
          <w:rStyle w:val="FootnoteReference"/>
        </w:rPr>
        <w:footnoteRef/>
      </w:r>
      <w:r>
        <w:t xml:space="preserve"> Rawson 1969: 108-109</w:t>
      </w:r>
    </w:p>
  </w:footnote>
  <w:footnote w:id="18">
    <w:p w14:paraId="619A71A0" w14:textId="6C1C94E0" w:rsidR="00A46784" w:rsidRDefault="00A46784">
      <w:pPr>
        <w:pStyle w:val="FootnoteText"/>
      </w:pPr>
      <w:r>
        <w:rPr>
          <w:rStyle w:val="FootnoteReference"/>
        </w:rPr>
        <w:footnoteRef/>
      </w:r>
      <w:r>
        <w:t xml:space="preserve"> Rawson 1969: 108-109</w:t>
      </w:r>
    </w:p>
  </w:footnote>
  <w:footnote w:id="19">
    <w:p w14:paraId="5926BC8E" w14:textId="2EE00877" w:rsidR="00A46784" w:rsidRDefault="00A46784">
      <w:pPr>
        <w:pStyle w:val="FootnoteText"/>
      </w:pPr>
      <w:r>
        <w:rPr>
          <w:rStyle w:val="FootnoteReference"/>
        </w:rPr>
        <w:footnoteRef/>
      </w:r>
      <w:r>
        <w:t xml:space="preserve"> Beck 2014: 4</w:t>
      </w:r>
    </w:p>
  </w:footnote>
  <w:footnote w:id="20">
    <w:p w14:paraId="5FCB3B32" w14:textId="77777777" w:rsidR="00CD1753" w:rsidRDefault="00CD1753" w:rsidP="00CD1753">
      <w:pPr>
        <w:pStyle w:val="FootnoteText"/>
      </w:pPr>
      <w:r>
        <w:rPr>
          <w:rStyle w:val="FootnoteReference"/>
        </w:rPr>
        <w:footnoteRef/>
      </w:r>
      <w:r>
        <w:t xml:space="preserve"> </w:t>
      </w:r>
      <w:proofErr w:type="spellStart"/>
      <w:r>
        <w:t>Plut</w:t>
      </w:r>
      <w:proofErr w:type="spellEnd"/>
      <w:r>
        <w:t xml:space="preserve">. </w:t>
      </w:r>
      <w:proofErr w:type="spellStart"/>
      <w:r w:rsidRPr="00B677CA">
        <w:rPr>
          <w:i/>
        </w:rPr>
        <w:t>Pyrrh</w:t>
      </w:r>
      <w:proofErr w:type="spellEnd"/>
      <w:r>
        <w:t>. 28.2-3</w:t>
      </w:r>
    </w:p>
  </w:footnote>
  <w:footnote w:id="21">
    <w:p w14:paraId="51C49C74" w14:textId="09A0F8DB" w:rsidR="002F08F9" w:rsidRDefault="002F08F9">
      <w:pPr>
        <w:pStyle w:val="FootnoteText"/>
      </w:pPr>
      <w:r>
        <w:rPr>
          <w:rStyle w:val="FootnoteReference"/>
        </w:rPr>
        <w:footnoteRef/>
      </w:r>
      <w:r>
        <w:t xml:space="preserve"> </w:t>
      </w:r>
      <w:proofErr w:type="spellStart"/>
      <w:r>
        <w:t>Plut</w:t>
      </w:r>
      <w:proofErr w:type="spellEnd"/>
      <w:r>
        <w:t xml:space="preserve">. </w:t>
      </w:r>
      <w:proofErr w:type="spellStart"/>
      <w:r w:rsidRPr="00B677CA">
        <w:rPr>
          <w:i/>
        </w:rPr>
        <w:t>Pyrrh</w:t>
      </w:r>
      <w:proofErr w:type="spellEnd"/>
      <w:r>
        <w:t>. 28.2-3</w:t>
      </w:r>
    </w:p>
  </w:footnote>
  <w:footnote w:id="22">
    <w:p w14:paraId="1C51559D" w14:textId="2B88CB6B" w:rsidR="00400465" w:rsidRDefault="00400465">
      <w:pPr>
        <w:pStyle w:val="FootnoteText"/>
      </w:pPr>
      <w:r>
        <w:rPr>
          <w:rStyle w:val="FootnoteReference"/>
        </w:rPr>
        <w:footnoteRef/>
      </w:r>
      <w:r>
        <w:t xml:space="preserve"> </w:t>
      </w:r>
      <w:proofErr w:type="spellStart"/>
      <w:r>
        <w:t>Plut</w:t>
      </w:r>
      <w:proofErr w:type="spellEnd"/>
      <w:r>
        <w:t xml:space="preserve">. </w:t>
      </w:r>
      <w:proofErr w:type="spellStart"/>
      <w:r w:rsidRPr="00B677CA">
        <w:rPr>
          <w:i/>
        </w:rPr>
        <w:t>Pyrrh</w:t>
      </w:r>
      <w:proofErr w:type="spellEnd"/>
      <w:r>
        <w:t>. 28.2-3; Cartledge 2001: 170</w:t>
      </w:r>
    </w:p>
  </w:footnote>
  <w:footnote w:id="23">
    <w:p w14:paraId="2CFC9756" w14:textId="286DA897" w:rsidR="00A46784" w:rsidRDefault="00A46784">
      <w:pPr>
        <w:pStyle w:val="FootnoteText"/>
      </w:pPr>
      <w:r>
        <w:rPr>
          <w:rStyle w:val="FootnoteReference"/>
        </w:rPr>
        <w:footnoteRef/>
      </w:r>
      <w:r>
        <w:t xml:space="preserve"> </w:t>
      </w:r>
      <w:proofErr w:type="spellStart"/>
      <w:r>
        <w:t>Plut</w:t>
      </w:r>
      <w:proofErr w:type="spellEnd"/>
      <w:r>
        <w:t xml:space="preserve">. </w:t>
      </w:r>
      <w:proofErr w:type="spellStart"/>
      <w:r w:rsidRPr="00A46784">
        <w:rPr>
          <w:i/>
        </w:rPr>
        <w:t>Lacae</w:t>
      </w:r>
      <w:proofErr w:type="spellEnd"/>
      <w:r>
        <w:t>. 3.1</w:t>
      </w:r>
    </w:p>
  </w:footnote>
  <w:footnote w:id="24">
    <w:p w14:paraId="5A8038DE" w14:textId="47242608" w:rsidR="006440BB" w:rsidRDefault="006440BB">
      <w:pPr>
        <w:pStyle w:val="FootnoteText"/>
      </w:pPr>
      <w:r>
        <w:rPr>
          <w:rStyle w:val="FootnoteReference"/>
        </w:rPr>
        <w:footnoteRef/>
      </w:r>
      <w:r>
        <w:t xml:space="preserve"> </w:t>
      </w:r>
      <w:proofErr w:type="spellStart"/>
      <w:r>
        <w:t>Plut</w:t>
      </w:r>
      <w:proofErr w:type="spellEnd"/>
      <w:r>
        <w:t xml:space="preserve">. </w:t>
      </w:r>
      <w:proofErr w:type="spellStart"/>
      <w:r w:rsidRPr="006440BB">
        <w:rPr>
          <w:i/>
        </w:rPr>
        <w:t>Lacae</w:t>
      </w:r>
      <w:proofErr w:type="spellEnd"/>
      <w:r>
        <w:t xml:space="preserve">. 3.1; </w:t>
      </w:r>
      <w:proofErr w:type="spellStart"/>
      <w:r>
        <w:t>Figueira</w:t>
      </w:r>
      <w:proofErr w:type="spellEnd"/>
      <w:r>
        <w:t xml:space="preserve"> 2010: 266</w:t>
      </w:r>
    </w:p>
  </w:footnote>
  <w:footnote w:id="25">
    <w:p w14:paraId="3B6D1412" w14:textId="6FB781F1" w:rsidR="00A46784" w:rsidRPr="00A46784" w:rsidRDefault="00A46784">
      <w:pPr>
        <w:pStyle w:val="FootnoteText"/>
      </w:pPr>
      <w:r>
        <w:rPr>
          <w:rStyle w:val="FootnoteReference"/>
        </w:rPr>
        <w:footnoteRef/>
      </w:r>
      <w:r>
        <w:t xml:space="preserve"> </w:t>
      </w:r>
      <w:proofErr w:type="spellStart"/>
      <w:r>
        <w:t>Plut</w:t>
      </w:r>
      <w:proofErr w:type="spellEnd"/>
      <w:r>
        <w:t xml:space="preserve">. </w:t>
      </w:r>
      <w:proofErr w:type="spellStart"/>
      <w:r>
        <w:rPr>
          <w:i/>
        </w:rPr>
        <w:t>Lacae</w:t>
      </w:r>
      <w:proofErr w:type="spellEnd"/>
      <w:r>
        <w:rPr>
          <w:i/>
        </w:rPr>
        <w:t xml:space="preserve">. </w:t>
      </w:r>
      <w:r>
        <w:t>3.4</w:t>
      </w:r>
    </w:p>
  </w:footnote>
  <w:footnote w:id="26">
    <w:p w14:paraId="6530DC68" w14:textId="2B421136" w:rsidR="00A46784" w:rsidRDefault="00A46784">
      <w:pPr>
        <w:pStyle w:val="FootnoteText"/>
      </w:pPr>
      <w:r>
        <w:rPr>
          <w:rStyle w:val="FootnoteReference"/>
        </w:rPr>
        <w:footnoteRef/>
      </w:r>
      <w:r>
        <w:t xml:space="preserve"> </w:t>
      </w:r>
      <w:proofErr w:type="spellStart"/>
      <w:r>
        <w:t>Plut</w:t>
      </w:r>
      <w:proofErr w:type="spellEnd"/>
      <w:r>
        <w:t xml:space="preserve">. </w:t>
      </w:r>
      <w:proofErr w:type="spellStart"/>
      <w:r w:rsidRPr="00A46784">
        <w:rPr>
          <w:i/>
        </w:rPr>
        <w:t>Lacae</w:t>
      </w:r>
      <w:proofErr w:type="spellEnd"/>
      <w:r>
        <w:t>. 3.5</w:t>
      </w:r>
    </w:p>
  </w:footnote>
  <w:footnote w:id="27">
    <w:p w14:paraId="0514BFCF" w14:textId="4B4995A4" w:rsidR="006440BB" w:rsidRDefault="006440BB">
      <w:pPr>
        <w:pStyle w:val="FootnoteText"/>
      </w:pPr>
      <w:r>
        <w:rPr>
          <w:rStyle w:val="FootnoteReference"/>
        </w:rPr>
        <w:footnoteRef/>
      </w:r>
      <w:r>
        <w:t xml:space="preserve"> </w:t>
      </w:r>
      <w:proofErr w:type="spellStart"/>
      <w:r>
        <w:t>Figueira</w:t>
      </w:r>
      <w:proofErr w:type="spellEnd"/>
      <w:r>
        <w:t xml:space="preserve"> 2010: 265</w:t>
      </w:r>
    </w:p>
  </w:footnote>
  <w:footnote w:id="28">
    <w:p w14:paraId="16ABD190" w14:textId="380F49B6" w:rsidR="00816C63" w:rsidRDefault="00816C63">
      <w:pPr>
        <w:pStyle w:val="FootnoteText"/>
      </w:pPr>
      <w:r>
        <w:rPr>
          <w:rStyle w:val="FootnoteReference"/>
        </w:rPr>
        <w:footnoteRef/>
      </w:r>
      <w:r>
        <w:t xml:space="preserve"> </w:t>
      </w:r>
      <w:proofErr w:type="spellStart"/>
      <w:r>
        <w:t>Figueira</w:t>
      </w:r>
      <w:proofErr w:type="spellEnd"/>
      <w:r>
        <w:t xml:space="preserve"> 2010: 267</w:t>
      </w:r>
    </w:p>
  </w:footnote>
  <w:footnote w:id="29">
    <w:p w14:paraId="609DA370" w14:textId="2719DF48" w:rsidR="00816C63" w:rsidRDefault="00816C63">
      <w:pPr>
        <w:pStyle w:val="FootnoteText"/>
      </w:pPr>
      <w:r>
        <w:rPr>
          <w:rStyle w:val="FootnoteReference"/>
        </w:rPr>
        <w:footnoteRef/>
      </w:r>
      <w:r>
        <w:t xml:space="preserve"> </w:t>
      </w:r>
      <w:proofErr w:type="spellStart"/>
      <w:r>
        <w:t>Figueira</w:t>
      </w:r>
      <w:proofErr w:type="spellEnd"/>
      <w:r>
        <w:t xml:space="preserve"> 2010: 267</w:t>
      </w:r>
    </w:p>
  </w:footnote>
  <w:footnote w:id="30">
    <w:p w14:paraId="38A18622" w14:textId="55F3E8CC" w:rsidR="00D84839" w:rsidRDefault="00D84839">
      <w:pPr>
        <w:pStyle w:val="FootnoteText"/>
      </w:pPr>
      <w:r>
        <w:rPr>
          <w:rStyle w:val="FootnoteReference"/>
        </w:rPr>
        <w:footnoteRef/>
      </w:r>
      <w:r>
        <w:t xml:space="preserve"> Beck 1958: 6</w:t>
      </w:r>
    </w:p>
  </w:footnote>
  <w:footnote w:id="31">
    <w:p w14:paraId="66FC001B" w14:textId="50427786" w:rsidR="00E03528" w:rsidRDefault="00E03528">
      <w:pPr>
        <w:pStyle w:val="FootnoteText"/>
      </w:pPr>
      <w:r>
        <w:rPr>
          <w:rStyle w:val="FootnoteReference"/>
        </w:rPr>
        <w:footnoteRef/>
      </w:r>
      <w:r>
        <w:t xml:space="preserve"> </w:t>
      </w:r>
      <w:proofErr w:type="spellStart"/>
      <w:r>
        <w:t>Plut</w:t>
      </w:r>
      <w:proofErr w:type="spellEnd"/>
      <w:r>
        <w:t xml:space="preserve">. </w:t>
      </w:r>
      <w:r w:rsidRPr="00E03528">
        <w:rPr>
          <w:i/>
        </w:rPr>
        <w:t>Ages</w:t>
      </w:r>
      <w:r>
        <w:t xml:space="preserve">. 29.5; </w:t>
      </w:r>
      <w:proofErr w:type="spellStart"/>
      <w:r>
        <w:t>Figueira</w:t>
      </w:r>
      <w:proofErr w:type="spellEnd"/>
      <w:r>
        <w:t xml:space="preserve"> 2010: 278</w:t>
      </w:r>
    </w:p>
  </w:footnote>
  <w:footnote w:id="32">
    <w:p w14:paraId="30308733" w14:textId="4519A268" w:rsidR="00E03528" w:rsidRDefault="00E03528">
      <w:pPr>
        <w:pStyle w:val="FootnoteText"/>
      </w:pPr>
      <w:r>
        <w:rPr>
          <w:rStyle w:val="FootnoteReference"/>
        </w:rPr>
        <w:footnoteRef/>
      </w:r>
      <w:r>
        <w:t xml:space="preserve"> </w:t>
      </w:r>
      <w:proofErr w:type="spellStart"/>
      <w:r>
        <w:t>Plut</w:t>
      </w:r>
      <w:proofErr w:type="spellEnd"/>
      <w:r>
        <w:t xml:space="preserve">. </w:t>
      </w:r>
      <w:r w:rsidRPr="00E03528">
        <w:rPr>
          <w:i/>
        </w:rPr>
        <w:t>Ages</w:t>
      </w:r>
      <w:r>
        <w:t xml:space="preserve">. 29.5; </w:t>
      </w:r>
      <w:proofErr w:type="spellStart"/>
      <w:r>
        <w:t>Figueira</w:t>
      </w:r>
      <w:proofErr w:type="spellEnd"/>
      <w:r>
        <w:t xml:space="preserve"> 2010: 278</w:t>
      </w:r>
    </w:p>
  </w:footnote>
  <w:footnote w:id="33">
    <w:p w14:paraId="4D261BBC" w14:textId="11CFBA62" w:rsidR="004111EA" w:rsidRDefault="004111EA">
      <w:pPr>
        <w:pStyle w:val="FootnoteText"/>
      </w:pPr>
      <w:r>
        <w:rPr>
          <w:rStyle w:val="FootnoteReference"/>
        </w:rPr>
        <w:footnoteRef/>
      </w:r>
      <w:r>
        <w:t xml:space="preserve"> </w:t>
      </w:r>
      <w:proofErr w:type="spellStart"/>
      <w:r>
        <w:t>Plut</w:t>
      </w:r>
      <w:proofErr w:type="spellEnd"/>
      <w:r>
        <w:t xml:space="preserve">. </w:t>
      </w:r>
      <w:r w:rsidRPr="004111EA">
        <w:rPr>
          <w:i/>
        </w:rPr>
        <w:t>Lyc</w:t>
      </w:r>
      <w:r>
        <w:t>. 27.3; Dillon 2007: 151</w:t>
      </w:r>
    </w:p>
  </w:footnote>
  <w:footnote w:id="34">
    <w:p w14:paraId="5A9F3C60" w14:textId="59F5FB89" w:rsidR="003D7E4C" w:rsidRDefault="003D7E4C">
      <w:pPr>
        <w:pStyle w:val="FootnoteText"/>
      </w:pPr>
      <w:r>
        <w:rPr>
          <w:rStyle w:val="FootnoteReference"/>
        </w:rPr>
        <w:footnoteRef/>
      </w:r>
      <w:r>
        <w:t xml:space="preserve"> Dillon 2007: 165</w:t>
      </w:r>
    </w:p>
  </w:footnote>
  <w:footnote w:id="35">
    <w:p w14:paraId="6462DEA6" w14:textId="4C9A9D09" w:rsidR="003D7E4C" w:rsidRDefault="003D7E4C">
      <w:pPr>
        <w:pStyle w:val="FootnoteText"/>
      </w:pPr>
      <w:r>
        <w:rPr>
          <w:rStyle w:val="FootnoteReference"/>
        </w:rPr>
        <w:footnoteRef/>
      </w:r>
      <w:r>
        <w:t xml:space="preserve"> </w:t>
      </w:r>
      <w:proofErr w:type="spellStart"/>
      <w:r>
        <w:t>Plut</w:t>
      </w:r>
      <w:proofErr w:type="spellEnd"/>
      <w:r>
        <w:t xml:space="preserve">. </w:t>
      </w:r>
      <w:r w:rsidRPr="003D7E4C">
        <w:rPr>
          <w:i/>
        </w:rPr>
        <w:t>Lyc</w:t>
      </w:r>
      <w:r>
        <w:t>. 14; Dillon 2007: 154-5</w:t>
      </w:r>
    </w:p>
  </w:footnote>
  <w:footnote w:id="36">
    <w:p w14:paraId="002F2BE1" w14:textId="665D7BE6" w:rsidR="00B4230D" w:rsidRDefault="00B4230D">
      <w:pPr>
        <w:pStyle w:val="FootnoteText"/>
      </w:pPr>
      <w:r>
        <w:rPr>
          <w:rStyle w:val="FootnoteReference"/>
        </w:rPr>
        <w:footnoteRef/>
      </w:r>
      <w:r>
        <w:t xml:space="preserve"> </w:t>
      </w:r>
      <w:proofErr w:type="spellStart"/>
      <w:r>
        <w:t>Plut</w:t>
      </w:r>
      <w:proofErr w:type="spellEnd"/>
      <w:r>
        <w:t xml:space="preserve"> </w:t>
      </w:r>
      <w:r w:rsidRPr="00B4230D">
        <w:rPr>
          <w:i/>
        </w:rPr>
        <w:t>Lys</w:t>
      </w:r>
      <w:r>
        <w:t>. 7</w:t>
      </w:r>
    </w:p>
  </w:footnote>
  <w:footnote w:id="37">
    <w:p w14:paraId="3A42DDF7" w14:textId="3244517E" w:rsidR="002F08F9" w:rsidRDefault="002F08F9">
      <w:pPr>
        <w:pStyle w:val="FootnoteText"/>
      </w:pPr>
      <w:r>
        <w:rPr>
          <w:rStyle w:val="FootnoteReference"/>
        </w:rPr>
        <w:footnoteRef/>
      </w:r>
      <w:r>
        <w:t xml:space="preserve"> Bradford 1994: 59</w:t>
      </w:r>
    </w:p>
  </w:footnote>
  <w:footnote w:id="38">
    <w:p w14:paraId="73DB2C51" w14:textId="4B1E7278" w:rsidR="00B4230D" w:rsidRDefault="00B4230D">
      <w:pPr>
        <w:pStyle w:val="FootnoteText"/>
      </w:pPr>
      <w:r>
        <w:rPr>
          <w:rStyle w:val="FootnoteReference"/>
        </w:rPr>
        <w:footnoteRef/>
      </w:r>
      <w:r>
        <w:t xml:space="preserve"> </w:t>
      </w:r>
      <w:proofErr w:type="spellStart"/>
      <w:r>
        <w:t>Plut</w:t>
      </w:r>
      <w:proofErr w:type="spellEnd"/>
      <w:r>
        <w:t xml:space="preserve">. </w:t>
      </w:r>
      <w:r w:rsidRPr="00B4230D">
        <w:rPr>
          <w:i/>
        </w:rPr>
        <w:t>Lys</w:t>
      </w:r>
      <w:r>
        <w:t>. 7</w:t>
      </w:r>
    </w:p>
  </w:footnote>
  <w:footnote w:id="39">
    <w:p w14:paraId="6626791B" w14:textId="608ACD3F" w:rsidR="00836FAB" w:rsidRDefault="00836FAB">
      <w:pPr>
        <w:pStyle w:val="FootnoteText"/>
      </w:pPr>
      <w:r>
        <w:rPr>
          <w:rStyle w:val="FootnoteReference"/>
        </w:rPr>
        <w:footnoteRef/>
      </w:r>
      <w:r>
        <w:t xml:space="preserve"> </w:t>
      </w:r>
      <w:proofErr w:type="spellStart"/>
      <w:r>
        <w:t>Plut</w:t>
      </w:r>
      <w:proofErr w:type="spellEnd"/>
      <w:r>
        <w:t xml:space="preserve"> </w:t>
      </w:r>
      <w:r w:rsidRPr="00836FAB">
        <w:rPr>
          <w:i/>
        </w:rPr>
        <w:t>Lys</w:t>
      </w:r>
      <w:r>
        <w:t>. 7, 9; Winston 2012: 131</w:t>
      </w:r>
    </w:p>
  </w:footnote>
  <w:footnote w:id="40">
    <w:p w14:paraId="7361BE4E" w14:textId="063148EA" w:rsidR="00836FAB" w:rsidRDefault="00836FAB">
      <w:pPr>
        <w:pStyle w:val="FootnoteText"/>
      </w:pPr>
      <w:r>
        <w:rPr>
          <w:rStyle w:val="FootnoteReference"/>
        </w:rPr>
        <w:footnoteRef/>
      </w:r>
      <w:r>
        <w:t xml:space="preserve"> </w:t>
      </w:r>
      <w:proofErr w:type="spellStart"/>
      <w:r w:rsidR="00670F9B">
        <w:t>Plut</w:t>
      </w:r>
      <w:proofErr w:type="spellEnd"/>
      <w:r w:rsidR="00670F9B">
        <w:t xml:space="preserve">. </w:t>
      </w:r>
      <w:r w:rsidR="00670F9B" w:rsidRPr="00670F9B">
        <w:rPr>
          <w:i/>
        </w:rPr>
        <w:t>Lys</w:t>
      </w:r>
      <w:r w:rsidR="00670F9B">
        <w:t>. 22; Roche 2012: 327</w:t>
      </w:r>
    </w:p>
  </w:footnote>
  <w:footnote w:id="41">
    <w:p w14:paraId="2BD29A55" w14:textId="7E1F893F" w:rsidR="00A46784" w:rsidRDefault="00A46784">
      <w:pPr>
        <w:pStyle w:val="FootnoteText"/>
      </w:pPr>
      <w:r>
        <w:rPr>
          <w:rStyle w:val="FootnoteReference"/>
        </w:rPr>
        <w:footnoteRef/>
      </w:r>
      <w:r>
        <w:t xml:space="preserve"> Cartledge 2001: 88</w:t>
      </w:r>
    </w:p>
  </w:footnote>
  <w:footnote w:id="42">
    <w:p w14:paraId="4A2D6ECF" w14:textId="4AFF4F3E" w:rsidR="00A46784" w:rsidRDefault="00A46784">
      <w:pPr>
        <w:pStyle w:val="FootnoteText"/>
      </w:pPr>
      <w:r>
        <w:rPr>
          <w:rStyle w:val="FootnoteReference"/>
        </w:rPr>
        <w:footnoteRef/>
      </w:r>
      <w:r>
        <w:t xml:space="preserve"> </w:t>
      </w:r>
      <w:proofErr w:type="spellStart"/>
      <w:r>
        <w:t>Plut</w:t>
      </w:r>
      <w:proofErr w:type="spellEnd"/>
      <w:r>
        <w:t xml:space="preserve">. </w:t>
      </w:r>
      <w:r w:rsidRPr="00973AF1">
        <w:rPr>
          <w:i/>
        </w:rPr>
        <w:t>Lyc</w:t>
      </w:r>
      <w:r>
        <w:t>. 28.2</w:t>
      </w:r>
    </w:p>
  </w:footnote>
  <w:footnote w:id="43">
    <w:p w14:paraId="5AF14B63" w14:textId="1D03E7D6" w:rsidR="00A46784" w:rsidRDefault="00A46784">
      <w:pPr>
        <w:pStyle w:val="FootnoteText"/>
      </w:pPr>
      <w:r>
        <w:rPr>
          <w:rStyle w:val="FootnoteReference"/>
        </w:rPr>
        <w:footnoteRef/>
      </w:r>
      <w:r>
        <w:t xml:space="preserve"> </w:t>
      </w:r>
      <w:proofErr w:type="spellStart"/>
      <w:r>
        <w:t>Plut</w:t>
      </w:r>
      <w:proofErr w:type="spellEnd"/>
      <w:r>
        <w:t xml:space="preserve">. </w:t>
      </w:r>
      <w:r w:rsidRPr="00422CFC">
        <w:rPr>
          <w:i/>
        </w:rPr>
        <w:t>Lyc</w:t>
      </w:r>
      <w:r>
        <w:t>. 28.2; Cartledge 2001: 88</w:t>
      </w:r>
    </w:p>
  </w:footnote>
  <w:footnote w:id="44">
    <w:p w14:paraId="6934C666" w14:textId="2D60429C" w:rsidR="00A46784" w:rsidRDefault="00A46784">
      <w:pPr>
        <w:pStyle w:val="FootnoteText"/>
      </w:pPr>
      <w:r>
        <w:rPr>
          <w:rStyle w:val="FootnoteReference"/>
        </w:rPr>
        <w:footnoteRef/>
      </w:r>
      <w:r>
        <w:t xml:space="preserve"> </w:t>
      </w:r>
      <w:proofErr w:type="spellStart"/>
      <w:r>
        <w:t>Plut</w:t>
      </w:r>
      <w:proofErr w:type="spellEnd"/>
      <w:r>
        <w:t xml:space="preserve">. </w:t>
      </w:r>
      <w:r w:rsidRPr="00422CFC">
        <w:rPr>
          <w:i/>
        </w:rPr>
        <w:t>Lyc.</w:t>
      </w:r>
      <w:r>
        <w:t xml:space="preserve"> 28.2, 31.2-3; Cartledge 2001: 88</w:t>
      </w:r>
    </w:p>
  </w:footnote>
  <w:footnote w:id="45">
    <w:p w14:paraId="39233661" w14:textId="70F5CF07" w:rsidR="00A46784" w:rsidRDefault="00A46784">
      <w:pPr>
        <w:pStyle w:val="FootnoteText"/>
      </w:pPr>
      <w:r>
        <w:rPr>
          <w:rStyle w:val="FootnoteReference"/>
        </w:rPr>
        <w:footnoteRef/>
      </w:r>
      <w:r>
        <w:t xml:space="preserve"> </w:t>
      </w:r>
      <w:proofErr w:type="spellStart"/>
      <w:r>
        <w:t>Plut</w:t>
      </w:r>
      <w:proofErr w:type="spellEnd"/>
      <w:r>
        <w:t xml:space="preserve">. </w:t>
      </w:r>
      <w:r w:rsidRPr="008C00A8">
        <w:rPr>
          <w:i/>
        </w:rPr>
        <w:t>Lyc.</w:t>
      </w:r>
      <w:r>
        <w:t xml:space="preserve"> 28.2, 31.3</w:t>
      </w:r>
    </w:p>
  </w:footnote>
  <w:footnote w:id="46">
    <w:p w14:paraId="6F4E2D36" w14:textId="715A1636" w:rsidR="00A46784" w:rsidRDefault="00A46784">
      <w:pPr>
        <w:pStyle w:val="FootnoteText"/>
      </w:pPr>
      <w:r>
        <w:rPr>
          <w:rStyle w:val="FootnoteReference"/>
        </w:rPr>
        <w:footnoteRef/>
      </w:r>
      <w:r>
        <w:t xml:space="preserve"> Rawson 1969: 170</w:t>
      </w:r>
    </w:p>
  </w:footnote>
  <w:footnote w:id="47">
    <w:p w14:paraId="21666A48" w14:textId="036BCA25" w:rsidR="00A46784" w:rsidRPr="00650391" w:rsidRDefault="00A46784">
      <w:pPr>
        <w:pStyle w:val="FootnoteText"/>
      </w:pPr>
      <w:r>
        <w:rPr>
          <w:rStyle w:val="FootnoteReference"/>
        </w:rPr>
        <w:footnoteRef/>
      </w:r>
      <w:r>
        <w:t xml:space="preserve"> </w:t>
      </w:r>
      <w:proofErr w:type="spellStart"/>
      <w:r>
        <w:t>Aristot</w:t>
      </w:r>
      <w:proofErr w:type="spellEnd"/>
      <w:r>
        <w:t xml:space="preserve">. </w:t>
      </w:r>
      <w:r>
        <w:rPr>
          <w:i/>
        </w:rPr>
        <w:t>Pol.</w:t>
      </w:r>
      <w:r>
        <w:t xml:space="preserve"> 2.1265b; Cartledge 2001: 112</w:t>
      </w:r>
    </w:p>
  </w:footnote>
  <w:footnote w:id="48">
    <w:p w14:paraId="62059395" w14:textId="6116B870" w:rsidR="00A46784" w:rsidRDefault="00A46784">
      <w:pPr>
        <w:pStyle w:val="FootnoteText"/>
      </w:pPr>
      <w:r>
        <w:rPr>
          <w:rStyle w:val="FootnoteReference"/>
        </w:rPr>
        <w:footnoteRef/>
      </w:r>
      <w:r>
        <w:t xml:space="preserve"> Rawson 1969: 108-109</w:t>
      </w:r>
    </w:p>
  </w:footnote>
  <w:footnote w:id="49">
    <w:p w14:paraId="42562C35" w14:textId="68C0C908" w:rsidR="00A46784" w:rsidRDefault="00A46784">
      <w:pPr>
        <w:pStyle w:val="FootnoteText"/>
      </w:pPr>
      <w:r>
        <w:rPr>
          <w:rStyle w:val="FootnoteReference"/>
        </w:rPr>
        <w:footnoteRef/>
      </w:r>
      <w:r>
        <w:t xml:space="preserve"> Rawson 1969: 170</w:t>
      </w:r>
    </w:p>
  </w:footnote>
  <w:footnote w:id="50">
    <w:p w14:paraId="0DC3DDEA" w14:textId="2EF49BDB" w:rsidR="00A46784" w:rsidRDefault="00A46784">
      <w:pPr>
        <w:pStyle w:val="FootnoteText"/>
      </w:pPr>
      <w:r>
        <w:rPr>
          <w:rStyle w:val="FootnoteReference"/>
        </w:rPr>
        <w:footnoteRef/>
      </w:r>
      <w:r>
        <w:t xml:space="preserve"> Hodkinson 1994: 183</w:t>
      </w:r>
    </w:p>
  </w:footnote>
  <w:footnote w:id="51">
    <w:p w14:paraId="48BA7926" w14:textId="77777777" w:rsidR="00A46784" w:rsidRDefault="00A46784" w:rsidP="00650391">
      <w:pPr>
        <w:pStyle w:val="FootnoteText"/>
      </w:pPr>
      <w:r>
        <w:rPr>
          <w:rStyle w:val="FootnoteReference"/>
        </w:rPr>
        <w:footnoteRef/>
      </w:r>
      <w:r>
        <w:t xml:space="preserve"> Cartledge 2006: 44</w:t>
      </w:r>
    </w:p>
  </w:footnote>
  <w:footnote w:id="52">
    <w:p w14:paraId="2035E716" w14:textId="0EE468D1" w:rsidR="00A46784" w:rsidRDefault="00A46784">
      <w:pPr>
        <w:pStyle w:val="FootnoteText"/>
      </w:pPr>
      <w:r>
        <w:rPr>
          <w:rStyle w:val="FootnoteReference"/>
        </w:rPr>
        <w:footnoteRef/>
      </w:r>
      <w:r>
        <w:t xml:space="preserve"> </w:t>
      </w:r>
      <w:proofErr w:type="spellStart"/>
      <w:r>
        <w:t>Plut</w:t>
      </w:r>
      <w:proofErr w:type="spellEnd"/>
      <w:r>
        <w:t xml:space="preserve">. </w:t>
      </w:r>
      <w:r w:rsidRPr="008C00A8">
        <w:rPr>
          <w:i/>
        </w:rPr>
        <w:t>Lyc.</w:t>
      </w:r>
      <w:r>
        <w:t xml:space="preserve"> 31.2-3</w:t>
      </w:r>
    </w:p>
  </w:footnote>
  <w:footnote w:id="53">
    <w:p w14:paraId="23A96738" w14:textId="4A958830" w:rsidR="00AE18F4" w:rsidRDefault="00AE18F4">
      <w:pPr>
        <w:pStyle w:val="FootnoteText"/>
      </w:pPr>
      <w:r>
        <w:rPr>
          <w:rStyle w:val="FootnoteReference"/>
        </w:rPr>
        <w:footnoteRef/>
      </w:r>
      <w:r>
        <w:t xml:space="preserve"> Cartledge 2001: 26; Rawson 1969: 108-109</w:t>
      </w:r>
      <w:r w:rsidR="00B566E4">
        <w:t>; Forrest 1968: 134-135</w:t>
      </w:r>
    </w:p>
  </w:footnote>
  <w:footnote w:id="54">
    <w:p w14:paraId="0AE98CD7" w14:textId="7C2B3AFA" w:rsidR="00B566E4" w:rsidRDefault="00B566E4">
      <w:pPr>
        <w:pStyle w:val="FootnoteText"/>
      </w:pPr>
      <w:r>
        <w:rPr>
          <w:rStyle w:val="FootnoteReference"/>
        </w:rPr>
        <w:footnoteRef/>
      </w:r>
      <w:r>
        <w:t xml:space="preserve"> Bradford</w:t>
      </w:r>
      <w:r w:rsidR="005869B5">
        <w:t xml:space="preserve"> 1994: 71-72; Cartledge 2001: 88-89</w:t>
      </w:r>
    </w:p>
  </w:footnote>
  <w:footnote w:id="55">
    <w:p w14:paraId="3E67AB10" w14:textId="5CBD2D8B" w:rsidR="005869B5" w:rsidRDefault="005869B5">
      <w:pPr>
        <w:pStyle w:val="FootnoteText"/>
      </w:pPr>
      <w:r>
        <w:rPr>
          <w:rStyle w:val="FootnoteReference"/>
        </w:rPr>
        <w:footnoteRef/>
      </w:r>
      <w:r>
        <w:t xml:space="preserve"> Cartledge 2001: 96</w:t>
      </w:r>
    </w:p>
  </w:footnote>
  <w:footnote w:id="56">
    <w:p w14:paraId="44C41FCE" w14:textId="4B3B3640" w:rsidR="00F23E48" w:rsidRDefault="00F23E48">
      <w:pPr>
        <w:pStyle w:val="FootnoteText"/>
      </w:pPr>
      <w:r>
        <w:rPr>
          <w:rStyle w:val="FootnoteReference"/>
        </w:rPr>
        <w:footnoteRef/>
      </w:r>
      <w:r>
        <w:t xml:space="preserve"> Cartledge 2001: 96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658"/>
    <w:rsid w:val="00021FC8"/>
    <w:rsid w:val="00031333"/>
    <w:rsid w:val="000C6D58"/>
    <w:rsid w:val="000E3CB0"/>
    <w:rsid w:val="001776B9"/>
    <w:rsid w:val="00184648"/>
    <w:rsid w:val="0019491B"/>
    <w:rsid w:val="001C5E17"/>
    <w:rsid w:val="00200EE2"/>
    <w:rsid w:val="00214CCF"/>
    <w:rsid w:val="00233E23"/>
    <w:rsid w:val="00251FE5"/>
    <w:rsid w:val="00282998"/>
    <w:rsid w:val="002B4AF2"/>
    <w:rsid w:val="002E5E0B"/>
    <w:rsid w:val="002F08F9"/>
    <w:rsid w:val="00315F7E"/>
    <w:rsid w:val="003D7E4C"/>
    <w:rsid w:val="003F32B1"/>
    <w:rsid w:val="003F6692"/>
    <w:rsid w:val="00400465"/>
    <w:rsid w:val="004111EA"/>
    <w:rsid w:val="00422CFC"/>
    <w:rsid w:val="00435E2E"/>
    <w:rsid w:val="004368D2"/>
    <w:rsid w:val="004450D5"/>
    <w:rsid w:val="00486ED5"/>
    <w:rsid w:val="004A6883"/>
    <w:rsid w:val="004F43EE"/>
    <w:rsid w:val="00506DB2"/>
    <w:rsid w:val="00554F58"/>
    <w:rsid w:val="005869B5"/>
    <w:rsid w:val="005D2AAB"/>
    <w:rsid w:val="006053F9"/>
    <w:rsid w:val="00613F17"/>
    <w:rsid w:val="00625484"/>
    <w:rsid w:val="006440BB"/>
    <w:rsid w:val="00650391"/>
    <w:rsid w:val="00670F9B"/>
    <w:rsid w:val="006E0228"/>
    <w:rsid w:val="00704C3D"/>
    <w:rsid w:val="007442AD"/>
    <w:rsid w:val="007A00DD"/>
    <w:rsid w:val="007B2E60"/>
    <w:rsid w:val="007F24E1"/>
    <w:rsid w:val="007F5ABB"/>
    <w:rsid w:val="00816C63"/>
    <w:rsid w:val="00836FAB"/>
    <w:rsid w:val="00896029"/>
    <w:rsid w:val="008C00A8"/>
    <w:rsid w:val="008D7214"/>
    <w:rsid w:val="008E30BA"/>
    <w:rsid w:val="00900117"/>
    <w:rsid w:val="00903221"/>
    <w:rsid w:val="00930AC0"/>
    <w:rsid w:val="009538A8"/>
    <w:rsid w:val="00973AF1"/>
    <w:rsid w:val="00984182"/>
    <w:rsid w:val="00995B3F"/>
    <w:rsid w:val="009F0EC2"/>
    <w:rsid w:val="00A004D3"/>
    <w:rsid w:val="00A02E8F"/>
    <w:rsid w:val="00A364B0"/>
    <w:rsid w:val="00A46784"/>
    <w:rsid w:val="00AE18F4"/>
    <w:rsid w:val="00B06AAA"/>
    <w:rsid w:val="00B152F6"/>
    <w:rsid w:val="00B15C2B"/>
    <w:rsid w:val="00B35087"/>
    <w:rsid w:val="00B4230D"/>
    <w:rsid w:val="00B54163"/>
    <w:rsid w:val="00B566E4"/>
    <w:rsid w:val="00B663DD"/>
    <w:rsid w:val="00B677CA"/>
    <w:rsid w:val="00BA1E11"/>
    <w:rsid w:val="00BA4546"/>
    <w:rsid w:val="00C14BD7"/>
    <w:rsid w:val="00C438E6"/>
    <w:rsid w:val="00C5695B"/>
    <w:rsid w:val="00C919DD"/>
    <w:rsid w:val="00CC3658"/>
    <w:rsid w:val="00CD1753"/>
    <w:rsid w:val="00D37ABB"/>
    <w:rsid w:val="00D84839"/>
    <w:rsid w:val="00E03528"/>
    <w:rsid w:val="00E978BE"/>
    <w:rsid w:val="00EE00B0"/>
    <w:rsid w:val="00F10CBC"/>
    <w:rsid w:val="00F23E48"/>
    <w:rsid w:val="00F52DFF"/>
    <w:rsid w:val="00F544E8"/>
    <w:rsid w:val="00FA49FD"/>
    <w:rsid w:val="00FB36FC"/>
    <w:rsid w:val="00FE2D41"/>
    <w:rsid w:val="00FF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38050"/>
  <w15:chartTrackingRefBased/>
  <w15:docId w15:val="{1EEF2867-7CD5-4567-B458-024D15FE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6D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6D58"/>
    <w:rPr>
      <w:sz w:val="20"/>
      <w:szCs w:val="20"/>
    </w:rPr>
  </w:style>
  <w:style w:type="character" w:styleId="FootnoteReference">
    <w:name w:val="footnote reference"/>
    <w:basedOn w:val="DefaultParagraphFont"/>
    <w:uiPriority w:val="99"/>
    <w:semiHidden/>
    <w:unhideWhenUsed/>
    <w:rsid w:val="000C6D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057FC-D80F-43C4-8FD3-7E544C6C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cp:revision>
  <dcterms:created xsi:type="dcterms:W3CDTF">2018-05-18T15:08:00Z</dcterms:created>
  <dcterms:modified xsi:type="dcterms:W3CDTF">2018-05-18T15:08:00Z</dcterms:modified>
</cp:coreProperties>
</file>