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012381" w14:textId="77777777" w:rsidR="0030310E" w:rsidRDefault="0030310E">
      <w:pPr>
        <w:jc w:val="center"/>
        <w:rPr>
          <w:b/>
          <w:sz w:val="34"/>
          <w:szCs w:val="34"/>
          <w:highlight w:val="white"/>
        </w:rPr>
      </w:pPr>
    </w:p>
    <w:p w14:paraId="66BBD9B6" w14:textId="77777777" w:rsidR="0030310E" w:rsidRDefault="0030310E">
      <w:pPr>
        <w:jc w:val="center"/>
        <w:rPr>
          <w:b/>
          <w:sz w:val="34"/>
          <w:szCs w:val="34"/>
          <w:highlight w:val="white"/>
        </w:rPr>
      </w:pPr>
    </w:p>
    <w:p w14:paraId="4F9C10C1" w14:textId="00A2FF59" w:rsidR="0030310E" w:rsidRDefault="00DE089C">
      <w:pPr>
        <w:jc w:val="center"/>
        <w:rPr>
          <w:b/>
          <w:sz w:val="34"/>
          <w:szCs w:val="34"/>
          <w:highlight w:val="white"/>
        </w:rPr>
      </w:pPr>
      <w:r>
        <w:rPr>
          <w:b/>
          <w:noProof/>
          <w:sz w:val="34"/>
          <w:szCs w:val="34"/>
          <w:highlight w:val="white"/>
        </w:rPr>
        <w:drawing>
          <wp:inline distT="0" distB="0" distL="0" distR="0" wp14:anchorId="20706110" wp14:editId="4986D06C">
            <wp:extent cx="2533481" cy="1153795"/>
            <wp:effectExtent l="0" t="0" r="635" b="8255"/>
            <wp:docPr id="528184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36551" cy="1155193"/>
                    </a:xfrm>
                    <a:prstGeom prst="rect">
                      <a:avLst/>
                    </a:prstGeom>
                    <a:noFill/>
                  </pic:spPr>
                </pic:pic>
              </a:graphicData>
            </a:graphic>
          </wp:inline>
        </w:drawing>
      </w:r>
    </w:p>
    <w:p w14:paraId="313B9CB2" w14:textId="77777777" w:rsidR="0030310E" w:rsidRDefault="0030310E">
      <w:pPr>
        <w:jc w:val="center"/>
        <w:rPr>
          <w:b/>
          <w:sz w:val="34"/>
          <w:szCs w:val="34"/>
          <w:highlight w:val="white"/>
        </w:rPr>
      </w:pPr>
    </w:p>
    <w:p w14:paraId="56F737AC" w14:textId="77777777" w:rsidR="0030310E" w:rsidRDefault="0030310E">
      <w:pPr>
        <w:jc w:val="center"/>
        <w:rPr>
          <w:b/>
          <w:sz w:val="34"/>
          <w:szCs w:val="34"/>
          <w:highlight w:val="white"/>
        </w:rPr>
      </w:pPr>
    </w:p>
    <w:p w14:paraId="651FA79C" w14:textId="77777777" w:rsidR="0030310E" w:rsidRDefault="0030310E">
      <w:pPr>
        <w:jc w:val="center"/>
        <w:rPr>
          <w:b/>
          <w:sz w:val="34"/>
          <w:szCs w:val="34"/>
          <w:highlight w:val="white"/>
        </w:rPr>
      </w:pPr>
    </w:p>
    <w:p w14:paraId="0A6DFB9E" w14:textId="77777777" w:rsidR="0030310E" w:rsidRDefault="0030310E">
      <w:pPr>
        <w:jc w:val="center"/>
        <w:rPr>
          <w:b/>
          <w:sz w:val="34"/>
          <w:szCs w:val="34"/>
          <w:highlight w:val="white"/>
        </w:rPr>
      </w:pPr>
    </w:p>
    <w:p w14:paraId="385A9E1D" w14:textId="77777777" w:rsidR="0030310E" w:rsidRDefault="001325F3">
      <w:pPr>
        <w:jc w:val="center"/>
        <w:rPr>
          <w:b/>
          <w:sz w:val="34"/>
          <w:szCs w:val="34"/>
          <w:highlight w:val="white"/>
        </w:rPr>
      </w:pPr>
      <w:r>
        <w:rPr>
          <w:b/>
          <w:sz w:val="34"/>
          <w:szCs w:val="34"/>
          <w:highlight w:val="white"/>
        </w:rPr>
        <w:t>Programme: MSc Public Health and Social Care in Practice</w:t>
      </w:r>
    </w:p>
    <w:p w14:paraId="07707D7B" w14:textId="77777777" w:rsidR="0030310E" w:rsidRDefault="001325F3">
      <w:pPr>
        <w:jc w:val="center"/>
        <w:rPr>
          <w:b/>
          <w:sz w:val="34"/>
          <w:szCs w:val="34"/>
          <w:highlight w:val="white"/>
        </w:rPr>
      </w:pPr>
      <w:r>
        <w:rPr>
          <w:b/>
          <w:sz w:val="34"/>
          <w:szCs w:val="34"/>
          <w:highlight w:val="white"/>
        </w:rPr>
        <w:t>Module: Health Care System, Organisation and Leadership</w:t>
      </w:r>
    </w:p>
    <w:p w14:paraId="018A7AFB" w14:textId="77777777" w:rsidR="0030310E" w:rsidRDefault="001325F3">
      <w:pPr>
        <w:jc w:val="center"/>
        <w:rPr>
          <w:b/>
          <w:sz w:val="34"/>
          <w:szCs w:val="34"/>
          <w:highlight w:val="white"/>
        </w:rPr>
      </w:pPr>
      <w:r>
        <w:rPr>
          <w:b/>
          <w:sz w:val="34"/>
          <w:szCs w:val="34"/>
          <w:highlight w:val="white"/>
        </w:rPr>
        <w:t>Module code: LCHS7002</w:t>
      </w:r>
    </w:p>
    <w:p w14:paraId="2C9EA9A4" w14:textId="636789C3" w:rsidR="006F2D9A" w:rsidRDefault="006F2D9A">
      <w:pPr>
        <w:jc w:val="center"/>
        <w:rPr>
          <w:b/>
          <w:sz w:val="34"/>
          <w:szCs w:val="34"/>
          <w:highlight w:val="white"/>
        </w:rPr>
      </w:pPr>
      <w:r>
        <w:rPr>
          <w:b/>
          <w:sz w:val="34"/>
          <w:szCs w:val="34"/>
          <w:highlight w:val="white"/>
        </w:rPr>
        <w:t>Lecturer name: Shepherd Ziko</w:t>
      </w:r>
    </w:p>
    <w:p w14:paraId="389C9180" w14:textId="77777777" w:rsidR="0030310E" w:rsidRDefault="001325F3">
      <w:pPr>
        <w:jc w:val="center"/>
        <w:rPr>
          <w:b/>
          <w:sz w:val="34"/>
          <w:szCs w:val="34"/>
          <w:highlight w:val="white"/>
        </w:rPr>
      </w:pPr>
      <w:r>
        <w:rPr>
          <w:b/>
          <w:sz w:val="34"/>
          <w:szCs w:val="34"/>
          <w:highlight w:val="white"/>
        </w:rPr>
        <w:t>Assignment Title: Case Study Analysis</w:t>
      </w:r>
    </w:p>
    <w:p w14:paraId="6986BCAE" w14:textId="77777777" w:rsidR="0030310E" w:rsidRDefault="001325F3">
      <w:pPr>
        <w:jc w:val="center"/>
        <w:rPr>
          <w:b/>
          <w:sz w:val="34"/>
          <w:szCs w:val="34"/>
          <w:highlight w:val="white"/>
        </w:rPr>
      </w:pPr>
      <w:r>
        <w:rPr>
          <w:b/>
          <w:sz w:val="34"/>
          <w:szCs w:val="34"/>
          <w:highlight w:val="white"/>
        </w:rPr>
        <w:t>Report: Comparative report on COVID-19 leadership responses</w:t>
      </w:r>
    </w:p>
    <w:p w14:paraId="71015B11" w14:textId="4821BE47" w:rsidR="0030310E" w:rsidRDefault="001325F3">
      <w:pPr>
        <w:jc w:val="center"/>
        <w:rPr>
          <w:b/>
          <w:sz w:val="34"/>
          <w:szCs w:val="34"/>
          <w:highlight w:val="white"/>
        </w:rPr>
      </w:pPr>
      <w:r>
        <w:rPr>
          <w:b/>
          <w:sz w:val="34"/>
          <w:szCs w:val="34"/>
          <w:highlight w:val="white"/>
        </w:rPr>
        <w:t xml:space="preserve">Student name: </w:t>
      </w:r>
      <w:r w:rsidR="00F66ED7">
        <w:rPr>
          <w:b/>
          <w:sz w:val="34"/>
          <w:szCs w:val="34"/>
          <w:highlight w:val="white"/>
        </w:rPr>
        <w:t>Vaishalikumari Vihar Patel</w:t>
      </w:r>
    </w:p>
    <w:p w14:paraId="5C0F7EAE" w14:textId="55628E45" w:rsidR="0030310E" w:rsidRDefault="001325F3">
      <w:pPr>
        <w:jc w:val="center"/>
        <w:rPr>
          <w:b/>
          <w:sz w:val="34"/>
          <w:szCs w:val="34"/>
          <w:highlight w:val="white"/>
        </w:rPr>
      </w:pPr>
      <w:r>
        <w:rPr>
          <w:b/>
          <w:sz w:val="34"/>
          <w:szCs w:val="34"/>
          <w:highlight w:val="white"/>
        </w:rPr>
        <w:t>Student ID number:</w:t>
      </w:r>
      <w:r w:rsidR="00CC0D3E">
        <w:rPr>
          <w:b/>
          <w:sz w:val="34"/>
          <w:szCs w:val="34"/>
        </w:rPr>
        <w:t xml:space="preserve"> 2436885</w:t>
      </w:r>
      <w:r>
        <w:br w:type="page"/>
      </w:r>
    </w:p>
    <w:p w14:paraId="597BBB71" w14:textId="77777777" w:rsidR="0030310E" w:rsidRDefault="001325F3">
      <w:pPr>
        <w:rPr>
          <w:b/>
          <w:highlight w:val="white"/>
        </w:rPr>
      </w:pPr>
      <w:r>
        <w:rPr>
          <w:b/>
          <w:highlight w:val="white"/>
        </w:rPr>
        <w:lastRenderedPageBreak/>
        <w:t>Executive summary</w:t>
      </w:r>
    </w:p>
    <w:p w14:paraId="7AD2BCE8" w14:textId="77777777" w:rsidR="0030310E" w:rsidRDefault="001325F3">
      <w:pPr>
        <w:spacing w:line="360" w:lineRule="auto"/>
        <w:jc w:val="both"/>
      </w:pPr>
      <w:r>
        <w:rPr>
          <w:highlight w:val="white"/>
        </w:rPr>
        <w:t xml:space="preserve">By analysing the cases of the countries including Spain, South Korea and Canada, and understanding the way healthcare organisations operate, along with the leadership dynamics, it is possible to evaluate the responses and outcomes of the pandemic in the period and post-pandemic era, as well. The healthcare models are different in different countries. With the distribution of responsibilities among the central or federal, regional or state and local levels, and with the degree of integration of the healthcare delivery and public health care, it is possible to strengthen primary care and also the funding and resources to shape the consequences of crises such as a pandemic. </w:t>
      </w:r>
      <w:r>
        <w:t>The national leadership responses to the COVID-19 of Spain, South Korea, and Canada on how leadership regarding crisis, expert collaboration, and vulnerable groups protection influenced the health system of the countries has been presented in report. Strong leadership helped in improving coordination, delivery of vaccines and risk communication although the two countries operated under different governance models. Preparedness in the future will involve workforces that are resilient, digital surveillance and policies that enhance countries and regions cooperation.</w:t>
      </w:r>
    </w:p>
    <w:p w14:paraId="01A60ED7" w14:textId="77777777" w:rsidR="0030310E" w:rsidRDefault="0030310E">
      <w:pPr>
        <w:spacing w:line="360" w:lineRule="auto"/>
        <w:jc w:val="both"/>
        <w:rPr>
          <w:highlight w:val="white"/>
        </w:rPr>
      </w:pPr>
    </w:p>
    <w:p w14:paraId="5A93F9A3" w14:textId="77777777" w:rsidR="0030310E" w:rsidRDefault="001325F3">
      <w:pPr>
        <w:rPr>
          <w:b/>
          <w:highlight w:val="white"/>
        </w:rPr>
      </w:pPr>
      <w:r>
        <w:br w:type="page"/>
      </w:r>
    </w:p>
    <w:p w14:paraId="79DCD082" w14:textId="77777777" w:rsidR="0030310E" w:rsidRDefault="001325F3">
      <w:pPr>
        <w:keepNext/>
        <w:keepLines/>
        <w:pBdr>
          <w:top w:val="nil"/>
          <w:left w:val="nil"/>
          <w:bottom w:val="nil"/>
          <w:right w:val="nil"/>
          <w:between w:val="nil"/>
        </w:pBdr>
        <w:spacing w:before="240" w:line="259" w:lineRule="auto"/>
        <w:rPr>
          <w:color w:val="2F5496"/>
        </w:rPr>
      </w:pPr>
      <w:bookmarkStart w:id="0" w:name="_heading=h.wa0o26n1gr7" w:colFirst="0" w:colLast="0"/>
      <w:bookmarkEnd w:id="0"/>
      <w:r>
        <w:rPr>
          <w:color w:val="2F5496"/>
        </w:rPr>
        <w:lastRenderedPageBreak/>
        <w:t>Table of Contents</w:t>
      </w:r>
    </w:p>
    <w:sdt>
      <w:sdtPr>
        <w:id w:val="1288386561"/>
        <w:docPartObj>
          <w:docPartGallery w:val="Table of Contents"/>
          <w:docPartUnique/>
        </w:docPartObj>
      </w:sdtPr>
      <w:sdtContent>
        <w:p w14:paraId="2DE5424E" w14:textId="175A004F" w:rsidR="00DE089C" w:rsidRDefault="001325F3">
          <w:pPr>
            <w:pStyle w:val="TOC1"/>
            <w:tabs>
              <w:tab w:val="right" w:leader="dot" w:pos="9350"/>
            </w:tabs>
            <w:rPr>
              <w:rFonts w:asciiTheme="minorHAnsi" w:eastAsiaTheme="minorEastAsia" w:hAnsiTheme="minorHAnsi" w:cstheme="minorBidi"/>
              <w:noProof/>
              <w:kern w:val="2"/>
              <w:sz w:val="24"/>
              <w:szCs w:val="24"/>
              <w14:ligatures w14:val="standardContextual"/>
            </w:rPr>
          </w:pPr>
          <w:r>
            <w:fldChar w:fldCharType="begin"/>
          </w:r>
          <w:r>
            <w:instrText xml:space="preserve"> TOC \h \u \z \t "Heading 1,1,Heading 2,2,Heading 3,3,"</w:instrText>
          </w:r>
          <w:r>
            <w:fldChar w:fldCharType="separate"/>
          </w:r>
          <w:hyperlink w:anchor="_Toc216690821" w:history="1">
            <w:r w:rsidR="00DE089C" w:rsidRPr="00B60650">
              <w:rPr>
                <w:rStyle w:val="Hyperlink"/>
                <w:noProof/>
              </w:rPr>
              <w:t>Introduction</w:t>
            </w:r>
            <w:r w:rsidR="00DE089C">
              <w:rPr>
                <w:noProof/>
                <w:webHidden/>
              </w:rPr>
              <w:tab/>
            </w:r>
            <w:r w:rsidR="00DE089C">
              <w:rPr>
                <w:noProof/>
                <w:webHidden/>
              </w:rPr>
              <w:fldChar w:fldCharType="begin"/>
            </w:r>
            <w:r w:rsidR="00DE089C">
              <w:rPr>
                <w:noProof/>
                <w:webHidden/>
              </w:rPr>
              <w:instrText xml:space="preserve"> PAGEREF _Toc216690821 \h </w:instrText>
            </w:r>
            <w:r w:rsidR="00DE089C">
              <w:rPr>
                <w:noProof/>
                <w:webHidden/>
              </w:rPr>
            </w:r>
            <w:r w:rsidR="00DE089C">
              <w:rPr>
                <w:noProof/>
                <w:webHidden/>
              </w:rPr>
              <w:fldChar w:fldCharType="separate"/>
            </w:r>
            <w:r w:rsidR="00DE089C">
              <w:rPr>
                <w:noProof/>
                <w:webHidden/>
              </w:rPr>
              <w:t>4</w:t>
            </w:r>
            <w:r w:rsidR="00DE089C">
              <w:rPr>
                <w:noProof/>
                <w:webHidden/>
              </w:rPr>
              <w:fldChar w:fldCharType="end"/>
            </w:r>
          </w:hyperlink>
        </w:p>
        <w:p w14:paraId="4F2D666E" w14:textId="605A240D" w:rsidR="00DE089C" w:rsidRDefault="00DE089C">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16690822" w:history="1">
            <w:r w:rsidRPr="00B60650">
              <w:rPr>
                <w:rStyle w:val="Hyperlink"/>
                <w:noProof/>
              </w:rPr>
              <w:t xml:space="preserve">1. Comparison and contrast among the organisation of the health care system in the </w:t>
            </w:r>
            <w:r w:rsidRPr="00B60650">
              <w:rPr>
                <w:rStyle w:val="Hyperlink"/>
                <w:noProof/>
                <w:highlight w:val="white"/>
              </w:rPr>
              <w:t>context of the response to the pandemic in three jurisdictions: Spain, South Korea, and Canada</w:t>
            </w:r>
            <w:r>
              <w:rPr>
                <w:noProof/>
                <w:webHidden/>
              </w:rPr>
              <w:tab/>
            </w:r>
            <w:r>
              <w:rPr>
                <w:noProof/>
                <w:webHidden/>
              </w:rPr>
              <w:fldChar w:fldCharType="begin"/>
            </w:r>
            <w:r>
              <w:rPr>
                <w:noProof/>
                <w:webHidden/>
              </w:rPr>
              <w:instrText xml:space="preserve"> PAGEREF _Toc216690822 \h </w:instrText>
            </w:r>
            <w:r>
              <w:rPr>
                <w:noProof/>
                <w:webHidden/>
              </w:rPr>
            </w:r>
            <w:r>
              <w:rPr>
                <w:noProof/>
                <w:webHidden/>
              </w:rPr>
              <w:fldChar w:fldCharType="separate"/>
            </w:r>
            <w:r>
              <w:rPr>
                <w:noProof/>
                <w:webHidden/>
              </w:rPr>
              <w:t>4</w:t>
            </w:r>
            <w:r>
              <w:rPr>
                <w:noProof/>
                <w:webHidden/>
              </w:rPr>
              <w:fldChar w:fldCharType="end"/>
            </w:r>
          </w:hyperlink>
        </w:p>
        <w:p w14:paraId="1BBF575D" w14:textId="3363AC1F" w:rsidR="00DE089C" w:rsidRDefault="00DE089C">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6690823" w:history="1">
            <w:r w:rsidRPr="00B60650">
              <w:rPr>
                <w:rStyle w:val="Hyperlink"/>
                <w:noProof/>
              </w:rPr>
              <w:t>Overview of the healthcare systems during the pandemic outbreak</w:t>
            </w:r>
            <w:r>
              <w:rPr>
                <w:noProof/>
                <w:webHidden/>
              </w:rPr>
              <w:tab/>
            </w:r>
            <w:r>
              <w:rPr>
                <w:noProof/>
                <w:webHidden/>
              </w:rPr>
              <w:fldChar w:fldCharType="begin"/>
            </w:r>
            <w:r>
              <w:rPr>
                <w:noProof/>
                <w:webHidden/>
              </w:rPr>
              <w:instrText xml:space="preserve"> PAGEREF _Toc216690823 \h </w:instrText>
            </w:r>
            <w:r>
              <w:rPr>
                <w:noProof/>
                <w:webHidden/>
              </w:rPr>
            </w:r>
            <w:r>
              <w:rPr>
                <w:noProof/>
                <w:webHidden/>
              </w:rPr>
              <w:fldChar w:fldCharType="separate"/>
            </w:r>
            <w:r>
              <w:rPr>
                <w:noProof/>
                <w:webHidden/>
              </w:rPr>
              <w:t>4</w:t>
            </w:r>
            <w:r>
              <w:rPr>
                <w:noProof/>
                <w:webHidden/>
              </w:rPr>
              <w:fldChar w:fldCharType="end"/>
            </w:r>
          </w:hyperlink>
        </w:p>
        <w:p w14:paraId="1687569E" w14:textId="49AF86B5" w:rsidR="00DE089C" w:rsidRDefault="00DE089C">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6690824" w:history="1">
            <w:r w:rsidRPr="00B60650">
              <w:rPr>
                <w:rStyle w:val="Hyperlink"/>
                <w:noProof/>
              </w:rPr>
              <w:t>Healthcare system organisations</w:t>
            </w:r>
            <w:r>
              <w:rPr>
                <w:noProof/>
                <w:webHidden/>
              </w:rPr>
              <w:tab/>
            </w:r>
            <w:r>
              <w:rPr>
                <w:noProof/>
                <w:webHidden/>
              </w:rPr>
              <w:fldChar w:fldCharType="begin"/>
            </w:r>
            <w:r>
              <w:rPr>
                <w:noProof/>
                <w:webHidden/>
              </w:rPr>
              <w:instrText xml:space="preserve"> PAGEREF _Toc216690824 \h </w:instrText>
            </w:r>
            <w:r>
              <w:rPr>
                <w:noProof/>
                <w:webHidden/>
              </w:rPr>
            </w:r>
            <w:r>
              <w:rPr>
                <w:noProof/>
                <w:webHidden/>
              </w:rPr>
              <w:fldChar w:fldCharType="separate"/>
            </w:r>
            <w:r>
              <w:rPr>
                <w:noProof/>
                <w:webHidden/>
              </w:rPr>
              <w:t>5</w:t>
            </w:r>
            <w:r>
              <w:rPr>
                <w:noProof/>
                <w:webHidden/>
              </w:rPr>
              <w:fldChar w:fldCharType="end"/>
            </w:r>
          </w:hyperlink>
        </w:p>
        <w:p w14:paraId="611297FB" w14:textId="52B38003" w:rsidR="00DE089C" w:rsidRDefault="00DE089C">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6690825" w:history="1">
            <w:r w:rsidRPr="00B60650">
              <w:rPr>
                <w:rStyle w:val="Hyperlink"/>
                <w:noProof/>
              </w:rPr>
              <w:t>COVID-19 responses, key features and outcomes</w:t>
            </w:r>
            <w:r>
              <w:rPr>
                <w:noProof/>
                <w:webHidden/>
              </w:rPr>
              <w:tab/>
            </w:r>
            <w:r>
              <w:rPr>
                <w:noProof/>
                <w:webHidden/>
              </w:rPr>
              <w:fldChar w:fldCharType="begin"/>
            </w:r>
            <w:r>
              <w:rPr>
                <w:noProof/>
                <w:webHidden/>
              </w:rPr>
              <w:instrText xml:space="preserve"> PAGEREF _Toc216690825 \h </w:instrText>
            </w:r>
            <w:r>
              <w:rPr>
                <w:noProof/>
                <w:webHidden/>
              </w:rPr>
            </w:r>
            <w:r>
              <w:rPr>
                <w:noProof/>
                <w:webHidden/>
              </w:rPr>
              <w:fldChar w:fldCharType="separate"/>
            </w:r>
            <w:r>
              <w:rPr>
                <w:noProof/>
                <w:webHidden/>
              </w:rPr>
              <w:t>7</w:t>
            </w:r>
            <w:r>
              <w:rPr>
                <w:noProof/>
                <w:webHidden/>
              </w:rPr>
              <w:fldChar w:fldCharType="end"/>
            </w:r>
          </w:hyperlink>
        </w:p>
        <w:p w14:paraId="215D54F2" w14:textId="5B63A7A7" w:rsidR="00DE089C" w:rsidRDefault="00DE089C">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6690826" w:history="1">
            <w:r w:rsidRPr="00B60650">
              <w:rPr>
                <w:rStyle w:val="Hyperlink"/>
                <w:noProof/>
              </w:rPr>
              <w:t>Implications for pandemic responses</w:t>
            </w:r>
            <w:r>
              <w:rPr>
                <w:noProof/>
                <w:webHidden/>
              </w:rPr>
              <w:tab/>
            </w:r>
            <w:r>
              <w:rPr>
                <w:noProof/>
                <w:webHidden/>
              </w:rPr>
              <w:fldChar w:fldCharType="begin"/>
            </w:r>
            <w:r>
              <w:rPr>
                <w:noProof/>
                <w:webHidden/>
              </w:rPr>
              <w:instrText xml:space="preserve"> PAGEREF _Toc216690826 \h </w:instrText>
            </w:r>
            <w:r>
              <w:rPr>
                <w:noProof/>
                <w:webHidden/>
              </w:rPr>
            </w:r>
            <w:r>
              <w:rPr>
                <w:noProof/>
                <w:webHidden/>
              </w:rPr>
              <w:fldChar w:fldCharType="separate"/>
            </w:r>
            <w:r>
              <w:rPr>
                <w:noProof/>
                <w:webHidden/>
              </w:rPr>
              <w:t>10</w:t>
            </w:r>
            <w:r>
              <w:rPr>
                <w:noProof/>
                <w:webHidden/>
              </w:rPr>
              <w:fldChar w:fldCharType="end"/>
            </w:r>
          </w:hyperlink>
        </w:p>
        <w:p w14:paraId="14909CD0" w14:textId="02F993EC" w:rsidR="00DE089C" w:rsidRDefault="00DE089C">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16690827" w:history="1">
            <w:r w:rsidRPr="00B60650">
              <w:rPr>
                <w:rStyle w:val="Hyperlink"/>
                <w:noProof/>
              </w:rPr>
              <w:t>2. Comparative Analysis of Leadership Approaches in Spain, South Korea and Canada During COVID-19</w:t>
            </w:r>
            <w:r>
              <w:rPr>
                <w:noProof/>
                <w:webHidden/>
              </w:rPr>
              <w:tab/>
            </w:r>
            <w:r>
              <w:rPr>
                <w:noProof/>
                <w:webHidden/>
              </w:rPr>
              <w:fldChar w:fldCharType="begin"/>
            </w:r>
            <w:r>
              <w:rPr>
                <w:noProof/>
                <w:webHidden/>
              </w:rPr>
              <w:instrText xml:space="preserve"> PAGEREF _Toc216690827 \h </w:instrText>
            </w:r>
            <w:r>
              <w:rPr>
                <w:noProof/>
                <w:webHidden/>
              </w:rPr>
            </w:r>
            <w:r>
              <w:rPr>
                <w:noProof/>
                <w:webHidden/>
              </w:rPr>
              <w:fldChar w:fldCharType="separate"/>
            </w:r>
            <w:r>
              <w:rPr>
                <w:noProof/>
                <w:webHidden/>
              </w:rPr>
              <w:t>11</w:t>
            </w:r>
            <w:r>
              <w:rPr>
                <w:noProof/>
                <w:webHidden/>
              </w:rPr>
              <w:fldChar w:fldCharType="end"/>
            </w:r>
          </w:hyperlink>
        </w:p>
        <w:p w14:paraId="0ADC8353" w14:textId="60871892" w:rsidR="00DE089C" w:rsidRDefault="00DE089C">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6690828" w:history="1">
            <w:r w:rsidRPr="00B60650">
              <w:rPr>
                <w:rStyle w:val="Hyperlink"/>
                <w:noProof/>
              </w:rPr>
              <w:t>Common Leadership Approaches Across Spain, South Korea and Canada</w:t>
            </w:r>
            <w:r>
              <w:rPr>
                <w:noProof/>
                <w:webHidden/>
              </w:rPr>
              <w:tab/>
            </w:r>
            <w:r>
              <w:rPr>
                <w:noProof/>
                <w:webHidden/>
              </w:rPr>
              <w:fldChar w:fldCharType="begin"/>
            </w:r>
            <w:r>
              <w:rPr>
                <w:noProof/>
                <w:webHidden/>
              </w:rPr>
              <w:instrText xml:space="preserve"> PAGEREF _Toc216690828 \h </w:instrText>
            </w:r>
            <w:r>
              <w:rPr>
                <w:noProof/>
                <w:webHidden/>
              </w:rPr>
            </w:r>
            <w:r>
              <w:rPr>
                <w:noProof/>
                <w:webHidden/>
              </w:rPr>
              <w:fldChar w:fldCharType="separate"/>
            </w:r>
            <w:r>
              <w:rPr>
                <w:noProof/>
                <w:webHidden/>
              </w:rPr>
              <w:t>11</w:t>
            </w:r>
            <w:r>
              <w:rPr>
                <w:noProof/>
                <w:webHidden/>
              </w:rPr>
              <w:fldChar w:fldCharType="end"/>
            </w:r>
          </w:hyperlink>
        </w:p>
        <w:p w14:paraId="48A6BDA0" w14:textId="0CC1D875" w:rsidR="00DE089C" w:rsidRDefault="00DE089C">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16690829" w:history="1">
            <w:r w:rsidRPr="00B60650">
              <w:rPr>
                <w:rStyle w:val="Hyperlink"/>
                <w:noProof/>
              </w:rPr>
              <w:t>1. Crisis and Emergency Leadership</w:t>
            </w:r>
            <w:r>
              <w:rPr>
                <w:noProof/>
                <w:webHidden/>
              </w:rPr>
              <w:tab/>
            </w:r>
            <w:r>
              <w:rPr>
                <w:noProof/>
                <w:webHidden/>
              </w:rPr>
              <w:fldChar w:fldCharType="begin"/>
            </w:r>
            <w:r>
              <w:rPr>
                <w:noProof/>
                <w:webHidden/>
              </w:rPr>
              <w:instrText xml:space="preserve"> PAGEREF _Toc216690829 \h </w:instrText>
            </w:r>
            <w:r>
              <w:rPr>
                <w:noProof/>
                <w:webHidden/>
              </w:rPr>
            </w:r>
            <w:r>
              <w:rPr>
                <w:noProof/>
                <w:webHidden/>
              </w:rPr>
              <w:fldChar w:fldCharType="separate"/>
            </w:r>
            <w:r>
              <w:rPr>
                <w:noProof/>
                <w:webHidden/>
              </w:rPr>
              <w:t>11</w:t>
            </w:r>
            <w:r>
              <w:rPr>
                <w:noProof/>
                <w:webHidden/>
              </w:rPr>
              <w:fldChar w:fldCharType="end"/>
            </w:r>
          </w:hyperlink>
        </w:p>
        <w:p w14:paraId="3FC57EFD" w14:textId="3BA00A16" w:rsidR="00DE089C" w:rsidRDefault="00DE089C">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16690830" w:history="1">
            <w:r w:rsidRPr="00B60650">
              <w:rPr>
                <w:rStyle w:val="Hyperlink"/>
                <w:noProof/>
              </w:rPr>
              <w:t>2. Collaboration with Health Institutions and Experts</w:t>
            </w:r>
            <w:r>
              <w:rPr>
                <w:noProof/>
                <w:webHidden/>
              </w:rPr>
              <w:tab/>
            </w:r>
            <w:r>
              <w:rPr>
                <w:noProof/>
                <w:webHidden/>
              </w:rPr>
              <w:fldChar w:fldCharType="begin"/>
            </w:r>
            <w:r>
              <w:rPr>
                <w:noProof/>
                <w:webHidden/>
              </w:rPr>
              <w:instrText xml:space="preserve"> PAGEREF _Toc216690830 \h </w:instrText>
            </w:r>
            <w:r>
              <w:rPr>
                <w:noProof/>
                <w:webHidden/>
              </w:rPr>
            </w:r>
            <w:r>
              <w:rPr>
                <w:noProof/>
                <w:webHidden/>
              </w:rPr>
              <w:fldChar w:fldCharType="separate"/>
            </w:r>
            <w:r>
              <w:rPr>
                <w:noProof/>
                <w:webHidden/>
              </w:rPr>
              <w:t>14</w:t>
            </w:r>
            <w:r>
              <w:rPr>
                <w:noProof/>
                <w:webHidden/>
              </w:rPr>
              <w:fldChar w:fldCharType="end"/>
            </w:r>
          </w:hyperlink>
        </w:p>
        <w:p w14:paraId="16A57DEA" w14:textId="44CB59F4" w:rsidR="00DE089C" w:rsidRDefault="00DE089C">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16690831" w:history="1">
            <w:r w:rsidRPr="00B60650">
              <w:rPr>
                <w:rStyle w:val="Hyperlink"/>
                <w:noProof/>
              </w:rPr>
              <w:t>3. Vulnerable Groups Protection and Social Support Leadership</w:t>
            </w:r>
            <w:r>
              <w:rPr>
                <w:noProof/>
                <w:webHidden/>
              </w:rPr>
              <w:tab/>
            </w:r>
            <w:r>
              <w:rPr>
                <w:noProof/>
                <w:webHidden/>
              </w:rPr>
              <w:fldChar w:fldCharType="begin"/>
            </w:r>
            <w:r>
              <w:rPr>
                <w:noProof/>
                <w:webHidden/>
              </w:rPr>
              <w:instrText xml:space="preserve"> PAGEREF _Toc216690831 \h </w:instrText>
            </w:r>
            <w:r>
              <w:rPr>
                <w:noProof/>
                <w:webHidden/>
              </w:rPr>
            </w:r>
            <w:r>
              <w:rPr>
                <w:noProof/>
                <w:webHidden/>
              </w:rPr>
              <w:fldChar w:fldCharType="separate"/>
            </w:r>
            <w:r>
              <w:rPr>
                <w:noProof/>
                <w:webHidden/>
              </w:rPr>
              <w:t>16</w:t>
            </w:r>
            <w:r>
              <w:rPr>
                <w:noProof/>
                <w:webHidden/>
              </w:rPr>
              <w:fldChar w:fldCharType="end"/>
            </w:r>
          </w:hyperlink>
        </w:p>
        <w:p w14:paraId="65DC30DA" w14:textId="5EC7B0DC" w:rsidR="00DE089C" w:rsidRDefault="00DE089C">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6690832" w:history="1">
            <w:r w:rsidRPr="00B60650">
              <w:rPr>
                <w:rStyle w:val="Hyperlink"/>
                <w:noProof/>
              </w:rPr>
              <w:t>How Leadership Shaped and Structured Health Systems in Spain, South Korea, and Canada</w:t>
            </w:r>
            <w:r>
              <w:rPr>
                <w:noProof/>
                <w:webHidden/>
              </w:rPr>
              <w:tab/>
            </w:r>
            <w:r>
              <w:rPr>
                <w:noProof/>
                <w:webHidden/>
              </w:rPr>
              <w:fldChar w:fldCharType="begin"/>
            </w:r>
            <w:r>
              <w:rPr>
                <w:noProof/>
                <w:webHidden/>
              </w:rPr>
              <w:instrText xml:space="preserve"> PAGEREF _Toc216690832 \h </w:instrText>
            </w:r>
            <w:r>
              <w:rPr>
                <w:noProof/>
                <w:webHidden/>
              </w:rPr>
            </w:r>
            <w:r>
              <w:rPr>
                <w:noProof/>
                <w:webHidden/>
              </w:rPr>
              <w:fldChar w:fldCharType="separate"/>
            </w:r>
            <w:r>
              <w:rPr>
                <w:noProof/>
                <w:webHidden/>
              </w:rPr>
              <w:t>17</w:t>
            </w:r>
            <w:r>
              <w:rPr>
                <w:noProof/>
                <w:webHidden/>
              </w:rPr>
              <w:fldChar w:fldCharType="end"/>
            </w:r>
          </w:hyperlink>
        </w:p>
        <w:p w14:paraId="4B4B19E6" w14:textId="7328DDFF" w:rsidR="00DE089C" w:rsidRDefault="00DE089C">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16690833" w:history="1">
            <w:r w:rsidRPr="00B60650">
              <w:rPr>
                <w:rStyle w:val="Hyperlink"/>
                <w:noProof/>
              </w:rPr>
              <w:t>Recommendation</w:t>
            </w:r>
            <w:r>
              <w:rPr>
                <w:noProof/>
                <w:webHidden/>
              </w:rPr>
              <w:tab/>
            </w:r>
            <w:r>
              <w:rPr>
                <w:noProof/>
                <w:webHidden/>
              </w:rPr>
              <w:fldChar w:fldCharType="begin"/>
            </w:r>
            <w:r>
              <w:rPr>
                <w:noProof/>
                <w:webHidden/>
              </w:rPr>
              <w:instrText xml:space="preserve"> PAGEREF _Toc216690833 \h </w:instrText>
            </w:r>
            <w:r>
              <w:rPr>
                <w:noProof/>
                <w:webHidden/>
              </w:rPr>
            </w:r>
            <w:r>
              <w:rPr>
                <w:noProof/>
                <w:webHidden/>
              </w:rPr>
              <w:fldChar w:fldCharType="separate"/>
            </w:r>
            <w:r>
              <w:rPr>
                <w:noProof/>
                <w:webHidden/>
              </w:rPr>
              <w:t>18</w:t>
            </w:r>
            <w:r>
              <w:rPr>
                <w:noProof/>
                <w:webHidden/>
              </w:rPr>
              <w:fldChar w:fldCharType="end"/>
            </w:r>
          </w:hyperlink>
        </w:p>
        <w:p w14:paraId="1B2D6C51" w14:textId="0D32EDA6" w:rsidR="00DE089C" w:rsidRDefault="00DE089C">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16690834" w:history="1">
            <w:r w:rsidRPr="00B60650">
              <w:rPr>
                <w:rStyle w:val="Hyperlink"/>
                <w:noProof/>
              </w:rPr>
              <w:t>Conclusion</w:t>
            </w:r>
            <w:r>
              <w:rPr>
                <w:noProof/>
                <w:webHidden/>
              </w:rPr>
              <w:tab/>
            </w:r>
            <w:r>
              <w:rPr>
                <w:noProof/>
                <w:webHidden/>
              </w:rPr>
              <w:fldChar w:fldCharType="begin"/>
            </w:r>
            <w:r>
              <w:rPr>
                <w:noProof/>
                <w:webHidden/>
              </w:rPr>
              <w:instrText xml:space="preserve"> PAGEREF _Toc216690834 \h </w:instrText>
            </w:r>
            <w:r>
              <w:rPr>
                <w:noProof/>
                <w:webHidden/>
              </w:rPr>
            </w:r>
            <w:r>
              <w:rPr>
                <w:noProof/>
                <w:webHidden/>
              </w:rPr>
              <w:fldChar w:fldCharType="separate"/>
            </w:r>
            <w:r>
              <w:rPr>
                <w:noProof/>
                <w:webHidden/>
              </w:rPr>
              <w:t>19</w:t>
            </w:r>
            <w:r>
              <w:rPr>
                <w:noProof/>
                <w:webHidden/>
              </w:rPr>
              <w:fldChar w:fldCharType="end"/>
            </w:r>
          </w:hyperlink>
        </w:p>
        <w:p w14:paraId="38A11826" w14:textId="57A35A46" w:rsidR="00DE089C" w:rsidRDefault="00DE089C">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16690835" w:history="1">
            <w:r w:rsidRPr="00B60650">
              <w:rPr>
                <w:rStyle w:val="Hyperlink"/>
                <w:noProof/>
              </w:rPr>
              <w:t>References</w:t>
            </w:r>
            <w:r>
              <w:rPr>
                <w:noProof/>
                <w:webHidden/>
              </w:rPr>
              <w:tab/>
            </w:r>
            <w:r>
              <w:rPr>
                <w:noProof/>
                <w:webHidden/>
              </w:rPr>
              <w:fldChar w:fldCharType="begin"/>
            </w:r>
            <w:r>
              <w:rPr>
                <w:noProof/>
                <w:webHidden/>
              </w:rPr>
              <w:instrText xml:space="preserve"> PAGEREF _Toc216690835 \h </w:instrText>
            </w:r>
            <w:r>
              <w:rPr>
                <w:noProof/>
                <w:webHidden/>
              </w:rPr>
            </w:r>
            <w:r>
              <w:rPr>
                <w:noProof/>
                <w:webHidden/>
              </w:rPr>
              <w:fldChar w:fldCharType="separate"/>
            </w:r>
            <w:r>
              <w:rPr>
                <w:noProof/>
                <w:webHidden/>
              </w:rPr>
              <w:t>20</w:t>
            </w:r>
            <w:r>
              <w:rPr>
                <w:noProof/>
                <w:webHidden/>
              </w:rPr>
              <w:fldChar w:fldCharType="end"/>
            </w:r>
          </w:hyperlink>
        </w:p>
        <w:p w14:paraId="51A357CC" w14:textId="1728308A" w:rsidR="0030310E" w:rsidRDefault="001325F3">
          <w:r>
            <w:fldChar w:fldCharType="end"/>
          </w:r>
        </w:p>
      </w:sdtContent>
    </w:sdt>
    <w:p w14:paraId="026C19AF" w14:textId="77777777" w:rsidR="0030310E" w:rsidRDefault="001325F3">
      <w:pPr>
        <w:spacing w:after="160" w:line="259" w:lineRule="auto"/>
        <w:rPr>
          <w:b/>
          <w:sz w:val="28"/>
          <w:szCs w:val="28"/>
        </w:rPr>
      </w:pPr>
      <w:bookmarkStart w:id="1" w:name="_heading=h.yozcdscokrwf" w:colFirst="0" w:colLast="0"/>
      <w:bookmarkEnd w:id="1"/>
      <w:r>
        <w:br w:type="page"/>
      </w:r>
    </w:p>
    <w:p w14:paraId="0822099F" w14:textId="77777777" w:rsidR="0030310E" w:rsidRDefault="001325F3">
      <w:pPr>
        <w:pStyle w:val="Heading1"/>
      </w:pPr>
      <w:bookmarkStart w:id="2" w:name="_Toc216690821"/>
      <w:r>
        <w:lastRenderedPageBreak/>
        <w:t>Introduction</w:t>
      </w:r>
      <w:bookmarkEnd w:id="2"/>
    </w:p>
    <w:p w14:paraId="1CD7D156" w14:textId="77777777" w:rsidR="0030310E" w:rsidRDefault="001325F3">
      <w:pPr>
        <w:spacing w:line="360" w:lineRule="auto"/>
        <w:jc w:val="both"/>
        <w:rPr>
          <w:highlight w:val="white"/>
        </w:rPr>
      </w:pPr>
      <w:r>
        <w:rPr>
          <w:highlight w:val="white"/>
        </w:rPr>
        <w:t xml:space="preserve">The outbreak of the COVID-19 pandemic has become one of the major health challenges of the 21st century, which has compelled governments to adopt multiple strategies to mitigate the risks related to health, social and economic impacts. Multiple countries across the globe respond differently according to their structure and capacity of the healthcare system, style of leadership and the degree of centralisation within the governance frameworks for crisis management. Managing the pandemic has become one of the major challenges for medical preparedness and also tested leadership, adaptability, political coordination and public trust as a whole (Timmis and Brüssow, 2020, p.1986). Evaluation of the contrasting responses of different nations can offer meaningful insights about the governance and leadership approaches to influence the public health outcome during the period of crisis. </w:t>
      </w:r>
    </w:p>
    <w:p w14:paraId="1E86A009" w14:textId="77777777" w:rsidR="0030310E" w:rsidRDefault="001325F3">
      <w:pPr>
        <w:spacing w:line="360" w:lineRule="auto"/>
        <w:jc w:val="both"/>
        <w:rPr>
          <w:highlight w:val="white"/>
        </w:rPr>
      </w:pPr>
      <w:r>
        <w:rPr>
          <w:highlight w:val="white"/>
        </w:rPr>
        <w:t xml:space="preserve">The report aims to compare and contrast different organisations related to the healthcare system and leadership approaches during the pandemic outbreak across three main countries in jurisdictions including Spain, South Korea, and Canada. The purpose of the report is to identify and represent three distinct government models of these three countries. The report has examined the existing healthcare system of different organisations and pandemic response frameworks of Spain, South Korea and Canada while analysing tailored strategies and leadership styles to demonstrate the movement of the key national leaders during the period of crisis. The report draws up relevant leadership theories such as transformational, transactional, situational, adaptive and so on and also discusses different levels of power centralisation that can influence healthcare programmes and crisis management across these three countries in particular. </w:t>
      </w:r>
    </w:p>
    <w:p w14:paraId="2DB62EA8" w14:textId="77777777" w:rsidR="0030310E" w:rsidRDefault="001325F3">
      <w:pPr>
        <w:pStyle w:val="Heading1"/>
        <w:rPr>
          <w:highlight w:val="white"/>
        </w:rPr>
      </w:pPr>
      <w:bookmarkStart w:id="3" w:name="_Toc216690822"/>
      <w:r>
        <w:t xml:space="preserve">1. Comparison and contrast among the organisation of the health care system in the </w:t>
      </w:r>
      <w:r>
        <w:rPr>
          <w:highlight w:val="white"/>
        </w:rPr>
        <w:t>context of the response to the pandemic in three jurisdictions: Spain, South Korea, and Canada</w:t>
      </w:r>
      <w:bookmarkEnd w:id="3"/>
    </w:p>
    <w:p w14:paraId="4128B9C3" w14:textId="77777777" w:rsidR="0030310E" w:rsidRDefault="001325F3">
      <w:pPr>
        <w:pStyle w:val="Heading2"/>
      </w:pPr>
      <w:bookmarkStart w:id="4" w:name="_Toc216690823"/>
      <w:r>
        <w:t>Overview of the healthcare systems during the pandemic outbreak</w:t>
      </w:r>
      <w:bookmarkEnd w:id="4"/>
    </w:p>
    <w:p w14:paraId="526B3E0D" w14:textId="77777777" w:rsidR="0030310E" w:rsidRDefault="001325F3">
      <w:pPr>
        <w:spacing w:line="360" w:lineRule="auto"/>
        <w:jc w:val="both"/>
        <w:rPr>
          <w:highlight w:val="white"/>
        </w:rPr>
      </w:pPr>
      <w:r>
        <w:rPr>
          <w:highlight w:val="white"/>
        </w:rPr>
        <w:t xml:space="preserve">During the public health crisis, such as the COVID-19 pandemic, the healthcare systems across the globe have faced common challenges to protect the population (Filip </w:t>
      </w:r>
      <w:r>
        <w:rPr>
          <w:i/>
          <w:highlight w:val="white"/>
        </w:rPr>
        <w:t>et al.,</w:t>
      </w:r>
      <w:r>
        <w:rPr>
          <w:highlight w:val="white"/>
        </w:rPr>
        <w:t xml:space="preserve"> 2022, p.1295). Spain has a tax-funded national health service based on strong regional responsibilities (Saltman, 2019, p.8). Whereas Canada has a highly decentralised federal model with large provinces administering care under the federal standards, and South Korea has a centralised but hybrid system with a strong public health agency and national health insurance. In a situation of a pandemic, the organisations are influenced by the capacity of early detection, </w:t>
      </w:r>
      <w:r>
        <w:rPr>
          <w:highlight w:val="white"/>
        </w:rPr>
        <w:lastRenderedPageBreak/>
        <w:t xml:space="preserve">coordination, resource allocation, surge capacity, rollout of vaccination and balancing of national vs sub-national roles to manage the crisis. The central management and control also affect the decision making, conformity, resource mobilisation and responsiveness. The healthcare system and responses among these three countries vary due to different jurisdictions, hindering the process or helping to manage the pandemic. </w:t>
      </w:r>
    </w:p>
    <w:p w14:paraId="77385089" w14:textId="77777777" w:rsidR="0030310E" w:rsidRDefault="001325F3">
      <w:pPr>
        <w:pStyle w:val="Heading2"/>
      </w:pPr>
      <w:bookmarkStart w:id="5" w:name="_Toc216690824"/>
      <w:r>
        <w:t>Healthcare system organisations</w:t>
      </w:r>
      <w:bookmarkEnd w:id="5"/>
    </w:p>
    <w:p w14:paraId="4676937A" w14:textId="77777777" w:rsidR="0030310E" w:rsidRDefault="001325F3">
      <w:pPr>
        <w:spacing w:line="360" w:lineRule="auto"/>
        <w:jc w:val="both"/>
        <w:rPr>
          <w:highlight w:val="white"/>
        </w:rPr>
      </w:pPr>
      <w:r>
        <w:rPr>
          <w:highlight w:val="white"/>
        </w:rPr>
        <w:t xml:space="preserve">The healthcare system of Spain is decentralised and built around the Sistema Nacional de Salud (SNS, National Health System), which offers Universal coverage, tax-funded, predominantly offered via the public sector at the delivery point (who.int, 2024). 17 autonomous regional governments are included in the SNS, while the Central Ministry of Health maintains oversight of interregional coordination, bringing policies and national public health functions, which also highlight the lack of uniform standards. The health expenditure of the country before the pandemic was around 6.4% of GDP, which was relatively low in comparison to the other European countries (Royo, 2020, pp.180-190). The structural underfunding and austerity measures of the healthcare system, mainly in material and human resources, have highlighted the constraints. Public health functions include emergency preparedness and surveillance, which were recognised as fragmented across all levels, hindering coordination among the organisations. Causing delayed responses, hampering rapid action and seeking coordination across multiple autonomous units. Decentralisation in Spain has combined weak central oversight and under-resourcing that undermines the responsiveness in situations such as the pandemic. On the other hand, the healthcare system of South Korea is highly operated under the Universal National Health Insurance Model, where NHIS covers all residents, integrated in 2000 from the earlier schemes, which were fragmented (Cho and Chu, 2017, p.235).  </w:t>
      </w:r>
    </w:p>
    <w:p w14:paraId="4E0484F6" w14:textId="77777777" w:rsidR="0030310E" w:rsidRDefault="001325F3">
      <w:pPr>
        <w:spacing w:line="360" w:lineRule="auto"/>
        <w:jc w:val="center"/>
        <w:rPr>
          <w:highlight w:val="white"/>
        </w:rPr>
      </w:pPr>
      <w:r>
        <w:rPr>
          <w:noProof/>
          <w:highlight w:val="white"/>
        </w:rPr>
        <w:drawing>
          <wp:inline distT="114300" distB="114300" distL="114300" distR="114300" wp14:anchorId="32F3487F" wp14:editId="3A30F512">
            <wp:extent cx="4691063" cy="2505075"/>
            <wp:effectExtent l="12700" t="12700" r="12700" b="1270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6"/>
                    <a:srcRect/>
                    <a:stretch>
                      <a:fillRect/>
                    </a:stretch>
                  </pic:blipFill>
                  <pic:spPr>
                    <a:xfrm>
                      <a:off x="0" y="0"/>
                      <a:ext cx="4691063" cy="2505075"/>
                    </a:xfrm>
                    <a:prstGeom prst="rect">
                      <a:avLst/>
                    </a:prstGeom>
                    <a:ln w="12700">
                      <a:solidFill>
                        <a:srgbClr val="000000"/>
                      </a:solidFill>
                      <a:prstDash val="solid"/>
                    </a:ln>
                  </pic:spPr>
                </pic:pic>
              </a:graphicData>
            </a:graphic>
          </wp:inline>
        </w:drawing>
      </w:r>
    </w:p>
    <w:p w14:paraId="1E6DC2D0" w14:textId="77777777" w:rsidR="0030310E" w:rsidRDefault="001325F3">
      <w:pPr>
        <w:spacing w:line="360" w:lineRule="auto"/>
        <w:jc w:val="center"/>
        <w:rPr>
          <w:b/>
          <w:highlight w:val="white"/>
        </w:rPr>
      </w:pPr>
      <w:r>
        <w:rPr>
          <w:b/>
          <w:highlight w:val="white"/>
        </w:rPr>
        <w:lastRenderedPageBreak/>
        <w:t>Figure: New cases of COVID-19 in Spain</w:t>
      </w:r>
    </w:p>
    <w:p w14:paraId="73D7592F" w14:textId="77777777" w:rsidR="0030310E" w:rsidRDefault="001325F3">
      <w:pPr>
        <w:spacing w:line="360" w:lineRule="auto"/>
        <w:jc w:val="center"/>
        <w:rPr>
          <w:b/>
          <w:highlight w:val="white"/>
        </w:rPr>
      </w:pPr>
      <w:r>
        <w:rPr>
          <w:b/>
          <w:highlight w:val="white"/>
        </w:rPr>
        <w:t>(Source: Royo, 2020, pp.180-190)</w:t>
      </w:r>
    </w:p>
    <w:p w14:paraId="2785660C" w14:textId="77777777" w:rsidR="0030310E" w:rsidRDefault="001325F3">
      <w:pPr>
        <w:spacing w:line="360" w:lineRule="auto"/>
        <w:jc w:val="both"/>
        <w:rPr>
          <w:highlight w:val="white"/>
        </w:rPr>
      </w:pPr>
      <w:r>
        <w:rPr>
          <w:highlight w:val="white"/>
        </w:rPr>
        <w:t xml:space="preserve">The Ministry of Health coordinated national strategies in Spain, while the regional health authorities, such as Catalina’s Departments of Health and Madrid's Servicio Madrileño de Salud (SERMAS), executed the local measures (Bernal-Delgado </w:t>
      </w:r>
      <w:r>
        <w:rPr>
          <w:i/>
          <w:highlight w:val="white"/>
        </w:rPr>
        <w:t xml:space="preserve">et al., </w:t>
      </w:r>
      <w:r>
        <w:rPr>
          <w:highlight w:val="white"/>
        </w:rPr>
        <w:t xml:space="preserve">2024, pp.1-187). Hospitals such as Hospital Universitario 12 de Octubre in Madrid and Hospital Clinic de Barcelona became major hubs for vaccine trials and treatments of the pandemic, which reflects differences in regional capacity. The Spanish Agency for Medicines and Health Products (AEMPS) monitored the vaccine control, approval, and distribution, which ensured efficiency and safety despite the decentralised structure. On the other hand, in Canada, the Public Health Agency of Canada (PHAC) collaborated with organisations such as Ontario Health and the British Columbia Centre for Disease Control (BCCDC) for improved data coordination and testing (Lix </w:t>
      </w:r>
      <w:r>
        <w:rPr>
          <w:i/>
          <w:highlight w:val="white"/>
        </w:rPr>
        <w:t>et al.,</w:t>
      </w:r>
      <w:r>
        <w:rPr>
          <w:highlight w:val="white"/>
        </w:rPr>
        <w:t xml:space="preserve"> 2018, p.433). Toronto General Hospital and Vancouver General Hospital combinedly manage the surge capacity, while NACI advised the guided rollouts of the vaccine. Differing from this, SA has the Korea Disease Control and Prevention Agency (KDCA) for real-time data sharing, transparency, public communication and nationwide testing. Private sector organisations such as SD Biosensor and Seegene developed rapid PCR testing kits, which were exported globally.  Popular hospitals such as Asan Medical Centre and Seoul National University Hospital implemented an integrated monitoring system and AI-based triage tools, which demonstrated strong centralised coordination between healthcare, government and the technology sector of the country. </w:t>
      </w:r>
    </w:p>
    <w:p w14:paraId="43A8AB82" w14:textId="77777777" w:rsidR="0030310E" w:rsidRDefault="001325F3">
      <w:pPr>
        <w:spacing w:line="360" w:lineRule="auto"/>
        <w:jc w:val="both"/>
        <w:rPr>
          <w:highlight w:val="white"/>
        </w:rPr>
      </w:pPr>
      <w:r>
        <w:rPr>
          <w:highlight w:val="white"/>
        </w:rPr>
        <w:t xml:space="preserve">Govt. subsidiaries and compulsory contribution, along with out-of-pocket cost sharing, are included in the financing, but it is moderated. Private providers, including hospitals, dominate the capacity of the beds and delivery of care is significant through the insurance system, which regulates the financing mainly. Considering the disease control and public healthcare, the Korea Disease Control and Prevention Agency KDCA, (formerly KCDC), under the Ministry of Welfare MOHW functions as the central Controller for surveillance of diseases, along with emergency response and control of outbreaks (oecd.org, 2020). The system is more centralised here, and the key functions include surveillance, contingency planning, testing infrastructure, and national guidelines. The blend of strong central coordination with flexible local implementation helped South Korea to achieve uniform actions and enabled quick decision-making. Differing from this, Canada has a universal publicly funded model (Canadian Medicare) with a large administration of the territorial and provincial models. The federal government offers funding and sets national standards via the Canada Health Act, including workforce regulation, actual delivery and </w:t>
      </w:r>
      <w:r>
        <w:rPr>
          <w:highlight w:val="white"/>
        </w:rPr>
        <w:lastRenderedPageBreak/>
        <w:t xml:space="preserve">hospital and most health services under the provincial jurisdiction (commonwealthfund.org, 2020). </w:t>
      </w:r>
    </w:p>
    <w:p w14:paraId="38C86934" w14:textId="77777777" w:rsidR="0030310E" w:rsidRDefault="001325F3">
      <w:pPr>
        <w:spacing w:line="360" w:lineRule="auto"/>
        <w:jc w:val="center"/>
        <w:rPr>
          <w:highlight w:val="white"/>
        </w:rPr>
      </w:pPr>
      <w:r>
        <w:rPr>
          <w:noProof/>
          <w:highlight w:val="white"/>
        </w:rPr>
        <w:drawing>
          <wp:inline distT="114300" distB="114300" distL="114300" distR="114300" wp14:anchorId="03369194" wp14:editId="5F7B8CAB">
            <wp:extent cx="4324350" cy="2732968"/>
            <wp:effectExtent l="12700" t="12700" r="12700" b="12700"/>
            <wp:docPr id="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7"/>
                    <a:srcRect/>
                    <a:stretch>
                      <a:fillRect/>
                    </a:stretch>
                  </pic:blipFill>
                  <pic:spPr>
                    <a:xfrm>
                      <a:off x="0" y="0"/>
                      <a:ext cx="4324350" cy="2732968"/>
                    </a:xfrm>
                    <a:prstGeom prst="rect">
                      <a:avLst/>
                    </a:prstGeom>
                    <a:ln w="12700">
                      <a:solidFill>
                        <a:srgbClr val="000000"/>
                      </a:solidFill>
                      <a:prstDash val="solid"/>
                    </a:ln>
                  </pic:spPr>
                </pic:pic>
              </a:graphicData>
            </a:graphic>
          </wp:inline>
        </w:drawing>
      </w:r>
    </w:p>
    <w:p w14:paraId="7B78B499" w14:textId="77777777" w:rsidR="0030310E" w:rsidRDefault="001325F3">
      <w:pPr>
        <w:spacing w:line="360" w:lineRule="auto"/>
        <w:jc w:val="center"/>
        <w:rPr>
          <w:b/>
          <w:highlight w:val="white"/>
        </w:rPr>
      </w:pPr>
      <w:r>
        <w:rPr>
          <w:b/>
          <w:highlight w:val="white"/>
        </w:rPr>
        <w:t xml:space="preserve">Figure: Appraising Korea’s public health capacity – analytical framework </w:t>
      </w:r>
    </w:p>
    <w:p w14:paraId="60B54113" w14:textId="77777777" w:rsidR="0030310E" w:rsidRDefault="001325F3">
      <w:pPr>
        <w:spacing w:line="360" w:lineRule="auto"/>
        <w:jc w:val="center"/>
        <w:rPr>
          <w:b/>
          <w:highlight w:val="white"/>
        </w:rPr>
      </w:pPr>
      <w:r>
        <w:rPr>
          <w:b/>
          <w:highlight w:val="white"/>
        </w:rPr>
        <w:t>(Source: oecd.org, 2020)</w:t>
      </w:r>
    </w:p>
    <w:p w14:paraId="248E5A88" w14:textId="77777777" w:rsidR="0030310E" w:rsidRDefault="001325F3">
      <w:pPr>
        <w:spacing w:line="360" w:lineRule="auto"/>
        <w:jc w:val="both"/>
        <w:rPr>
          <w:highlight w:val="white"/>
        </w:rPr>
      </w:pPr>
      <w:r>
        <w:rPr>
          <w:highlight w:val="white"/>
        </w:rPr>
        <w:t xml:space="preserve">Each territory of Canada has its own infrastructure plan, while the medical necessary service and physicians are free of charge, aligned with many other services such as the dental, outpatient pharmaceuticals, community care, and so on, with a mix of private or public coverage. Canada operates as a federation, and health is largely delegated here; the system is highly decentralised to offer improved operational delivery and significant regional variations. A high degree of decentralisation is evident in the health system of Canada, which holds substantial power of decision-making with public health mandates, workforce, and hospital administration (Smith, 2023, pp.19-28). The federal government acts as a funder and standard-setter rather than a complete controller. During the pandemic, subnational governments seemed responsible in their jurisdictions, which can further lead to duplication, inconsistencies and slower national-level coordination followed by fragmented messaging. The balance between the provincial and federal responsibilities complicated the national strategies. </w:t>
      </w:r>
    </w:p>
    <w:p w14:paraId="0433EB14" w14:textId="77777777" w:rsidR="0030310E" w:rsidRDefault="001325F3">
      <w:pPr>
        <w:pStyle w:val="Heading2"/>
      </w:pPr>
      <w:bookmarkStart w:id="6" w:name="_Toc216690825"/>
      <w:r>
        <w:t>COVID-19 responses, key features and outcomes</w:t>
      </w:r>
      <w:bookmarkEnd w:id="6"/>
    </w:p>
    <w:p w14:paraId="56CDFF4F" w14:textId="77777777" w:rsidR="0030310E" w:rsidRDefault="001325F3">
      <w:pPr>
        <w:spacing w:line="360" w:lineRule="auto"/>
        <w:jc w:val="both"/>
        <w:rPr>
          <w:highlight w:val="white"/>
        </w:rPr>
      </w:pPr>
      <w:r>
        <w:rPr>
          <w:highlight w:val="white"/>
        </w:rPr>
        <w:t xml:space="preserve">In the early stage of the pandemic, Spain was significantly impacted, and in the fast wave, the country experienced a high mortality rate, as over 18% died in 2020 relative to the previous year, with huge hospital and ICU burden (Gasch-Illescas </w:t>
      </w:r>
      <w:r>
        <w:rPr>
          <w:i/>
          <w:highlight w:val="white"/>
        </w:rPr>
        <w:t>et al.,</w:t>
      </w:r>
      <w:r>
        <w:rPr>
          <w:highlight w:val="white"/>
        </w:rPr>
        <w:t xml:space="preserve"> 2023, p.5507). Though the initial response and governance of the country were highly criticised, the lack of dimension, including transparency, efficiency, and participation, was crucial.  There was also the rising case sign of </w:t>
      </w:r>
      <w:r>
        <w:rPr>
          <w:highlight w:val="white"/>
        </w:rPr>
        <w:lastRenderedPageBreak/>
        <w:t xml:space="preserve">the pandemic; however, the government at the regional and national levels acted slowly and proceeded with mass gatherings with limited testing or tracking capability. A national estado de alarrma (state of emergency) was declared by the government of Spain on March 14, 2020, by the Royal Decree 463/2020, which offered more powers to the central government for establishing coordination among the regions (Rodríguez-Teruel </w:t>
      </w:r>
      <w:r>
        <w:rPr>
          <w:i/>
          <w:highlight w:val="white"/>
        </w:rPr>
        <w:t xml:space="preserve">et al., </w:t>
      </w:r>
      <w:r>
        <w:rPr>
          <w:highlight w:val="white"/>
        </w:rPr>
        <w:t xml:space="preserve">2024, pp. 56-88). On the other hand, South Korea is widely regarded as one of the more effective early responders to COVID-19. The response of South Korea rested on early testing, contact tracing, transparent communication, isolation and the use of technology, including mobile alerts, drive-through testing and relatively rapid scale-up of capacity. The hybrid governance “whole-of-nation” model facilitated cooperation across all the governments, communities and the private sector.  The role of KDCA is vital in real-time surveillance and the MOHW’s planning function, and strong central leadership enabled coherent cooperation across local governments and provinces. </w:t>
      </w:r>
    </w:p>
    <w:p w14:paraId="37C85783" w14:textId="77777777" w:rsidR="0030310E" w:rsidRDefault="001325F3">
      <w:pPr>
        <w:spacing w:line="360" w:lineRule="auto"/>
        <w:jc w:val="both"/>
        <w:rPr>
          <w:highlight w:val="white"/>
        </w:rPr>
      </w:pPr>
      <w:r>
        <w:rPr>
          <w:noProof/>
          <w:highlight w:val="white"/>
        </w:rPr>
        <w:drawing>
          <wp:inline distT="114300" distB="114300" distL="114300" distR="114300" wp14:anchorId="21D054EA" wp14:editId="505668DA">
            <wp:extent cx="5943600" cy="2184400"/>
            <wp:effectExtent l="12700" t="12700" r="12700" b="1270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2184400"/>
                    </a:xfrm>
                    <a:prstGeom prst="rect">
                      <a:avLst/>
                    </a:prstGeom>
                    <a:ln w="12700">
                      <a:solidFill>
                        <a:srgbClr val="000000"/>
                      </a:solidFill>
                      <a:prstDash val="solid"/>
                    </a:ln>
                  </pic:spPr>
                </pic:pic>
              </a:graphicData>
            </a:graphic>
          </wp:inline>
        </w:drawing>
      </w:r>
    </w:p>
    <w:p w14:paraId="1BD1FFF4" w14:textId="77777777" w:rsidR="0030310E" w:rsidRDefault="001325F3">
      <w:pPr>
        <w:spacing w:line="360" w:lineRule="auto"/>
        <w:jc w:val="center"/>
        <w:rPr>
          <w:b/>
          <w:highlight w:val="white"/>
        </w:rPr>
      </w:pPr>
      <w:r>
        <w:rPr>
          <w:b/>
          <w:highlight w:val="white"/>
        </w:rPr>
        <w:t>Figure: COVID-19 Confirmed Cases (Deaths) in South Korea</w:t>
      </w:r>
    </w:p>
    <w:p w14:paraId="6254F26E" w14:textId="77777777" w:rsidR="0030310E" w:rsidRDefault="001325F3">
      <w:pPr>
        <w:spacing w:line="360" w:lineRule="auto"/>
        <w:jc w:val="center"/>
        <w:rPr>
          <w:b/>
          <w:highlight w:val="white"/>
        </w:rPr>
      </w:pPr>
      <w:r>
        <w:rPr>
          <w:b/>
          <w:highlight w:val="white"/>
        </w:rPr>
        <w:t>(Source: You, 2020, pp.801-808)</w:t>
      </w:r>
    </w:p>
    <w:p w14:paraId="6FE5480A" w14:textId="77777777" w:rsidR="0030310E" w:rsidRDefault="001325F3">
      <w:pPr>
        <w:spacing w:line="360" w:lineRule="auto"/>
        <w:jc w:val="both"/>
        <w:rPr>
          <w:highlight w:val="white"/>
        </w:rPr>
      </w:pPr>
      <w:r>
        <w:rPr>
          <w:highlight w:val="white"/>
        </w:rPr>
        <w:t xml:space="preserve">In South Korea, the national infectious disease plan, the government-led public health administration, with collaboration and an adaptive health system, the system of the country got benefited from previous outbreaks, which helped strengthen institutional capacity (You, 2020, pp.801-808). The system benefited from previous outbreaks and lessons, which helped to strengthen the institutional capacity. The central government could also enforce further quarantine, resource mobilisation, and travel measures while coordinating with local governments. The response to the pandemic by Canada involved both federal and provincial roles. The federal government offered coordination, purchase of vaccines and funding with a broader travel policy which handled public-health measures, ICU management, and Hospitality capacity, implementation of vaccination and so on. As a review, Canada has revealed that the </w:t>
      </w:r>
      <w:r>
        <w:rPr>
          <w:highlight w:val="white"/>
        </w:rPr>
        <w:lastRenderedPageBreak/>
        <w:t xml:space="preserve">first 100 cases of countries' responses were uncoordinated, decentralised, slow and human-driven (Hansen and Cyr, 2020, p. 20343). As noted by the study, federalism significantly affected the coordination; the role of the government was more supportive than directive. The rollout of the vaccination took quite a while in the country; however, eventually it achieved better and higher coverage instead of regional disparities. In the post-pandemic state, the commentators have highlighted the need to strengthen federal-provincial coordination and system resilience. </w:t>
      </w:r>
    </w:p>
    <w:p w14:paraId="4A099EEB" w14:textId="77777777" w:rsidR="0030310E" w:rsidRDefault="001325F3">
      <w:pPr>
        <w:spacing w:line="360" w:lineRule="auto"/>
        <w:jc w:val="both"/>
        <w:rPr>
          <w:highlight w:val="white"/>
        </w:rPr>
      </w:pPr>
      <w:r>
        <w:rPr>
          <w:highlight w:val="white"/>
        </w:rPr>
        <w:t xml:space="preserve">The government of Spain has a decentralised nature of service, which reflects that each of the regions has different preparedness and responses. The interregional coordination and clear legal lines of authority were weak within the country. As a result, the decentralised health system required coordination and strength between the regional and national levels. The pandemic in Spain exposed the way non-COVID care was affected, and as an example, at a particular tertiary hospital during the second wave, non-COVID admissions dropped by nearly ~19 % while the admissions and severity rose (Gasch-Illescas </w:t>
      </w:r>
      <w:r>
        <w:rPr>
          <w:i/>
          <w:highlight w:val="white"/>
        </w:rPr>
        <w:t>et al.,</w:t>
      </w:r>
      <w:r>
        <w:rPr>
          <w:highlight w:val="white"/>
        </w:rPr>
        <w:t xml:space="preserve"> 2023, p.5507). The vaccination of the country has become one of the strongest examples of Europe through the focus on system organisation rather than vaccination strategy. On the other hand, the centralised command structure enabled rapid resource deployment, uniform policy and consistent messaging in South Korea. Differently, Canada counters the lack of hierarchical control over the provincial health system, and the model resulted in slower alignment, variation and less uniformity in early response phases. The speed of decision-making and resource mobilisation seems vital in the case of the pandemic responses by the organisations (</w:t>
      </w:r>
      <w:r>
        <w:rPr>
          <w:color w:val="222222"/>
          <w:highlight w:val="white"/>
        </w:rPr>
        <w:t>Janssen and Van der Voort, 2020, p.102180</w:t>
      </w:r>
      <w:r>
        <w:rPr>
          <w:highlight w:val="white"/>
        </w:rPr>
        <w:t xml:space="preserve">). Strong central coordination fostered more consistent national protocols. In Canada, provinces implemented divergent strategies, which led to confusion at the national level. Robust national agencies and centralised systems help to build and develop capacity rapidly. </w:t>
      </w:r>
    </w:p>
    <w:p w14:paraId="6E227DCD" w14:textId="77777777" w:rsidR="0030310E" w:rsidRDefault="001325F3">
      <w:pPr>
        <w:pStyle w:val="Heading2"/>
      </w:pPr>
      <w:bookmarkStart w:id="7" w:name="_Toc216690826"/>
      <w:r>
        <w:lastRenderedPageBreak/>
        <w:t>Implications for pandemic responses</w:t>
      </w:r>
      <w:bookmarkEnd w:id="7"/>
      <w:r>
        <w:t xml:space="preserve"> </w:t>
      </w:r>
    </w:p>
    <w:p w14:paraId="3C4118E9" w14:textId="77777777" w:rsidR="0030310E" w:rsidRDefault="001325F3">
      <w:pPr>
        <w:spacing w:line="360" w:lineRule="auto"/>
        <w:jc w:val="both"/>
        <w:rPr>
          <w:highlight w:val="white"/>
        </w:rPr>
      </w:pPr>
      <w:r>
        <w:rPr>
          <w:noProof/>
          <w:highlight w:val="white"/>
        </w:rPr>
        <w:drawing>
          <wp:inline distT="114300" distB="114300" distL="114300" distR="114300" wp14:anchorId="1E0156DA" wp14:editId="346DB300">
            <wp:extent cx="5943600" cy="2215576"/>
            <wp:effectExtent l="12700" t="12700" r="12700" b="1270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2215576"/>
                    </a:xfrm>
                    <a:prstGeom prst="rect">
                      <a:avLst/>
                    </a:prstGeom>
                    <a:ln w="12700">
                      <a:solidFill>
                        <a:srgbClr val="000000"/>
                      </a:solidFill>
                      <a:prstDash val="solid"/>
                    </a:ln>
                  </pic:spPr>
                </pic:pic>
              </a:graphicData>
            </a:graphic>
          </wp:inline>
        </w:drawing>
      </w:r>
    </w:p>
    <w:p w14:paraId="28656ACD" w14:textId="77777777" w:rsidR="0030310E" w:rsidRDefault="001325F3">
      <w:pPr>
        <w:spacing w:line="360" w:lineRule="auto"/>
        <w:jc w:val="center"/>
        <w:rPr>
          <w:b/>
          <w:highlight w:val="white"/>
        </w:rPr>
      </w:pPr>
      <w:r>
        <w:rPr>
          <w:b/>
          <w:highlight w:val="white"/>
        </w:rPr>
        <w:t>Figure: Four phases in the central-regional IGR management of the COVID-19 crisis in Spain</w:t>
      </w:r>
    </w:p>
    <w:p w14:paraId="55BF113D" w14:textId="77777777" w:rsidR="0030310E" w:rsidRDefault="001325F3">
      <w:pPr>
        <w:spacing w:line="360" w:lineRule="auto"/>
        <w:jc w:val="center"/>
        <w:rPr>
          <w:highlight w:val="white"/>
        </w:rPr>
      </w:pPr>
      <w:r>
        <w:rPr>
          <w:b/>
          <w:highlight w:val="white"/>
        </w:rPr>
        <w:t xml:space="preserve">(Source: </w:t>
      </w:r>
      <w:r>
        <w:rPr>
          <w:b/>
          <w:color w:val="222222"/>
          <w:highlight w:val="white"/>
        </w:rPr>
        <w:t>Navarro and Velasco, 2022, pp.191-210</w:t>
      </w:r>
      <w:r>
        <w:rPr>
          <w:b/>
          <w:highlight w:val="white"/>
        </w:rPr>
        <w:t>)</w:t>
      </w:r>
    </w:p>
    <w:p w14:paraId="1E05380A" w14:textId="77777777" w:rsidR="0030310E" w:rsidRDefault="001325F3">
      <w:pPr>
        <w:spacing w:line="360" w:lineRule="auto"/>
        <w:jc w:val="both"/>
        <w:rPr>
          <w:highlight w:val="white"/>
        </w:rPr>
      </w:pPr>
      <w:r>
        <w:rPr>
          <w:highlight w:val="white"/>
        </w:rPr>
        <w:t>The decentralisation of the health system of Spain revealed that regional authorities closely operated with the local population, offering advantages. The weak central regional coordination, lack of uniform standards and variable resources among the regions offer vulnerabilities in pandemic response. The underfunding of the countries triggered the issues and caused delayed responses that amplified the negative impacts. On the other hand, national emergency powers were activated in Spain, where the central government had the power to impose uniform measures such as lockdowns (</w:t>
      </w:r>
      <w:r>
        <w:rPr>
          <w:color w:val="222222"/>
          <w:highlight w:val="white"/>
        </w:rPr>
        <w:t>Navarro and Velasco, 2020, pp.191-210</w:t>
      </w:r>
      <w:r>
        <w:rPr>
          <w:highlight w:val="white"/>
        </w:rPr>
        <w:t>). The condition of South Korea is different, and relatively centralised structures offer consistency of responsiveness, strong coordination and agility to the country. The integrated insurance financing gave broad coverage and access, and the robust public-health machinery offers improved detection and containment, which were strengths. However, challenges remained high, including balancing privacy concerns, capacity constraints in tracing; however, overall organisational structure worked favourably in the content crisis. The decentralised model of Canada allowed provinces to tailor responses to the local context, which can be considered a strength; however, some provinces experience lower preparedness, variation in capacity and slow coordination with the federal-level procurement and strategy. The lack of a strong central command structure limited the rapid national mobilisation of countries (</w:t>
      </w:r>
      <w:r>
        <w:rPr>
          <w:color w:val="222222"/>
          <w:highlight w:val="white"/>
        </w:rPr>
        <w:t xml:space="preserve">Capano </w:t>
      </w:r>
      <w:r>
        <w:rPr>
          <w:i/>
          <w:color w:val="222222"/>
          <w:highlight w:val="white"/>
        </w:rPr>
        <w:t>et al.</w:t>
      </w:r>
      <w:r>
        <w:rPr>
          <w:color w:val="222222"/>
          <w:highlight w:val="white"/>
        </w:rPr>
        <w:t>, 2020, pp.285-308</w:t>
      </w:r>
      <w:r>
        <w:rPr>
          <w:highlight w:val="white"/>
        </w:rPr>
        <w:t xml:space="preserve">). </w:t>
      </w:r>
    </w:p>
    <w:p w14:paraId="49439A2B" w14:textId="77777777" w:rsidR="0030310E" w:rsidRDefault="001325F3">
      <w:pPr>
        <w:spacing w:line="360" w:lineRule="auto"/>
        <w:jc w:val="both"/>
        <w:rPr>
          <w:highlight w:val="white"/>
        </w:rPr>
      </w:pPr>
      <w:r>
        <w:rPr>
          <w:highlight w:val="white"/>
        </w:rPr>
        <w:t xml:space="preserve">On the other hand, the Universal coverage model of Canada ensured broad care access, and provincial or local health authorities were closely embedded in the communities of the country, which can enhance local responsiveness and trust of the public. The experiences of the country </w:t>
      </w:r>
      <w:r>
        <w:rPr>
          <w:highlight w:val="white"/>
        </w:rPr>
        <w:lastRenderedPageBreak/>
        <w:t>in the pandemic responses highlight the way decentralisation without strong coordination can hamper uniform and swift response to the crisis. Communication and public trust seem vital for the countries. Korea facilitated centralised messaging with transparency, helping to gain public cooperation. Spain struggled in this regard, and Canada's models required further alignment with multiple jurisdictional communications to convey the nation's message. Local and national-level adaptations are vital for all countries concerning pandemic responsiveness. The regions of Spain and Canada could tailor the responses to the local context; however, the centralised approach of Korea's allowed local implementation is largely under national guidance (</w:t>
      </w:r>
      <w:r>
        <w:rPr>
          <w:color w:val="222222"/>
          <w:highlight w:val="white"/>
        </w:rPr>
        <w:t xml:space="preserve">Oh </w:t>
      </w:r>
      <w:r>
        <w:rPr>
          <w:i/>
          <w:color w:val="222222"/>
          <w:highlight w:val="white"/>
        </w:rPr>
        <w:t>et al.</w:t>
      </w:r>
      <w:r>
        <w:rPr>
          <w:color w:val="222222"/>
          <w:highlight w:val="white"/>
        </w:rPr>
        <w:t>, 2020, p. 1753464</w:t>
      </w:r>
      <w:r>
        <w:rPr>
          <w:highlight w:val="white"/>
        </w:rPr>
        <w:t xml:space="preserve">). </w:t>
      </w:r>
    </w:p>
    <w:p w14:paraId="417E48D9" w14:textId="77777777" w:rsidR="0030310E" w:rsidRDefault="001325F3">
      <w:pPr>
        <w:spacing w:line="360" w:lineRule="auto"/>
        <w:jc w:val="both"/>
        <w:rPr>
          <w:highlight w:val="white"/>
        </w:rPr>
      </w:pPr>
      <w:r>
        <w:rPr>
          <w:noProof/>
          <w:highlight w:val="white"/>
        </w:rPr>
        <w:drawing>
          <wp:inline distT="114300" distB="114300" distL="114300" distR="114300" wp14:anchorId="6F78DD9D" wp14:editId="0ADACF58">
            <wp:extent cx="5943600" cy="3111500"/>
            <wp:effectExtent l="12700" t="12700" r="12700" b="1270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943600" cy="3111500"/>
                    </a:xfrm>
                    <a:prstGeom prst="rect">
                      <a:avLst/>
                    </a:prstGeom>
                    <a:ln w="12700">
                      <a:solidFill>
                        <a:srgbClr val="000000"/>
                      </a:solidFill>
                      <a:prstDash val="solid"/>
                    </a:ln>
                  </pic:spPr>
                </pic:pic>
              </a:graphicData>
            </a:graphic>
          </wp:inline>
        </w:drawing>
      </w:r>
    </w:p>
    <w:p w14:paraId="24BD95E2" w14:textId="77777777" w:rsidR="0030310E" w:rsidRDefault="001325F3">
      <w:pPr>
        <w:spacing w:line="360" w:lineRule="auto"/>
        <w:jc w:val="center"/>
        <w:rPr>
          <w:b/>
          <w:highlight w:val="white"/>
        </w:rPr>
      </w:pPr>
      <w:r>
        <w:rPr>
          <w:b/>
          <w:highlight w:val="white"/>
        </w:rPr>
        <w:t>Figure: variation of COVID-19 Policy announcements over time</w:t>
      </w:r>
    </w:p>
    <w:p w14:paraId="182BCBE8" w14:textId="77777777" w:rsidR="0030310E" w:rsidRDefault="001325F3">
      <w:pPr>
        <w:spacing w:line="360" w:lineRule="auto"/>
        <w:jc w:val="center"/>
        <w:rPr>
          <w:b/>
          <w:highlight w:val="white"/>
        </w:rPr>
      </w:pPr>
      <w:r>
        <w:rPr>
          <w:b/>
          <w:highlight w:val="white"/>
        </w:rPr>
        <w:t xml:space="preserve">(Source: </w:t>
      </w:r>
      <w:r>
        <w:rPr>
          <w:b/>
          <w:color w:val="222222"/>
          <w:highlight w:val="white"/>
        </w:rPr>
        <w:t xml:space="preserve">Capano </w:t>
      </w:r>
      <w:r>
        <w:rPr>
          <w:b/>
          <w:i/>
          <w:color w:val="222222"/>
          <w:highlight w:val="white"/>
        </w:rPr>
        <w:t>et al.</w:t>
      </w:r>
      <w:r>
        <w:rPr>
          <w:b/>
          <w:color w:val="222222"/>
          <w:highlight w:val="white"/>
        </w:rPr>
        <w:t>, 2020, pp.285-308</w:t>
      </w:r>
      <w:r>
        <w:rPr>
          <w:b/>
          <w:highlight w:val="white"/>
        </w:rPr>
        <w:t>)</w:t>
      </w:r>
    </w:p>
    <w:p w14:paraId="633A3DB9" w14:textId="77777777" w:rsidR="0030310E" w:rsidRDefault="0030310E">
      <w:pPr>
        <w:spacing w:line="360" w:lineRule="auto"/>
        <w:jc w:val="both"/>
        <w:rPr>
          <w:highlight w:val="white"/>
        </w:rPr>
      </w:pPr>
    </w:p>
    <w:p w14:paraId="4C5ED61F" w14:textId="77777777" w:rsidR="0030310E" w:rsidRDefault="001325F3">
      <w:pPr>
        <w:pStyle w:val="Heading1"/>
      </w:pPr>
      <w:bookmarkStart w:id="8" w:name="_heading=h.9m9ks0699x4v" w:colFirst="0" w:colLast="0"/>
      <w:bookmarkStart w:id="9" w:name="_Toc216690827"/>
      <w:bookmarkEnd w:id="8"/>
      <w:r>
        <w:t>2. Comparative Analysis of Leadership Approaches in Spain, South Korea and Canada During COVID-19</w:t>
      </w:r>
      <w:bookmarkEnd w:id="9"/>
    </w:p>
    <w:p w14:paraId="6D493D06" w14:textId="77777777" w:rsidR="0030310E" w:rsidRDefault="001325F3">
      <w:pPr>
        <w:pStyle w:val="Heading2"/>
      </w:pPr>
      <w:bookmarkStart w:id="10" w:name="_heading=h.hl14fado3v3a" w:colFirst="0" w:colLast="0"/>
      <w:bookmarkStart w:id="11" w:name="_Toc216690828"/>
      <w:bookmarkEnd w:id="10"/>
      <w:r>
        <w:t>Common Leadership Approaches Across Spain, South Korea and Canada</w:t>
      </w:r>
      <w:bookmarkEnd w:id="11"/>
    </w:p>
    <w:p w14:paraId="2DB7003F" w14:textId="77777777" w:rsidR="0030310E" w:rsidRDefault="001325F3">
      <w:pPr>
        <w:pStyle w:val="Heading3"/>
        <w:spacing w:before="0" w:after="0" w:line="360" w:lineRule="auto"/>
        <w:jc w:val="both"/>
        <w:rPr>
          <w:sz w:val="24"/>
          <w:szCs w:val="24"/>
        </w:rPr>
      </w:pPr>
      <w:bookmarkStart w:id="12" w:name="_heading=h.k02pqkwkai7g" w:colFirst="0" w:colLast="0"/>
      <w:bookmarkStart w:id="13" w:name="_Toc216690829"/>
      <w:bookmarkEnd w:id="12"/>
      <w:r>
        <w:rPr>
          <w:sz w:val="24"/>
          <w:szCs w:val="24"/>
        </w:rPr>
        <w:t>1. Crisis and Emergency Leadership</w:t>
      </w:r>
      <w:bookmarkEnd w:id="13"/>
      <w:r>
        <w:rPr>
          <w:sz w:val="24"/>
          <w:szCs w:val="24"/>
        </w:rPr>
        <w:t xml:space="preserve"> </w:t>
      </w:r>
    </w:p>
    <w:p w14:paraId="60914E78" w14:textId="77777777" w:rsidR="0030310E" w:rsidRDefault="001325F3">
      <w:pPr>
        <w:spacing w:line="360" w:lineRule="auto"/>
        <w:jc w:val="both"/>
      </w:pPr>
      <w:r>
        <w:t xml:space="preserve">All three leaders had portrayed crisis leadership during the initial stages of COVID-19 albeit with varying urgency and efficacy. Minister Salvador Illa in Spain was the first to show aspects of passive-avoidant leadership which is characterised by the late identification of risk and slow initiation of emergency responses. The transmission was underestimated by the government </w:t>
      </w:r>
      <w:r>
        <w:lastRenderedPageBreak/>
        <w:t>leading to overrun hospitals. In the case of the biennium 2020-21, Spain contributed US$7.5 million to the WHO response to COVID-19 of which the larger portion was flexible (WHO, 2023). Despite with mortality increasing, Spain began to transition to a more centralised approach to emergency measures where national lockdowns and redistribution of ICU resources were used. This is an indicator of a shift towards reactive crisis leadership where actions were executed under pressure and not with foresight. Though delayed, the shift resulted in an effective way to flatten the curves of infections.</w:t>
      </w:r>
    </w:p>
    <w:p w14:paraId="417C4CC7" w14:textId="77777777" w:rsidR="0030310E" w:rsidRDefault="001325F3">
      <w:pPr>
        <w:spacing w:line="360" w:lineRule="auto"/>
        <w:jc w:val="center"/>
      </w:pPr>
      <w:r>
        <w:rPr>
          <w:noProof/>
        </w:rPr>
        <w:drawing>
          <wp:inline distT="114300" distB="114300" distL="114300" distR="114300" wp14:anchorId="07510776" wp14:editId="4A97FEF3">
            <wp:extent cx="5257800" cy="3571875"/>
            <wp:effectExtent l="12700" t="12700" r="12700" b="1270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257800" cy="3571875"/>
                    </a:xfrm>
                    <a:prstGeom prst="rect">
                      <a:avLst/>
                    </a:prstGeom>
                    <a:ln w="12700">
                      <a:solidFill>
                        <a:srgbClr val="000000"/>
                      </a:solidFill>
                      <a:prstDash val="solid"/>
                    </a:ln>
                  </pic:spPr>
                </pic:pic>
              </a:graphicData>
            </a:graphic>
          </wp:inline>
        </w:drawing>
      </w:r>
    </w:p>
    <w:p w14:paraId="589A3972" w14:textId="77777777" w:rsidR="0030310E" w:rsidRDefault="001325F3">
      <w:pPr>
        <w:spacing w:line="360" w:lineRule="auto"/>
        <w:jc w:val="center"/>
        <w:rPr>
          <w:b/>
        </w:rPr>
      </w:pPr>
      <w:r>
        <w:rPr>
          <w:b/>
        </w:rPr>
        <w:t>Figure: WHO's top ten contributors of thematic funding for 2020-2021</w:t>
      </w:r>
    </w:p>
    <w:p w14:paraId="2F9AAB5F" w14:textId="77777777" w:rsidR="0030310E" w:rsidRDefault="001325F3">
      <w:pPr>
        <w:spacing w:line="360" w:lineRule="auto"/>
        <w:jc w:val="center"/>
      </w:pPr>
      <w:r>
        <w:t>(Source: WHO, 2023)</w:t>
      </w:r>
    </w:p>
    <w:p w14:paraId="5BAD36FF" w14:textId="77777777" w:rsidR="0030310E" w:rsidRDefault="001325F3">
      <w:pPr>
        <w:spacing w:line="360" w:lineRule="auto"/>
        <w:jc w:val="both"/>
      </w:pPr>
      <w:r>
        <w:t xml:space="preserve">South Korea on the other hand had a proactive leader of crisis, the Prime Minister Chung Sye-kyun who was based on the theories of transformational and adaptive leadership. Following the MERS outbreak of 2015 South Korea responded with an uncharacteristically swift reaction; emergency testing centres were activated, contact tracing mobilised, and targeted quarantines were implemented rather than shutting down the whole nation. Instead of making a post-factum move Chung was able to deploy real-time surveillance information and decentralised testing centres in order to avoid overloading the healthcare system. By August 1 2021 more than 11.7 million coronavirus (COVID-19) tests were in South Korea (Statista, 2024). South Korea was able to flatten the infection curve due to its quick testing in large quantities right at the beginning of the infection and exporting medical supplies and hygiene items to other nations. This </w:t>
      </w:r>
      <w:r>
        <w:lastRenderedPageBreak/>
        <w:t>proactive approach showed strategic anticipation, involvement of the citizens, and open communication, which are some of the pillars in successful crisis leadership.</w:t>
      </w:r>
    </w:p>
    <w:p w14:paraId="1F23CC86" w14:textId="77777777" w:rsidR="0030310E" w:rsidRDefault="001325F3">
      <w:pPr>
        <w:spacing w:line="360" w:lineRule="auto"/>
        <w:jc w:val="center"/>
      </w:pPr>
      <w:r>
        <w:rPr>
          <w:noProof/>
        </w:rPr>
        <w:drawing>
          <wp:inline distT="114300" distB="114300" distL="114300" distR="114300" wp14:anchorId="441C9C40" wp14:editId="18A31347">
            <wp:extent cx="5172075" cy="3152775"/>
            <wp:effectExtent l="12700" t="12700" r="12700" b="127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172075" cy="3152775"/>
                    </a:xfrm>
                    <a:prstGeom prst="rect">
                      <a:avLst/>
                    </a:prstGeom>
                    <a:ln w="12700">
                      <a:solidFill>
                        <a:srgbClr val="000000"/>
                      </a:solidFill>
                      <a:prstDash val="solid"/>
                    </a:ln>
                  </pic:spPr>
                </pic:pic>
              </a:graphicData>
            </a:graphic>
          </wp:inline>
        </w:drawing>
      </w:r>
    </w:p>
    <w:p w14:paraId="3B69FC22" w14:textId="77777777" w:rsidR="0030310E" w:rsidRDefault="001325F3">
      <w:pPr>
        <w:spacing w:line="360" w:lineRule="auto"/>
        <w:jc w:val="center"/>
        <w:rPr>
          <w:b/>
        </w:rPr>
      </w:pPr>
      <w:r>
        <w:rPr>
          <w:b/>
        </w:rPr>
        <w:t>Figure: South Korea: coronavirus total test cases 2021</w:t>
      </w:r>
    </w:p>
    <w:p w14:paraId="6BFA7AD1" w14:textId="77777777" w:rsidR="0030310E" w:rsidRDefault="001325F3">
      <w:pPr>
        <w:spacing w:line="360" w:lineRule="auto"/>
        <w:jc w:val="center"/>
      </w:pPr>
      <w:r>
        <w:t>(Source: Statista, 2024)</w:t>
      </w:r>
    </w:p>
    <w:p w14:paraId="0346954C" w14:textId="77777777" w:rsidR="0030310E" w:rsidRDefault="001325F3">
      <w:pPr>
        <w:spacing w:line="360" w:lineRule="auto"/>
        <w:jc w:val="both"/>
      </w:pPr>
      <w:r>
        <w:t>In the meantime Prime Minister Justin Trudeau of Canada was forced to use the situational style of crisis leadership, limited by the decentralised provincial structure of Canada. Trudeau has made national emergency announcements and closed borders but restrictions were not uniformly implemented across provinces. Policy uniformity was slowed by having to negotiate with regional governments to enable decision-making. However the leadership crisis that Trudeau exemplified was characterised by empathy, solidarity, and national organisation, through which he often addressed the citizens to keep their spirits high. In contrast to the reactive direction of Spain or the early intervention in Korea, the Canadian strategy was not biased either in terms of federal intervention or provincial autonomy. Canada donated more than Can$900 million to WHO towards global health concerns such as polio eradication and the COVID-19 response (WHO, 2022). Slower though it was, the strategy prevented the collapse of the health systems and enabled provincial responses.</w:t>
      </w:r>
    </w:p>
    <w:p w14:paraId="45DA3157" w14:textId="77777777" w:rsidR="0030310E" w:rsidRDefault="001325F3">
      <w:pPr>
        <w:spacing w:line="360" w:lineRule="auto"/>
        <w:jc w:val="center"/>
      </w:pPr>
      <w:r>
        <w:rPr>
          <w:noProof/>
        </w:rPr>
        <w:lastRenderedPageBreak/>
        <w:drawing>
          <wp:inline distT="114300" distB="114300" distL="114300" distR="114300" wp14:anchorId="43273DF8" wp14:editId="53812F41">
            <wp:extent cx="5229225" cy="325814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229225" cy="3258140"/>
                    </a:xfrm>
                    <a:prstGeom prst="rect">
                      <a:avLst/>
                    </a:prstGeom>
                    <a:ln/>
                  </pic:spPr>
                </pic:pic>
              </a:graphicData>
            </a:graphic>
          </wp:inline>
        </w:drawing>
      </w:r>
    </w:p>
    <w:p w14:paraId="5EA3C14E" w14:textId="77777777" w:rsidR="0030310E" w:rsidRDefault="001325F3">
      <w:pPr>
        <w:spacing w:line="360" w:lineRule="auto"/>
        <w:jc w:val="center"/>
        <w:rPr>
          <w:b/>
        </w:rPr>
      </w:pPr>
      <w:r>
        <w:rPr>
          <w:b/>
        </w:rPr>
        <w:t>Figure: Top 10 Contributors to WHO (2020-2021)</w:t>
      </w:r>
    </w:p>
    <w:p w14:paraId="4B3BB0FD" w14:textId="77777777" w:rsidR="0030310E" w:rsidRDefault="001325F3">
      <w:pPr>
        <w:spacing w:line="360" w:lineRule="auto"/>
        <w:jc w:val="center"/>
      </w:pPr>
      <w:r>
        <w:t>(Source: WHO, 2022)</w:t>
      </w:r>
    </w:p>
    <w:p w14:paraId="4C01CA14" w14:textId="77777777" w:rsidR="0030310E" w:rsidRDefault="001325F3">
      <w:pPr>
        <w:pStyle w:val="Heading3"/>
        <w:spacing w:before="0" w:after="0" w:line="360" w:lineRule="auto"/>
        <w:jc w:val="both"/>
        <w:rPr>
          <w:sz w:val="24"/>
          <w:szCs w:val="24"/>
        </w:rPr>
      </w:pPr>
      <w:bookmarkStart w:id="14" w:name="_heading=h.jfxe7oamtl3b" w:colFirst="0" w:colLast="0"/>
      <w:bookmarkStart w:id="15" w:name="_Toc216690830"/>
      <w:bookmarkEnd w:id="14"/>
      <w:r>
        <w:rPr>
          <w:sz w:val="24"/>
          <w:szCs w:val="24"/>
        </w:rPr>
        <w:t>2. Collaboration with Health Institutions and Experts</w:t>
      </w:r>
      <w:bookmarkEnd w:id="15"/>
    </w:p>
    <w:p w14:paraId="7BB237E1" w14:textId="77777777" w:rsidR="0030310E" w:rsidRDefault="001325F3">
      <w:pPr>
        <w:spacing w:line="360" w:lineRule="auto"/>
        <w:jc w:val="both"/>
      </w:pPr>
      <w:r>
        <w:t>The application of collaboration with scientific organisations was a common practice in all three jurisdictions yet the type and level of their accommodation varied. The national health system of Spain (SNHS) and the local health authorities assisted in interpreting the surveillance data in Spain. The SNHS is highly decentralised and autonomy of the governments makes up a high proportion (90%) of total expenditure (World Economic Forum, 2021). Regions receive their healthcare funds via transfers from the central government on the basis of adjusted capitation. Nonetheless the lack of coherence in restrictions was first due to the fragmented decision-making within autonomous communities. The leadership of Illa showed the aspects of both transactional and bureaucratic collaboration where the advice of the experts was applied but limited to the political negotiation. The increasing severity of the crisis led to enhanced scientific control via committees of experts, epidemiological modelling and coherent national guidelines. This development demonstrates that it is turning to evidence-based, technocratic cooperation, albeit at a slower pace than South Korea.</w:t>
      </w:r>
    </w:p>
    <w:p w14:paraId="7F16B20A" w14:textId="77777777" w:rsidR="0030310E" w:rsidRDefault="001325F3">
      <w:pPr>
        <w:spacing w:line="360" w:lineRule="auto"/>
        <w:jc w:val="both"/>
      </w:pPr>
      <w:r>
        <w:t xml:space="preserve">On the other hand the expert-government alignment in South Korea was the best. Prime Minister Chung collaborated with the Korea Disease Control and Prevention Agency (KDCA), the experts of infectious disease, and technology partners to launch mass testing, mobile tracing applications, and open-source data systems. At the onset of the pandemic Korea has </w:t>
      </w:r>
      <w:r>
        <w:lastRenderedPageBreak/>
        <w:t>heavily utilised large-scale and quick testing and contact tracing coupled with social distancing. Over 600 COVID-19 test centres have been developed (World Bank, 2022). This is indicative of distributed and technocratic leadership where power and expertise was not concentrated in political office but was distributed throughout institutional networks. The flow of knowledge was very quick and it enabled real-time decisions to be made. In contrast to Spain or Canada government concentrated on coordination and communication, whereas scientific organisations were in charge of designing the response. This generated increased trust and adherence to policies by the population.</w:t>
      </w:r>
    </w:p>
    <w:p w14:paraId="24B91ADA" w14:textId="77777777" w:rsidR="0030310E" w:rsidRDefault="001325F3">
      <w:pPr>
        <w:spacing w:line="360" w:lineRule="auto"/>
        <w:jc w:val="center"/>
      </w:pPr>
      <w:r>
        <w:rPr>
          <w:noProof/>
        </w:rPr>
        <w:drawing>
          <wp:inline distT="114300" distB="114300" distL="114300" distR="114300" wp14:anchorId="1DFEBA7D" wp14:editId="50451A23">
            <wp:extent cx="5812523" cy="2813112"/>
            <wp:effectExtent l="12700" t="12700" r="12700" b="1270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812523" cy="2813112"/>
                    </a:xfrm>
                    <a:prstGeom prst="rect">
                      <a:avLst/>
                    </a:prstGeom>
                    <a:ln w="12700">
                      <a:solidFill>
                        <a:srgbClr val="000000"/>
                      </a:solidFill>
                      <a:prstDash val="solid"/>
                    </a:ln>
                  </pic:spPr>
                </pic:pic>
              </a:graphicData>
            </a:graphic>
          </wp:inline>
        </w:drawing>
      </w:r>
    </w:p>
    <w:p w14:paraId="6C47E25A" w14:textId="77777777" w:rsidR="0030310E" w:rsidRDefault="001325F3">
      <w:pPr>
        <w:spacing w:line="360" w:lineRule="auto"/>
        <w:jc w:val="center"/>
        <w:rPr>
          <w:b/>
        </w:rPr>
      </w:pPr>
      <w:r>
        <w:rPr>
          <w:b/>
        </w:rPr>
        <w:t>Figure: COVID-19 pandemic and government measures in South Korea</w:t>
      </w:r>
    </w:p>
    <w:p w14:paraId="1CC389A3" w14:textId="77777777" w:rsidR="0030310E" w:rsidRDefault="001325F3">
      <w:pPr>
        <w:spacing w:line="360" w:lineRule="auto"/>
        <w:jc w:val="center"/>
      </w:pPr>
      <w:r>
        <w:t>(Source: World Bank, 2022)</w:t>
      </w:r>
    </w:p>
    <w:p w14:paraId="1483FE45" w14:textId="77777777" w:rsidR="0030310E" w:rsidRDefault="001325F3">
      <w:pPr>
        <w:spacing w:line="360" w:lineRule="auto"/>
        <w:jc w:val="both"/>
      </w:pPr>
      <w:r>
        <w:t>In Canada the form of collaboration was federal-provincial based. Trudeau used the Public Health Agency of Canada, provincial, Chief Medical Officers, and national scientific advisory committees. Head of drafting and passing of 83 Emergency Orders-in-Council, under the Quarantine Act, to restrict the introduction and spread of COVID-19 into Canada (Canada.ca, 2024). PHAC also increased its presence at the border by offering front-line public health services. Nonetheless due to constitutionally provincial healthcare governance, there were regional differences in the responses. The leadership style of Trudeau is consequently the democratic and participative leadership whereby expert opinion was required to reach an agreement and not solely work. This decelerated national standardisation but allowed place-based interventions according to Indigenous communities, northern regions and densely populated provinces. Decision-making was effective, but there were coordination issues that slowed down concerted messages.</w:t>
      </w:r>
    </w:p>
    <w:p w14:paraId="26BE5E8E" w14:textId="77777777" w:rsidR="0030310E" w:rsidRDefault="001325F3">
      <w:pPr>
        <w:pStyle w:val="Heading3"/>
        <w:spacing w:before="0" w:after="0" w:line="360" w:lineRule="auto"/>
        <w:jc w:val="both"/>
        <w:rPr>
          <w:sz w:val="24"/>
          <w:szCs w:val="24"/>
        </w:rPr>
      </w:pPr>
      <w:bookmarkStart w:id="16" w:name="_heading=h.u3xku338mp6w" w:colFirst="0" w:colLast="0"/>
      <w:bookmarkStart w:id="17" w:name="_Toc216690831"/>
      <w:bookmarkEnd w:id="16"/>
      <w:r>
        <w:rPr>
          <w:sz w:val="24"/>
          <w:szCs w:val="24"/>
        </w:rPr>
        <w:lastRenderedPageBreak/>
        <w:t>3. Vulnerable Groups Protection and Social Support Leadership</w:t>
      </w:r>
      <w:bookmarkEnd w:id="17"/>
    </w:p>
    <w:p w14:paraId="703E3DFB" w14:textId="77777777" w:rsidR="0030310E" w:rsidRDefault="001325F3">
      <w:pPr>
        <w:spacing w:line="360" w:lineRule="auto"/>
        <w:jc w:val="both"/>
      </w:pPr>
      <w:r>
        <w:t>Defending vulnerable and disadvantaged populations emerged as one of the leadership activities at different levels across Spain, South Korea and Canada which demonstrated the ethics, equity-oriented, and servant leadership theories. In Spain the elderly in the homes were given the first priority with the outbreak of infections resulting in high death tolls. To pay families who lost their income during lockdowns Government expanded hospitals, hired new doctors, and gave people financial security programs. Its immunization program also placed health workers and clinically vulnerable groups on the frontline that contributed to cutting down the number of severe disease and deaths by large margins. The second EU state to restrict the use of AstraZeneca vaccine to older people was Spain, as an attempt to mitigate the lack of trust and regulatory suspicion in the population (The Guardian, 2021). Despite the fact that the control measures were slow initially, the further strategies proved the increasing compliance with distributive justice and protection of vulnerable groups.</w:t>
      </w:r>
    </w:p>
    <w:p w14:paraId="1EDCC291" w14:textId="77777777" w:rsidR="0030310E" w:rsidRDefault="001325F3">
      <w:pPr>
        <w:spacing w:line="360" w:lineRule="auto"/>
        <w:jc w:val="both"/>
      </w:pPr>
      <w:r>
        <w:t>South Korea applied that priority but presented it with the help of technology-based model of public health. State provided free testing and treatment, masks, and welfare for people in quarantine made it more affordable for the low-income residents and foreign workers. The four supplemental budgets in 2020 passed by the government provided financial stimulus, healthcare subsidies, and compensation of COVID-19-related costs to try to lighten the broader financial burden. International evaluations pointed out the measures cut down out-of-pocket expenses and enhanced access to care among the disadvantaged populations  (World Bank, 2024). Since the speed of digital tracing allowed countries not to lock down the whole nation the disruption of the economy in low-wage employees was minimised. This style is consistent with adaptive and servant leadership, which accentuate dignity, equitable access and citizen protection.</w:t>
      </w:r>
    </w:p>
    <w:p w14:paraId="1620FC3C" w14:textId="77777777" w:rsidR="0030310E" w:rsidRDefault="001325F3">
      <w:pPr>
        <w:spacing w:line="360" w:lineRule="auto"/>
        <w:jc w:val="both"/>
      </w:pPr>
      <w:r>
        <w:t>The leadership of Justin Trudeau was based on extensive social safeguarding in Canada. The Canada Emergency Response Benefit (CERB), wage replacement benefits, eviction and loaning programs of small businesses prevented unemployment and housing insecurity. Specific emphasis on vaccination and extra support of the federal government were given to remote territories, Indigenous communities and long-term care homes. CERB was an income support to employees whose incomes were hit by the pandemic (Canada.ca, 2024). The strategy of Trudeau has shown democratic and ethical leadership, where equality, social assurance and clarity were the main concerns. Nevertheless provincial unequal capacity and increased deaths in certain nursing homes highlighted structural issues of the decentralised care system in Canada.</w:t>
      </w:r>
    </w:p>
    <w:p w14:paraId="0A794F2F" w14:textId="77777777" w:rsidR="0030310E" w:rsidRDefault="001325F3">
      <w:pPr>
        <w:pStyle w:val="Heading2"/>
      </w:pPr>
      <w:bookmarkStart w:id="18" w:name="_heading=h.6znl6w89zq0l" w:colFirst="0" w:colLast="0"/>
      <w:bookmarkStart w:id="19" w:name="_Toc216690832"/>
      <w:bookmarkEnd w:id="18"/>
      <w:r>
        <w:lastRenderedPageBreak/>
        <w:t>How Leadership Shaped and Structured Health Systems in Spain, South Korea, and Canada</w:t>
      </w:r>
      <w:bookmarkEnd w:id="19"/>
    </w:p>
    <w:p w14:paraId="6ADF7931" w14:textId="77777777" w:rsidR="0030310E" w:rsidRDefault="001325F3">
      <w:pPr>
        <w:spacing w:line="360" w:lineRule="auto"/>
        <w:jc w:val="both"/>
      </w:pPr>
      <w:r>
        <w:t>The role of leadership in COVID-19 was at the heart of the response of the national health systems, reallocated resources and adjusted to the increased speed of changing clinical needs. Despite the fact that each country worked on the basis of different governance models, the activities of leaders impacted on the structure of the system, mobilisation of resources, and behaviour of people.</w:t>
      </w:r>
    </w:p>
    <w:p w14:paraId="1A3932B5" w14:textId="77777777" w:rsidR="0030310E" w:rsidRDefault="001325F3">
      <w:pPr>
        <w:spacing w:line="360" w:lineRule="auto"/>
        <w:jc w:val="both"/>
      </w:pPr>
      <w:r>
        <w:t>In Spain, the leadership of the Minister Salvador Illa transformed the system of health that was mainly based on a decentralised model to a more nationally integrated one. Before COVID-19 the 17 autonomous regions of Spain dealt with healthcare independently, which created disconnects in terms of surveillance and allocation of resources. The government to centralise medical supply procurement, redistribute the ICU capacity, and deploy regional restrictions have been compelled by increasing infections and an overcrowded hospital system (WHO, 2024). Necessary staffing of healthcare workers and transformation of social spaces into medical ones were short-term solutions that doubled the system limits in several weeks. When the initial failures were noted another response is epistemic surveillance which Spain increased its investments in digital reporting and contact tracing systems. The vaccination campaign also redesigned the functioning of the system mass immunisation centres, national scheduling systems, and prioritisation of the vulnerable population and healthcare workers proved to be a shift to strategic and centralised governance of public health. The reaction of the leadership to the situation was slow at first, but subsequent operations enhanced the resilience of the system, information sharing and communication between services over various regions.</w:t>
      </w:r>
    </w:p>
    <w:p w14:paraId="1F5AFE6E" w14:textId="77777777" w:rsidR="0030310E" w:rsidRDefault="001325F3">
      <w:pPr>
        <w:spacing w:line="360" w:lineRule="auto"/>
        <w:jc w:val="both"/>
      </w:pPr>
      <w:r>
        <w:t xml:space="preserve">Premier leadership of Chung Sye-kyun in South Korea has transformed the structure of the health system by initiating and technologically facilitating some changes in the structure. Based on experience gained in previous outbreaks including the MERS the government gave the Korea Disease Control and Prevention Agency (KDCA) broader powers and resources. Drive through clinics testing centres and mobile screening units were deployed all over the country within a few days, showing agile restructuring of health systems (World Bank, 2022). An effective cooperation between the political leadership and scientific fields can be seen through the example of government cooperation with biotech companies which quickly worked out approved testing kits. An advanced digital surveillance system was created, the system is based on credit card records CCTV information and mobile GPS data which created opportunity to trace contacts and isolate them quickly without overcrowding hospitals (OECD, 2022). Whereas in Spain or Canada national lockdowns were implemented South Korea did so by structurally </w:t>
      </w:r>
      <w:r>
        <w:lastRenderedPageBreak/>
        <w:t>rearranging its public health activities into prevention, mass detect and rapid containment. The health system was made more proactive and flexible through leadership decisions that enhanced surveillance, laboratory capacity and data-driven governance.</w:t>
      </w:r>
    </w:p>
    <w:p w14:paraId="00DF900A" w14:textId="77777777" w:rsidR="0030310E" w:rsidRDefault="001325F3">
      <w:pPr>
        <w:spacing w:line="360" w:lineRule="auto"/>
        <w:jc w:val="both"/>
      </w:pPr>
      <w:r>
        <w:t>The leadership of the Prime Minister in Canada, Justin Trudeau, transformed the health system largely by funding health services, intergovernmental coordination and support of provincial healthcare organisations. Since the process of healthcare delivery is provincial there was little national standardisation. In response the federal government funded it PPE acquisition and vaccine distribution, and provinces adjusted local capacity, testing and clinical pathways. The federal leadership designed vaccine systems by ensuring the international contracts of vaccines and allocating doses throughout provinces proportionally whereas the provincial governments operated the clinics and registration sites (Canada.ca, 2025). Military and Red Cross teams were sent to long-term care homes during crises to increase capacity in the overwhelmed provincial services. The communication-oriented and collaborative leadership approach of Trudeau minimised the risks in the eyes of the population and promoted the adherence to the health practices. In spite of the fact that decentralisation hindered the consistent system reformation the multilayered health response Canada showed how federal leadership might assist sub-national systems by financing, coordinating, and staffing emergency situations.</w:t>
      </w:r>
    </w:p>
    <w:p w14:paraId="1BA58D74" w14:textId="77777777" w:rsidR="0030310E" w:rsidRDefault="001325F3">
      <w:pPr>
        <w:pStyle w:val="Heading1"/>
      </w:pPr>
      <w:bookmarkStart w:id="20" w:name="_Toc216690833"/>
      <w:r>
        <w:t>Recommendation</w:t>
      </w:r>
      <w:bookmarkEnd w:id="20"/>
    </w:p>
    <w:p w14:paraId="39304900" w14:textId="77777777" w:rsidR="0030310E" w:rsidRDefault="001325F3">
      <w:pPr>
        <w:spacing w:line="360" w:lineRule="auto"/>
        <w:jc w:val="both"/>
        <w:rPr>
          <w:highlight w:val="white"/>
        </w:rPr>
      </w:pPr>
      <w:r>
        <w:rPr>
          <w:highlight w:val="white"/>
        </w:rPr>
        <w:t>The comparative analysis among the three countries revealed the recommendation to establish a hybrid governance model that balances centralised coordination with decentralised implementations. The pandemic preparedness for the future must combine unified command and agility in approaches with the contextual flexibility of countries' regional systems (</w:t>
      </w:r>
      <w:r>
        <w:rPr>
          <w:color w:val="222222"/>
          <w:highlight w:val="white"/>
        </w:rPr>
        <w:t>Janssen and Van der Voort, 2020, p.102180</w:t>
      </w:r>
      <w:r>
        <w:rPr>
          <w:highlight w:val="white"/>
        </w:rPr>
        <w:t xml:space="preserve">). Governments must strengthen national public health agencies with the authority to coordinate across multiple jurisdictions with standardised data sharing and ensure equitable resource allocation while empowering the regional authorities to adopt tailored strategies to meet the local needs. In addition to this, integrated communication channels between the central and subnational bodies must be institutionalised to reduce the response delays and conflicting measures. Investments for digital health survelliences, cross-government training and real-time information can enhance preparedness and coordination. The hybrid model can ensure cohesive national responses, while creating a resilient system capable of managing global health emergencies in future effectively. </w:t>
      </w:r>
    </w:p>
    <w:p w14:paraId="0C6D4A46" w14:textId="77777777" w:rsidR="0030310E" w:rsidRDefault="001325F3">
      <w:pPr>
        <w:spacing w:line="360" w:lineRule="auto"/>
        <w:jc w:val="both"/>
      </w:pPr>
      <w:r>
        <w:t xml:space="preserve">Another suggestion is to invest in workforce resilience as one of the key elements of pandemic preparedness. Staffing was also short during the waves of COVID-19 in Spain, South Korea, and even Canada, as well as burnout and uneven labor distribution. Governments must ensure </w:t>
      </w:r>
      <w:r>
        <w:lastRenderedPageBreak/>
        <w:t>they have national surge staffing plans, develop training pipelines of nurses and other professionals in the field of public health, and establish means of emergency licensure to fast-track retired or internationally trained clinicians. Enhancing mental health services and incentives on retention would also see to it that health systems are not shut down by the long lasting crisis (</w:t>
      </w:r>
      <w:r>
        <w:rPr>
          <w:highlight w:val="white"/>
        </w:rPr>
        <w:t xml:space="preserve">Khazanov </w:t>
      </w:r>
      <w:r>
        <w:rPr>
          <w:i/>
          <w:highlight w:val="white"/>
        </w:rPr>
        <w:t>et al</w:t>
      </w:r>
      <w:r>
        <w:rPr>
          <w:highlight w:val="white"/>
        </w:rPr>
        <w:t>., 2022)</w:t>
      </w:r>
      <w:r>
        <w:t>. Formalisation of the strategies of public trust is another suggestion in the context of planning national emergency. Great transparency, participation in the community, and culturally specific messages were proven to enhance compliance and vaccine acceptability. Societal resistance can be lowered by embedding behavioural science experts in the public health agencies, collaborating with the community leaders and combatting the misinformation on a proactive side using the proven information sources (</w:t>
      </w:r>
      <w:r>
        <w:rPr>
          <w:highlight w:val="white"/>
        </w:rPr>
        <w:t>Essex, 2022)</w:t>
      </w:r>
      <w:r>
        <w:t>. The focus on social cooperation and the effectiveness of the system in addressing health emergencies in the future will improve only by considering the priority of developing a policy that will focus on the greater good namely the public trust.</w:t>
      </w:r>
    </w:p>
    <w:p w14:paraId="57C72350" w14:textId="77777777" w:rsidR="0030310E" w:rsidRDefault="001325F3">
      <w:pPr>
        <w:pStyle w:val="Heading1"/>
      </w:pPr>
      <w:bookmarkStart w:id="21" w:name="_heading=h.ic1kqiioc1lq" w:colFirst="0" w:colLast="0"/>
      <w:bookmarkStart w:id="22" w:name="_Toc216690834"/>
      <w:bookmarkEnd w:id="21"/>
      <w:r>
        <w:t>Conclusion</w:t>
      </w:r>
      <w:bookmarkEnd w:id="22"/>
      <w:r>
        <w:t xml:space="preserve"> </w:t>
      </w:r>
    </w:p>
    <w:p w14:paraId="0DA2A3A2" w14:textId="77777777" w:rsidR="0030310E" w:rsidRDefault="001325F3">
      <w:pPr>
        <w:spacing w:line="360" w:lineRule="auto"/>
        <w:jc w:val="both"/>
      </w:pPr>
      <w:r>
        <w:t>To sum up the comparative research of Spain, South Korea and Canada proves that leadership is a defining factor in determining the structure of a health system and a pandemic outcome. Despite the fact that the three countries varied in their governance systems, their material resources and cultural demands, all rulers had a great impact on the policy strategies, coordination and communication of the policy to people. Spain abandoned the slow and decentralised course of action and turned to more centralised one that increased hospital capacity and focused on vaccination. South Korea implemented preemptive, technology-focused population health responses: through real-time surveillance and collaboration with experts, it could prevent the national lock downs. Canada was based on the principle of cooperative federalism, enriching the provincial systems by means of funds, a national purchase, and harmonious messages of federal leadership. Regardless of the approaches, it is possible to note the general desire to protect vulnerable populations and preserve the trust of people. The results emphasise the fact that the effectiveness of the pandemic response is not limited to clinical resources but also to governance, transparency, and adaptive decision-making. Empowering the surveillance systems, emergency workforce and communication with the people will be necessary so as to be resilient in case of future global health crises.</w:t>
      </w:r>
    </w:p>
    <w:p w14:paraId="336C4316" w14:textId="77777777" w:rsidR="0030310E" w:rsidRDefault="001325F3">
      <w:pPr>
        <w:spacing w:line="360" w:lineRule="auto"/>
        <w:jc w:val="both"/>
        <w:rPr>
          <w:highlight w:val="white"/>
        </w:rPr>
      </w:pPr>
      <w:r>
        <w:br w:type="page"/>
      </w:r>
    </w:p>
    <w:p w14:paraId="5B567689" w14:textId="77777777" w:rsidR="0030310E" w:rsidRDefault="001325F3">
      <w:pPr>
        <w:pStyle w:val="Heading1"/>
      </w:pPr>
      <w:bookmarkStart w:id="23" w:name="_Toc216690835"/>
      <w:r>
        <w:lastRenderedPageBreak/>
        <w:t>References</w:t>
      </w:r>
      <w:bookmarkEnd w:id="23"/>
    </w:p>
    <w:p w14:paraId="1F0E53EB" w14:textId="77777777" w:rsidR="001325F3" w:rsidRDefault="001325F3">
      <w:pPr>
        <w:spacing w:before="240" w:after="240" w:line="360" w:lineRule="auto"/>
        <w:jc w:val="both"/>
        <w:rPr>
          <w:highlight w:val="white"/>
        </w:rPr>
      </w:pPr>
      <w:r>
        <w:rPr>
          <w:color w:val="222222"/>
          <w:highlight w:val="white"/>
        </w:rPr>
        <w:t xml:space="preserve">Bernal-Delgado, E., Angulo-Pueyo, E., Ridao-López, M., Urbanos-Garrido, R.M., Oliva-Moreno, J., García-Abiétar, D. and Hernández-Quevedo, C., (2024). Spain: Health system review 2024. </w:t>
      </w:r>
      <w:r>
        <w:rPr>
          <w:i/>
          <w:highlight w:val="white"/>
        </w:rPr>
        <w:t>Health Systems in Transition</w:t>
      </w:r>
      <w:r>
        <w:rPr>
          <w:highlight w:val="white"/>
        </w:rPr>
        <w:t xml:space="preserve">, </w:t>
      </w:r>
      <w:r>
        <w:rPr>
          <w:i/>
          <w:highlight w:val="white"/>
        </w:rPr>
        <w:t>26</w:t>
      </w:r>
      <w:r>
        <w:rPr>
          <w:highlight w:val="white"/>
        </w:rPr>
        <w:t>(3), pp.1-187.</w:t>
      </w:r>
    </w:p>
    <w:p w14:paraId="03B6124D" w14:textId="77777777" w:rsidR="001325F3" w:rsidRDefault="001325F3">
      <w:pPr>
        <w:spacing w:line="360" w:lineRule="auto"/>
        <w:jc w:val="both"/>
      </w:pPr>
      <w:r>
        <w:t xml:space="preserve">Canada.ca (2024). </w:t>
      </w:r>
      <w:r>
        <w:rPr>
          <w:i/>
        </w:rPr>
        <w:t xml:space="preserve">Government of Canada, Canada Emergency Response Benefit (CERB). </w:t>
      </w:r>
      <w:r>
        <w:t>Available at: https://www.canada.ca/en/services/benefits/ei/cerb-application.html (Accessed: 1 November 2025).</w:t>
      </w:r>
    </w:p>
    <w:p w14:paraId="7AE8C2BA" w14:textId="77777777" w:rsidR="001325F3" w:rsidRDefault="001325F3">
      <w:pPr>
        <w:spacing w:line="360" w:lineRule="auto"/>
        <w:jc w:val="both"/>
      </w:pPr>
      <w:r>
        <w:t xml:space="preserve">Canada.ca (2024). </w:t>
      </w:r>
      <w:r>
        <w:rPr>
          <w:i/>
        </w:rPr>
        <w:t xml:space="preserve">Public Health Agency of Canada’s COVID-19 Response: Lessons Learned. </w:t>
      </w:r>
      <w:r>
        <w:t>Available at: https://www.canada.ca/en/public-health/corporate/transparency/corporate-management-reporting/evaluation/covid-19-response-lessons-learned-summary.html (Accessed: 1 November 2025).</w:t>
      </w:r>
    </w:p>
    <w:p w14:paraId="4E834099" w14:textId="77777777" w:rsidR="001325F3" w:rsidRDefault="001325F3">
      <w:pPr>
        <w:spacing w:line="360" w:lineRule="auto"/>
        <w:jc w:val="both"/>
      </w:pPr>
      <w:r>
        <w:t xml:space="preserve">Canada.ca (2025). </w:t>
      </w:r>
      <w:r>
        <w:rPr>
          <w:i/>
        </w:rPr>
        <w:t>Government of Canada announces major milestone in the Canadian biomanufacturing sector.</w:t>
      </w:r>
      <w:r>
        <w:t xml:space="preserve"> Available at: https://www.canada.ca/en/innovation-science-economic-development/news/2025/09/government-of-canada-announces-major-milestone-in-the-canadian-biomanufacturing-sector.html (Accessed: 2 November 2025).</w:t>
      </w:r>
    </w:p>
    <w:p w14:paraId="1C51FE22" w14:textId="77777777" w:rsidR="001325F3" w:rsidRDefault="001325F3">
      <w:pPr>
        <w:spacing w:before="240" w:after="240" w:line="360" w:lineRule="auto"/>
        <w:jc w:val="both"/>
        <w:rPr>
          <w:highlight w:val="white"/>
        </w:rPr>
      </w:pPr>
      <w:r>
        <w:rPr>
          <w:color w:val="222222"/>
          <w:highlight w:val="white"/>
        </w:rPr>
        <w:t xml:space="preserve">Capano, G., Howlett, M., Jarvis, D.S., Ramesh, M. and Goyal, N., (2020). Mobilizing policy (in) capacity to fight COVID-19: Understanding variations in state responses. </w:t>
      </w:r>
      <w:r>
        <w:rPr>
          <w:i/>
          <w:highlight w:val="white"/>
        </w:rPr>
        <w:t>Policy and Society</w:t>
      </w:r>
      <w:r>
        <w:rPr>
          <w:highlight w:val="white"/>
        </w:rPr>
        <w:t xml:space="preserve">, </w:t>
      </w:r>
      <w:r>
        <w:rPr>
          <w:i/>
          <w:highlight w:val="white"/>
        </w:rPr>
        <w:t>39</w:t>
      </w:r>
      <w:r>
        <w:rPr>
          <w:highlight w:val="white"/>
        </w:rPr>
        <w:t>(3), pp.285-308.</w:t>
      </w:r>
    </w:p>
    <w:p w14:paraId="108F1BF2" w14:textId="77777777" w:rsidR="001325F3" w:rsidRDefault="001325F3">
      <w:pPr>
        <w:spacing w:before="240" w:after="240" w:line="360" w:lineRule="auto"/>
        <w:jc w:val="both"/>
        <w:rPr>
          <w:highlight w:val="white"/>
        </w:rPr>
      </w:pPr>
      <w:r>
        <w:rPr>
          <w:color w:val="222222"/>
          <w:highlight w:val="white"/>
        </w:rPr>
        <w:t xml:space="preserve">Cho, H.W. and Chu, C., (2017). The story of Korean health insurance system. </w:t>
      </w:r>
      <w:r>
        <w:rPr>
          <w:i/>
          <w:highlight w:val="white"/>
        </w:rPr>
        <w:t>Osong public health and research perspectives</w:t>
      </w:r>
      <w:r>
        <w:rPr>
          <w:highlight w:val="white"/>
        </w:rPr>
        <w:t xml:space="preserve">, </w:t>
      </w:r>
      <w:r>
        <w:rPr>
          <w:i/>
          <w:highlight w:val="white"/>
        </w:rPr>
        <w:t>8</w:t>
      </w:r>
      <w:r>
        <w:rPr>
          <w:highlight w:val="white"/>
        </w:rPr>
        <w:t>(4), p.235.</w:t>
      </w:r>
    </w:p>
    <w:p w14:paraId="5D2FD23A" w14:textId="77777777" w:rsidR="001325F3" w:rsidRDefault="001325F3">
      <w:pPr>
        <w:spacing w:before="240" w:after="240" w:line="360" w:lineRule="auto"/>
        <w:jc w:val="both"/>
        <w:rPr>
          <w:highlight w:val="white"/>
        </w:rPr>
      </w:pPr>
      <w:r>
        <w:rPr>
          <w:highlight w:val="white"/>
        </w:rPr>
        <w:t xml:space="preserve">commonwealthfund.org, (2020). </w:t>
      </w:r>
      <w:r>
        <w:rPr>
          <w:i/>
          <w:highlight w:val="white"/>
        </w:rPr>
        <w:t>International Health Care System Profiles, Canada.</w:t>
      </w:r>
      <w:r>
        <w:rPr>
          <w:highlight w:val="white"/>
        </w:rPr>
        <w:t xml:space="preserve"> Available at: https://www.commonwealthfund.org/international-health-policy-center/countries/canada (Accessed: 3 November 2025).</w:t>
      </w:r>
    </w:p>
    <w:p w14:paraId="0EA0E792" w14:textId="77777777" w:rsidR="001325F3" w:rsidRDefault="001325F3">
      <w:pPr>
        <w:spacing w:line="360" w:lineRule="auto"/>
        <w:jc w:val="both"/>
      </w:pPr>
      <w:r>
        <w:rPr>
          <w:highlight w:val="white"/>
        </w:rPr>
        <w:t xml:space="preserve">Essex, R. (2022). How resistance shapes health and well-being. </w:t>
      </w:r>
      <w:r>
        <w:rPr>
          <w:i/>
          <w:highlight w:val="white"/>
        </w:rPr>
        <w:t>Journal of bioethical inquiry</w:t>
      </w:r>
      <w:r>
        <w:rPr>
          <w:highlight w:val="white"/>
        </w:rPr>
        <w:t xml:space="preserve">, </w:t>
      </w:r>
      <w:r>
        <w:rPr>
          <w:i/>
          <w:highlight w:val="white"/>
        </w:rPr>
        <w:t>19</w:t>
      </w:r>
      <w:r>
        <w:rPr>
          <w:highlight w:val="white"/>
        </w:rPr>
        <w:t>(2), pp.315-325.</w:t>
      </w:r>
    </w:p>
    <w:p w14:paraId="4DE0801D" w14:textId="77777777" w:rsidR="001325F3" w:rsidRDefault="001325F3">
      <w:pPr>
        <w:spacing w:before="240" w:after="240" w:line="360" w:lineRule="auto"/>
        <w:jc w:val="both"/>
        <w:rPr>
          <w:highlight w:val="white"/>
        </w:rPr>
      </w:pPr>
      <w:r>
        <w:rPr>
          <w:color w:val="222222"/>
          <w:highlight w:val="white"/>
        </w:rPr>
        <w:t xml:space="preserve">Filip, R., Gheorghita Puscaselu, R., Anchidin-Norocel, L., Dimian, M. and Savage, W.K., (2022). Global challenges to public health care systems during the COVID-19 pandemic: a review of pandemic measures and problems. </w:t>
      </w:r>
      <w:r>
        <w:rPr>
          <w:i/>
          <w:highlight w:val="white"/>
        </w:rPr>
        <w:t>Journal of personalized medicine</w:t>
      </w:r>
      <w:r>
        <w:rPr>
          <w:highlight w:val="white"/>
        </w:rPr>
        <w:t xml:space="preserve">, </w:t>
      </w:r>
      <w:r>
        <w:rPr>
          <w:i/>
          <w:highlight w:val="white"/>
        </w:rPr>
        <w:t>12</w:t>
      </w:r>
      <w:r>
        <w:rPr>
          <w:highlight w:val="white"/>
        </w:rPr>
        <w:t>(8), p.1295.</w:t>
      </w:r>
    </w:p>
    <w:p w14:paraId="389FBB97" w14:textId="77777777" w:rsidR="001325F3" w:rsidRDefault="001325F3">
      <w:pPr>
        <w:spacing w:before="240" w:after="240" w:line="360" w:lineRule="auto"/>
        <w:jc w:val="both"/>
        <w:rPr>
          <w:highlight w:val="white"/>
        </w:rPr>
      </w:pPr>
      <w:r>
        <w:rPr>
          <w:color w:val="222222"/>
          <w:highlight w:val="white"/>
        </w:rPr>
        <w:lastRenderedPageBreak/>
        <w:t xml:space="preserve">Gasch-Illescas, A., Andrade-Arroyo, M., Vallejo-Vaz, A.J., Praena-Fernández, J.M., Guerrero, J.A., Calderón, E.J., Pollán, M. and Medrano, F.J., (2023). The Impact of the Second Wave of the COVID-19 Pandemic on Non-COVID Hospital Care in a Tertiary Hospital in Spain. </w:t>
      </w:r>
      <w:r>
        <w:rPr>
          <w:i/>
          <w:highlight w:val="white"/>
        </w:rPr>
        <w:t>Journal of Clinical Medicine</w:t>
      </w:r>
      <w:r>
        <w:rPr>
          <w:highlight w:val="white"/>
        </w:rPr>
        <w:t xml:space="preserve">, </w:t>
      </w:r>
      <w:r>
        <w:rPr>
          <w:i/>
          <w:highlight w:val="white"/>
        </w:rPr>
        <w:t>12</w:t>
      </w:r>
      <w:r>
        <w:rPr>
          <w:highlight w:val="white"/>
        </w:rPr>
        <w:t>(17), p.5507.</w:t>
      </w:r>
    </w:p>
    <w:p w14:paraId="62EC6EA3" w14:textId="77777777" w:rsidR="001325F3" w:rsidRDefault="001325F3">
      <w:pPr>
        <w:spacing w:before="240" w:after="240" w:line="360" w:lineRule="auto"/>
        <w:jc w:val="both"/>
        <w:rPr>
          <w:highlight w:val="white"/>
        </w:rPr>
      </w:pPr>
      <w:r>
        <w:rPr>
          <w:color w:val="222222"/>
          <w:highlight w:val="white"/>
        </w:rPr>
        <w:t xml:space="preserve">Hansen, G. and Cyr, A., (2020). Canada’s decentralized “human-driven” approach during the early COVID-19 pandemic. </w:t>
      </w:r>
      <w:r>
        <w:rPr>
          <w:i/>
          <w:highlight w:val="white"/>
        </w:rPr>
        <w:t>JMIR public health and surveillance</w:t>
      </w:r>
      <w:r>
        <w:rPr>
          <w:highlight w:val="white"/>
        </w:rPr>
        <w:t xml:space="preserve">, </w:t>
      </w:r>
      <w:r>
        <w:rPr>
          <w:i/>
          <w:highlight w:val="white"/>
        </w:rPr>
        <w:t>6</w:t>
      </w:r>
      <w:r>
        <w:rPr>
          <w:highlight w:val="white"/>
        </w:rPr>
        <w:t>(4), p.e20343.</w:t>
      </w:r>
    </w:p>
    <w:p w14:paraId="235D5ACD" w14:textId="77777777" w:rsidR="001325F3" w:rsidRDefault="001325F3">
      <w:pPr>
        <w:spacing w:before="240" w:after="240" w:line="360" w:lineRule="auto"/>
        <w:jc w:val="both"/>
        <w:rPr>
          <w:highlight w:val="white"/>
        </w:rPr>
      </w:pPr>
      <w:r>
        <w:rPr>
          <w:color w:val="222222"/>
          <w:highlight w:val="white"/>
        </w:rPr>
        <w:t xml:space="preserve">Janssen, M. and Van der Voort, H., (2020). Agile and adaptive governance in crisis response: Lessons from the COVID-19 pandemic. </w:t>
      </w:r>
      <w:r>
        <w:rPr>
          <w:i/>
          <w:highlight w:val="white"/>
        </w:rPr>
        <w:t>International journal of information management</w:t>
      </w:r>
      <w:r>
        <w:rPr>
          <w:highlight w:val="white"/>
        </w:rPr>
        <w:t xml:space="preserve">, </w:t>
      </w:r>
      <w:r>
        <w:rPr>
          <w:i/>
          <w:highlight w:val="white"/>
        </w:rPr>
        <w:t>55</w:t>
      </w:r>
      <w:r>
        <w:rPr>
          <w:highlight w:val="white"/>
        </w:rPr>
        <w:t>, p.102180.</w:t>
      </w:r>
    </w:p>
    <w:p w14:paraId="4F71406A" w14:textId="77777777" w:rsidR="001325F3" w:rsidRDefault="001325F3">
      <w:pPr>
        <w:spacing w:line="360" w:lineRule="auto"/>
        <w:jc w:val="both"/>
      </w:pPr>
      <w:r>
        <w:rPr>
          <w:highlight w:val="white"/>
        </w:rPr>
        <w:t xml:space="preserve">Khazanov, G.K., Morris, P.E., Beed, A., Jager-Hyman, S., Myhre, K., McKay, J.R., Feinn, R.S., Boland, E.M. and Thase, M.E. (2022). Do financial incentives increase mental health treatment engagement? A meta-analysis. </w:t>
      </w:r>
      <w:r>
        <w:rPr>
          <w:i/>
          <w:highlight w:val="white"/>
        </w:rPr>
        <w:t>Journal of consulting and clinical psychology</w:t>
      </w:r>
      <w:r>
        <w:rPr>
          <w:highlight w:val="white"/>
        </w:rPr>
        <w:t xml:space="preserve">, </w:t>
      </w:r>
      <w:r>
        <w:rPr>
          <w:i/>
          <w:highlight w:val="white"/>
        </w:rPr>
        <w:t>90</w:t>
      </w:r>
      <w:r>
        <w:rPr>
          <w:highlight w:val="white"/>
        </w:rPr>
        <w:t>(6), p.528.</w:t>
      </w:r>
    </w:p>
    <w:p w14:paraId="46C10976" w14:textId="77777777" w:rsidR="001325F3" w:rsidRDefault="001325F3">
      <w:pPr>
        <w:spacing w:before="240" w:after="240" w:line="360" w:lineRule="auto"/>
        <w:jc w:val="both"/>
        <w:rPr>
          <w:highlight w:val="white"/>
        </w:rPr>
      </w:pPr>
      <w:r>
        <w:rPr>
          <w:color w:val="222222"/>
          <w:highlight w:val="white"/>
        </w:rPr>
        <w:t xml:space="preserve">Lix, L.M., Ayles, J., Bartholomew, S., Cooke, C.A., Ellison, J., Emond, V., Hamm, N.C., Hannah, H., Jean, S., LeBlanc, S. and O’Donnell, S., (2018). The Canadian chronic disease surveillance system: a model for collaborative surveillance. </w:t>
      </w:r>
      <w:r>
        <w:rPr>
          <w:i/>
          <w:highlight w:val="white"/>
        </w:rPr>
        <w:t>International Journal of Population Data Science</w:t>
      </w:r>
      <w:r>
        <w:rPr>
          <w:highlight w:val="white"/>
        </w:rPr>
        <w:t xml:space="preserve">, </w:t>
      </w:r>
      <w:r>
        <w:rPr>
          <w:i/>
          <w:highlight w:val="white"/>
        </w:rPr>
        <w:t>3</w:t>
      </w:r>
      <w:r>
        <w:rPr>
          <w:highlight w:val="white"/>
        </w:rPr>
        <w:t>(3), p.433.</w:t>
      </w:r>
    </w:p>
    <w:p w14:paraId="7694BD5E" w14:textId="77777777" w:rsidR="001325F3" w:rsidRDefault="001325F3">
      <w:pPr>
        <w:spacing w:before="240" w:after="240" w:line="360" w:lineRule="auto"/>
        <w:jc w:val="both"/>
        <w:rPr>
          <w:highlight w:val="white"/>
        </w:rPr>
      </w:pPr>
      <w:r>
        <w:rPr>
          <w:color w:val="222222"/>
          <w:highlight w:val="white"/>
        </w:rPr>
        <w:t xml:space="preserve">Navarro, C. and Velasco, F., (2022). From centralisation to new ways of multi-level coordination: Spain’s intergovernmental response to the COVID-19 pandemic. </w:t>
      </w:r>
      <w:r>
        <w:rPr>
          <w:i/>
          <w:highlight w:val="white"/>
        </w:rPr>
        <w:t>Local Government Studies</w:t>
      </w:r>
      <w:r>
        <w:rPr>
          <w:highlight w:val="white"/>
        </w:rPr>
        <w:t xml:space="preserve">, </w:t>
      </w:r>
      <w:r>
        <w:rPr>
          <w:i/>
          <w:highlight w:val="white"/>
        </w:rPr>
        <w:t>48</w:t>
      </w:r>
      <w:r>
        <w:rPr>
          <w:highlight w:val="white"/>
        </w:rPr>
        <w:t>(2), pp.191-210.</w:t>
      </w:r>
    </w:p>
    <w:p w14:paraId="4331C69E" w14:textId="77777777" w:rsidR="001325F3" w:rsidRDefault="001325F3">
      <w:pPr>
        <w:spacing w:line="360" w:lineRule="auto"/>
        <w:jc w:val="both"/>
      </w:pPr>
      <w:r>
        <w:t xml:space="preserve">OECD (2022). </w:t>
      </w:r>
      <w:r>
        <w:rPr>
          <w:i/>
        </w:rPr>
        <w:t>Towards an Integrated Health Information System in Korea</w:t>
      </w:r>
      <w:r>
        <w:t>. Available at: https://www.oecd.org/content/dam/oecd/en/publications/reports/2022/05/towards-an-integrated-health-information-system-in-korea_c8642d08/c4e6c88d-en.pdf (Accessed: 3 November 2025).</w:t>
      </w:r>
    </w:p>
    <w:p w14:paraId="679D84D2" w14:textId="77777777" w:rsidR="001325F3" w:rsidRDefault="001325F3">
      <w:pPr>
        <w:spacing w:before="240" w:after="240" w:line="360" w:lineRule="auto"/>
        <w:jc w:val="both"/>
        <w:rPr>
          <w:highlight w:val="white"/>
        </w:rPr>
      </w:pPr>
      <w:r>
        <w:rPr>
          <w:highlight w:val="white"/>
        </w:rPr>
        <w:t xml:space="preserve">oecd.org, (2020). </w:t>
      </w:r>
      <w:r>
        <w:rPr>
          <w:i/>
          <w:highlight w:val="white"/>
        </w:rPr>
        <w:t>OECD Reviews of Public Health: Korea</w:t>
      </w:r>
      <w:r>
        <w:rPr>
          <w:highlight w:val="white"/>
        </w:rPr>
        <w:t>. Available at: https://www.oecd.org/content/dam/oecd/en/publications/reports/2020/03/oecd-reviews-of-public-health-korea_335bc8ac/be2b7063-en. (Accessed: 30 October 2025).</w:t>
      </w:r>
    </w:p>
    <w:p w14:paraId="20FD5BEF" w14:textId="77777777" w:rsidR="001325F3" w:rsidRDefault="001325F3">
      <w:pPr>
        <w:spacing w:before="240" w:after="240" w:line="360" w:lineRule="auto"/>
        <w:jc w:val="both"/>
        <w:rPr>
          <w:highlight w:val="white"/>
        </w:rPr>
      </w:pPr>
      <w:r>
        <w:rPr>
          <w:color w:val="222222"/>
          <w:highlight w:val="white"/>
        </w:rPr>
        <w:t xml:space="preserve">Oh, J., Lee, J.K., Schwarz, D., Ratcliffe, H.L., Markuns, J.F. and Hirschhorn, L.R., (2020). National response to COVID-19 in the Republic of Korea and lessons learned for other countries. </w:t>
      </w:r>
      <w:r>
        <w:rPr>
          <w:i/>
          <w:highlight w:val="white"/>
        </w:rPr>
        <w:t>Health Systems &amp; Reform</w:t>
      </w:r>
      <w:r>
        <w:rPr>
          <w:highlight w:val="white"/>
        </w:rPr>
        <w:t xml:space="preserve">, </w:t>
      </w:r>
      <w:r>
        <w:rPr>
          <w:i/>
          <w:highlight w:val="white"/>
        </w:rPr>
        <w:t>6</w:t>
      </w:r>
      <w:r>
        <w:rPr>
          <w:highlight w:val="white"/>
        </w:rPr>
        <w:t>(1), p.e1753464.</w:t>
      </w:r>
    </w:p>
    <w:p w14:paraId="32BCAC07" w14:textId="77777777" w:rsidR="001325F3" w:rsidRDefault="001325F3">
      <w:pPr>
        <w:spacing w:before="240" w:after="240" w:line="360" w:lineRule="auto"/>
        <w:jc w:val="both"/>
        <w:rPr>
          <w:highlight w:val="white"/>
        </w:rPr>
      </w:pPr>
      <w:r>
        <w:rPr>
          <w:color w:val="222222"/>
          <w:highlight w:val="white"/>
        </w:rPr>
        <w:lastRenderedPageBreak/>
        <w:t xml:space="preserve">Rodríguez-Teruel, J., Del Pino, E. and Real-Dato, J., (2024). The Limits of Power Concentration and Expert Knowledge in Emergency Management: Spain's Government Response during the First Phase of the Covid-19 Pandemic. In </w:t>
      </w:r>
      <w:r>
        <w:rPr>
          <w:i/>
          <w:highlight w:val="white"/>
        </w:rPr>
        <w:t>Southern Europe in The Covid-19 Pandemic</w:t>
      </w:r>
      <w:r>
        <w:rPr>
          <w:highlight w:val="white"/>
        </w:rPr>
        <w:t xml:space="preserve"> (pp. 56-88). Routledge.</w:t>
      </w:r>
    </w:p>
    <w:p w14:paraId="0B2057F8" w14:textId="77777777" w:rsidR="001325F3" w:rsidRDefault="001325F3">
      <w:pPr>
        <w:spacing w:before="240" w:after="240" w:line="360" w:lineRule="auto"/>
        <w:jc w:val="both"/>
        <w:rPr>
          <w:highlight w:val="white"/>
        </w:rPr>
      </w:pPr>
      <w:r>
        <w:rPr>
          <w:color w:val="222222"/>
          <w:highlight w:val="white"/>
        </w:rPr>
        <w:t>Royo, S., (2020). Responding to COVID</w:t>
      </w:r>
      <w:r>
        <w:rPr>
          <w:rFonts w:ascii="Times New Roman" w:eastAsia="Times New Roman" w:hAnsi="Times New Roman" w:cs="Times New Roman"/>
          <w:color w:val="222222"/>
          <w:highlight w:val="white"/>
        </w:rPr>
        <w:t>‐</w:t>
      </w:r>
      <w:r>
        <w:rPr>
          <w:color w:val="222222"/>
          <w:highlight w:val="white"/>
        </w:rPr>
        <w:t xml:space="preserve">19: The case of Spain. </w:t>
      </w:r>
      <w:r>
        <w:rPr>
          <w:i/>
          <w:highlight w:val="white"/>
        </w:rPr>
        <w:t>European Policy Analysis</w:t>
      </w:r>
      <w:r>
        <w:rPr>
          <w:highlight w:val="white"/>
        </w:rPr>
        <w:t xml:space="preserve">, </w:t>
      </w:r>
      <w:r>
        <w:rPr>
          <w:i/>
          <w:highlight w:val="white"/>
        </w:rPr>
        <w:t>6</w:t>
      </w:r>
      <w:r>
        <w:rPr>
          <w:highlight w:val="white"/>
        </w:rPr>
        <w:t>(2), pp.180-190.</w:t>
      </w:r>
    </w:p>
    <w:p w14:paraId="72DB8D3F" w14:textId="77777777" w:rsidR="001325F3" w:rsidRDefault="001325F3">
      <w:pPr>
        <w:spacing w:before="240" w:after="240" w:line="360" w:lineRule="auto"/>
        <w:jc w:val="both"/>
        <w:rPr>
          <w:highlight w:val="white"/>
        </w:rPr>
      </w:pPr>
      <w:r>
        <w:rPr>
          <w:color w:val="222222"/>
          <w:highlight w:val="white"/>
        </w:rPr>
        <w:t xml:space="preserve">Saltman, R.B., (2019). Structural effects of the information revolution on tax-funded European health systems and some potential policy responses. </w:t>
      </w:r>
      <w:r>
        <w:rPr>
          <w:i/>
          <w:highlight w:val="white"/>
        </w:rPr>
        <w:t>Israel journal of health policy research</w:t>
      </w:r>
      <w:r>
        <w:rPr>
          <w:highlight w:val="white"/>
        </w:rPr>
        <w:t xml:space="preserve">, </w:t>
      </w:r>
      <w:r>
        <w:rPr>
          <w:i/>
          <w:highlight w:val="white"/>
        </w:rPr>
        <w:t>8</w:t>
      </w:r>
      <w:r>
        <w:rPr>
          <w:highlight w:val="white"/>
        </w:rPr>
        <w:t>(1), p.8.</w:t>
      </w:r>
    </w:p>
    <w:p w14:paraId="6BC6A704" w14:textId="77777777" w:rsidR="001325F3" w:rsidRDefault="001325F3">
      <w:pPr>
        <w:spacing w:before="240" w:after="240" w:line="360" w:lineRule="auto"/>
        <w:jc w:val="both"/>
        <w:rPr>
          <w:highlight w:val="white"/>
        </w:rPr>
      </w:pPr>
      <w:r>
        <w:rPr>
          <w:color w:val="222222"/>
          <w:highlight w:val="white"/>
        </w:rPr>
        <w:t xml:space="preserve">Smith, R.W., Jarvis, T., Sandhu, H.S., Pinto, A.D., O'Neill, M., Di Ruggiero, E., Pawa, J., Rosella, L. and Allin, S., (2023). Centralization and integration of public health systems: Perspectives of public health leaders on factors facilitating and impeding COVID-19 responses in three Canadian provinces. </w:t>
      </w:r>
      <w:r>
        <w:rPr>
          <w:i/>
          <w:highlight w:val="white"/>
        </w:rPr>
        <w:t>Health Policy</w:t>
      </w:r>
      <w:r>
        <w:rPr>
          <w:highlight w:val="white"/>
        </w:rPr>
        <w:t xml:space="preserve">, </w:t>
      </w:r>
      <w:r>
        <w:rPr>
          <w:i/>
          <w:highlight w:val="white"/>
        </w:rPr>
        <w:t>127</w:t>
      </w:r>
      <w:r>
        <w:rPr>
          <w:highlight w:val="white"/>
        </w:rPr>
        <w:t>, pp.19-28.</w:t>
      </w:r>
    </w:p>
    <w:p w14:paraId="3F022B7B" w14:textId="77777777" w:rsidR="001325F3" w:rsidRDefault="001325F3">
      <w:pPr>
        <w:spacing w:line="360" w:lineRule="auto"/>
        <w:jc w:val="both"/>
      </w:pPr>
      <w:r>
        <w:t xml:space="preserve">Statista (2024). </w:t>
      </w:r>
      <w:r>
        <w:rPr>
          <w:i/>
        </w:rPr>
        <w:t>South Korea: coronavirus total test cases 2021, Statista</w:t>
      </w:r>
      <w:r>
        <w:t>. Available at: https://www.statista.com/statistics/1102818/south-korea-covid-19-test-total-number/ (Accessed: 30 October 2025).</w:t>
      </w:r>
    </w:p>
    <w:p w14:paraId="514ADE3B" w14:textId="77777777" w:rsidR="001325F3" w:rsidRDefault="001325F3">
      <w:pPr>
        <w:spacing w:line="360" w:lineRule="auto"/>
        <w:jc w:val="both"/>
      </w:pPr>
      <w:r>
        <w:t xml:space="preserve">The Guardian (2021). </w:t>
      </w:r>
      <w:r>
        <w:rPr>
          <w:i/>
        </w:rPr>
        <w:t>Spain, Belgium and Italy restrict AstraZeneca Covid vaccine to older people</w:t>
      </w:r>
      <w:r>
        <w:t>. Available at: https://www.theguardian.com/society/2021/apr/08/spain-belgium-and-italy-restrict-astrazeneca-covid-vaccine-to-older-people (Accessed: 3 November 2025).</w:t>
      </w:r>
    </w:p>
    <w:p w14:paraId="403C6163" w14:textId="77777777" w:rsidR="001325F3" w:rsidRDefault="001325F3">
      <w:pPr>
        <w:spacing w:before="240" w:after="240" w:line="360" w:lineRule="auto"/>
        <w:jc w:val="both"/>
        <w:rPr>
          <w:highlight w:val="white"/>
        </w:rPr>
      </w:pPr>
      <w:r>
        <w:rPr>
          <w:color w:val="222222"/>
          <w:highlight w:val="white"/>
        </w:rPr>
        <w:t>Timmis, K. and Brüssow, H., (2020). The COVID</w:t>
      </w:r>
      <w:r>
        <w:rPr>
          <w:rFonts w:ascii="Times New Roman" w:eastAsia="Times New Roman" w:hAnsi="Times New Roman" w:cs="Times New Roman"/>
          <w:color w:val="222222"/>
          <w:highlight w:val="white"/>
        </w:rPr>
        <w:t>‐</w:t>
      </w:r>
      <w:r>
        <w:rPr>
          <w:color w:val="222222"/>
          <w:highlight w:val="white"/>
        </w:rPr>
        <w:t xml:space="preserve">19 pandemic: some lessons learned about crisis preparedness and management, and the need for international benchmarking to reduce deficits. </w:t>
      </w:r>
      <w:r>
        <w:rPr>
          <w:i/>
          <w:highlight w:val="white"/>
        </w:rPr>
        <w:t>Environmental microbiology</w:t>
      </w:r>
      <w:r>
        <w:rPr>
          <w:highlight w:val="white"/>
        </w:rPr>
        <w:t xml:space="preserve">, </w:t>
      </w:r>
      <w:r>
        <w:rPr>
          <w:i/>
          <w:highlight w:val="white"/>
        </w:rPr>
        <w:t>22</w:t>
      </w:r>
      <w:r>
        <w:rPr>
          <w:highlight w:val="white"/>
        </w:rPr>
        <w:t>(6), p.1986.</w:t>
      </w:r>
    </w:p>
    <w:p w14:paraId="6770F8A4" w14:textId="77777777" w:rsidR="001325F3" w:rsidRDefault="001325F3">
      <w:pPr>
        <w:spacing w:line="360" w:lineRule="auto"/>
        <w:jc w:val="both"/>
      </w:pPr>
      <w:r>
        <w:t xml:space="preserve">WHO (2022). </w:t>
      </w:r>
      <w:r>
        <w:rPr>
          <w:i/>
        </w:rPr>
        <w:t>COVID-19 Preparedness of Canada, World Health Organization</w:t>
      </w:r>
      <w:r>
        <w:t>. Available at: https://www.who.int/about/funding/contributors/can (Accessed: 3 November 2025).</w:t>
      </w:r>
    </w:p>
    <w:p w14:paraId="73FF9812" w14:textId="77777777" w:rsidR="001325F3" w:rsidRDefault="001325F3">
      <w:pPr>
        <w:spacing w:line="360" w:lineRule="auto"/>
        <w:jc w:val="both"/>
      </w:pPr>
      <w:r>
        <w:t xml:space="preserve">WHO (2023). </w:t>
      </w:r>
      <w:r>
        <w:rPr>
          <w:i/>
        </w:rPr>
        <w:t>COVID-19 Preparedness of Spain, World Health Organization</w:t>
      </w:r>
      <w:r>
        <w:t>. Available at: https://www.who.int/about/funding</w:t>
      </w:r>
      <w:r w:rsidR="00806DB2">
        <w:t>/contributors/spain (Accessed: 2</w:t>
      </w:r>
      <w:r>
        <w:t xml:space="preserve"> November 2025).</w:t>
      </w:r>
    </w:p>
    <w:p w14:paraId="2F79EB58" w14:textId="77777777" w:rsidR="001325F3" w:rsidRDefault="001325F3">
      <w:pPr>
        <w:spacing w:line="360" w:lineRule="auto"/>
        <w:jc w:val="both"/>
      </w:pPr>
      <w:r>
        <w:t xml:space="preserve">WHO (2024). </w:t>
      </w:r>
      <w:r>
        <w:rPr>
          <w:i/>
        </w:rPr>
        <w:t>Spain: assessing health system capacity to manage sudden large influxes of migrants.</w:t>
      </w:r>
      <w:r>
        <w:t xml:space="preserve"> Available at: https://cdn.who.int/media/docs/default-source/documents/publications/spain-assessing-health-system-capacity-influx-of-</w:t>
      </w:r>
      <w:r>
        <w:lastRenderedPageBreak/>
        <w:t>migrants0fc727bc-4ae1-4c24-9759-804672c202ec.pdf?sfvrsn=636e69cd_1 (Accessed: 3 November 2025).</w:t>
      </w:r>
    </w:p>
    <w:p w14:paraId="73464BBC" w14:textId="77777777" w:rsidR="001325F3" w:rsidRDefault="001325F3">
      <w:pPr>
        <w:spacing w:before="240" w:line="392" w:lineRule="auto"/>
        <w:jc w:val="both"/>
        <w:rPr>
          <w:highlight w:val="white"/>
        </w:rPr>
      </w:pPr>
      <w:r>
        <w:rPr>
          <w:highlight w:val="white"/>
        </w:rPr>
        <w:t>who.int, (2024)</w:t>
      </w:r>
      <w:r>
        <w:rPr>
          <w:i/>
          <w:highlight w:val="white"/>
        </w:rPr>
        <w:t>. Spain: health system review 2024</w:t>
      </w:r>
      <w:r>
        <w:rPr>
          <w:highlight w:val="white"/>
        </w:rPr>
        <w:t xml:space="preserve">. </w:t>
      </w:r>
      <w:r>
        <w:rPr>
          <w:i/>
          <w:highlight w:val="white"/>
        </w:rPr>
        <w:t>World Health Organization</w:t>
      </w:r>
      <w:r>
        <w:rPr>
          <w:highlight w:val="white"/>
        </w:rPr>
        <w:t>. World Health Organization. Available at: https://eurohealthobservatory.who.int/publications/i/spain-health-system-review-2024 (Accessed: 31 October 2025).</w:t>
      </w:r>
    </w:p>
    <w:p w14:paraId="6AD4510C" w14:textId="77777777" w:rsidR="001325F3" w:rsidRDefault="001325F3">
      <w:pPr>
        <w:spacing w:line="360" w:lineRule="auto"/>
        <w:jc w:val="both"/>
      </w:pPr>
      <w:r>
        <w:t xml:space="preserve">World Bank (2022). </w:t>
      </w:r>
      <w:r>
        <w:rPr>
          <w:i/>
        </w:rPr>
        <w:t>Korea-WBG Partnership on COVID-19 Preparedness and Response.</w:t>
      </w:r>
      <w:r>
        <w:t xml:space="preserve"> Available at: https://thedocs.worldbank.org/en/doc/5be11cd0f9191c13cde8914427a252da-0070012022/original/221109-WBG</w:t>
      </w:r>
      <w:r w:rsidR="00806DB2">
        <w:t>P-Webinar-Korea.pdf (Accessed: 1</w:t>
      </w:r>
      <w:r>
        <w:t xml:space="preserve"> November 2025).</w:t>
      </w:r>
    </w:p>
    <w:p w14:paraId="6E362CF9" w14:textId="77777777" w:rsidR="001325F3" w:rsidRDefault="001325F3">
      <w:pPr>
        <w:spacing w:line="360" w:lineRule="auto"/>
        <w:jc w:val="both"/>
      </w:pPr>
      <w:r>
        <w:t xml:space="preserve">World Bank (2024). </w:t>
      </w:r>
      <w:r>
        <w:rPr>
          <w:i/>
        </w:rPr>
        <w:t>Building Emergency Ready Health Systems That Care For All</w:t>
      </w:r>
      <w:r>
        <w:t>. Available at: https://blogs.worldbank.org/en/eastasiapacific/building-emergency-ready-health-systems-that-care-for-all (Accessed: 30 October 2025).</w:t>
      </w:r>
    </w:p>
    <w:p w14:paraId="2F6830CA" w14:textId="77777777" w:rsidR="001325F3" w:rsidRDefault="001325F3">
      <w:pPr>
        <w:spacing w:line="360" w:lineRule="auto"/>
        <w:jc w:val="both"/>
      </w:pPr>
      <w:r>
        <w:t xml:space="preserve">World Economic Forum (2021). </w:t>
      </w:r>
      <w:r>
        <w:rPr>
          <w:i/>
        </w:rPr>
        <w:t xml:space="preserve">Sustainability and Resilience in the Spanish Health System. </w:t>
      </w:r>
      <w:r>
        <w:t>Available at: https://www3.weforum.org/docs/WEF_PHSSR_Spain_Report.pdf (Accessed: 2 November 2025).</w:t>
      </w:r>
    </w:p>
    <w:p w14:paraId="4B247140" w14:textId="77777777" w:rsidR="001325F3" w:rsidRDefault="001325F3">
      <w:pPr>
        <w:spacing w:before="240" w:after="240" w:line="360" w:lineRule="auto"/>
        <w:jc w:val="both"/>
        <w:rPr>
          <w:highlight w:val="white"/>
        </w:rPr>
      </w:pPr>
      <w:r>
        <w:rPr>
          <w:color w:val="222222"/>
          <w:highlight w:val="white"/>
        </w:rPr>
        <w:t xml:space="preserve">You, J., (2020). Lessons from South Korea’s Covid-19 policy response. </w:t>
      </w:r>
      <w:r>
        <w:rPr>
          <w:i/>
          <w:highlight w:val="white"/>
        </w:rPr>
        <w:t>The American Review of Public Administration</w:t>
      </w:r>
      <w:r>
        <w:rPr>
          <w:highlight w:val="white"/>
        </w:rPr>
        <w:t xml:space="preserve">, </w:t>
      </w:r>
      <w:r>
        <w:rPr>
          <w:i/>
          <w:highlight w:val="white"/>
        </w:rPr>
        <w:t>50</w:t>
      </w:r>
      <w:r>
        <w:rPr>
          <w:highlight w:val="white"/>
        </w:rPr>
        <w:t>(6-7), pp.801-808.</w:t>
      </w:r>
    </w:p>
    <w:p w14:paraId="5019831C" w14:textId="77777777" w:rsidR="0030310E" w:rsidRDefault="001325F3">
      <w:pPr>
        <w:spacing w:before="240" w:after="240" w:line="360" w:lineRule="auto"/>
        <w:jc w:val="both"/>
        <w:rPr>
          <w:color w:val="222222"/>
          <w:highlight w:val="white"/>
        </w:rPr>
      </w:pPr>
      <w:r>
        <w:rPr>
          <w:color w:val="222222"/>
          <w:highlight w:val="white"/>
        </w:rPr>
        <w:t xml:space="preserve"> </w:t>
      </w:r>
    </w:p>
    <w:p w14:paraId="7DC7A15C" w14:textId="77777777" w:rsidR="0030310E" w:rsidRDefault="0030310E">
      <w:pPr>
        <w:spacing w:line="360" w:lineRule="auto"/>
        <w:jc w:val="both"/>
        <w:rPr>
          <w:highlight w:val="white"/>
        </w:rPr>
      </w:pPr>
    </w:p>
    <w:p w14:paraId="6E863E9B" w14:textId="77777777" w:rsidR="0030310E" w:rsidRDefault="0030310E">
      <w:pPr>
        <w:rPr>
          <w:highlight w:val="white"/>
        </w:rPr>
      </w:pPr>
    </w:p>
    <w:p w14:paraId="2F1CA7A3" w14:textId="77777777" w:rsidR="0030310E" w:rsidRDefault="0030310E">
      <w:pPr>
        <w:rPr>
          <w:highlight w:val="white"/>
        </w:rPr>
      </w:pPr>
    </w:p>
    <w:p w14:paraId="7957DE45" w14:textId="77777777" w:rsidR="0030310E" w:rsidRDefault="0030310E">
      <w:pPr>
        <w:rPr>
          <w:highlight w:val="white"/>
        </w:rPr>
      </w:pPr>
    </w:p>
    <w:p w14:paraId="3AF6F6E7" w14:textId="77777777" w:rsidR="0030310E" w:rsidRDefault="0030310E">
      <w:pPr>
        <w:rPr>
          <w:b/>
          <w:highlight w:val="white"/>
        </w:rPr>
      </w:pPr>
    </w:p>
    <w:p w14:paraId="2F6ABCE2" w14:textId="77777777" w:rsidR="0030310E" w:rsidRDefault="0030310E">
      <w:pPr>
        <w:rPr>
          <w:highlight w:val="white"/>
        </w:rPr>
      </w:pPr>
    </w:p>
    <w:p w14:paraId="2CDCF016" w14:textId="77777777" w:rsidR="0030310E" w:rsidRDefault="0030310E"/>
    <w:sectPr w:rsidR="0030310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1" w:fontKey="{28B9040D-7296-4419-8AD4-4AE32F5FB8B5}"/>
  </w:font>
  <w:font w:name="Georgia">
    <w:panose1 w:val="02040502050405020303"/>
    <w:charset w:val="00"/>
    <w:family w:val="roman"/>
    <w:pitch w:val="variable"/>
    <w:sig w:usb0="00000287" w:usb1="00000000" w:usb2="00000000" w:usb3="00000000" w:csb0="0000009F" w:csb1="00000000"/>
    <w:embedRegular r:id="rId2" w:fontKey="{8B327E21-F267-4D56-A1A5-8B3BD6E54C4E}"/>
    <w:embedItalic r:id="rId3" w:fontKey="{3E7E59CC-D540-47BA-9C9D-02F192CB20C0}"/>
  </w:font>
  <w:font w:name="Tahoma">
    <w:panose1 w:val="020B0604030504040204"/>
    <w:charset w:val="00"/>
    <w:family w:val="swiss"/>
    <w:pitch w:val="variable"/>
    <w:sig w:usb0="E1002EFF" w:usb1="C000605B" w:usb2="00000029" w:usb3="00000000" w:csb0="000101FF" w:csb1="00000000"/>
    <w:embedRegular r:id="rId4" w:fontKey="{908A13B4-345D-4E3E-BE48-09D8DA00F42F}"/>
  </w:font>
  <w:font w:name="Calibri">
    <w:panose1 w:val="020F0502020204030204"/>
    <w:charset w:val="00"/>
    <w:family w:val="swiss"/>
    <w:pitch w:val="variable"/>
    <w:sig w:usb0="E4002EFF" w:usb1="C200247B" w:usb2="00000009" w:usb3="00000000" w:csb0="000001FF" w:csb1="00000000"/>
    <w:embedRegular r:id="rId5" w:fontKey="{04891562-753F-4320-AA08-D1240F0387D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30310E"/>
    <w:rsid w:val="001325F3"/>
    <w:rsid w:val="0030310E"/>
    <w:rsid w:val="004B7FA1"/>
    <w:rsid w:val="006F2D9A"/>
    <w:rsid w:val="00806DB2"/>
    <w:rsid w:val="00BC1804"/>
    <w:rsid w:val="00CC0D3E"/>
    <w:rsid w:val="00DE089C"/>
    <w:rsid w:val="00F66ED7"/>
    <w:rsid w:val="00FB4C7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0E05F"/>
  <w15:docId w15:val="{4EC7393A-6D6C-495C-A956-FB2E49651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pPr>
      <w:keepNext/>
      <w:keepLines/>
      <w:spacing w:line="360" w:lineRule="auto"/>
      <w:jc w:val="both"/>
      <w:outlineLvl w:val="0"/>
    </w:pPr>
    <w:rPr>
      <w:b/>
      <w:sz w:val="28"/>
      <w:szCs w:val="28"/>
    </w:rPr>
  </w:style>
  <w:style w:type="paragraph" w:styleId="Heading2">
    <w:name w:val="heading 2"/>
    <w:basedOn w:val="Normal"/>
    <w:next w:val="Normal"/>
    <w:link w:val="Heading2Char"/>
    <w:pPr>
      <w:keepNext/>
      <w:keepLines/>
      <w:spacing w:line="360" w:lineRule="auto"/>
      <w:jc w:val="both"/>
      <w:outlineLvl w:val="1"/>
    </w:pPr>
    <w:rPr>
      <w:b/>
      <w:sz w:val="24"/>
      <w:szCs w:val="24"/>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sz w:val="72"/>
      <w:szCs w:val="72"/>
    </w:rPr>
  </w:style>
  <w:style w:type="paragraph" w:styleId="NormalWeb">
    <w:name w:val="Normal (Web)"/>
    <w:basedOn w:val="Normal"/>
    <w:uiPriority w:val="99"/>
    <w:semiHidden/>
    <w:unhideWhenUsed/>
    <w:rsid w:val="008A111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rsid w:val="00B07E0E"/>
    <w:rPr>
      <w:rFonts w:ascii="Arial" w:eastAsia="Arial" w:hAnsi="Arial" w:cs="Arial"/>
      <w:b/>
      <w:sz w:val="28"/>
      <w:szCs w:val="28"/>
    </w:rPr>
  </w:style>
  <w:style w:type="character" w:customStyle="1" w:styleId="Heading2Char">
    <w:name w:val="Heading 2 Char"/>
    <w:basedOn w:val="DefaultParagraphFont"/>
    <w:link w:val="Heading2"/>
    <w:rsid w:val="00B07E0E"/>
    <w:rPr>
      <w:rFonts w:ascii="Arial" w:eastAsia="Arial" w:hAnsi="Arial" w:cs="Arial"/>
      <w:b/>
      <w:sz w:val="24"/>
      <w:szCs w:val="24"/>
    </w:rPr>
  </w:style>
  <w:style w:type="paragraph" w:styleId="TOCHeading">
    <w:name w:val="TOC Heading"/>
    <w:basedOn w:val="Heading1"/>
    <w:next w:val="Normal"/>
    <w:uiPriority w:val="39"/>
    <w:unhideWhenUsed/>
    <w:qFormat/>
    <w:rsid w:val="00B07E0E"/>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B07E0E"/>
    <w:pPr>
      <w:spacing w:after="100"/>
    </w:pPr>
  </w:style>
  <w:style w:type="paragraph" w:styleId="TOC2">
    <w:name w:val="toc 2"/>
    <w:basedOn w:val="Normal"/>
    <w:next w:val="Normal"/>
    <w:autoRedefine/>
    <w:uiPriority w:val="39"/>
    <w:unhideWhenUsed/>
    <w:rsid w:val="00B07E0E"/>
    <w:pPr>
      <w:spacing w:after="100"/>
      <w:ind w:left="220"/>
    </w:pPr>
  </w:style>
  <w:style w:type="character" w:styleId="Hyperlink">
    <w:name w:val="Hyperlink"/>
    <w:basedOn w:val="DefaultParagraphFont"/>
    <w:uiPriority w:val="99"/>
    <w:unhideWhenUsed/>
    <w:rsid w:val="00B07E0E"/>
    <w:rPr>
      <w:color w:val="0563C1" w:themeColor="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1325F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25F3"/>
    <w:rPr>
      <w:rFonts w:ascii="Tahoma" w:hAnsi="Tahoma" w:cs="Tahoma"/>
      <w:sz w:val="16"/>
      <w:szCs w:val="16"/>
    </w:rPr>
  </w:style>
  <w:style w:type="paragraph" w:styleId="TOC3">
    <w:name w:val="toc 3"/>
    <w:basedOn w:val="Normal"/>
    <w:next w:val="Normal"/>
    <w:autoRedefine/>
    <w:uiPriority w:val="39"/>
    <w:unhideWhenUsed/>
    <w:rsid w:val="001325F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985sAFA0RzHKftYn5nMKCNdTKyA==">CgMxLjAyDWgud2EwbzI2bjFncjcyDmgueW96Y2RzY29rcndmMg5oLmw5a3dncTZzbGVudzIOaC44NmFmOG5wNzFpOWoyDmgucWp0bzB3ejFudzFwMg5oLnFmenVoNHd4bnB4NDIOaC5mZ2gxZDA0YWRiZWsyDmguZWxpamJiejdmbGZ5Mg5oLjltOWtzMDY5OXg0djIOaC5obDE0ZmFkbzN2M2EyDmguazAycHFrd2thaTdnMg5oLmpmeGU3b2FtdGwzYjIOaC51M3hrdTMzOG1wNncyDmguNnpubDZ3ODl6cTBsMg5oLnF2bnE5cXpib2hwODIOaC5pYzFrcWlpb2MxbHEyDmguM2VwazN5dzQwcnN0OAByITFmNUZwQ1p0RUNhYWc2RXJuZ3VkdkV2OTYzNjdnQUlrd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681</TotalTime>
  <Pages>23</Pages>
  <Words>6864</Words>
  <Characters>39129</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Vihar Patel</cp:lastModifiedBy>
  <cp:revision>7</cp:revision>
  <dcterms:created xsi:type="dcterms:W3CDTF">2025-10-30T05:34:00Z</dcterms:created>
  <dcterms:modified xsi:type="dcterms:W3CDTF">2025-12-15T12:04:00Z</dcterms:modified>
</cp:coreProperties>
</file>