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51ACF52" wp14:paraId="1DB469CB" wp14:textId="0A48E7B5">
      <w:pPr>
        <w:tabs>
          <w:tab w:val="left" w:leader="none" w:pos="3555"/>
          <w:tab w:val="left" w:leader="none" w:pos="3825"/>
          <w:tab w:val="center" w:leader="none" w:pos="4680"/>
        </w:tabs>
        <w:spacing w:after="160" w:afterAutospacing="off" w:line="360" w:lineRule="auto"/>
        <w:ind w:left="-20" w:right="-20"/>
        <w:jc w:val="center"/>
        <w:rPr>
          <w:rFonts w:ascii="Arial" w:hAnsi="Arial" w:eastAsia="Arial" w:cs="Arial"/>
          <w:b w:val="1"/>
          <w:bCs w:val="1"/>
          <w:noProof w:val="0"/>
          <w:sz w:val="24"/>
          <w:szCs w:val="24"/>
          <w:lang w:val="en-GB"/>
        </w:rPr>
      </w:pPr>
    </w:p>
    <w:p xmlns:wp14="http://schemas.microsoft.com/office/word/2010/wordml" w:rsidP="251ACF52" wp14:paraId="096D6DAE" wp14:textId="3EFC4521">
      <w:pPr>
        <w:tabs>
          <w:tab w:val="left" w:leader="none" w:pos="3555"/>
          <w:tab w:val="left" w:leader="none" w:pos="3825"/>
          <w:tab w:val="center" w:leader="none" w:pos="4680"/>
        </w:tabs>
        <w:spacing w:after="160" w:afterAutospacing="off" w:line="360" w:lineRule="auto"/>
        <w:ind w:left="-20" w:right="-20"/>
        <w:jc w:val="center"/>
        <w:rPr>
          <w:rFonts w:ascii="Arial" w:hAnsi="Arial" w:eastAsia="Arial" w:cs="Arial"/>
          <w:b w:val="1"/>
          <w:bCs w:val="1"/>
          <w:noProof w:val="0"/>
          <w:sz w:val="24"/>
          <w:szCs w:val="24"/>
          <w:lang w:val="en-GB"/>
        </w:rPr>
      </w:pPr>
    </w:p>
    <w:p xmlns:wp14="http://schemas.microsoft.com/office/word/2010/wordml" w:rsidP="251ACF52" wp14:paraId="4AA3C734" wp14:textId="097EDA06">
      <w:pPr>
        <w:tabs>
          <w:tab w:val="left" w:leader="none" w:pos="3555"/>
          <w:tab w:val="left" w:leader="none" w:pos="3825"/>
          <w:tab w:val="center" w:leader="none" w:pos="4680"/>
        </w:tabs>
        <w:spacing w:after="160" w:afterAutospacing="off" w:line="360" w:lineRule="auto"/>
        <w:ind w:left="-20" w:right="-20"/>
        <w:jc w:val="center"/>
        <w:rPr>
          <w:rFonts w:ascii="Arial" w:hAnsi="Arial" w:eastAsia="Arial" w:cs="Arial"/>
          <w:b w:val="1"/>
          <w:bCs w:val="1"/>
          <w:noProof w:val="0"/>
          <w:sz w:val="24"/>
          <w:szCs w:val="24"/>
          <w:lang w:val="en-GB"/>
        </w:rPr>
      </w:pPr>
    </w:p>
    <w:p xmlns:wp14="http://schemas.microsoft.com/office/word/2010/wordml" w:rsidP="251ACF52" wp14:paraId="192F8F72" wp14:textId="0C6D8079">
      <w:pPr>
        <w:tabs>
          <w:tab w:val="left" w:leader="none" w:pos="3555"/>
          <w:tab w:val="left" w:leader="none" w:pos="3825"/>
          <w:tab w:val="center" w:leader="none" w:pos="4680"/>
        </w:tabs>
        <w:spacing w:after="160" w:afterAutospacing="off" w:line="360" w:lineRule="auto"/>
        <w:ind w:left="-20" w:right="-20"/>
        <w:jc w:val="center"/>
        <w:rPr>
          <w:rFonts w:ascii="Arial" w:hAnsi="Arial" w:eastAsia="Arial" w:cs="Arial"/>
          <w:b w:val="1"/>
          <w:bCs w:val="1"/>
          <w:noProof w:val="0"/>
          <w:sz w:val="24"/>
          <w:szCs w:val="24"/>
          <w:lang w:val="en-GB"/>
        </w:rPr>
      </w:pPr>
    </w:p>
    <w:p xmlns:wp14="http://schemas.microsoft.com/office/word/2010/wordml" w:rsidP="251ACF52" wp14:paraId="769CCC01" wp14:textId="249A326A">
      <w:pPr>
        <w:tabs>
          <w:tab w:val="left" w:leader="none" w:pos="3555"/>
          <w:tab w:val="left" w:leader="none" w:pos="3825"/>
          <w:tab w:val="center" w:leader="none" w:pos="4680"/>
        </w:tabs>
        <w:spacing w:after="160" w:afterAutospacing="off" w:line="360" w:lineRule="auto"/>
        <w:ind w:left="-20" w:right="-20"/>
        <w:jc w:val="center"/>
        <w:rPr>
          <w:rFonts w:ascii="Arial" w:hAnsi="Arial" w:eastAsia="Arial" w:cs="Arial"/>
          <w:b w:val="1"/>
          <w:bCs w:val="1"/>
          <w:noProof w:val="0"/>
          <w:sz w:val="24"/>
          <w:szCs w:val="24"/>
          <w:lang w:val="en-GB"/>
        </w:rPr>
      </w:pPr>
    </w:p>
    <w:p xmlns:wp14="http://schemas.microsoft.com/office/word/2010/wordml" w:rsidP="251ACF52" wp14:paraId="1DBFDC22" wp14:textId="1A314625">
      <w:pPr>
        <w:tabs>
          <w:tab w:val="left" w:leader="none" w:pos="3555"/>
          <w:tab w:val="left" w:leader="none" w:pos="3825"/>
          <w:tab w:val="center" w:leader="none" w:pos="4680"/>
        </w:tabs>
        <w:spacing w:after="160" w:afterAutospacing="off" w:line="360" w:lineRule="auto"/>
        <w:ind w:left="-20" w:right="-20"/>
        <w:jc w:val="center"/>
      </w:pPr>
      <w:r w:rsidRPr="251ACF52" w:rsidR="28584A00">
        <w:rPr>
          <w:rFonts w:ascii="Arial" w:hAnsi="Arial" w:eastAsia="Arial" w:cs="Arial"/>
          <w:b w:val="1"/>
          <w:bCs w:val="1"/>
          <w:noProof w:val="0"/>
          <w:sz w:val="24"/>
          <w:szCs w:val="24"/>
          <w:lang w:val="en-GB"/>
        </w:rPr>
        <w:t>Reflection: Food and Beverage Department</w:t>
      </w:r>
    </w:p>
    <w:p xmlns:wp14="http://schemas.microsoft.com/office/word/2010/wordml" w:rsidP="251ACF52" wp14:paraId="3F659BE8" wp14:textId="7A5637BF">
      <w:pPr>
        <w:tabs>
          <w:tab w:val="left" w:leader="none" w:pos="3555"/>
          <w:tab w:val="left" w:leader="none" w:pos="3825"/>
          <w:tab w:val="center" w:leader="none" w:pos="4680"/>
        </w:tabs>
        <w:spacing w:line="360" w:lineRule="auto"/>
        <w:ind w:left="-20" w:right="-20"/>
        <w:jc w:val="center"/>
      </w:pPr>
      <w:r w:rsidRPr="251ACF52" w:rsidR="28584A00">
        <w:rPr>
          <w:rFonts w:ascii="Arial" w:hAnsi="Arial" w:eastAsia="Arial" w:cs="Arial"/>
          <w:noProof w:val="0"/>
          <w:sz w:val="24"/>
          <w:szCs w:val="24"/>
          <w:lang w:val="en-GB"/>
        </w:rPr>
        <w:t xml:space="preserve"> </w:t>
      </w:r>
    </w:p>
    <w:p xmlns:wp14="http://schemas.microsoft.com/office/word/2010/wordml" w:rsidP="251ACF52" wp14:paraId="274B03B3" wp14:textId="4FCD4A00">
      <w:pPr>
        <w:tabs>
          <w:tab w:val="left" w:leader="none" w:pos="3555"/>
          <w:tab w:val="left" w:leader="none" w:pos="3825"/>
          <w:tab w:val="center" w:leader="none" w:pos="4680"/>
        </w:tabs>
        <w:spacing w:line="360" w:lineRule="auto"/>
        <w:ind w:left="-20" w:right="-20"/>
        <w:jc w:val="center"/>
      </w:pPr>
      <w:r w:rsidRPr="251ACF52" w:rsidR="28584A00">
        <w:rPr>
          <w:rFonts w:ascii="Arial" w:hAnsi="Arial" w:eastAsia="Arial" w:cs="Arial"/>
          <w:noProof w:val="0"/>
          <w:sz w:val="24"/>
          <w:szCs w:val="24"/>
          <w:lang w:val="en-GB"/>
        </w:rPr>
        <w:t>Amar Haddouche 2017328</w:t>
      </w:r>
    </w:p>
    <w:p xmlns:wp14="http://schemas.microsoft.com/office/word/2010/wordml" w:rsidP="251ACF52" wp14:paraId="40FED5C5" wp14:textId="16C47FE1">
      <w:pPr>
        <w:spacing w:line="360" w:lineRule="auto"/>
        <w:ind w:left="-20" w:right="-20"/>
        <w:jc w:val="center"/>
      </w:pPr>
      <w:r w:rsidRPr="251ACF52" w:rsidR="28584A00">
        <w:rPr>
          <w:rFonts w:ascii="Arial" w:hAnsi="Arial" w:eastAsia="Arial" w:cs="Arial"/>
          <w:noProof w:val="0"/>
          <w:sz w:val="24"/>
          <w:szCs w:val="24"/>
          <w:lang w:val="en-GB"/>
        </w:rPr>
        <w:t>Managing Food and beverage Operations</w:t>
      </w:r>
    </w:p>
    <w:p xmlns:wp14="http://schemas.microsoft.com/office/word/2010/wordml" w:rsidP="251ACF52" wp14:paraId="5E43B961" wp14:textId="51930B23">
      <w:pPr>
        <w:spacing w:line="360" w:lineRule="auto"/>
        <w:ind w:left="-20" w:right="-20"/>
        <w:jc w:val="center"/>
      </w:pPr>
      <w:r w:rsidRPr="251ACF52" w:rsidR="28584A00">
        <w:rPr>
          <w:rFonts w:ascii="Arial" w:hAnsi="Arial" w:eastAsia="Arial" w:cs="Arial"/>
          <w:noProof w:val="0"/>
          <w:sz w:val="24"/>
          <w:szCs w:val="24"/>
          <w:lang w:val="fr"/>
        </w:rPr>
        <w:t>BMIH6002</w:t>
      </w:r>
    </w:p>
    <w:p xmlns:wp14="http://schemas.microsoft.com/office/word/2010/wordml" w:rsidP="251ACF52" wp14:paraId="7EB41DB4" wp14:textId="46CE1F8F">
      <w:pPr>
        <w:tabs>
          <w:tab w:val="left" w:leader="none" w:pos="3750"/>
          <w:tab w:val="center" w:leader="none" w:pos="4680"/>
        </w:tabs>
        <w:spacing w:line="360" w:lineRule="auto"/>
        <w:ind w:left="-20" w:right="-20"/>
        <w:jc w:val="center"/>
      </w:pPr>
      <w:r w:rsidRPr="251ACF52" w:rsidR="28584A00">
        <w:rPr>
          <w:rFonts w:ascii="Arial" w:hAnsi="Arial" w:eastAsia="Arial" w:cs="Arial"/>
          <w:noProof w:val="0"/>
          <w:sz w:val="24"/>
          <w:szCs w:val="24"/>
          <w:lang w:val="fr"/>
        </w:rPr>
        <w:t>Lecturer: Natalie Brailsford</w:t>
      </w:r>
    </w:p>
    <w:p xmlns:wp14="http://schemas.microsoft.com/office/word/2010/wordml" w:rsidP="251ACF52" wp14:paraId="790AFEA4" wp14:textId="30831FCB">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38555778" wp14:textId="587C0FA6">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3A0E7578" wp14:textId="48CE5F1A">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0BF29450" wp14:textId="1850BE3C">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0DC3321B" wp14:textId="74730356">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26DC3CA1" wp14:textId="71061650">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580DA02C" wp14:textId="7E5D96D1">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720230F5" wp14:textId="4B86C5B4">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57D4B8AD" wp14:textId="5AFE5063">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50DEFCD2" wp14:textId="7C79B878">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32F6A180" wp14:textId="4ED40A93">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74185213" wp14:textId="686D618E">
      <w:pPr>
        <w:pStyle w:val="Normal"/>
        <w:tabs>
          <w:tab w:val="left" w:leader="none" w:pos="3750"/>
          <w:tab w:val="center" w:leader="none" w:pos="4680"/>
        </w:tabs>
        <w:spacing w:line="360" w:lineRule="auto"/>
        <w:ind w:left="-20" w:right="-20"/>
        <w:jc w:val="center"/>
        <w:rPr>
          <w:rFonts w:ascii="Arial" w:hAnsi="Arial" w:eastAsia="Arial" w:cs="Arial"/>
          <w:noProof w:val="0"/>
          <w:sz w:val="24"/>
          <w:szCs w:val="24"/>
          <w:lang w:val="fr"/>
        </w:rPr>
      </w:pPr>
    </w:p>
    <w:p xmlns:wp14="http://schemas.microsoft.com/office/word/2010/wordml" w:rsidP="251ACF52" wp14:paraId="6ABB1A76" wp14:textId="760760B4">
      <w:pPr>
        <w:spacing w:line="360" w:lineRule="auto"/>
      </w:pPr>
    </w:p>
    <w:p xmlns:wp14="http://schemas.microsoft.com/office/word/2010/wordml" w:rsidP="251ACF52" wp14:paraId="1F6D068E" wp14:textId="36C07660">
      <w:pPr>
        <w:spacing w:line="360" w:lineRule="auto"/>
        <w:ind w:left="-20" w:right="-20"/>
        <w:jc w:val="both"/>
      </w:pPr>
      <w:r w:rsidRPr="251ACF52" w:rsidR="28584A00">
        <w:rPr>
          <w:rFonts w:ascii="Arial" w:hAnsi="Arial" w:eastAsia="Arial" w:cs="Arial"/>
          <w:b w:val="1"/>
          <w:bCs w:val="1"/>
          <w:noProof w:val="0"/>
          <w:sz w:val="24"/>
          <w:szCs w:val="24"/>
          <w:lang w:val="en-GB"/>
        </w:rPr>
        <w:t>Reflection: Food and Beverage Department</w:t>
      </w:r>
    </w:p>
    <w:p xmlns:wp14="http://schemas.microsoft.com/office/word/2010/wordml" w:rsidP="251ACF52" wp14:paraId="71439BFB" wp14:textId="573C8F64">
      <w:pPr>
        <w:spacing w:line="360" w:lineRule="auto"/>
        <w:ind w:left="-20" w:right="-20" w:firstLine="720"/>
        <w:jc w:val="both"/>
      </w:pPr>
      <w:r w:rsidRPr="251ACF52" w:rsidR="28584A00">
        <w:rPr>
          <w:rFonts w:ascii="Arial" w:hAnsi="Arial" w:eastAsia="Arial" w:cs="Arial"/>
          <w:noProof w:val="0"/>
          <w:sz w:val="24"/>
          <w:szCs w:val="24"/>
          <w:lang w:val="en-GB"/>
        </w:rPr>
        <w:t xml:space="preserve">It is impossible to overstate placement experiences' impact on a person's learning and professional development (Hameed et al., 2021). Recently, I had the privilege of working in the renowned Leonardo Hotel Cardiff's Food &amp; Beverage department during my placement. Thus, this reflection offers a glimpse into my experiences, struggles, and personal development as I navigated the intricacies of the hospitality sector. </w:t>
      </w:r>
    </w:p>
    <w:p xmlns:wp14="http://schemas.microsoft.com/office/word/2010/wordml" w:rsidP="251ACF52" wp14:paraId="5FFF8521" wp14:textId="2C2EF6B0">
      <w:pPr>
        <w:spacing w:line="360" w:lineRule="auto"/>
        <w:ind w:left="-20" w:right="-20"/>
        <w:jc w:val="both"/>
      </w:pPr>
      <w:r w:rsidRPr="251ACF52" w:rsidR="28584A00">
        <w:rPr>
          <w:rFonts w:ascii="Arial" w:hAnsi="Arial" w:eastAsia="Arial" w:cs="Arial"/>
          <w:b w:val="1"/>
          <w:bCs w:val="1"/>
          <w:noProof w:val="0"/>
          <w:sz w:val="24"/>
          <w:szCs w:val="24"/>
          <w:lang w:val="en-GB"/>
        </w:rPr>
        <w:t>Overview of the Hotel</w:t>
      </w:r>
    </w:p>
    <w:p xmlns:wp14="http://schemas.microsoft.com/office/word/2010/wordml" w:rsidP="251ACF52" wp14:paraId="5A687D3A" wp14:textId="46E4BF08">
      <w:pPr>
        <w:spacing w:line="360" w:lineRule="auto"/>
        <w:ind w:left="-20" w:right="-20" w:firstLine="720"/>
        <w:jc w:val="both"/>
      </w:pPr>
      <w:r w:rsidRPr="251ACF52" w:rsidR="28584A00">
        <w:rPr>
          <w:rFonts w:ascii="Arial" w:hAnsi="Arial" w:eastAsia="Arial" w:cs="Arial"/>
          <w:noProof w:val="0"/>
          <w:sz w:val="24"/>
          <w:szCs w:val="24"/>
          <w:lang w:val="en-GB"/>
        </w:rPr>
        <w:t>Situated in the vibrant city centre, the Leonardo Hotel Cardiff represents the pinnacle of Welsh hospitality. The striking Victorian architecture and the establishment's convenient central position made accessing Cardiff's top attractions and transportation hubs simple, which amazed me. The 142 stylish rooms of the hotel offer contemporary amenities, including free Wi-Fi and flat-screen TVs, making for a comfortable and welcoming stay. In addition, the hotel's dedication to personalised service was manifested as soon as one stepped foot into the facility through a heartwarming welcome extended by the welcoming staff. During my stay, I admired the details attended to and the efforts to ensure guest satisfaction, including the rooms' complimentary tea and coffee-making facilities.</w:t>
      </w:r>
    </w:p>
    <w:p xmlns:wp14="http://schemas.microsoft.com/office/word/2010/wordml" w:rsidP="251ACF52" wp14:paraId="36CA85CA" wp14:textId="5D6494AE">
      <w:pPr>
        <w:spacing w:line="360" w:lineRule="auto"/>
        <w:ind w:left="-20" w:right="-20" w:firstLine="720"/>
        <w:jc w:val="both"/>
      </w:pPr>
      <w:r w:rsidRPr="251ACF52" w:rsidR="28584A00">
        <w:rPr>
          <w:rFonts w:ascii="Arial" w:hAnsi="Arial" w:eastAsia="Arial" w:cs="Arial"/>
          <w:noProof w:val="0"/>
          <w:sz w:val="24"/>
          <w:szCs w:val="24"/>
          <w:lang w:val="en-GB"/>
        </w:rPr>
        <w:t>However, although the Leonardo Hotel Cardiff is outstanding in many respects, some areas need improvement. For example, while the hotel provides a breakfast buffet and lunch and dinner service at The Bar &amp; Grill, it could be improved by offering local flavors and culinary practices. A study by Tan and Despotis (2021) revealed that locally sourced ingredients and seasonal menus play a significant role in providing a decadent dining experience and a stronger sense of place for guests. Moreover, although the hotel's vision concerns the importance of sustainability and being a good steward of the environment, these concepts still need to be institutionalized in its operations. As Linda et al. (2020) demonstrated, implementing energy-saving initiatives, waste reduction programs, and sustainable procurement processes will be geared toward the hotel's objectives and support its position as a responsible business entity. This aspect will ensure the success of the hotel.</w:t>
      </w:r>
    </w:p>
    <w:p xmlns:wp14="http://schemas.microsoft.com/office/word/2010/wordml" w:rsidP="251ACF52" wp14:paraId="698486DB" wp14:textId="1082AA1B">
      <w:pPr>
        <w:spacing w:line="360" w:lineRule="auto"/>
        <w:ind w:left="-20" w:right="-20"/>
        <w:jc w:val="both"/>
      </w:pPr>
      <w:r w:rsidRPr="251ACF52" w:rsidR="28584A00">
        <w:rPr>
          <w:rFonts w:ascii="Arial" w:hAnsi="Arial" w:eastAsia="Arial" w:cs="Arial"/>
          <w:b w:val="1"/>
          <w:bCs w:val="1"/>
          <w:noProof w:val="0"/>
          <w:sz w:val="24"/>
          <w:szCs w:val="24"/>
          <w:lang w:val="en-GB"/>
        </w:rPr>
        <w:t>Experience Working in the Food and Beverage Department</w:t>
      </w:r>
    </w:p>
    <w:p xmlns:wp14="http://schemas.microsoft.com/office/word/2010/wordml" w:rsidP="251ACF52" wp14:paraId="36D5DAAF" wp14:textId="5575CAD8">
      <w:pPr>
        <w:spacing w:line="360" w:lineRule="auto"/>
        <w:ind w:left="-20" w:right="-20" w:firstLine="720"/>
        <w:jc w:val="both"/>
      </w:pPr>
      <w:r w:rsidRPr="251ACF52" w:rsidR="28584A00">
        <w:rPr>
          <w:rFonts w:ascii="Arial" w:hAnsi="Arial" w:eastAsia="Arial" w:cs="Arial"/>
          <w:noProof w:val="0"/>
          <w:sz w:val="24"/>
          <w:szCs w:val="24"/>
          <w:lang w:val="en-GB"/>
        </w:rPr>
        <w:t>During my placement, I worked in the fast-moving environment of the Food and Beverage section of the Leonardo Hotel Cardiff. This department is the gastronomic backbone of the hotel, providing guests with a memorable dining experience through its wide range of dining options, such as restaurants, bars, and event catering services. The department operates under a framework of existing policies and procedures meant to achieve consistency, efficiency, and quality in service provision. A defining feature of the department was the strong emphasis on teamwork and collaboration. Teamwork was a cornerstone of employee success as they worked side by side. Coutoo (2020)states it is crucial to align the employees' efforts to ensure guest satisfaction and the hotel's high standards. The team's resilience and adaptability were illustrated through communication and mutual support as they successfully met the challenges and provided exceptional service experiences.</w:t>
      </w:r>
    </w:p>
    <w:p xmlns:wp14="http://schemas.microsoft.com/office/word/2010/wordml" w:rsidP="251ACF52" wp14:paraId="2CD183A7" wp14:textId="0BEF0693">
      <w:pPr>
        <w:spacing w:line="360" w:lineRule="auto"/>
        <w:ind w:left="-20" w:right="-20" w:firstLine="720"/>
        <w:jc w:val="both"/>
      </w:pPr>
      <w:r w:rsidRPr="251ACF52" w:rsidR="28584A00">
        <w:rPr>
          <w:rFonts w:ascii="Arial" w:hAnsi="Arial" w:eastAsia="Arial" w:cs="Arial"/>
          <w:noProof w:val="0"/>
          <w:sz w:val="24"/>
          <w:szCs w:val="24"/>
          <w:lang w:val="en-GB"/>
        </w:rPr>
        <w:t>The department's policies also stressed the importance of following hygiene and safety rules, handling guests, and mode of service delivery. Such policies were crucial in providing a safe and friendly atmosphere for the management and the employees simultaneously. However, there were some occasions where communication failures happened that emphasised the need for continuous improvement in developing good teamwork and avoiding mistakes. Work schedules of the department were mainly tailored to meet the industry demands, which involved an element of flexibility and adaptability of the employees. Although the schedule was sometimes stressful, the experience was ultimately beneficial and fulfilling. The dynamic aspect of the environment paved the way for much learning and development, which helped me acquire indispensable skills such as time management, multitasking, and customer service.</w:t>
      </w:r>
    </w:p>
    <w:p xmlns:wp14="http://schemas.microsoft.com/office/word/2010/wordml" w:rsidP="251ACF52" wp14:paraId="08404DE2" wp14:textId="63D19E53">
      <w:pPr>
        <w:spacing w:line="360" w:lineRule="auto"/>
        <w:ind w:left="-20" w:right="-20" w:firstLine="720"/>
        <w:jc w:val="both"/>
      </w:pPr>
      <w:r w:rsidRPr="251ACF52" w:rsidR="28584A00">
        <w:rPr>
          <w:rFonts w:ascii="Arial" w:hAnsi="Arial" w:eastAsia="Arial" w:cs="Arial"/>
          <w:noProof w:val="0"/>
          <w:sz w:val="24"/>
          <w:szCs w:val="24"/>
          <w:lang w:val="en-GB"/>
        </w:rPr>
        <w:t>The department's staffing levels were strategized to meet the operational demands by hiring talented professionals who typified the hotel's values and ethos. Employees reported a feeling of pride and solidarity in their duties, leading to a favourable workplace culture and creating a sense of togetherness among the team (Pereira et al. (2022). My daily activities within the department ranged from guest service to event coordination and order processing. Although the workload was challenging, I found the experience enriching and fulfilling. Every interaction offered distinct prospects for learning and progress, thus enabling me to perfect my abilities and adjust to new environments with certainty.</w:t>
      </w:r>
    </w:p>
    <w:p xmlns:wp14="http://schemas.microsoft.com/office/word/2010/wordml" w:rsidP="251ACF52" wp14:paraId="6EFF6EC6" wp14:textId="607BCADD">
      <w:pPr>
        <w:spacing w:line="360" w:lineRule="auto"/>
        <w:ind w:left="-20" w:right="-20"/>
        <w:jc w:val="both"/>
      </w:pPr>
      <w:r w:rsidRPr="251ACF52" w:rsidR="28584A00">
        <w:rPr>
          <w:rFonts w:ascii="Arial" w:hAnsi="Arial" w:eastAsia="Arial" w:cs="Arial"/>
          <w:b w:val="1"/>
          <w:bCs w:val="1"/>
          <w:noProof w:val="0"/>
          <w:sz w:val="24"/>
          <w:szCs w:val="24"/>
          <w:lang w:val="en-GB"/>
        </w:rPr>
        <w:t>My Experience in the Hotel</w:t>
      </w:r>
    </w:p>
    <w:p xmlns:wp14="http://schemas.microsoft.com/office/word/2010/wordml" w:rsidP="251ACF52" wp14:paraId="725940C1" wp14:textId="3CDD8400">
      <w:pPr>
        <w:spacing w:line="360" w:lineRule="auto"/>
        <w:ind w:left="-20" w:right="-20" w:firstLine="720"/>
        <w:jc w:val="both"/>
      </w:pPr>
      <w:r w:rsidRPr="251ACF52" w:rsidR="28584A00">
        <w:rPr>
          <w:rFonts w:ascii="Arial" w:hAnsi="Arial" w:eastAsia="Arial" w:cs="Arial"/>
          <w:noProof w:val="0"/>
          <w:sz w:val="24"/>
          <w:szCs w:val="24"/>
          <w:lang w:val="en-GB"/>
        </w:rPr>
        <w:t>My placement as a Food and Beverage trainee at the Leonardo Hotel Cardiff was a wonderful learning experience where I used Gibbs' Reflective Cycle. This structured method has allowed me to critically evaluate my experiences and find ways to enhance certain areas, thereby creating a foundation for my future professional advancement. The primary learning goal within the department was to gain experience in food and beverage operations through developing communication skills, teamwork, and task management. My daily activities included collaborating with colleagues, managing multiple tasks at a time, and delivering exceptional guest service experiences, enabling me to attain these objectives.</w:t>
      </w:r>
    </w:p>
    <w:p xmlns:wp14="http://schemas.microsoft.com/office/word/2010/wordml" w:rsidP="251ACF52" wp14:paraId="62301EAA" wp14:textId="06576139">
      <w:pPr>
        <w:spacing w:line="360" w:lineRule="auto"/>
        <w:ind w:left="-20" w:right="-20" w:firstLine="720"/>
        <w:jc w:val="both"/>
      </w:pPr>
      <w:r w:rsidRPr="251ACF52" w:rsidR="28584A00">
        <w:rPr>
          <w:rFonts w:ascii="Arial" w:hAnsi="Arial" w:eastAsia="Arial" w:cs="Arial"/>
          <w:noProof w:val="0"/>
          <w:sz w:val="24"/>
          <w:szCs w:val="24"/>
          <w:lang w:val="en-GB"/>
        </w:rPr>
        <w:t>However, the experience also documented some internal problems that demand consideration and addressing. For example, communications failure took place because of unspecified policies and procedures. Abdullah et al. (2023) indicate that communication is essential in creating teamwork and avoiding mistakes in service delivery. One way to tackle this problem would be to organise regular training sessions and have clear communication channels so that all staff will work in one direction and be on the same page with the organizational expectations and standards. Additionally, corporate objectives and goals should be well presented and imbibed into the organisation's operations to create a culture of excellence and accountability. Tsue and Chen (2020) emphasize that organisational goals are realised through employees' actions, influencing performance, and attaining strategic objectives. The staff members can be empowered to contribute substantially to the organisation through the training programs and performance evaluations designed to reinforce the hotel's mission statement and values.</w:t>
      </w:r>
    </w:p>
    <w:p xmlns:wp14="http://schemas.microsoft.com/office/word/2010/wordml" w:rsidP="251ACF52" wp14:paraId="16B897B7" wp14:textId="6BBC9E75">
      <w:pPr>
        <w:spacing w:line="360" w:lineRule="auto"/>
        <w:ind w:left="-20" w:right="-20" w:firstLine="720"/>
        <w:jc w:val="both"/>
      </w:pPr>
      <w:r w:rsidRPr="251ACF52" w:rsidR="28584A00">
        <w:rPr>
          <w:rFonts w:ascii="Arial" w:hAnsi="Arial" w:eastAsia="Arial" w:cs="Arial"/>
          <w:noProof w:val="0"/>
          <w:sz w:val="24"/>
          <w:szCs w:val="24"/>
          <w:lang w:val="en-GB"/>
        </w:rPr>
        <w:t>Workforce and training were cited as areas that need improvement in the department. High staff turnover and lack of training programs will affect service quality and employee morale. Yanti et al. (2023) argue that an investment in employee training and development can cause a significant increase in job satisfaction and the level of performance outcomes. By implementing an inclusive training program and creating chances for professional development, the department can retain and attract first-rate talent while improving the quality of service as a whole (Mun et al., 2022). Additionally, meeting health and safety regulations requirements is essential to provide guests and staff with a safe and comfortable ambiance. Health and safety guidelines provided by regulatory authorities must be strictly followed while conducting regular inspections and audits to determine and remedy the hazards. By focusing on health and safety standards, the department would ensure risk minimization and adhere to customer satisfaction and employee health objectives (Okeiyi et al., 2023).</w:t>
      </w:r>
    </w:p>
    <w:p xmlns:wp14="http://schemas.microsoft.com/office/word/2010/wordml" w:rsidP="251ACF52" wp14:paraId="632138C1" wp14:textId="7FCD29CE">
      <w:pPr>
        <w:spacing w:line="360" w:lineRule="auto"/>
        <w:ind w:left="-20" w:right="-20"/>
        <w:jc w:val="both"/>
      </w:pPr>
      <w:r w:rsidRPr="251ACF52" w:rsidR="28584A00">
        <w:rPr>
          <w:rFonts w:ascii="Arial" w:hAnsi="Arial" w:eastAsia="Arial" w:cs="Arial"/>
          <w:b w:val="1"/>
          <w:bCs w:val="1"/>
          <w:noProof w:val="0"/>
          <w:sz w:val="24"/>
          <w:szCs w:val="24"/>
          <w:lang w:val="en-GB"/>
        </w:rPr>
        <w:t>Conclusion</w:t>
      </w:r>
    </w:p>
    <w:p xmlns:wp14="http://schemas.microsoft.com/office/word/2010/wordml" w:rsidP="251ACF52" wp14:paraId="0C0B9868" wp14:textId="34BCDA3F">
      <w:pPr>
        <w:spacing w:line="360" w:lineRule="auto"/>
        <w:ind w:left="-20" w:right="-20" w:firstLine="720"/>
        <w:jc w:val="both"/>
      </w:pPr>
      <w:r w:rsidRPr="251ACF52" w:rsidR="28584A00">
        <w:rPr>
          <w:rFonts w:ascii="Arial" w:hAnsi="Arial" w:eastAsia="Arial" w:cs="Arial"/>
          <w:noProof w:val="0"/>
          <w:sz w:val="24"/>
          <w:szCs w:val="24"/>
          <w:lang w:val="en-GB"/>
        </w:rPr>
        <w:t>In conclusion, my Work Experience in the hotel's Leonardo has been illuminating and eye-opening. I have developed myself through active participation (hands-on) and reflective practical work in the areas of teamwork, organisational life, and hospitality systems. With many advantages, the hotel also involves some elements, which can be improved, like how to hire the right staff, communication, and environmental programs, in order to become sustainable. Therefore, armed with this experience, I'm determined to apply what I have learned, pursuit of my education to improve my skills and having the capability to impact the hospitality world. Through the adoption of a motivational approach, I aim to realize a journey to a new path of career insights and personal development.</w:t>
      </w:r>
    </w:p>
    <w:p xmlns:wp14="http://schemas.microsoft.com/office/word/2010/wordml" w:rsidP="251ACF52" wp14:paraId="47C53C28" wp14:textId="5D0E9A18">
      <w:pPr>
        <w:spacing w:line="360" w:lineRule="auto"/>
        <w:ind w:left="-20" w:right="-20"/>
        <w:jc w:val="both"/>
      </w:pPr>
      <w:r w:rsidRPr="251ACF52" w:rsidR="28584A00">
        <w:rPr>
          <w:rFonts w:ascii="Arial" w:hAnsi="Arial" w:eastAsia="Arial" w:cs="Arial"/>
          <w:b w:val="1"/>
          <w:bCs w:val="1"/>
          <w:noProof w:val="0"/>
          <w:sz w:val="24"/>
          <w:szCs w:val="24"/>
          <w:lang w:val="en-GB"/>
        </w:rPr>
        <w:t>Future Action Plans</w:t>
      </w:r>
    </w:p>
    <w:p xmlns:wp14="http://schemas.microsoft.com/office/word/2010/wordml" w:rsidP="251ACF52" wp14:paraId="230A6440" wp14:textId="216CB2CD">
      <w:pPr>
        <w:spacing w:line="360" w:lineRule="auto"/>
        <w:ind w:left="-20" w:right="-20" w:firstLine="720"/>
        <w:jc w:val="both"/>
      </w:pPr>
      <w:r w:rsidRPr="251ACF52" w:rsidR="28584A00">
        <w:rPr>
          <w:rFonts w:ascii="Arial" w:hAnsi="Arial" w:eastAsia="Arial" w:cs="Arial"/>
          <w:noProof w:val="0"/>
          <w:sz w:val="24"/>
          <w:szCs w:val="24"/>
          <w:lang w:val="en-GB"/>
        </w:rPr>
        <w:t>Drawing from my experience in the Food and Beverage division at the Leonardo Hotel Cardiff, I have devised a detailed action plan to direct my forthcoming career advancement. First and foremost, I want to keep improving my interpersonal, collaborative, and task-management abilities via continued education and real-world experience. In addition my target is to extend and develop my knowledge about hotel operations by attending inter-departmental trainings especially front desk and housekeeping. Furthermore, I plan to use such professional activities and ongoing education to be aware of existing best practices and developments. My goal is to strengthen my career in the hotel business and to take an active part in helping various companies that I work with become successful. For this I will participate in networking events and search for a mentor with whom I can talk to and learn from.</w:t>
      </w:r>
    </w:p>
    <w:p xmlns:wp14="http://schemas.microsoft.com/office/word/2010/wordml" w:rsidP="251ACF52" wp14:paraId="687C0D57" wp14:textId="7DC5207A">
      <w:pPr>
        <w:spacing w:line="360" w:lineRule="auto"/>
        <w:ind w:left="-20" w:right="-20" w:firstLine="720"/>
        <w:jc w:val="both"/>
      </w:pPr>
      <w:r w:rsidRPr="251ACF52" w:rsidR="28584A00">
        <w:rPr>
          <w:rFonts w:ascii="Arial" w:hAnsi="Arial" w:eastAsia="Arial" w:cs="Arial"/>
          <w:noProof w:val="0"/>
          <w:sz w:val="24"/>
          <w:szCs w:val="24"/>
          <w:lang w:val="en-GB"/>
        </w:rPr>
        <w:t xml:space="preserve"> </w:t>
      </w:r>
    </w:p>
    <w:p xmlns:wp14="http://schemas.microsoft.com/office/word/2010/wordml" w:rsidP="251ACF52" wp14:paraId="21542AE6" wp14:textId="7EF76244">
      <w:pPr>
        <w:spacing w:line="360" w:lineRule="auto"/>
      </w:pPr>
    </w:p>
    <w:p xmlns:wp14="http://schemas.microsoft.com/office/word/2010/wordml" w:rsidP="251ACF52" wp14:paraId="45DD54BE" wp14:textId="111286AB">
      <w:pPr>
        <w:spacing w:line="360" w:lineRule="auto"/>
        <w:ind w:left="-20" w:right="-20"/>
        <w:jc w:val="both"/>
      </w:pPr>
      <w:r w:rsidRPr="251ACF52" w:rsidR="28584A00">
        <w:rPr>
          <w:rFonts w:ascii="Arial" w:hAnsi="Arial" w:eastAsia="Arial" w:cs="Arial"/>
          <w:b w:val="1"/>
          <w:bCs w:val="1"/>
          <w:noProof w:val="0"/>
          <w:sz w:val="24"/>
          <w:szCs w:val="24"/>
          <w:lang w:val="en-GB"/>
        </w:rPr>
        <w:t>References</w:t>
      </w:r>
    </w:p>
    <w:p xmlns:wp14="http://schemas.microsoft.com/office/word/2010/wordml" w:rsidP="251ACF52" wp14:paraId="3BF68D35" wp14:textId="395E30FD">
      <w:pPr>
        <w:spacing w:line="360" w:lineRule="auto"/>
        <w:ind w:left="720" w:right="-20" w:hanging="720"/>
        <w:jc w:val="both"/>
      </w:pPr>
      <w:r w:rsidRPr="251ACF52" w:rsidR="28584A00">
        <w:rPr>
          <w:rFonts w:ascii="Arial" w:hAnsi="Arial" w:eastAsia="Arial" w:cs="Arial"/>
          <w:noProof w:val="0"/>
          <w:color w:val="000000" w:themeColor="text1" w:themeTint="FF" w:themeShade="FF"/>
          <w:sz w:val="24"/>
          <w:szCs w:val="24"/>
          <w:lang w:val="en-GB"/>
        </w:rPr>
        <w:t xml:space="preserve">Abdullah, O., Sufi, T., &amp; Kumar, S. (2023). Impact of Food and Beverage Quality and Service Quality Towards Customer Satisfaction and Retention, A Study of Five-Star Hotels. </w:t>
      </w:r>
      <w:r w:rsidRPr="251ACF52" w:rsidR="28584A00">
        <w:rPr>
          <w:rFonts w:ascii="Arial" w:hAnsi="Arial" w:eastAsia="Arial" w:cs="Arial"/>
          <w:i w:val="1"/>
          <w:iCs w:val="1"/>
          <w:noProof w:val="0"/>
          <w:color w:val="000000" w:themeColor="text1" w:themeTint="FF" w:themeShade="FF"/>
          <w:sz w:val="24"/>
          <w:szCs w:val="24"/>
          <w:lang w:val="en-GB"/>
        </w:rPr>
        <w:t>International Journal of Professional Business Review: Int. J. Prof. Bus. Rev.</w:t>
      </w:r>
      <w:r w:rsidRPr="251ACF52" w:rsidR="28584A00">
        <w:rPr>
          <w:rFonts w:ascii="Arial" w:hAnsi="Arial" w:eastAsia="Arial" w:cs="Arial"/>
          <w:noProof w:val="0"/>
          <w:color w:val="000000" w:themeColor="text1" w:themeTint="FF" w:themeShade="FF"/>
          <w:sz w:val="24"/>
          <w:szCs w:val="24"/>
          <w:lang w:val="en-GB"/>
        </w:rPr>
        <w:t xml:space="preserve">, </w:t>
      </w:r>
      <w:r w:rsidRPr="251ACF52" w:rsidR="28584A00">
        <w:rPr>
          <w:rFonts w:ascii="Arial" w:hAnsi="Arial" w:eastAsia="Arial" w:cs="Arial"/>
          <w:i w:val="1"/>
          <w:iCs w:val="1"/>
          <w:noProof w:val="0"/>
          <w:color w:val="000000" w:themeColor="text1" w:themeTint="FF" w:themeShade="FF"/>
          <w:sz w:val="24"/>
          <w:szCs w:val="24"/>
          <w:lang w:val="en-GB"/>
        </w:rPr>
        <w:t>8</w:t>
      </w:r>
      <w:r w:rsidRPr="251ACF52" w:rsidR="28584A00">
        <w:rPr>
          <w:rFonts w:ascii="Arial" w:hAnsi="Arial" w:eastAsia="Arial" w:cs="Arial"/>
          <w:noProof w:val="0"/>
          <w:color w:val="000000" w:themeColor="text1" w:themeTint="FF" w:themeShade="FF"/>
          <w:sz w:val="24"/>
          <w:szCs w:val="24"/>
          <w:lang w:val="en-GB"/>
        </w:rPr>
        <w:t>(5), 98.</w:t>
      </w:r>
    </w:p>
    <w:p xmlns:wp14="http://schemas.microsoft.com/office/word/2010/wordml" w:rsidP="251ACF52" wp14:paraId="29C9FF8D" wp14:textId="31BCB7A0">
      <w:pPr>
        <w:spacing w:line="360" w:lineRule="auto"/>
        <w:ind w:left="720" w:right="-20" w:hanging="720"/>
        <w:jc w:val="both"/>
      </w:pPr>
      <w:r w:rsidRPr="251ACF52" w:rsidR="28584A00">
        <w:rPr>
          <w:rFonts w:ascii="Arial" w:hAnsi="Arial" w:eastAsia="Arial" w:cs="Arial"/>
          <w:noProof w:val="0"/>
          <w:color w:val="000000" w:themeColor="text1" w:themeTint="FF" w:themeShade="FF"/>
          <w:sz w:val="24"/>
          <w:szCs w:val="24"/>
          <w:lang w:val="en-GB"/>
        </w:rPr>
        <w:t xml:space="preserve">Couto, M. M. C. D. L. (2020). </w:t>
      </w:r>
      <w:r w:rsidRPr="251ACF52" w:rsidR="28584A00">
        <w:rPr>
          <w:rFonts w:ascii="Arial" w:hAnsi="Arial" w:eastAsia="Arial" w:cs="Arial"/>
          <w:i w:val="1"/>
          <w:iCs w:val="1"/>
          <w:noProof w:val="0"/>
          <w:color w:val="000000" w:themeColor="text1" w:themeTint="FF" w:themeShade="FF"/>
          <w:sz w:val="24"/>
          <w:szCs w:val="24"/>
          <w:lang w:val="en-GB"/>
        </w:rPr>
        <w:t>The food and beverage industry in a pandemic context</w:t>
      </w:r>
      <w:r w:rsidRPr="251ACF52" w:rsidR="28584A00">
        <w:rPr>
          <w:rFonts w:ascii="Arial" w:hAnsi="Arial" w:eastAsia="Arial" w:cs="Arial"/>
          <w:noProof w:val="0"/>
          <w:color w:val="000000" w:themeColor="text1" w:themeTint="FF" w:themeShade="FF"/>
          <w:sz w:val="24"/>
          <w:szCs w:val="24"/>
          <w:lang w:val="en-GB"/>
        </w:rPr>
        <w:t xml:space="preserve"> (Master's thesis).</w:t>
      </w:r>
      <w:r w:rsidRPr="251ACF52" w:rsidR="28584A00">
        <w:rPr>
          <w:rFonts w:ascii="Arial" w:hAnsi="Arial" w:eastAsia="Arial" w:cs="Arial"/>
          <w:noProof w:val="0"/>
          <w:sz w:val="24"/>
          <w:szCs w:val="24"/>
          <w:lang w:val="en-GB"/>
        </w:rPr>
        <w:t xml:space="preserve"> </w:t>
      </w:r>
      <w:hyperlink r:id="Ra4d5846b78c74a1f">
        <w:r w:rsidRPr="251ACF52" w:rsidR="28584A00">
          <w:rPr>
            <w:rStyle w:val="Hyperlink"/>
            <w:rFonts w:ascii="Arial" w:hAnsi="Arial" w:eastAsia="Arial" w:cs="Arial"/>
            <w:strike w:val="0"/>
            <w:dstrike w:val="0"/>
            <w:noProof w:val="0"/>
            <w:color w:val="0563C1"/>
            <w:sz w:val="24"/>
            <w:szCs w:val="24"/>
            <w:u w:val="single"/>
            <w:lang w:val="en-GB"/>
          </w:rPr>
          <w:t>https://repositorio.iscte-iul.pt/handle/10071/21801</w:t>
        </w:r>
      </w:hyperlink>
    </w:p>
    <w:p xmlns:wp14="http://schemas.microsoft.com/office/word/2010/wordml" w:rsidP="251ACF52" wp14:paraId="57CBE84A" wp14:textId="1737A765">
      <w:pPr>
        <w:spacing w:line="360" w:lineRule="auto"/>
        <w:ind w:left="720" w:right="-20" w:hanging="720"/>
        <w:jc w:val="both"/>
      </w:pPr>
      <w:r w:rsidRPr="251ACF52" w:rsidR="28584A00">
        <w:rPr>
          <w:rFonts w:ascii="Arial" w:hAnsi="Arial" w:eastAsia="Arial" w:cs="Arial"/>
          <w:noProof w:val="0"/>
          <w:color w:val="000000" w:themeColor="text1" w:themeTint="FF" w:themeShade="FF"/>
          <w:sz w:val="24"/>
          <w:szCs w:val="24"/>
          <w:lang w:val="en-GB"/>
        </w:rPr>
        <w:t xml:space="preserve">Hameed, N., Mahomed, R., &amp; Carvalho, I. (2021). Measures to be implemented in the hotel buffets during the COVID-19 pandemic. </w:t>
      </w:r>
      <w:r w:rsidRPr="251ACF52" w:rsidR="28584A00">
        <w:rPr>
          <w:rFonts w:ascii="Arial" w:hAnsi="Arial" w:eastAsia="Arial" w:cs="Arial"/>
          <w:i w:val="1"/>
          <w:iCs w:val="1"/>
          <w:noProof w:val="0"/>
          <w:color w:val="000000" w:themeColor="text1" w:themeTint="FF" w:themeShade="FF"/>
          <w:sz w:val="24"/>
          <w:szCs w:val="24"/>
          <w:lang w:val="en-GB"/>
        </w:rPr>
        <w:t>Anatolia</w:t>
      </w:r>
      <w:r w:rsidRPr="251ACF52" w:rsidR="28584A00">
        <w:rPr>
          <w:rFonts w:ascii="Arial" w:hAnsi="Arial" w:eastAsia="Arial" w:cs="Arial"/>
          <w:noProof w:val="0"/>
          <w:color w:val="000000" w:themeColor="text1" w:themeTint="FF" w:themeShade="FF"/>
          <w:sz w:val="24"/>
          <w:szCs w:val="24"/>
          <w:lang w:val="en-GB"/>
        </w:rPr>
        <w:t xml:space="preserve">, </w:t>
      </w:r>
      <w:r w:rsidRPr="251ACF52" w:rsidR="28584A00">
        <w:rPr>
          <w:rFonts w:ascii="Arial" w:hAnsi="Arial" w:eastAsia="Arial" w:cs="Arial"/>
          <w:i w:val="1"/>
          <w:iCs w:val="1"/>
          <w:noProof w:val="0"/>
          <w:color w:val="000000" w:themeColor="text1" w:themeTint="FF" w:themeShade="FF"/>
          <w:sz w:val="24"/>
          <w:szCs w:val="24"/>
          <w:lang w:val="en-GB"/>
        </w:rPr>
        <w:t>32</w:t>
      </w:r>
      <w:r w:rsidRPr="251ACF52" w:rsidR="28584A00">
        <w:rPr>
          <w:rFonts w:ascii="Arial" w:hAnsi="Arial" w:eastAsia="Arial" w:cs="Arial"/>
          <w:noProof w:val="0"/>
          <w:color w:val="000000" w:themeColor="text1" w:themeTint="FF" w:themeShade="FF"/>
          <w:sz w:val="24"/>
          <w:szCs w:val="24"/>
          <w:lang w:val="en-GB"/>
        </w:rPr>
        <w:t>(1), 172-175.</w:t>
      </w:r>
      <w:r w:rsidRPr="251ACF52" w:rsidR="28584A00">
        <w:rPr>
          <w:rFonts w:ascii="Arial" w:hAnsi="Arial" w:eastAsia="Arial" w:cs="Arial"/>
          <w:noProof w:val="0"/>
          <w:sz w:val="24"/>
          <w:szCs w:val="24"/>
          <w:lang w:val="en-GB"/>
        </w:rPr>
        <w:t xml:space="preserve"> </w:t>
      </w:r>
      <w:hyperlink r:id="Rf151e548fe41481b">
        <w:r w:rsidRPr="251ACF52" w:rsidR="28584A00">
          <w:rPr>
            <w:rStyle w:val="Hyperlink"/>
            <w:rFonts w:ascii="Arial" w:hAnsi="Arial" w:eastAsia="Arial" w:cs="Arial"/>
            <w:noProof w:val="0"/>
            <w:sz w:val="24"/>
            <w:szCs w:val="24"/>
            <w:lang w:val="en-GB"/>
          </w:rPr>
          <w:t>https://doi.org/10.1080/13032917.2020.1851553</w:t>
        </w:r>
      </w:hyperlink>
    </w:p>
    <w:p xmlns:wp14="http://schemas.microsoft.com/office/word/2010/wordml" w:rsidP="251ACF52" wp14:paraId="68F864AA" wp14:textId="1BD2964B">
      <w:pPr>
        <w:spacing w:line="360" w:lineRule="auto"/>
        <w:ind w:left="720" w:right="-20" w:hanging="720"/>
        <w:jc w:val="both"/>
      </w:pPr>
      <w:r w:rsidRPr="251ACF52" w:rsidR="28584A00">
        <w:rPr>
          <w:rFonts w:ascii="Arial" w:hAnsi="Arial" w:eastAsia="Arial" w:cs="Arial"/>
          <w:noProof w:val="0"/>
          <w:color w:val="000000" w:themeColor="text1" w:themeTint="FF" w:themeShade="FF"/>
          <w:sz w:val="24"/>
          <w:szCs w:val="24"/>
          <w:lang w:val="en-GB"/>
        </w:rPr>
        <w:t xml:space="preserve">Linda, T., Herawati, A., Kanwo, K., &amp; Santoso, W. H. (2020). Food and beverage department customer satisfaction. </w:t>
      </w:r>
      <w:r w:rsidRPr="251ACF52" w:rsidR="28584A00">
        <w:rPr>
          <w:rFonts w:ascii="Arial" w:hAnsi="Arial" w:eastAsia="Arial" w:cs="Arial"/>
          <w:i w:val="1"/>
          <w:iCs w:val="1"/>
          <w:noProof w:val="0"/>
          <w:color w:val="000000" w:themeColor="text1" w:themeTint="FF" w:themeShade="FF"/>
          <w:sz w:val="24"/>
          <w:szCs w:val="24"/>
          <w:lang w:val="en-GB"/>
        </w:rPr>
        <w:t>Journal of Industrial Engineering &amp; Management Research</w:t>
      </w:r>
      <w:r w:rsidRPr="251ACF52" w:rsidR="28584A00">
        <w:rPr>
          <w:rFonts w:ascii="Arial" w:hAnsi="Arial" w:eastAsia="Arial" w:cs="Arial"/>
          <w:noProof w:val="0"/>
          <w:color w:val="000000" w:themeColor="text1" w:themeTint="FF" w:themeShade="FF"/>
          <w:sz w:val="24"/>
          <w:szCs w:val="24"/>
          <w:lang w:val="en-GB"/>
        </w:rPr>
        <w:t xml:space="preserve">, </w:t>
      </w:r>
      <w:r w:rsidRPr="251ACF52" w:rsidR="28584A00">
        <w:rPr>
          <w:rFonts w:ascii="Arial" w:hAnsi="Arial" w:eastAsia="Arial" w:cs="Arial"/>
          <w:i w:val="1"/>
          <w:iCs w:val="1"/>
          <w:noProof w:val="0"/>
          <w:color w:val="000000" w:themeColor="text1" w:themeTint="FF" w:themeShade="FF"/>
          <w:sz w:val="24"/>
          <w:szCs w:val="24"/>
          <w:lang w:val="en-GB"/>
        </w:rPr>
        <w:t>1</w:t>
      </w:r>
      <w:r w:rsidRPr="251ACF52" w:rsidR="28584A00">
        <w:rPr>
          <w:rFonts w:ascii="Arial" w:hAnsi="Arial" w:eastAsia="Arial" w:cs="Arial"/>
          <w:noProof w:val="0"/>
          <w:color w:val="000000" w:themeColor="text1" w:themeTint="FF" w:themeShade="FF"/>
          <w:sz w:val="24"/>
          <w:szCs w:val="24"/>
          <w:lang w:val="en-GB"/>
        </w:rPr>
        <w:t>(4), 123-127.</w:t>
      </w:r>
      <w:r w:rsidRPr="251ACF52" w:rsidR="28584A00">
        <w:rPr>
          <w:rFonts w:ascii="Arial" w:hAnsi="Arial" w:eastAsia="Arial" w:cs="Arial"/>
          <w:noProof w:val="0"/>
          <w:sz w:val="24"/>
          <w:szCs w:val="24"/>
          <w:lang w:val="en-GB"/>
        </w:rPr>
        <w:t xml:space="preserve"> </w:t>
      </w:r>
      <w:hyperlink r:id="Ra29fefbc216f426c">
        <w:r w:rsidRPr="251ACF52" w:rsidR="28584A00">
          <w:rPr>
            <w:rStyle w:val="Hyperlink"/>
            <w:rFonts w:ascii="Arial" w:hAnsi="Arial" w:eastAsia="Arial" w:cs="Arial"/>
            <w:strike w:val="0"/>
            <w:dstrike w:val="0"/>
            <w:noProof w:val="0"/>
            <w:color w:val="0563C1"/>
            <w:sz w:val="24"/>
            <w:szCs w:val="24"/>
            <w:u w:val="single"/>
            <w:lang w:val="en-GB"/>
          </w:rPr>
          <w:t>https://doi.org/10.7777/jiemar.v1i4.191</w:t>
        </w:r>
      </w:hyperlink>
    </w:p>
    <w:p xmlns:wp14="http://schemas.microsoft.com/office/word/2010/wordml" w:rsidP="251ACF52" wp14:paraId="20F80B78" wp14:textId="3CDD88D0">
      <w:pPr>
        <w:spacing w:line="360" w:lineRule="auto"/>
        <w:ind w:left="720" w:right="-20" w:hanging="720"/>
        <w:jc w:val="both"/>
      </w:pPr>
      <w:r w:rsidRPr="251ACF52" w:rsidR="28584A00">
        <w:rPr>
          <w:rFonts w:ascii="Arial" w:hAnsi="Arial" w:eastAsia="Arial" w:cs="Arial"/>
          <w:noProof w:val="0"/>
          <w:color w:val="000000" w:themeColor="text1" w:themeTint="FF" w:themeShade="FF"/>
          <w:sz w:val="24"/>
          <w:szCs w:val="24"/>
          <w:lang w:val="en-GB"/>
        </w:rPr>
        <w:t xml:space="preserve">Mun, S. G., Park, E. O., &amp; Woo, L. (2022). Strategic target customers of food and beverage offerings in full-service hotels: Outside-hotel customers. </w:t>
      </w:r>
      <w:r w:rsidRPr="251ACF52" w:rsidR="28584A00">
        <w:rPr>
          <w:rFonts w:ascii="Arial" w:hAnsi="Arial" w:eastAsia="Arial" w:cs="Arial"/>
          <w:i w:val="1"/>
          <w:iCs w:val="1"/>
          <w:noProof w:val="0"/>
          <w:color w:val="000000" w:themeColor="text1" w:themeTint="FF" w:themeShade="FF"/>
          <w:sz w:val="24"/>
          <w:szCs w:val="24"/>
          <w:lang w:val="en-GB"/>
        </w:rPr>
        <w:t>International Journal of Hospitality Management</w:t>
      </w:r>
      <w:r w:rsidRPr="251ACF52" w:rsidR="28584A00">
        <w:rPr>
          <w:rFonts w:ascii="Arial" w:hAnsi="Arial" w:eastAsia="Arial" w:cs="Arial"/>
          <w:noProof w:val="0"/>
          <w:color w:val="000000" w:themeColor="text1" w:themeTint="FF" w:themeShade="FF"/>
          <w:sz w:val="24"/>
          <w:szCs w:val="24"/>
          <w:lang w:val="en-GB"/>
        </w:rPr>
        <w:t xml:space="preserve">, </w:t>
      </w:r>
      <w:r w:rsidRPr="251ACF52" w:rsidR="28584A00">
        <w:rPr>
          <w:rFonts w:ascii="Arial" w:hAnsi="Arial" w:eastAsia="Arial" w:cs="Arial"/>
          <w:i w:val="1"/>
          <w:iCs w:val="1"/>
          <w:noProof w:val="0"/>
          <w:color w:val="000000" w:themeColor="text1" w:themeTint="FF" w:themeShade="FF"/>
          <w:sz w:val="24"/>
          <w:szCs w:val="24"/>
          <w:lang w:val="en-GB"/>
        </w:rPr>
        <w:t>102</w:t>
      </w:r>
      <w:r w:rsidRPr="251ACF52" w:rsidR="28584A00">
        <w:rPr>
          <w:rFonts w:ascii="Arial" w:hAnsi="Arial" w:eastAsia="Arial" w:cs="Arial"/>
          <w:noProof w:val="0"/>
          <w:color w:val="000000" w:themeColor="text1" w:themeTint="FF" w:themeShade="FF"/>
          <w:sz w:val="24"/>
          <w:szCs w:val="24"/>
          <w:lang w:val="en-GB"/>
        </w:rPr>
        <w:t>, 103159.</w:t>
      </w:r>
      <w:r w:rsidRPr="251ACF52" w:rsidR="28584A00">
        <w:rPr>
          <w:rFonts w:ascii="Arial" w:hAnsi="Arial" w:eastAsia="Arial" w:cs="Arial"/>
          <w:noProof w:val="0"/>
          <w:sz w:val="24"/>
          <w:szCs w:val="24"/>
          <w:lang w:val="en-GB"/>
        </w:rPr>
        <w:t xml:space="preserve"> </w:t>
      </w:r>
      <w:hyperlink r:id="R75d88548ef4e4365">
        <w:r w:rsidRPr="251ACF52" w:rsidR="28584A00">
          <w:rPr>
            <w:rStyle w:val="Hyperlink"/>
            <w:rFonts w:ascii="Arial" w:hAnsi="Arial" w:eastAsia="Arial" w:cs="Arial"/>
            <w:strike w:val="0"/>
            <w:dstrike w:val="0"/>
            <w:noProof w:val="0"/>
            <w:color w:val="0563C1"/>
            <w:sz w:val="24"/>
            <w:szCs w:val="24"/>
            <w:u w:val="single"/>
            <w:lang w:val="en-GB"/>
          </w:rPr>
          <w:t>https://doi.org/10.1016/j.ijhm.2022.103159</w:t>
        </w:r>
      </w:hyperlink>
    </w:p>
    <w:p xmlns:wp14="http://schemas.microsoft.com/office/word/2010/wordml" w:rsidP="251ACF52" wp14:paraId="494E4A92" wp14:textId="20CF2EF2">
      <w:pPr>
        <w:spacing w:line="360" w:lineRule="auto"/>
        <w:ind w:left="720" w:right="-20" w:hanging="720"/>
        <w:jc w:val="both"/>
      </w:pPr>
      <w:r w:rsidRPr="251ACF52" w:rsidR="28584A00">
        <w:rPr>
          <w:rFonts w:ascii="Arial" w:hAnsi="Arial" w:eastAsia="Arial" w:cs="Arial"/>
          <w:noProof w:val="0"/>
          <w:color w:val="000000" w:themeColor="text1" w:themeTint="FF" w:themeShade="FF"/>
          <w:sz w:val="24"/>
          <w:szCs w:val="24"/>
          <w:lang w:val="en-GB"/>
        </w:rPr>
        <w:t xml:space="preserve">Okeiyi, E., Finley, D., &amp; Postel, R. T. (2023). Food and beverage management competencies: Educator, industry, and student perspectives. </w:t>
      </w:r>
      <w:r w:rsidRPr="251ACF52" w:rsidR="28584A00">
        <w:rPr>
          <w:rFonts w:ascii="Arial" w:hAnsi="Arial" w:eastAsia="Arial" w:cs="Arial"/>
          <w:i w:val="1"/>
          <w:iCs w:val="1"/>
          <w:noProof w:val="0"/>
          <w:color w:val="000000" w:themeColor="text1" w:themeTint="FF" w:themeShade="FF"/>
          <w:sz w:val="24"/>
          <w:szCs w:val="24"/>
          <w:lang w:val="en-GB"/>
        </w:rPr>
        <w:t>Hospitality &amp; Tourism Educator</w:t>
      </w:r>
      <w:r w:rsidRPr="251ACF52" w:rsidR="28584A00">
        <w:rPr>
          <w:rFonts w:ascii="Arial" w:hAnsi="Arial" w:eastAsia="Arial" w:cs="Arial"/>
          <w:noProof w:val="0"/>
          <w:color w:val="000000" w:themeColor="text1" w:themeTint="FF" w:themeShade="FF"/>
          <w:sz w:val="24"/>
          <w:szCs w:val="24"/>
          <w:lang w:val="en-GB"/>
        </w:rPr>
        <w:t xml:space="preserve">, </w:t>
      </w:r>
      <w:r w:rsidRPr="251ACF52" w:rsidR="28584A00">
        <w:rPr>
          <w:rFonts w:ascii="Arial" w:hAnsi="Arial" w:eastAsia="Arial" w:cs="Arial"/>
          <w:i w:val="1"/>
          <w:iCs w:val="1"/>
          <w:noProof w:val="0"/>
          <w:color w:val="000000" w:themeColor="text1" w:themeTint="FF" w:themeShade="FF"/>
          <w:sz w:val="24"/>
          <w:szCs w:val="24"/>
          <w:lang w:val="en-GB"/>
        </w:rPr>
        <w:t>6</w:t>
      </w:r>
      <w:r w:rsidRPr="251ACF52" w:rsidR="28584A00">
        <w:rPr>
          <w:rFonts w:ascii="Arial" w:hAnsi="Arial" w:eastAsia="Arial" w:cs="Arial"/>
          <w:noProof w:val="0"/>
          <w:color w:val="000000" w:themeColor="text1" w:themeTint="FF" w:themeShade="FF"/>
          <w:sz w:val="24"/>
          <w:szCs w:val="24"/>
          <w:lang w:val="en-GB"/>
        </w:rPr>
        <w:t>(4), 37-40.</w:t>
      </w:r>
      <w:r w:rsidRPr="251ACF52" w:rsidR="28584A00">
        <w:rPr>
          <w:rFonts w:ascii="Arial" w:hAnsi="Arial" w:eastAsia="Arial" w:cs="Arial"/>
          <w:noProof w:val="0"/>
          <w:sz w:val="24"/>
          <w:szCs w:val="24"/>
          <w:lang w:val="en-GB"/>
        </w:rPr>
        <w:t xml:space="preserve"> </w:t>
      </w:r>
      <w:hyperlink r:id="R64e50735623741f7">
        <w:r w:rsidRPr="251ACF52" w:rsidR="28584A00">
          <w:rPr>
            <w:rStyle w:val="Hyperlink"/>
            <w:rFonts w:ascii="Arial" w:hAnsi="Arial" w:eastAsia="Arial" w:cs="Arial"/>
            <w:strike w:val="0"/>
            <w:dstrike w:val="0"/>
            <w:noProof w:val="0"/>
            <w:color w:val="0563C1"/>
            <w:sz w:val="24"/>
            <w:szCs w:val="24"/>
            <w:u w:val="single"/>
            <w:lang w:val="en-GB"/>
          </w:rPr>
          <w:t>https://doi.org/10.1080/23298758.2023.10685615</w:t>
        </w:r>
      </w:hyperlink>
    </w:p>
    <w:p xmlns:wp14="http://schemas.microsoft.com/office/word/2010/wordml" w:rsidP="251ACF52" wp14:paraId="76B35998" wp14:textId="48AE04A6">
      <w:pPr>
        <w:spacing w:line="360" w:lineRule="auto"/>
        <w:ind w:left="720" w:right="-20" w:hanging="720"/>
        <w:jc w:val="both"/>
      </w:pPr>
      <w:r w:rsidRPr="251ACF52" w:rsidR="28584A00">
        <w:rPr>
          <w:rFonts w:ascii="Arial" w:hAnsi="Arial" w:eastAsia="Arial" w:cs="Arial"/>
          <w:noProof w:val="0"/>
          <w:color w:val="000000" w:themeColor="text1" w:themeTint="FF" w:themeShade="FF"/>
          <w:sz w:val="24"/>
          <w:szCs w:val="24"/>
          <w:lang w:val="en-GB"/>
        </w:rPr>
        <w:t xml:space="preserve">Pereira, L., Couto, M., Costa, R. L. D., Dias, Á., Gonçalves, R., &amp; Silva, R. V. D. (2022). Food and beverage industry in a pandemic context. </w:t>
      </w:r>
      <w:r w:rsidRPr="251ACF52" w:rsidR="28584A00">
        <w:rPr>
          <w:rFonts w:ascii="Arial" w:hAnsi="Arial" w:eastAsia="Arial" w:cs="Arial"/>
          <w:i w:val="1"/>
          <w:iCs w:val="1"/>
          <w:noProof w:val="0"/>
          <w:color w:val="000000" w:themeColor="text1" w:themeTint="FF" w:themeShade="FF"/>
          <w:sz w:val="24"/>
          <w:szCs w:val="24"/>
          <w:lang w:val="en-GB"/>
        </w:rPr>
        <w:t>International Journal of Services, Economics and Management</w:t>
      </w:r>
      <w:r w:rsidRPr="251ACF52" w:rsidR="28584A00">
        <w:rPr>
          <w:rFonts w:ascii="Arial" w:hAnsi="Arial" w:eastAsia="Arial" w:cs="Arial"/>
          <w:noProof w:val="0"/>
          <w:color w:val="000000" w:themeColor="text1" w:themeTint="FF" w:themeShade="FF"/>
          <w:sz w:val="24"/>
          <w:szCs w:val="24"/>
          <w:lang w:val="en-GB"/>
        </w:rPr>
        <w:t xml:space="preserve">, </w:t>
      </w:r>
      <w:r w:rsidRPr="251ACF52" w:rsidR="28584A00">
        <w:rPr>
          <w:rFonts w:ascii="Arial" w:hAnsi="Arial" w:eastAsia="Arial" w:cs="Arial"/>
          <w:i w:val="1"/>
          <w:iCs w:val="1"/>
          <w:noProof w:val="0"/>
          <w:color w:val="000000" w:themeColor="text1" w:themeTint="FF" w:themeShade="FF"/>
          <w:sz w:val="24"/>
          <w:szCs w:val="24"/>
          <w:lang w:val="en-GB"/>
        </w:rPr>
        <w:t>13</w:t>
      </w:r>
      <w:r w:rsidRPr="251ACF52" w:rsidR="28584A00">
        <w:rPr>
          <w:rFonts w:ascii="Arial" w:hAnsi="Arial" w:eastAsia="Arial" w:cs="Arial"/>
          <w:noProof w:val="0"/>
          <w:color w:val="000000" w:themeColor="text1" w:themeTint="FF" w:themeShade="FF"/>
          <w:sz w:val="24"/>
          <w:szCs w:val="24"/>
          <w:lang w:val="en-GB"/>
        </w:rPr>
        <w:t>(2), 152-181.</w:t>
      </w:r>
      <w:r w:rsidRPr="251ACF52" w:rsidR="28584A00">
        <w:rPr>
          <w:rFonts w:ascii="Arial" w:hAnsi="Arial" w:eastAsia="Arial" w:cs="Arial"/>
          <w:noProof w:val="0"/>
          <w:sz w:val="24"/>
          <w:szCs w:val="24"/>
          <w:lang w:val="en-GB"/>
        </w:rPr>
        <w:t xml:space="preserve"> </w:t>
      </w:r>
      <w:hyperlink r:id="Re7afa957490c4c38">
        <w:r w:rsidRPr="251ACF52" w:rsidR="28584A00">
          <w:rPr>
            <w:rStyle w:val="Hyperlink"/>
            <w:rFonts w:ascii="Arial" w:hAnsi="Arial" w:eastAsia="Arial" w:cs="Arial"/>
            <w:strike w:val="0"/>
            <w:dstrike w:val="0"/>
            <w:noProof w:val="0"/>
            <w:color w:val="0563C1"/>
            <w:sz w:val="24"/>
            <w:szCs w:val="24"/>
            <w:u w:val="single"/>
            <w:lang w:val="en-GB"/>
          </w:rPr>
          <w:t>https://doi.org/10.1504/IJSEM.2022.122738</w:t>
        </w:r>
      </w:hyperlink>
    </w:p>
    <w:p xmlns:wp14="http://schemas.microsoft.com/office/word/2010/wordml" w:rsidP="251ACF52" wp14:paraId="63A61636" wp14:textId="23265888">
      <w:pPr>
        <w:spacing w:line="360" w:lineRule="auto"/>
        <w:ind w:left="720" w:right="-20" w:hanging="720"/>
        <w:jc w:val="both"/>
      </w:pPr>
      <w:r w:rsidRPr="251ACF52" w:rsidR="28584A00">
        <w:rPr>
          <w:rFonts w:ascii="Arial" w:hAnsi="Arial" w:eastAsia="Arial" w:cs="Arial"/>
          <w:noProof w:val="0"/>
          <w:color w:val="000000" w:themeColor="text1" w:themeTint="FF" w:themeShade="FF"/>
          <w:sz w:val="24"/>
          <w:szCs w:val="24"/>
          <w:lang w:val="en-GB"/>
        </w:rPr>
        <w:t xml:space="preserve">Tan, Y., &amp; Despotis, D. (2021). Investigating efficiency in the UK hotel industry: a network data envelopment analysis approach. </w:t>
      </w:r>
      <w:r w:rsidRPr="251ACF52" w:rsidR="28584A00">
        <w:rPr>
          <w:rFonts w:ascii="Arial" w:hAnsi="Arial" w:eastAsia="Arial" w:cs="Arial"/>
          <w:i w:val="1"/>
          <w:iCs w:val="1"/>
          <w:noProof w:val="0"/>
          <w:color w:val="000000" w:themeColor="text1" w:themeTint="FF" w:themeShade="FF"/>
          <w:sz w:val="24"/>
          <w:szCs w:val="24"/>
          <w:lang w:val="en-GB"/>
        </w:rPr>
        <w:t>International Journal of Contemporary Hospitality Management</w:t>
      </w:r>
      <w:r w:rsidRPr="251ACF52" w:rsidR="28584A00">
        <w:rPr>
          <w:rFonts w:ascii="Arial" w:hAnsi="Arial" w:eastAsia="Arial" w:cs="Arial"/>
          <w:noProof w:val="0"/>
          <w:color w:val="000000" w:themeColor="text1" w:themeTint="FF" w:themeShade="FF"/>
          <w:sz w:val="24"/>
          <w:szCs w:val="24"/>
          <w:lang w:val="en-GB"/>
        </w:rPr>
        <w:t xml:space="preserve">, </w:t>
      </w:r>
      <w:r w:rsidRPr="251ACF52" w:rsidR="28584A00">
        <w:rPr>
          <w:rFonts w:ascii="Arial" w:hAnsi="Arial" w:eastAsia="Arial" w:cs="Arial"/>
          <w:i w:val="1"/>
          <w:iCs w:val="1"/>
          <w:noProof w:val="0"/>
          <w:color w:val="000000" w:themeColor="text1" w:themeTint="FF" w:themeShade="FF"/>
          <w:sz w:val="24"/>
          <w:szCs w:val="24"/>
          <w:lang w:val="en-GB"/>
        </w:rPr>
        <w:t>33</w:t>
      </w:r>
      <w:r w:rsidRPr="251ACF52" w:rsidR="28584A00">
        <w:rPr>
          <w:rFonts w:ascii="Arial" w:hAnsi="Arial" w:eastAsia="Arial" w:cs="Arial"/>
          <w:noProof w:val="0"/>
          <w:color w:val="000000" w:themeColor="text1" w:themeTint="FF" w:themeShade="FF"/>
          <w:sz w:val="24"/>
          <w:szCs w:val="24"/>
          <w:lang w:val="en-GB"/>
        </w:rPr>
        <w:t>(3), 1080-1104.</w:t>
      </w:r>
      <w:r w:rsidRPr="251ACF52" w:rsidR="28584A00">
        <w:rPr>
          <w:rFonts w:ascii="Arial" w:hAnsi="Arial" w:eastAsia="Arial" w:cs="Arial"/>
          <w:noProof w:val="0"/>
          <w:sz w:val="24"/>
          <w:szCs w:val="24"/>
          <w:lang w:val="en-GB"/>
        </w:rPr>
        <w:t xml:space="preserve"> </w:t>
      </w:r>
      <w:hyperlink r:id="R1ec4053f54094cf4">
        <w:r w:rsidRPr="251ACF52" w:rsidR="28584A00">
          <w:rPr>
            <w:rStyle w:val="Hyperlink"/>
            <w:rFonts w:ascii="Arial" w:hAnsi="Arial" w:eastAsia="Arial" w:cs="Arial"/>
            <w:strike w:val="0"/>
            <w:dstrike w:val="0"/>
            <w:noProof w:val="0"/>
            <w:color w:val="0563C1"/>
            <w:sz w:val="24"/>
            <w:szCs w:val="24"/>
            <w:u w:val="single"/>
            <w:lang w:val="en-GB"/>
          </w:rPr>
          <w:t>https://doi.org/10.1108/IJCHM-07-2020-0641</w:t>
        </w:r>
      </w:hyperlink>
    </w:p>
    <w:p xmlns:wp14="http://schemas.microsoft.com/office/word/2010/wordml" w:rsidP="251ACF52" wp14:paraId="349D660B" wp14:textId="0FA8E28E">
      <w:pPr>
        <w:spacing w:line="360" w:lineRule="auto"/>
        <w:ind w:left="720" w:right="-20" w:hanging="720"/>
        <w:jc w:val="both"/>
      </w:pPr>
      <w:r w:rsidRPr="251ACF52" w:rsidR="28584A00">
        <w:rPr>
          <w:rFonts w:ascii="Arial" w:hAnsi="Arial" w:eastAsia="Arial" w:cs="Arial"/>
          <w:noProof w:val="0"/>
          <w:color w:val="000000" w:themeColor="text1" w:themeTint="FF" w:themeShade="FF"/>
          <w:sz w:val="24"/>
          <w:szCs w:val="24"/>
          <w:lang w:val="it"/>
        </w:rPr>
        <w:t xml:space="preserve">Tsui, P. L., &amp; Chen, Y. C. (2020). </w:t>
      </w:r>
      <w:r w:rsidRPr="251ACF52" w:rsidR="28584A00">
        <w:rPr>
          <w:rFonts w:ascii="Arial" w:hAnsi="Arial" w:eastAsia="Arial" w:cs="Arial"/>
          <w:noProof w:val="0"/>
          <w:color w:val="000000" w:themeColor="text1" w:themeTint="FF" w:themeShade="FF"/>
          <w:sz w:val="24"/>
          <w:szCs w:val="24"/>
          <w:lang w:val="en-GB"/>
        </w:rPr>
        <w:t xml:space="preserve">Sustainable development of hotel food and beverage service training: Learning satisfaction with the situated cognitive apprenticeship approach. </w:t>
      </w:r>
      <w:r w:rsidRPr="251ACF52" w:rsidR="28584A00">
        <w:rPr>
          <w:rFonts w:ascii="Arial" w:hAnsi="Arial" w:eastAsia="Arial" w:cs="Arial"/>
          <w:i w:val="1"/>
          <w:iCs w:val="1"/>
          <w:noProof w:val="0"/>
          <w:color w:val="000000" w:themeColor="text1" w:themeTint="FF" w:themeShade="FF"/>
          <w:sz w:val="24"/>
          <w:szCs w:val="24"/>
          <w:lang w:val="en-GB"/>
        </w:rPr>
        <w:t>Sustainability</w:t>
      </w:r>
      <w:r w:rsidRPr="251ACF52" w:rsidR="28584A00">
        <w:rPr>
          <w:rFonts w:ascii="Arial" w:hAnsi="Arial" w:eastAsia="Arial" w:cs="Arial"/>
          <w:noProof w:val="0"/>
          <w:color w:val="000000" w:themeColor="text1" w:themeTint="FF" w:themeShade="FF"/>
          <w:sz w:val="24"/>
          <w:szCs w:val="24"/>
          <w:lang w:val="en-GB"/>
        </w:rPr>
        <w:t xml:space="preserve">, </w:t>
      </w:r>
      <w:r w:rsidRPr="251ACF52" w:rsidR="28584A00">
        <w:rPr>
          <w:rFonts w:ascii="Arial" w:hAnsi="Arial" w:eastAsia="Arial" w:cs="Arial"/>
          <w:i w:val="1"/>
          <w:iCs w:val="1"/>
          <w:noProof w:val="0"/>
          <w:color w:val="000000" w:themeColor="text1" w:themeTint="FF" w:themeShade="FF"/>
          <w:sz w:val="24"/>
          <w:szCs w:val="24"/>
          <w:lang w:val="en-GB"/>
        </w:rPr>
        <w:t>12</w:t>
      </w:r>
      <w:r w:rsidRPr="251ACF52" w:rsidR="28584A00">
        <w:rPr>
          <w:rFonts w:ascii="Arial" w:hAnsi="Arial" w:eastAsia="Arial" w:cs="Arial"/>
          <w:noProof w:val="0"/>
          <w:color w:val="000000" w:themeColor="text1" w:themeTint="FF" w:themeShade="FF"/>
          <w:sz w:val="24"/>
          <w:szCs w:val="24"/>
          <w:lang w:val="en-GB"/>
        </w:rPr>
        <w:t>(5), 1951.</w:t>
      </w:r>
      <w:r w:rsidRPr="251ACF52" w:rsidR="28584A00">
        <w:rPr>
          <w:rFonts w:ascii="Arial" w:hAnsi="Arial" w:eastAsia="Arial" w:cs="Arial"/>
          <w:noProof w:val="0"/>
          <w:sz w:val="24"/>
          <w:szCs w:val="24"/>
          <w:lang w:val="en-GB"/>
        </w:rPr>
        <w:t xml:space="preserve"> </w:t>
      </w:r>
      <w:hyperlink r:id="R909e4d28c14c4b35">
        <w:r w:rsidRPr="251ACF52" w:rsidR="28584A00">
          <w:rPr>
            <w:rStyle w:val="Hyperlink"/>
            <w:rFonts w:ascii="Arial" w:hAnsi="Arial" w:eastAsia="Arial" w:cs="Arial"/>
            <w:strike w:val="0"/>
            <w:dstrike w:val="0"/>
            <w:noProof w:val="0"/>
            <w:color w:val="0563C1"/>
            <w:sz w:val="24"/>
            <w:szCs w:val="24"/>
            <w:u w:val="single"/>
            <w:lang w:val="en-GB"/>
          </w:rPr>
          <w:t>https://doi.org/10.3390/su12051951</w:t>
        </w:r>
      </w:hyperlink>
    </w:p>
    <w:p xmlns:wp14="http://schemas.microsoft.com/office/word/2010/wordml" w:rsidP="251ACF52" wp14:paraId="7328FE16" wp14:textId="6747B6EA">
      <w:pPr>
        <w:spacing w:line="360" w:lineRule="auto"/>
        <w:ind w:left="720" w:right="-20" w:hanging="720"/>
        <w:jc w:val="both"/>
      </w:pPr>
      <w:r w:rsidRPr="251ACF52" w:rsidR="28584A00">
        <w:rPr>
          <w:rFonts w:ascii="Arial" w:hAnsi="Arial" w:eastAsia="Arial" w:cs="Arial"/>
          <w:noProof w:val="0"/>
          <w:color w:val="000000" w:themeColor="text1" w:themeTint="FF" w:themeShade="FF"/>
          <w:sz w:val="24"/>
          <w:szCs w:val="24"/>
          <w:lang w:val="en-GB"/>
        </w:rPr>
        <w:t xml:space="preserve">Yanti, N. K. K., &amp; Anggayana, I. W. A. (2023). Identify Industrial Work Practices in the Food and Beverage Product Department of Grand Ixora Kuta Resort. </w:t>
      </w:r>
      <w:r w:rsidRPr="251ACF52" w:rsidR="28584A00">
        <w:rPr>
          <w:rFonts w:ascii="Arial" w:hAnsi="Arial" w:eastAsia="Arial" w:cs="Arial"/>
          <w:i w:val="1"/>
          <w:iCs w:val="1"/>
          <w:noProof w:val="0"/>
          <w:color w:val="000000" w:themeColor="text1" w:themeTint="FF" w:themeShade="FF"/>
          <w:sz w:val="24"/>
          <w:szCs w:val="24"/>
          <w:lang w:val="en-GB"/>
        </w:rPr>
        <w:t>Jurnal Manajemen Pelayanan Hotel</w:t>
      </w:r>
      <w:r w:rsidRPr="251ACF52" w:rsidR="28584A00">
        <w:rPr>
          <w:rFonts w:ascii="Arial" w:hAnsi="Arial" w:eastAsia="Arial" w:cs="Arial"/>
          <w:noProof w:val="0"/>
          <w:color w:val="000000" w:themeColor="text1" w:themeTint="FF" w:themeShade="FF"/>
          <w:sz w:val="24"/>
          <w:szCs w:val="24"/>
          <w:lang w:val="en-GB"/>
        </w:rPr>
        <w:t xml:space="preserve">, </w:t>
      </w:r>
      <w:r w:rsidRPr="251ACF52" w:rsidR="28584A00">
        <w:rPr>
          <w:rFonts w:ascii="Arial" w:hAnsi="Arial" w:eastAsia="Arial" w:cs="Arial"/>
          <w:i w:val="1"/>
          <w:iCs w:val="1"/>
          <w:noProof w:val="0"/>
          <w:color w:val="000000" w:themeColor="text1" w:themeTint="FF" w:themeShade="FF"/>
          <w:sz w:val="24"/>
          <w:szCs w:val="24"/>
          <w:lang w:val="en-GB"/>
        </w:rPr>
        <w:t>7</w:t>
      </w:r>
      <w:r w:rsidRPr="251ACF52" w:rsidR="28584A00">
        <w:rPr>
          <w:rFonts w:ascii="Arial" w:hAnsi="Arial" w:eastAsia="Arial" w:cs="Arial"/>
          <w:noProof w:val="0"/>
          <w:color w:val="000000" w:themeColor="text1" w:themeTint="FF" w:themeShade="FF"/>
          <w:sz w:val="24"/>
          <w:szCs w:val="24"/>
          <w:lang w:val="en-GB"/>
        </w:rPr>
        <w:t>(1), 588-601.</w:t>
      </w:r>
      <w:r w:rsidRPr="251ACF52" w:rsidR="28584A00">
        <w:rPr>
          <w:rFonts w:ascii="Arial" w:hAnsi="Arial" w:eastAsia="Arial" w:cs="Arial"/>
          <w:noProof w:val="0"/>
          <w:sz w:val="24"/>
          <w:szCs w:val="24"/>
          <w:lang w:val="en-GB"/>
        </w:rPr>
        <w:t xml:space="preserve"> </w:t>
      </w:r>
      <w:hyperlink r:id="Rf0770c081b134efc">
        <w:r w:rsidRPr="251ACF52" w:rsidR="28584A00">
          <w:rPr>
            <w:rStyle w:val="Hyperlink"/>
            <w:rFonts w:ascii="Arial" w:hAnsi="Arial" w:eastAsia="Arial" w:cs="Arial"/>
            <w:strike w:val="0"/>
            <w:dstrike w:val="0"/>
            <w:noProof w:val="0"/>
            <w:color w:val="0563C1"/>
            <w:sz w:val="24"/>
            <w:szCs w:val="24"/>
            <w:u w:val="single"/>
            <w:lang w:val="en-GB"/>
          </w:rPr>
          <w:t>http://dx.doi.org/10.37484/jmph.070130</w:t>
        </w:r>
      </w:hyperlink>
    </w:p>
    <w:p xmlns:wp14="http://schemas.microsoft.com/office/word/2010/wordml" w:rsidP="251ACF52" wp14:paraId="3231E4BA" wp14:textId="4E0BDAD4">
      <w:pPr>
        <w:spacing w:line="360" w:lineRule="auto"/>
        <w:ind w:left="-20" w:right="-20"/>
        <w:jc w:val="both"/>
      </w:pPr>
      <w:r w:rsidRPr="251ACF52" w:rsidR="28584A00">
        <w:rPr>
          <w:rFonts w:ascii="Arial" w:hAnsi="Arial" w:eastAsia="Arial" w:cs="Arial"/>
          <w:noProof w:val="0"/>
          <w:sz w:val="24"/>
          <w:szCs w:val="24"/>
          <w:lang w:val="en-GB"/>
        </w:rPr>
        <w:t xml:space="preserve"> </w:t>
      </w:r>
    </w:p>
    <w:p xmlns:wp14="http://schemas.microsoft.com/office/word/2010/wordml" w:rsidP="251ACF52" wp14:paraId="735AD947" wp14:textId="27ABDDF5">
      <w:pPr>
        <w:spacing w:line="360" w:lineRule="auto"/>
        <w:ind w:left="-20" w:right="-20"/>
        <w:jc w:val="both"/>
      </w:pPr>
      <w:r w:rsidRPr="251ACF52" w:rsidR="28584A00">
        <w:rPr>
          <w:rFonts w:ascii="Arial" w:hAnsi="Arial" w:eastAsia="Arial" w:cs="Arial"/>
          <w:noProof w:val="0"/>
          <w:sz w:val="24"/>
          <w:szCs w:val="24"/>
          <w:lang w:val="en-GB"/>
        </w:rPr>
        <w:t xml:space="preserve"> </w:t>
      </w:r>
    </w:p>
    <w:p xmlns:wp14="http://schemas.microsoft.com/office/word/2010/wordml" w:rsidP="251ACF52" wp14:paraId="408D9232" wp14:textId="4463150A">
      <w:pPr>
        <w:spacing w:line="360" w:lineRule="auto"/>
        <w:ind w:left="-20" w:right="-20"/>
        <w:jc w:val="both"/>
      </w:pPr>
      <w:r w:rsidRPr="251ACF52" w:rsidR="28584A00">
        <w:rPr>
          <w:rFonts w:ascii="Arial" w:hAnsi="Arial" w:eastAsia="Arial" w:cs="Arial"/>
          <w:noProof w:val="0"/>
          <w:sz w:val="24"/>
          <w:szCs w:val="24"/>
          <w:lang w:val="en-GB"/>
        </w:rPr>
        <w:t xml:space="preserve"> </w:t>
      </w:r>
    </w:p>
    <w:p xmlns:wp14="http://schemas.microsoft.com/office/word/2010/wordml" w:rsidP="251ACF52" wp14:paraId="4C95F010" wp14:textId="17BC72C6">
      <w:pPr>
        <w:spacing w:line="360" w:lineRule="auto"/>
        <w:ind w:left="-20" w:right="-20" w:firstLine="720"/>
        <w:jc w:val="both"/>
        <w:rPr>
          <w:rFonts w:ascii="Arial" w:hAnsi="Arial" w:eastAsia="Arial" w:cs="Arial"/>
          <w:noProof w:val="0"/>
          <w:sz w:val="24"/>
          <w:szCs w:val="24"/>
          <w:lang w:val="en-GB"/>
        </w:rPr>
      </w:pPr>
    </w:p>
    <w:p xmlns:wp14="http://schemas.microsoft.com/office/word/2010/wordml" w:rsidP="251ACF52" wp14:paraId="5E5787A5" wp14:textId="2437549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460321"/>
    <w:rsid w:val="0428B9AC"/>
    <w:rsid w:val="237EFEF1"/>
    <w:rsid w:val="251ACF52"/>
    <w:rsid w:val="28584A00"/>
    <w:rsid w:val="5C460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60321"/>
  <w15:chartTrackingRefBased/>
  <w15:docId w15:val="{60B1B5D1-056D-4006-98A3-4109300DF7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repositorio.iscte-iul.pt/handle/10071/21801" TargetMode="External" Id="Ra4d5846b78c74a1f" /><Relationship Type="http://schemas.openxmlformats.org/officeDocument/2006/relationships/hyperlink" Target="https://doi.org/10.1080/13032917.2020.1851553" TargetMode="External" Id="Rf151e548fe41481b" /><Relationship Type="http://schemas.openxmlformats.org/officeDocument/2006/relationships/hyperlink" Target="https://doi.org/10.7777/jiemar.v1i4.191" TargetMode="External" Id="Ra29fefbc216f426c" /><Relationship Type="http://schemas.openxmlformats.org/officeDocument/2006/relationships/hyperlink" Target="https://doi.org/10.1016/j.ijhm.2022.103159" TargetMode="External" Id="R75d88548ef4e4365" /><Relationship Type="http://schemas.openxmlformats.org/officeDocument/2006/relationships/hyperlink" Target="https://doi.org/10.1080/23298758.2023.10685615" TargetMode="External" Id="R64e50735623741f7" /><Relationship Type="http://schemas.openxmlformats.org/officeDocument/2006/relationships/hyperlink" Target="https://doi.org/10.1504/IJSEM.2022.122738" TargetMode="External" Id="Re7afa957490c4c38" /><Relationship Type="http://schemas.openxmlformats.org/officeDocument/2006/relationships/hyperlink" Target="https://doi.org/10.1108/IJCHM-07-2020-0641" TargetMode="External" Id="R1ec4053f54094cf4" /><Relationship Type="http://schemas.openxmlformats.org/officeDocument/2006/relationships/hyperlink" Target="https://doi.org/10.3390/su12051951" TargetMode="External" Id="R909e4d28c14c4b35" /><Relationship Type="http://schemas.openxmlformats.org/officeDocument/2006/relationships/hyperlink" Target="http://dx.doi.org/10.37484/jmph.070130" TargetMode="External" Id="Rf0770c081b134e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Amar Haddouche (2017328)</dc:creator>
  <keywords/>
  <dc:description/>
  <lastModifiedBy>Amar Haddouche (2017328)</lastModifiedBy>
  <revision>2</revision>
  <dcterms:created xsi:type="dcterms:W3CDTF">2024-02-19T16:56:03.9209236Z</dcterms:created>
  <dcterms:modified xsi:type="dcterms:W3CDTF">2024-02-19T17:10:59.0058037Z</dcterms:modified>
</coreProperties>
</file>