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134E87" w14:textId="2A920C85" w:rsidR="003C53B3" w:rsidRDefault="003C53B3" w:rsidP="003C53B3">
      <w:pPr>
        <w:jc w:val="center"/>
      </w:pPr>
      <w:r>
        <w:t xml:space="preserve">Property law assignment 2 </w:t>
      </w:r>
    </w:p>
    <w:p w14:paraId="3FF711CC" w14:textId="6749BC6C" w:rsidR="003C53B3" w:rsidRDefault="003C53B3" w:rsidP="00D90C8A">
      <w:pPr>
        <w:spacing w:line="480" w:lineRule="auto"/>
      </w:pPr>
      <w:r>
        <w:t xml:space="preserve">Question 1 </w:t>
      </w:r>
    </w:p>
    <w:p w14:paraId="494F44F9" w14:textId="4B3ABDEB" w:rsidR="00381B88" w:rsidRDefault="003C53B3" w:rsidP="00D90C8A">
      <w:pPr>
        <w:spacing w:line="480" w:lineRule="auto"/>
      </w:pPr>
      <w:r>
        <w:t xml:space="preserve">The distinction between a fixture and a fitting can be seen in the Berkley v </w:t>
      </w:r>
      <w:proofErr w:type="spellStart"/>
      <w:r>
        <w:t>Poulett</w:t>
      </w:r>
      <w:proofErr w:type="spellEnd"/>
      <w:r>
        <w:t xml:space="preserve"> [1977] </w:t>
      </w:r>
      <w:r w:rsidR="00D15FF3">
        <w:t xml:space="preserve">this case set out a two stage test the first of which is the degree of annexation. This </w:t>
      </w:r>
      <w:r w:rsidR="003E343B">
        <w:t xml:space="preserve">measures how firmly fixed to the land the </w:t>
      </w:r>
      <w:r w:rsidR="00B2670F">
        <w:t>object is. If the object is removed from the land causing significant damage then it is a fixture. Whereas if an object can be removed without causing damage for example a carpet then it is a chattel. This part of the test has become increasing difficult in the modern age as</w:t>
      </w:r>
      <w:r w:rsidR="00E106EC">
        <w:t xml:space="preserve"> technological developments allows for the movement of large objects with causing damage to the land</w:t>
      </w:r>
      <w:r w:rsidR="00CE3DB8">
        <w:t xml:space="preserve"> (McFarland, </w:t>
      </w:r>
      <w:r w:rsidR="00800965">
        <w:t>2021)</w:t>
      </w:r>
      <w:r w:rsidR="00E106EC">
        <w:t xml:space="preserve">. The purpose of annexation is the second stage of the test as the courts decided that </w:t>
      </w:r>
      <w:r w:rsidR="00F87D7C">
        <w:t xml:space="preserve">it is important for the land that the reasoning behind why the object was added is incredibly important. This concept takes precedence over the first stage of the test this is because it cannot be denied that </w:t>
      </w:r>
      <w:r w:rsidR="009B2E4B">
        <w:t>if an object was brought in for the improvement of the land for example drainage system then it is classed as a fixture</w:t>
      </w:r>
      <w:r w:rsidR="00800965">
        <w:t xml:space="preserve"> </w:t>
      </w:r>
      <w:r w:rsidR="004560AA">
        <w:t xml:space="preserve">(Bevan, 2021) </w:t>
      </w:r>
      <w:r w:rsidR="00800965">
        <w:t>(Bray, 2014)</w:t>
      </w:r>
      <w:r w:rsidR="009B2E4B">
        <w:t xml:space="preserve">. </w:t>
      </w:r>
    </w:p>
    <w:p w14:paraId="12CE5CDE" w14:textId="72DC17D5" w:rsidR="003C53B3" w:rsidRDefault="00381B88" w:rsidP="00D90C8A">
      <w:pPr>
        <w:spacing w:line="480" w:lineRule="auto"/>
      </w:pPr>
      <w:r>
        <w:t xml:space="preserve">In terms of the statue of </w:t>
      </w:r>
      <w:proofErr w:type="spellStart"/>
      <w:r>
        <w:t>venus</w:t>
      </w:r>
      <w:proofErr w:type="spellEnd"/>
      <w:r>
        <w:t xml:space="preserve"> it must be highlighted that the degree of annexation would result in the statue remaining fixed to the property. </w:t>
      </w:r>
      <w:r w:rsidR="00EA5783">
        <w:t xml:space="preserve">The statue </w:t>
      </w:r>
      <w:r w:rsidR="002507DC">
        <w:t>is</w:t>
      </w:r>
      <w:r w:rsidR="00EA5783">
        <w:t xml:space="preserve"> part of the land as it has been cemented into the ground this would suggest </w:t>
      </w:r>
      <w:r w:rsidR="002507DC">
        <w:t xml:space="preserve">the removal of the statue would take a lot of work and would ultimately destroy a part of the land. </w:t>
      </w:r>
      <w:r w:rsidR="00EE268B">
        <w:t>This can be seen in cases such as Holland v Hodgson</w:t>
      </w:r>
      <w:r w:rsidR="00CD116C">
        <w:t xml:space="preserve"> [1872]</w:t>
      </w:r>
      <w:r w:rsidR="00EE268B">
        <w:t xml:space="preserve"> which deals with the physically aspects of annexation and purpose of which the item was fixed to the land. with the machinery in this case being bolted to the land its intent was for it to be a </w:t>
      </w:r>
      <w:r w:rsidR="007576DB">
        <w:t>permanent feature. With its intention to use the land as a mill</w:t>
      </w:r>
      <w:r w:rsidR="00800965">
        <w:t xml:space="preserve"> (Bray, 2019)</w:t>
      </w:r>
      <w:r w:rsidR="007576DB">
        <w:t xml:space="preserve">. This draws an important parallel with the statue of Venus which has been fixed to the ground permanently with the intention of benefitting the land. This suggests that the statue cannot be removed from the property as in doing so it will be to the detriment of the land. </w:t>
      </w:r>
      <w:r w:rsidR="005466F1">
        <w:t xml:space="preserve">despite this there are conflicting opinions on </w:t>
      </w:r>
      <w:r w:rsidR="00C8306C">
        <w:t xml:space="preserve">if statues or sculptures </w:t>
      </w:r>
      <w:r w:rsidR="00CE3DB8">
        <w:t>are</w:t>
      </w:r>
      <w:r w:rsidR="00C8306C">
        <w:t xml:space="preserve"> fixtures in </w:t>
      </w:r>
      <w:r w:rsidR="00C8306C" w:rsidRPr="00C8306C">
        <w:t>Tower Hamlets LBC v Bromley LBC</w:t>
      </w:r>
      <w:r w:rsidR="00CD116C">
        <w:t xml:space="preserve"> (2015)</w:t>
      </w:r>
      <w:r w:rsidR="00C8306C">
        <w:t xml:space="preserve"> </w:t>
      </w:r>
      <w:r w:rsidR="00910FC5">
        <w:t>as justice Norris states that the sculpture is considered to be an “entire object in itself” and could be removed without “damaging its inherent beauty”</w:t>
      </w:r>
      <w:r w:rsidR="00800965">
        <w:t xml:space="preserve"> (</w:t>
      </w:r>
      <w:r w:rsidR="00CD116C">
        <w:t>Bevan, 2018</w:t>
      </w:r>
      <w:r w:rsidR="00800965">
        <w:t>)</w:t>
      </w:r>
      <w:r w:rsidR="00910FC5">
        <w:t xml:space="preserve">. Case highlights that statues are considered to be </w:t>
      </w:r>
      <w:r w:rsidR="00910FC5">
        <w:lastRenderedPageBreak/>
        <w:t>separate from the land</w:t>
      </w:r>
      <w:r w:rsidR="00F5119B">
        <w:t xml:space="preserve">. Furthermore, due to the </w:t>
      </w:r>
      <w:bookmarkStart w:id="0" w:name="_Hlk92443406"/>
      <w:r w:rsidR="00F5119B">
        <w:t xml:space="preserve">Limitation act 1980 </w:t>
      </w:r>
      <w:bookmarkEnd w:id="0"/>
      <w:r w:rsidR="00F5119B">
        <w:t>the previous ownership of the statue had been extinguished therefore the new owners we allowed to sell the statue</w:t>
      </w:r>
      <w:r w:rsidR="00800965">
        <w:t xml:space="preserve"> (Thomas, 2021)</w:t>
      </w:r>
      <w:r w:rsidR="00F5119B">
        <w:t xml:space="preserve">. This </w:t>
      </w:r>
      <w:r w:rsidR="002A4EC9">
        <w:t xml:space="preserve">arguably </w:t>
      </w:r>
      <w:r w:rsidR="00F5119B">
        <w:t xml:space="preserve">could be same in the scenario involving Amy and Bob. </w:t>
      </w:r>
      <w:r w:rsidR="002A4EC9">
        <w:t xml:space="preserve">This divide of opinion can be seen in cases such </w:t>
      </w:r>
      <w:proofErr w:type="spellStart"/>
      <w:r w:rsidR="00800965">
        <w:t>S</w:t>
      </w:r>
      <w:r w:rsidR="00470E81">
        <w:t>pyer</w:t>
      </w:r>
      <w:proofErr w:type="spellEnd"/>
      <w:r w:rsidR="00470E81">
        <w:t xml:space="preserve"> v Philipson </w:t>
      </w:r>
      <w:r w:rsidR="00A96095">
        <w:t>[</w:t>
      </w:r>
      <w:r w:rsidR="00470E81">
        <w:t>1931</w:t>
      </w:r>
      <w:r w:rsidR="00A96095">
        <w:t>]</w:t>
      </w:r>
      <w:r w:rsidR="00470E81">
        <w:t xml:space="preserve"> whilst also making reference to</w:t>
      </w:r>
      <w:r w:rsidR="002A4EC9">
        <w:t xml:space="preserve"> Leigh v Taylor</w:t>
      </w:r>
      <w:r w:rsidR="00470E81">
        <w:t xml:space="preserve"> Lord Shand</w:t>
      </w:r>
      <w:r w:rsidR="002A4EC9">
        <w:t xml:space="preserve"> suggested that the laws have been slightly changed to incorporate “temporary fixtures” which would at one point in time be seen as full fixtures. Whereas Lord </w:t>
      </w:r>
      <w:proofErr w:type="spellStart"/>
      <w:r w:rsidR="002A4EC9">
        <w:t>Macnaghten</w:t>
      </w:r>
      <w:proofErr w:type="spellEnd"/>
      <w:r w:rsidR="002A4EC9">
        <w:t xml:space="preserve"> suggests that the law has not changed just our habits of modern life</w:t>
      </w:r>
      <w:r w:rsidR="00293A7C">
        <w:t xml:space="preserve"> (A.L.G, 1932)</w:t>
      </w:r>
      <w:r w:rsidR="00800965">
        <w:t xml:space="preserve"> (McFarland, 2021)</w:t>
      </w:r>
      <w:r w:rsidR="002A4EC9">
        <w:t xml:space="preserve">. This is important because it highlights that the laws are still viable however there has to be an element of </w:t>
      </w:r>
      <w:r w:rsidR="00470E81">
        <w:t>flexibility</w:t>
      </w:r>
      <w:r w:rsidR="002A4EC9">
        <w:t xml:space="preserve"> that</w:t>
      </w:r>
      <w:r w:rsidR="00470E81">
        <w:t xml:space="preserve"> allows the courts to distinguish between fixture and fitting. </w:t>
      </w:r>
      <w:r w:rsidR="002A4EC9">
        <w:t xml:space="preserve">  </w:t>
      </w:r>
    </w:p>
    <w:p w14:paraId="3A7347EF" w14:textId="66497647" w:rsidR="002557ED" w:rsidRDefault="00A66ECD" w:rsidP="00D90C8A">
      <w:pPr>
        <w:spacing w:line="480" w:lineRule="auto"/>
      </w:pPr>
      <w:r>
        <w:t xml:space="preserve">The terracotta pots could if following the decision made in </w:t>
      </w:r>
      <w:proofErr w:type="spellStart"/>
      <w:r>
        <w:t>D’Elyncourt</w:t>
      </w:r>
      <w:proofErr w:type="spellEnd"/>
      <w:r>
        <w:t xml:space="preserve"> v Gregory [1</w:t>
      </w:r>
      <w:r w:rsidR="00CA7F34">
        <w:t>866</w:t>
      </w:r>
      <w:r w:rsidR="00F963C8">
        <w:t xml:space="preserve">] </w:t>
      </w:r>
      <w:r w:rsidR="0040219C">
        <w:t xml:space="preserve">may be considered to be part of the land as they are decorative pieces that provide value due to the fact that they </w:t>
      </w:r>
      <w:r w:rsidR="003065F8">
        <w:t xml:space="preserve">form a part of the agricultural design of the property. Despite this it is unlikely that this would be seen as integral to the property as the degree of annexation suggest that the removal of these object would not destroy </w:t>
      </w:r>
      <w:r w:rsidR="00F04DC5">
        <w:t>the land</w:t>
      </w:r>
      <w:r w:rsidR="00800965">
        <w:t xml:space="preserve"> (Cooke, 2012)</w:t>
      </w:r>
      <w:r w:rsidR="00F04DC5">
        <w:t xml:space="preserve">. </w:t>
      </w:r>
      <w:r w:rsidR="0068019A">
        <w:t>Furthermore</w:t>
      </w:r>
      <w:r w:rsidR="00F04DC5">
        <w:t xml:space="preserve">, the purpose of annexation would suggest that the terracotta pots are not significant in their contribution to the land. the terracotta pots </w:t>
      </w:r>
      <w:r w:rsidR="0068019A">
        <w:t>are</w:t>
      </w:r>
      <w:r w:rsidR="00F04DC5">
        <w:t xml:space="preserve"> personal property that fall under the category of choses in possession. This refers to objects that do not exist as part of the </w:t>
      </w:r>
      <w:r w:rsidR="00036D54">
        <w:t>property. it is not likely that the terracotta pots</w:t>
      </w:r>
      <w:r w:rsidR="00A9527D">
        <w:t xml:space="preserve"> would be included within the sale of the property</w:t>
      </w:r>
      <w:r w:rsidR="00ED6F59">
        <w:t xml:space="preserve">, this comes from Section 205 (1) of </w:t>
      </w:r>
      <w:bookmarkStart w:id="1" w:name="_Hlk92443559"/>
      <w:r w:rsidR="00ED6F59">
        <w:t>the law of property act</w:t>
      </w:r>
      <w:r w:rsidR="00CD116C">
        <w:t xml:space="preserve"> 1925</w:t>
      </w:r>
      <w:bookmarkEnd w:id="1"/>
      <w:r w:rsidR="00ED6F59">
        <w:t xml:space="preserve"> that suggests that it must be a physical or natural part of the land.</w:t>
      </w:r>
      <w:r w:rsidR="0065128E">
        <w:t xml:space="preserve"> the </w:t>
      </w:r>
      <w:r w:rsidR="00800965">
        <w:t>decision</w:t>
      </w:r>
      <w:r w:rsidR="0065128E">
        <w:t xml:space="preserve"> in </w:t>
      </w:r>
      <w:proofErr w:type="spellStart"/>
      <w:r w:rsidR="0065128E">
        <w:t>D’Eyncourt</w:t>
      </w:r>
      <w:proofErr w:type="spellEnd"/>
      <w:r w:rsidR="0065128E">
        <w:t xml:space="preserve"> is </w:t>
      </w:r>
      <w:r w:rsidR="00800965">
        <w:t>unique</w:t>
      </w:r>
      <w:r w:rsidR="0065128E">
        <w:t xml:space="preserve"> in a sense that removable object</w:t>
      </w:r>
      <w:r w:rsidR="00800965">
        <w:t>s</w:t>
      </w:r>
      <w:r w:rsidR="0065128E">
        <w:t xml:space="preserve"> such as garden vases were considered to an integral part of the land</w:t>
      </w:r>
      <w:r w:rsidR="00800965">
        <w:t xml:space="preserve"> (</w:t>
      </w:r>
      <w:proofErr w:type="spellStart"/>
      <w:r w:rsidR="00800965">
        <w:t>Duddington</w:t>
      </w:r>
      <w:proofErr w:type="spellEnd"/>
      <w:r w:rsidR="00800965">
        <w:t>, 2021) (Thomas, 2021)</w:t>
      </w:r>
      <w:r w:rsidR="0065128E">
        <w:t>.</w:t>
      </w:r>
      <w:r w:rsidR="00ED6F59">
        <w:t xml:space="preserve"> </w:t>
      </w:r>
      <w:r w:rsidR="00A86190">
        <w:t xml:space="preserve">Hamp v Bygrave [1983] would suggest under specific circumstances garden ornaments can be considered to be fixtures however it is important to note that </w:t>
      </w:r>
      <w:r w:rsidR="00113891">
        <w:t xml:space="preserve">whilst the purposes of annexation takes precedence it cannot be denied that the concept is subjective </w:t>
      </w:r>
      <w:r w:rsidR="005F46E4">
        <w:t>and both outcomes are possible.</w:t>
      </w:r>
      <w:r w:rsidR="00C14C07">
        <w:t xml:space="preserve"> Furthermore, what must be addressed is the ivy growing on one of the terracotta pots. Monsanto plc v Tilly [2000]</w:t>
      </w:r>
      <w:r w:rsidR="00960C52">
        <w:t xml:space="preserve"> </w:t>
      </w:r>
      <w:r w:rsidR="00C14C07">
        <w:t xml:space="preserve">addresses the fact that all crops, plant and flowers that grow on the property of the freeholder will be considered to be fixtures. </w:t>
      </w:r>
      <w:r w:rsidR="00960C52">
        <w:t xml:space="preserve">However, since </w:t>
      </w:r>
      <w:r w:rsidR="00960C52">
        <w:lastRenderedPageBreak/>
        <w:t>Amy and Bob have sold their house to Selina under the Law of Property Act 1925 the ownership of the ivy will transfer to Selina</w:t>
      </w:r>
      <w:r w:rsidR="00867F72">
        <w:t xml:space="preserve"> (Thomas, 2021) </w:t>
      </w:r>
      <w:r w:rsidR="00800965">
        <w:t>(</w:t>
      </w:r>
      <w:r w:rsidR="00867F72">
        <w:t>McFarland</w:t>
      </w:r>
      <w:r w:rsidR="00800965">
        <w:t>, 2021)</w:t>
      </w:r>
      <w:r w:rsidR="00960C52">
        <w:t xml:space="preserve">. </w:t>
      </w:r>
    </w:p>
    <w:p w14:paraId="6BCEA9F5" w14:textId="0D363261" w:rsidR="00633705" w:rsidRDefault="0098043E" w:rsidP="00D90C8A">
      <w:pPr>
        <w:spacing w:line="480" w:lineRule="auto"/>
      </w:pPr>
      <w:r>
        <w:t xml:space="preserve">As for the garden chair that has sunken into the ground there appears to be a contrast to what </w:t>
      </w:r>
      <w:r w:rsidR="00CD116C">
        <w:t>is</w:t>
      </w:r>
      <w:r>
        <w:t xml:space="preserve"> part of the land. In TSB Bank v Botham</w:t>
      </w:r>
      <w:r w:rsidR="00867F72">
        <w:t xml:space="preserve"> </w:t>
      </w:r>
      <w:r w:rsidR="00A96095">
        <w:t>[</w:t>
      </w:r>
      <w:r w:rsidR="00867F72">
        <w:t>1997</w:t>
      </w:r>
      <w:r w:rsidR="00A96095">
        <w:t>]</w:t>
      </w:r>
      <w:r>
        <w:t xml:space="preserve"> the kitchen units were bolted to the house which was attached to the land. The same can be said for </w:t>
      </w:r>
      <w:proofErr w:type="spellStart"/>
      <w:r w:rsidR="0045044A">
        <w:t>Aircool</w:t>
      </w:r>
      <w:proofErr w:type="spellEnd"/>
      <w:r w:rsidR="0045044A">
        <w:t xml:space="preserve"> Installations v British Telecommunications [1995]</w:t>
      </w:r>
      <w:r w:rsidR="00FB35D0">
        <w:t xml:space="preserve"> </w:t>
      </w:r>
      <w:r w:rsidR="005213F6">
        <w:t xml:space="preserve">these two cases </w:t>
      </w:r>
      <w:r w:rsidR="00D65253">
        <w:t>identify that if an object is physically attached to the land via examples such as bolts and cement then there is a greater chance that they would be considered as fixtures</w:t>
      </w:r>
      <w:r w:rsidR="00FB35D0">
        <w:t xml:space="preserve"> (Lees, 2020)</w:t>
      </w:r>
      <w:r w:rsidR="00D65253">
        <w:t>.</w:t>
      </w:r>
      <w:r w:rsidR="00633705">
        <w:t xml:space="preserve"> Lord Cockburn in Dixon v Fisher</w:t>
      </w:r>
      <w:r w:rsidR="006424E8">
        <w:t xml:space="preserve"> </w:t>
      </w:r>
      <w:r w:rsidR="00A96095">
        <w:t>[</w:t>
      </w:r>
      <w:r w:rsidR="006424E8">
        <w:t>1843</w:t>
      </w:r>
      <w:r w:rsidR="00A96095">
        <w:t>]</w:t>
      </w:r>
      <w:r w:rsidR="00633705">
        <w:t xml:space="preserve"> suggested that the purpose of annexation would suffice this focuses on whether the object had been intended to be a permanent accretion to improve the realty of the property.</w:t>
      </w:r>
      <w:r w:rsidR="004E5B98">
        <w:t xml:space="preserve"> Dixon v Fisher deals with </w:t>
      </w:r>
      <w:r w:rsidR="000A1299">
        <w:t>machinery</w:t>
      </w:r>
      <w:r w:rsidR="004E5B98">
        <w:t xml:space="preserve"> </w:t>
      </w:r>
      <w:r w:rsidR="000A1299">
        <w:t xml:space="preserve">that is firmly affixed to the ground. This is evidence that even though an object is firmly affixed in the ground does not suggest that </w:t>
      </w:r>
      <w:r w:rsidR="00D15DD8">
        <w:t>said object is not a fixture</w:t>
      </w:r>
      <w:r w:rsidR="00FB35D0">
        <w:t xml:space="preserve"> (McFarland, 2021)</w:t>
      </w:r>
      <w:r w:rsidR="00D15DD8">
        <w:t xml:space="preserve">. The purpose of annexation was used in a slightly different manner as it suggests that although the machinery was there to fulfil a specific purpose </w:t>
      </w:r>
      <w:r w:rsidR="006E1AA3">
        <w:t>it was still considered to be a chattel because they could easily be replaced.</w:t>
      </w:r>
      <w:r w:rsidR="00633705">
        <w:t xml:space="preserve"> Since the bench does not do </w:t>
      </w:r>
      <w:r w:rsidR="00FB35D0">
        <w:t>this,</w:t>
      </w:r>
      <w:r w:rsidR="00633705">
        <w:t xml:space="preserve"> it would be reasonable to suggest that the bench is a chattel</w:t>
      </w:r>
      <w:r w:rsidR="00FB35D0">
        <w:t xml:space="preserve"> (Dixon, 2014)</w:t>
      </w:r>
      <w:r w:rsidR="00633705">
        <w:t xml:space="preserve">. Therefore, </w:t>
      </w:r>
      <w:r w:rsidR="004E5B98">
        <w:t xml:space="preserve">this fitting will not be included within the sale of the property under the law of property act 1925. </w:t>
      </w:r>
      <w:r w:rsidR="00FB35D0">
        <w:t>Furthermore,</w:t>
      </w:r>
      <w:r w:rsidR="00322DE6">
        <w:t xml:space="preserve"> the existence of </w:t>
      </w:r>
      <w:proofErr w:type="spellStart"/>
      <w:r w:rsidR="00322DE6">
        <w:t>D’Elyncourt</w:t>
      </w:r>
      <w:proofErr w:type="spellEnd"/>
      <w:r w:rsidR="00322DE6">
        <w:t xml:space="preserve"> may suggest that the seat is to </w:t>
      </w:r>
      <w:r w:rsidR="003C77E2">
        <w:t>be</w:t>
      </w:r>
      <w:r w:rsidR="00322DE6">
        <w:t xml:space="preserve"> part of the land and thus would transfer with the property. This could only be the case if the seat </w:t>
      </w:r>
      <w:r w:rsidR="003C77E2">
        <w:t>was</w:t>
      </w:r>
      <w:r w:rsidR="00322DE6">
        <w:t xml:space="preserve"> a main feature in the design of the garden as this is an unlikely scenario there is little chance that it would be</w:t>
      </w:r>
      <w:r w:rsidR="00FB35D0">
        <w:t xml:space="preserve"> (McFarland, 2021) (Thomas, 2021)</w:t>
      </w:r>
      <w:r w:rsidR="00322DE6">
        <w:t xml:space="preserve">. </w:t>
      </w:r>
      <w:r w:rsidR="00DD18EE">
        <w:t xml:space="preserve">However, </w:t>
      </w:r>
      <w:proofErr w:type="spellStart"/>
      <w:r w:rsidR="00DD18EE">
        <w:t>D’Elyncourt</w:t>
      </w:r>
      <w:proofErr w:type="spellEnd"/>
      <w:r w:rsidR="00DD18EE">
        <w:t xml:space="preserve"> serves an </w:t>
      </w:r>
      <w:r w:rsidR="003C77E2">
        <w:t>exception</w:t>
      </w:r>
      <w:r w:rsidR="00DD18EE">
        <w:t xml:space="preserve"> to Section 62 of the Law of Property Act 1925. As unlike </w:t>
      </w:r>
      <w:bookmarkStart w:id="2" w:name="_Hlk92444215"/>
      <w:r w:rsidR="00DD18EE">
        <w:t>Re Cohen [1953]</w:t>
      </w:r>
      <w:bookmarkEnd w:id="2"/>
      <w:r w:rsidR="00DD18EE">
        <w:t xml:space="preserve"> </w:t>
      </w:r>
      <w:r w:rsidR="003C77E2">
        <w:t>where chattels were not accepted as part of the property transaction (</w:t>
      </w:r>
      <w:proofErr w:type="spellStart"/>
      <w:r w:rsidR="003C77E2">
        <w:t>Thornely</w:t>
      </w:r>
      <w:proofErr w:type="spellEnd"/>
      <w:r w:rsidR="003C77E2">
        <w:t xml:space="preserve">, 1969). </w:t>
      </w:r>
      <w:r w:rsidR="00DD18EE">
        <w:t xml:space="preserve"> </w:t>
      </w:r>
      <w:r w:rsidR="00322DE6">
        <w:t xml:space="preserve"> </w:t>
      </w:r>
      <w:r w:rsidR="00633705">
        <w:t xml:space="preserve">  </w:t>
      </w:r>
    </w:p>
    <w:p w14:paraId="03D60546" w14:textId="3C321902" w:rsidR="005F147E" w:rsidRDefault="00D65253" w:rsidP="00D90C8A">
      <w:pPr>
        <w:spacing w:line="480" w:lineRule="auto"/>
      </w:pPr>
      <w:r>
        <w:t xml:space="preserve">However, there are </w:t>
      </w:r>
      <w:r w:rsidR="00EF55DF">
        <w:t>exceptions</w:t>
      </w:r>
      <w:r>
        <w:t xml:space="preserve"> to this rule, one of the key cases surrounding an object being determined to be part of the land by its own weight alone is </w:t>
      </w:r>
      <w:proofErr w:type="spellStart"/>
      <w:r w:rsidR="00DD18EE">
        <w:t>E</w:t>
      </w:r>
      <w:r>
        <w:t>litestone</w:t>
      </w:r>
      <w:proofErr w:type="spellEnd"/>
      <w:r>
        <w:t xml:space="preserve"> v </w:t>
      </w:r>
      <w:r w:rsidR="00EF55DF">
        <w:t>M</w:t>
      </w:r>
      <w:r>
        <w:t>orris</w:t>
      </w:r>
      <w:r w:rsidR="006424E8">
        <w:t xml:space="preserve"> [1997]</w:t>
      </w:r>
      <w:r w:rsidR="00717FFD">
        <w:t xml:space="preserve"> (Sayles, 2018)</w:t>
      </w:r>
      <w:r w:rsidR="007A179A">
        <w:t>.</w:t>
      </w:r>
      <w:r>
        <w:t xml:space="preserve"> </w:t>
      </w:r>
      <w:r w:rsidR="007A179A">
        <w:t>T</w:t>
      </w:r>
      <w:r>
        <w:t xml:space="preserve">his case follows </w:t>
      </w:r>
      <w:r w:rsidR="007A179A">
        <w:t>the</w:t>
      </w:r>
      <w:r>
        <w:t xml:space="preserve"> owner of the house that was not attached to the land physically</w:t>
      </w:r>
      <w:r w:rsidR="002E15D6">
        <w:t xml:space="preserve">. They </w:t>
      </w:r>
      <w:r w:rsidR="002E15D6">
        <w:lastRenderedPageBreak/>
        <w:t xml:space="preserve">deemed that under </w:t>
      </w:r>
      <w:bookmarkStart w:id="3" w:name="_Hlk92444470"/>
      <w:r w:rsidR="002E15D6">
        <w:t xml:space="preserve">the rent act 1977 </w:t>
      </w:r>
      <w:bookmarkEnd w:id="3"/>
      <w:r w:rsidR="002E15D6">
        <w:t>that the plaintiff was a protected tenant</w:t>
      </w:r>
      <w:r w:rsidR="00FB35D0">
        <w:t xml:space="preserve"> (McFarland, 2021)</w:t>
      </w:r>
      <w:r w:rsidR="002E15D6">
        <w:t>. This is because although the bungalow was situated on</w:t>
      </w:r>
      <w:r w:rsidR="00856439">
        <w:t xml:space="preserve"> </w:t>
      </w:r>
      <w:r w:rsidR="002E15D6">
        <w:t xml:space="preserve">top of concrete blocks without being attached to them it was still considered to be part of the land. This is significant because the judges ruled that the bungalow could not be removed without being destroyed therefore when the bungalow was built it was </w:t>
      </w:r>
      <w:r w:rsidR="007A179A">
        <w:t>intended</w:t>
      </w:r>
      <w:r w:rsidR="002E15D6">
        <w:t xml:space="preserve"> to stay on the same parcel of land</w:t>
      </w:r>
      <w:r w:rsidR="00FB35D0">
        <w:t xml:space="preserve"> (Smith, 2017) (</w:t>
      </w:r>
      <w:r w:rsidR="00717FFD">
        <w:t>Warner- Reed, 2017)</w:t>
      </w:r>
      <w:r w:rsidR="002E15D6">
        <w:t xml:space="preserve">. </w:t>
      </w:r>
      <w:r w:rsidR="00717FFD">
        <w:t>T</w:t>
      </w:r>
      <w:r w:rsidR="002E15D6">
        <w:t xml:space="preserve">he </w:t>
      </w:r>
      <w:r w:rsidR="00081D3A">
        <w:t>guidance for the courts in this case comes from Holland v Hodges which suggests that stones placed on</w:t>
      </w:r>
      <w:r w:rsidR="00856439">
        <w:t xml:space="preserve"> </w:t>
      </w:r>
      <w:r w:rsidR="00081D3A">
        <w:t>top of one another</w:t>
      </w:r>
      <w:r w:rsidR="00EF55DF">
        <w:t xml:space="preserve">. This would highlight that the summerhouse would add realty value to the property. The summer house would be included as part of the land as </w:t>
      </w:r>
      <w:r w:rsidR="00322DE6">
        <w:t>to</w:t>
      </w:r>
      <w:r w:rsidR="00856439">
        <w:t xml:space="preserve"> remove it although not difficult it would be to take away an important fixture aspect of the land</w:t>
      </w:r>
      <w:r w:rsidR="00717FFD">
        <w:t xml:space="preserve"> (Bray, 2019)</w:t>
      </w:r>
      <w:r w:rsidR="00856439">
        <w:t>.</w:t>
      </w:r>
      <w:r w:rsidR="00BF49B1">
        <w:t xml:space="preserve"> </w:t>
      </w:r>
      <w:r w:rsidR="00717FFD">
        <w:t>Similarly,</w:t>
      </w:r>
      <w:r w:rsidR="00BF49B1">
        <w:t xml:space="preserve"> to this is Billing v Pill [1953</w:t>
      </w:r>
      <w:r w:rsidR="00AF351F">
        <w:t>] this case highlights that temporary housing is considered to be a fitting as a small army hut was to be dismantled as to do so would not have any effect on the land.</w:t>
      </w:r>
      <w:r w:rsidR="00856439">
        <w:t xml:space="preserve"> </w:t>
      </w:r>
      <w:r w:rsidR="00DB59BB">
        <w:t xml:space="preserve">Furthermore, when observing the case of Berkley </w:t>
      </w:r>
      <w:r w:rsidR="00BF49B1">
        <w:t>v</w:t>
      </w:r>
      <w:r w:rsidR="00DB59BB">
        <w:t xml:space="preserve"> </w:t>
      </w:r>
      <w:proofErr w:type="spellStart"/>
      <w:r w:rsidR="00DB59BB">
        <w:t>Poulett</w:t>
      </w:r>
      <w:proofErr w:type="spellEnd"/>
      <w:r w:rsidR="00DB59BB">
        <w:t xml:space="preserve"> [1977] </w:t>
      </w:r>
      <w:r w:rsidR="00BF49B1">
        <w:t>Lord Justice Scarman stated that if an object cannot be removed without causing substantial damage to the land then it is almost always a fixture</w:t>
      </w:r>
      <w:r w:rsidR="00717FFD">
        <w:t xml:space="preserve"> (Bray, 2014)</w:t>
      </w:r>
      <w:r w:rsidR="00BF49B1">
        <w:t xml:space="preserve">.  </w:t>
      </w:r>
    </w:p>
    <w:p w14:paraId="2BCDB7B0" w14:textId="37D1D86A" w:rsidR="00704ADA" w:rsidRDefault="002557ED" w:rsidP="00D90C8A">
      <w:pPr>
        <w:spacing w:line="480" w:lineRule="auto"/>
      </w:pPr>
      <w:r>
        <w:t xml:space="preserve">The kitchen units display </w:t>
      </w:r>
      <w:r w:rsidR="00717FFD">
        <w:t>parallels</w:t>
      </w:r>
      <w:r>
        <w:t xml:space="preserve"> with the TSB Bank plc v </w:t>
      </w:r>
      <w:proofErr w:type="spellStart"/>
      <w:r>
        <w:t>Bothem</w:t>
      </w:r>
      <w:proofErr w:type="spellEnd"/>
      <w:r>
        <w:t xml:space="preserve">. This case suggests that the kitchen units cannot be moved. This is due to the purpose of annexation. The judges came to the </w:t>
      </w:r>
      <w:r w:rsidR="00DE1D04">
        <w:t>decision</w:t>
      </w:r>
      <w:r>
        <w:t xml:space="preserve"> in TSB Bank v Botham that the room was intended to be a kitchen therefore to remove the units would be to the detriment of the land. What must be highlighted however is </w:t>
      </w:r>
      <w:r w:rsidR="00333078">
        <w:t>that</w:t>
      </w:r>
      <w:r>
        <w:t xml:space="preserve"> the kitchen units are resting on their own weight</w:t>
      </w:r>
      <w:r w:rsidR="00717FFD">
        <w:t xml:space="preserve"> (McFarland, 2021)</w:t>
      </w:r>
      <w:r>
        <w:t xml:space="preserve">. If following the </w:t>
      </w:r>
      <w:r w:rsidR="00740712">
        <w:t>decision</w:t>
      </w:r>
      <w:r>
        <w:t xml:space="preserve"> made in </w:t>
      </w:r>
      <w:r w:rsidR="00333078">
        <w:t xml:space="preserve">Holland v Hodges [1872] it would </w:t>
      </w:r>
      <w:r w:rsidR="00DE1D04">
        <w:t>suggest</w:t>
      </w:r>
      <w:r w:rsidR="00333078">
        <w:t xml:space="preserve"> that the units would </w:t>
      </w:r>
      <w:r w:rsidR="0065128E">
        <w:t>be</w:t>
      </w:r>
      <w:r w:rsidR="00333078">
        <w:t xml:space="preserve"> fittings or chattels. However, the purpose of annexation may provide an explanation to why the units </w:t>
      </w:r>
      <w:r w:rsidR="005D0CA7">
        <w:t>are</w:t>
      </w:r>
      <w:r w:rsidR="00333078">
        <w:t xml:space="preserve"> fixtures despite them not be fixed to the land itself.</w:t>
      </w:r>
      <w:r w:rsidR="001B093A">
        <w:t xml:space="preserve"> Lord Justice </w:t>
      </w:r>
      <w:proofErr w:type="spellStart"/>
      <w:r w:rsidR="001B093A">
        <w:t>Roch</w:t>
      </w:r>
      <w:proofErr w:type="spellEnd"/>
      <w:r w:rsidR="001B093A">
        <w:t xml:space="preserve"> in the Botham case attempts to set out </w:t>
      </w:r>
      <w:r w:rsidR="00740712">
        <w:t>guidelines</w:t>
      </w:r>
      <w:r w:rsidR="001B093A">
        <w:t xml:space="preserve"> of what types of furnishing can </w:t>
      </w:r>
      <w:r w:rsidR="005D0CA7">
        <w:t>be</w:t>
      </w:r>
      <w:r w:rsidR="001B093A">
        <w:t xml:space="preserve"> fixture. He suggests that appliances such as hobs and </w:t>
      </w:r>
      <w:r w:rsidR="00DE1D04">
        <w:t>cookers</w:t>
      </w:r>
      <w:r w:rsidR="001B093A">
        <w:t xml:space="preserve"> </w:t>
      </w:r>
      <w:r w:rsidR="0065128E">
        <w:t>are</w:t>
      </w:r>
      <w:r w:rsidR="001B093A">
        <w:t xml:space="preserve"> fixtures as they are not easily removed</w:t>
      </w:r>
      <w:r w:rsidR="005D0CA7">
        <w:t xml:space="preserve"> (Cooke, 2012)</w:t>
      </w:r>
      <w:r w:rsidR="001B093A">
        <w:t xml:space="preserve">. Despite, this </w:t>
      </w:r>
      <w:proofErr w:type="spellStart"/>
      <w:r w:rsidR="001B093A">
        <w:t>Roch</w:t>
      </w:r>
      <w:proofErr w:type="spellEnd"/>
      <w:r w:rsidR="001B093A">
        <w:t xml:space="preserve"> suggests that </w:t>
      </w:r>
      <w:r w:rsidR="00C1657C">
        <w:t xml:space="preserve">all items have a life a lifespan the longer the life span the higher chance that the object will </w:t>
      </w:r>
      <w:r w:rsidR="005D0CA7">
        <w:t>be</w:t>
      </w:r>
      <w:r w:rsidR="00C1657C">
        <w:t xml:space="preserve"> fixture (Bevan, 2021). This is important because it suggests that if the units have no defects the courts will consider it to be a </w:t>
      </w:r>
      <w:r w:rsidR="00C1657C">
        <w:lastRenderedPageBreak/>
        <w:t xml:space="preserve">fixture. The confusion lays with </w:t>
      </w:r>
      <w:r w:rsidR="00333078">
        <w:t xml:space="preserve">The kitchen units entire purpose due to their </w:t>
      </w:r>
      <w:r w:rsidR="003B79D8">
        <w:t>modern</w:t>
      </w:r>
      <w:r w:rsidR="00333078">
        <w:t xml:space="preserve"> design is not be fixed to the ground like the </w:t>
      </w:r>
      <w:r w:rsidR="00C1657C">
        <w:t>object</w:t>
      </w:r>
      <w:r w:rsidR="00333078">
        <w:t xml:space="preserve"> seen in holland v Hodges. This is significant because it shows how concept of annexation has developed overtime</w:t>
      </w:r>
      <w:r w:rsidR="00BD4A6E">
        <w:t xml:space="preserve"> to</w:t>
      </w:r>
      <w:r w:rsidR="00333078">
        <w:t xml:space="preserve"> provid</w:t>
      </w:r>
      <w:r w:rsidR="00740712">
        <w:t>e</w:t>
      </w:r>
      <w:r w:rsidR="00333078">
        <w:t xml:space="preserve"> a flexible solution to modern advancements</w:t>
      </w:r>
      <w:r w:rsidR="005D0CA7">
        <w:t xml:space="preserve"> (</w:t>
      </w:r>
      <w:r w:rsidR="009C0047">
        <w:t>Martin, 2019)</w:t>
      </w:r>
      <w:r w:rsidR="00333078">
        <w:t>.</w:t>
      </w:r>
      <w:r w:rsidR="00704ADA">
        <w:t xml:space="preserve"> </w:t>
      </w:r>
    </w:p>
    <w:p w14:paraId="28FC109E" w14:textId="77777777" w:rsidR="00704ADA" w:rsidRDefault="00704ADA" w:rsidP="00D90C8A">
      <w:pPr>
        <w:spacing w:line="480" w:lineRule="auto"/>
      </w:pPr>
      <w:r>
        <w:t xml:space="preserve">Question 2 </w:t>
      </w:r>
    </w:p>
    <w:p w14:paraId="6BACE9CF" w14:textId="71C36D87" w:rsidR="004C086C" w:rsidRDefault="00704ADA" w:rsidP="00D90C8A">
      <w:pPr>
        <w:spacing w:line="480" w:lineRule="auto"/>
      </w:pPr>
      <w:r>
        <w:t xml:space="preserve">Legal mortgages provide a considerable amount of protect in the form of rights that are </w:t>
      </w:r>
      <w:r w:rsidR="004C086C">
        <w:t>extended</w:t>
      </w:r>
      <w:r>
        <w:t xml:space="preserve"> to the mortgagee. Examples of this include possession</w:t>
      </w:r>
      <w:r w:rsidR="00B9730B">
        <w:t xml:space="preserve"> and</w:t>
      </w:r>
      <w:r>
        <w:t xml:space="preserve"> the power of sale</w:t>
      </w:r>
      <w:r w:rsidR="004C086C">
        <w:t xml:space="preserve">. </w:t>
      </w:r>
    </w:p>
    <w:p w14:paraId="5D2FE11E" w14:textId="22C88B69" w:rsidR="00990EB4" w:rsidRDefault="004C086C" w:rsidP="00D90C8A">
      <w:pPr>
        <w:spacing w:line="480" w:lineRule="auto"/>
      </w:pPr>
      <w:r>
        <w:t>The first remedy available to Trinity Banks is possession, this remedy suggest that the lenders can then take control of the property</w:t>
      </w:r>
      <w:r w:rsidR="00FB39F3">
        <w:t xml:space="preserve">. </w:t>
      </w:r>
      <w:r w:rsidR="00B338EB">
        <w:t>This comes from the case Four Maids Ltd v Dudley Marshall (properties) Ltd [1957] which suggests that a lender can take possession ‘before the ink is dry on the mortgage’. This suggest</w:t>
      </w:r>
      <w:r>
        <w:t xml:space="preserve"> </w:t>
      </w:r>
      <w:r w:rsidR="00FB39F3">
        <w:t>that</w:t>
      </w:r>
      <w:r>
        <w:t xml:space="preserve"> Peter as he is the owner of the </w:t>
      </w:r>
      <w:r w:rsidR="00B338EB">
        <w:t>mortgage,</w:t>
      </w:r>
      <w:r>
        <w:t xml:space="preserve"> he </w:t>
      </w:r>
      <w:r w:rsidR="00A96095">
        <w:t>could</w:t>
      </w:r>
      <w:r>
        <w:t xml:space="preserve"> possibly be ousted from the property</w:t>
      </w:r>
      <w:r w:rsidR="009C0047">
        <w:t xml:space="preserve"> (McFarland, 2021)</w:t>
      </w:r>
      <w:r>
        <w:t xml:space="preserve">. However, this is unlikely as lender tend to only </w:t>
      </w:r>
      <w:r w:rsidR="00B338EB">
        <w:t xml:space="preserve">follow this course of action if the borrower is in default. Peter’s rights to reside in the property are also protected by other areas of law for example threats of violence </w:t>
      </w:r>
      <w:r w:rsidR="009C0047">
        <w:t>to</w:t>
      </w:r>
      <w:r w:rsidR="00B338EB">
        <w:t xml:space="preserve"> get possession </w:t>
      </w:r>
      <w:r w:rsidR="00380761">
        <w:t xml:space="preserve">are strictly prohibited for example violations of Section 6 of the </w:t>
      </w:r>
      <w:bookmarkStart w:id="4" w:name="_Hlk92444630"/>
      <w:r w:rsidR="00380761">
        <w:t>Criminal Law Act 1977</w:t>
      </w:r>
      <w:r w:rsidR="009C0047">
        <w:t xml:space="preserve"> </w:t>
      </w:r>
      <w:bookmarkEnd w:id="4"/>
      <w:r w:rsidR="009C0047">
        <w:t>(</w:t>
      </w:r>
      <w:r w:rsidR="00A96095">
        <w:t>McFarland</w:t>
      </w:r>
      <w:r w:rsidR="009C0047">
        <w:t>, 20</w:t>
      </w:r>
      <w:r w:rsidR="00A96095">
        <w:t>21</w:t>
      </w:r>
      <w:r w:rsidR="009C0047">
        <w:t>)</w:t>
      </w:r>
      <w:r w:rsidR="00380761">
        <w:t xml:space="preserve">. However, if the lender can take control of the property lawfully which can be seen in </w:t>
      </w:r>
      <w:proofErr w:type="spellStart"/>
      <w:r w:rsidR="00380761">
        <w:t>Ropaigealach</w:t>
      </w:r>
      <w:proofErr w:type="spellEnd"/>
      <w:r w:rsidR="00380761">
        <w:t xml:space="preserve"> v Barclays Bank plc [2008]. This case followed section 36 of the </w:t>
      </w:r>
      <w:bookmarkStart w:id="5" w:name="_Hlk92444722"/>
      <w:r w:rsidR="00380761">
        <w:t xml:space="preserve">Administration of Justice Act 1970 </w:t>
      </w:r>
      <w:bookmarkEnd w:id="5"/>
      <w:r w:rsidR="00380761">
        <w:t>allows the</w:t>
      </w:r>
      <w:r w:rsidR="00890880">
        <w:t xml:space="preserve"> courts exercise their common law right of possession</w:t>
      </w:r>
      <w:r w:rsidR="009C0047">
        <w:t xml:space="preserve"> (Bray, 2019)</w:t>
      </w:r>
      <w:r w:rsidR="00890880">
        <w:t>. Section 36 appears to allow the courts the suspend or refuse a right to the lender to possess a mortgaged property</w:t>
      </w:r>
      <w:r w:rsidR="007A179A">
        <w:t>.</w:t>
      </w:r>
      <w:r w:rsidR="003B1E69">
        <w:t xml:space="preserve"> Despite this fact the notion of taking possession without a court order has been challenged in Horsham Properties Group Ltd v </w:t>
      </w:r>
      <w:r w:rsidR="00C853F9">
        <w:t>Clark [2008] Lord justice Briggs suggests that the Mortgagee has the right to sell the property as an essential part of security if lending has been provided at an affordable rate of interest.</w:t>
      </w:r>
      <w:r w:rsidR="008075A5">
        <w:t xml:space="preserve"> The prerequisite to possession is </w:t>
      </w:r>
      <w:r w:rsidR="009E6878">
        <w:t>possession proceedings this is where the lender will meet with the borrower to discuss other alternatives to possession</w:t>
      </w:r>
      <w:r w:rsidR="009C0047">
        <w:t xml:space="preserve"> (</w:t>
      </w:r>
      <w:proofErr w:type="spellStart"/>
      <w:r w:rsidR="009C0047">
        <w:t>Duddington</w:t>
      </w:r>
      <w:proofErr w:type="spellEnd"/>
      <w:r w:rsidR="009C0047">
        <w:t>, 2021)</w:t>
      </w:r>
      <w:r w:rsidR="009E6878">
        <w:t xml:space="preserve">. This includes the pre-action protocol which attempts to allow the borrower to continue to make </w:t>
      </w:r>
      <w:r w:rsidR="009E6878">
        <w:lastRenderedPageBreak/>
        <w:t xml:space="preserve">payments to avoid the lender taking any further action. </w:t>
      </w:r>
      <w:r w:rsidR="00990EB4">
        <w:t xml:space="preserve">There are however some remedies that benefit both parties for example the borrower can ask the courts for permission to exercise </w:t>
      </w:r>
      <w:r w:rsidR="009C0047">
        <w:t>borrowers’</w:t>
      </w:r>
      <w:r w:rsidR="00990EB4">
        <w:t xml:space="preserve"> rights in section 36 of the administration of justice act 1970</w:t>
      </w:r>
      <w:r w:rsidR="009C0047">
        <w:t xml:space="preserve"> (Thomas, 2021)</w:t>
      </w:r>
      <w:r w:rsidR="00990EB4">
        <w:t>. This act gives the borrower the right to start possession proceedings and to set up reasonable payments to supplement the overdue sums</w:t>
      </w:r>
      <w:r w:rsidR="009C0047">
        <w:t xml:space="preserve"> (Bevan, 2018)</w:t>
      </w:r>
      <w:r w:rsidR="006B302F">
        <w:t xml:space="preserve">. </w:t>
      </w:r>
      <w:r w:rsidR="00EA1036">
        <w:t xml:space="preserve">Cheltenham and Gloucester Building Society v </w:t>
      </w:r>
      <w:proofErr w:type="spellStart"/>
      <w:r w:rsidR="00EA1036">
        <w:t>Norgan</w:t>
      </w:r>
      <w:proofErr w:type="spellEnd"/>
      <w:r w:rsidR="00EA1036">
        <w:t xml:space="preserve"> [1996] highlights t</w:t>
      </w:r>
      <w:r w:rsidR="006B302F">
        <w:t>hat</w:t>
      </w:r>
      <w:r w:rsidR="00EA1036">
        <w:t xml:space="preserve"> the courts</w:t>
      </w:r>
      <w:r w:rsidR="006B302F">
        <w:t xml:space="preserve"> are required to calculate a reasonable time for payment of arrears. This is important as it attempts to balance the </w:t>
      </w:r>
      <w:r w:rsidR="00EA1036">
        <w:t>interests</w:t>
      </w:r>
      <w:r w:rsidR="006B302F">
        <w:t xml:space="preserve"> of both parties </w:t>
      </w:r>
      <w:r w:rsidR="00EA1036">
        <w:t>according</w:t>
      </w:r>
      <w:r w:rsidR="006B302F">
        <w:t xml:space="preserve"> to Lord Justice Waite. He </w:t>
      </w:r>
      <w:r w:rsidR="00EA1036">
        <w:t>references</w:t>
      </w:r>
      <w:r w:rsidR="006B302F">
        <w:t xml:space="preserve"> the comments made by Lord Justice Scarman in Middlesbrough Trading and Mortgage Co Ltd v Cunningham</w:t>
      </w:r>
      <w:r w:rsidR="0073511A">
        <w:t xml:space="preserve"> [1974]</w:t>
      </w:r>
      <w:r w:rsidR="006B302F">
        <w:t xml:space="preserve"> which comments on the fact that if the lender consents to the </w:t>
      </w:r>
      <w:r w:rsidR="00EA1036">
        <w:t>payment of arrears then it would be necessary to suggest that the borrower should be given fair time to make the payments. This is keeping within the guidelines set out in section 8 of the administrative justice act 1973 that</w:t>
      </w:r>
      <w:r w:rsidR="009C0047">
        <w:t xml:space="preserve"> (Dixon, 2014)</w:t>
      </w:r>
      <w:r w:rsidR="00EA1036">
        <w:t>.</w:t>
      </w:r>
      <w:r w:rsidR="009C735F">
        <w:t xml:space="preserve"> </w:t>
      </w:r>
      <w:r w:rsidR="00EA1036">
        <w:t xml:space="preserve"> </w:t>
      </w:r>
      <w:r w:rsidR="006B302F">
        <w:t xml:space="preserve">  </w:t>
      </w:r>
    </w:p>
    <w:p w14:paraId="623389F4" w14:textId="3E506815" w:rsidR="003E26AC" w:rsidRDefault="007A53E5" w:rsidP="00D90C8A">
      <w:pPr>
        <w:spacing w:line="480" w:lineRule="auto"/>
      </w:pPr>
      <w:r>
        <w:t xml:space="preserve">The sale of Legal mortgages is usually the next step after possession once the lender has taken over the property then they will be extended this power via Section 101 of </w:t>
      </w:r>
      <w:bookmarkStart w:id="6" w:name="_Hlk92444974"/>
      <w:r>
        <w:t>the Law of Property Act</w:t>
      </w:r>
      <w:r w:rsidR="00D82864">
        <w:t xml:space="preserve"> 1925</w:t>
      </w:r>
      <w:bookmarkEnd w:id="6"/>
      <w:r>
        <w:t>.</w:t>
      </w:r>
      <w:r w:rsidR="00D82864">
        <w:t xml:space="preserve"> Trinity Banks will be given this power of sale </w:t>
      </w:r>
      <w:r w:rsidR="001B3A5E">
        <w:t>if the necessary conditions are met</w:t>
      </w:r>
      <w:r w:rsidR="009C0047">
        <w:t xml:space="preserve"> (Thomas, 2021) (Sayles, 2018)</w:t>
      </w:r>
      <w:r w:rsidR="001B3A5E">
        <w:t xml:space="preserve">. The mortgage must be made by deed with there being an absence of a contrary condition within the contract. The Legal date for payment of the mortgage has been agree upon by both parties. The power sale will allow Peter to provide repayable </w:t>
      </w:r>
      <w:r w:rsidR="00AB666C">
        <w:t>instalment</w:t>
      </w:r>
      <w:r w:rsidR="001B3A5E">
        <w:t xml:space="preserve"> up until the point where Peter is no longer in areas with Trinity Banks. Despite this, if Peter does not pay the bank what is owed the </w:t>
      </w:r>
      <w:r w:rsidR="00AB666C">
        <w:t>arrears</w:t>
      </w:r>
      <w:r w:rsidR="001B3A5E">
        <w:t xml:space="preserve"> instalments, the power of sale will arise giving Trinity Banks </w:t>
      </w:r>
      <w:r w:rsidR="00AB666C">
        <w:t>has the right to the sale of the property</w:t>
      </w:r>
      <w:r w:rsidR="003A3C4E">
        <w:t xml:space="preserve"> (</w:t>
      </w:r>
      <w:proofErr w:type="spellStart"/>
      <w:r w:rsidR="003A3C4E">
        <w:t>Gooderson</w:t>
      </w:r>
      <w:proofErr w:type="spellEnd"/>
      <w:r w:rsidR="003A3C4E">
        <w:t>, 1961)</w:t>
      </w:r>
      <w:r w:rsidR="009C0047">
        <w:t xml:space="preserve"> (McFarland, 2021)</w:t>
      </w:r>
      <w:r w:rsidR="00AB666C">
        <w:t>. However, the right to exercise the sale comes from Section 103 of the Property Law act that suggest that the power of sale is only granted if one of three conditions are met</w:t>
      </w:r>
      <w:r w:rsidR="009C0047">
        <w:t xml:space="preserve"> (Thomas, 2021)</w:t>
      </w:r>
      <w:r w:rsidR="00AB666C">
        <w:t xml:space="preserve">. The first condition is that </w:t>
      </w:r>
      <w:r w:rsidR="009C0047">
        <w:t>there</w:t>
      </w:r>
      <w:r w:rsidR="00AB666C">
        <w:t xml:space="preserve"> has been a default in </w:t>
      </w:r>
      <w:r w:rsidR="009C0047">
        <w:t>their</w:t>
      </w:r>
      <w:r w:rsidR="00AA1D30">
        <w:t xml:space="preserve"> </w:t>
      </w:r>
      <w:r w:rsidR="00AB666C">
        <w:t xml:space="preserve">payment of the loan after a notice has required that the borrower </w:t>
      </w:r>
      <w:r w:rsidR="00AA1D30">
        <w:t xml:space="preserve">has missed three months of payments. The second is that the interest is at least two </w:t>
      </w:r>
      <w:r w:rsidR="009C0047">
        <w:t>months</w:t>
      </w:r>
      <w:r w:rsidR="00AA1D30">
        <w:t xml:space="preserve"> in arrears. The third condition is that there has been a covenant in the mortgage deed or a statutory provision that </w:t>
      </w:r>
      <w:r w:rsidR="00AA1D30">
        <w:lastRenderedPageBreak/>
        <w:t>allows the lender to exercise the right of sale when there has been a breach of a covenant to obtain the borrowers written consent for the grant of a lease to third party this comes from Bishop v Blake [2006]</w:t>
      </w:r>
      <w:r w:rsidR="00643916">
        <w:t xml:space="preserve"> (Smith, 2017) (McFarland, 2021)</w:t>
      </w:r>
      <w:r w:rsidR="00DE70C7">
        <w:t>.</w:t>
      </w:r>
      <w:r>
        <w:t xml:space="preserve"> </w:t>
      </w:r>
      <w:r w:rsidR="003E26AC">
        <w:t>Peter must be aware of the lenders right to sell the mortgage without having to go to get acceptance from the courts as Peter is arrears. This may occur if the lender can control the sale and recover lost assets on the condition that the amount given to the lender is in excess of what is owned by the borrower.</w:t>
      </w:r>
      <w:r w:rsidR="00DE70C7">
        <w:t xml:space="preserve"> This comes from the Horsham</w:t>
      </w:r>
      <w:r w:rsidR="00B23B8B">
        <w:t xml:space="preserve"> Properties Group Ltd V Clark [2008].</w:t>
      </w:r>
      <w:r w:rsidR="003E26AC">
        <w:t xml:space="preserve"> This is dictated by the fact that the lender must have the best interests of the borrower in mind. The power of sale is extended to the lender via Section 101 (1) of the Law of Property Act 1925.</w:t>
      </w:r>
      <w:r w:rsidR="00B23B8B">
        <w:t xml:space="preserve"> The extent of duty that is owed to Peter will be</w:t>
      </w:r>
      <w:r w:rsidR="00CD40C8">
        <w:t xml:space="preserve"> </w:t>
      </w:r>
      <w:r w:rsidR="00643916">
        <w:t>considered</w:t>
      </w:r>
      <w:r w:rsidR="00CD40C8">
        <w:t xml:space="preserve"> as it was</w:t>
      </w:r>
      <w:r w:rsidR="00643916">
        <w:t xml:space="preserve"> decided</w:t>
      </w:r>
      <w:r w:rsidR="00CD40C8">
        <w:t xml:space="preserve"> in Michael v Mi</w:t>
      </w:r>
      <w:r w:rsidR="00471975">
        <w:t>ller</w:t>
      </w:r>
      <w:r w:rsidR="00CD40C8">
        <w:t xml:space="preserve"> [2004] where it is up to the </w:t>
      </w:r>
      <w:r w:rsidR="00643916">
        <w:t>discretion</w:t>
      </w:r>
      <w:r w:rsidR="00CD40C8">
        <w:t xml:space="preserve"> of the mortgagee how the property is advertised and for how long the property is left of the market before they decide to sell</w:t>
      </w:r>
      <w:r w:rsidR="00643916">
        <w:t xml:space="preserve"> (Martin, 2019)</w:t>
      </w:r>
      <w:r w:rsidR="00CD40C8">
        <w:t xml:space="preserve">. Therefore, Peter will have an element of </w:t>
      </w:r>
      <w:r w:rsidR="00A2098B">
        <w:t>protection</w:t>
      </w:r>
      <w:r w:rsidR="00CD40C8">
        <w:t xml:space="preserve"> from the complete sale of his property as a duty is owed to him.</w:t>
      </w:r>
      <w:r w:rsidR="00B23B8B">
        <w:t xml:space="preserve"> Furthermore, the Horsham Case was governed by </w:t>
      </w:r>
      <w:bookmarkStart w:id="7" w:name="_Hlk92445314"/>
      <w:r w:rsidR="00B23B8B">
        <w:t>Article 1 Protocol 1 of the European Convention on Human rights</w:t>
      </w:r>
      <w:bookmarkEnd w:id="7"/>
      <w:r w:rsidR="00643916">
        <w:t xml:space="preserve"> (Thomas, 2021)</w:t>
      </w:r>
      <w:r w:rsidR="00B23B8B">
        <w:t>.</w:t>
      </w:r>
      <w:r w:rsidR="003E26AC">
        <w:t xml:space="preserve"> This is an implied statutory power of the lender </w:t>
      </w:r>
      <w:r w:rsidR="002622DD">
        <w:t xml:space="preserve">which has </w:t>
      </w:r>
      <w:r>
        <w:t>two</w:t>
      </w:r>
      <w:r w:rsidR="002622DD">
        <w:t xml:space="preserve"> facets that must be satisfied before this power becomes legal. The first stage refers to the mortgage money due or when arrears payments due in instalments fall short of the agreed date. The second of which refers to the agreement between the parties falling within the scope of section 103 of Law of Property Act 1925</w:t>
      </w:r>
      <w:r w:rsidR="00643916">
        <w:t xml:space="preserve"> (Thomas, 2021)</w:t>
      </w:r>
      <w:r w:rsidR="002622DD">
        <w:t>. In the case of Pete</w:t>
      </w:r>
      <w:r w:rsidR="00B9730B">
        <w:t>r,</w:t>
      </w:r>
      <w:r w:rsidR="002622DD">
        <w:t xml:space="preserve"> he has not been upkeeping his payments for six months. Under section 103 it is possible that trinity banks could exercise their right to sell as </w:t>
      </w:r>
      <w:r w:rsidR="006D20E6">
        <w:t xml:space="preserve">the section 103 suggests that after two months of unpaid debt will grant the lender this power. However, section 103 also highlights that some other breach of provision must be made </w:t>
      </w:r>
      <w:r w:rsidR="00A85CCF">
        <w:t>for</w:t>
      </w:r>
      <w:r w:rsidR="006D20E6">
        <w:t xml:space="preserve"> the power to be valid, this does not relate to the covenant of payment.</w:t>
      </w:r>
      <w:r w:rsidR="00A85CCF">
        <w:t xml:space="preserve"> </w:t>
      </w:r>
      <w:r w:rsidR="00371578">
        <w:t>What cannot be denied is that the lender has some duties owed to the borrower</w:t>
      </w:r>
      <w:r w:rsidR="00643916">
        <w:t xml:space="preserve"> (Thomas, 2021)</w:t>
      </w:r>
      <w:r w:rsidR="008B151D">
        <w:t xml:space="preserve"> </w:t>
      </w:r>
      <w:r w:rsidR="00643916">
        <w:t>(McFarland, 2021)</w:t>
      </w:r>
      <w:r w:rsidR="00371578">
        <w:t xml:space="preserve">. The two main duties are to ensure that the lender has shown good faith </w:t>
      </w:r>
      <w:r w:rsidR="00A85CCF">
        <w:t xml:space="preserve">and reasonable care for example the Mortgagee is </w:t>
      </w:r>
      <w:r w:rsidR="00A2098B">
        <w:t>restricted</w:t>
      </w:r>
      <w:r w:rsidR="00A85CCF">
        <w:t xml:space="preserve"> from buying back the mortgage even if it was bought at market value the leading case on this matter is </w:t>
      </w:r>
      <w:r w:rsidR="00A2098B">
        <w:t xml:space="preserve">Martinson v Clowes [1882]. </w:t>
      </w:r>
      <w:r w:rsidR="00371578">
        <w:t xml:space="preserve">The </w:t>
      </w:r>
      <w:r w:rsidR="00371578">
        <w:lastRenderedPageBreak/>
        <w:t xml:space="preserve">second is that the necessary step have been taken </w:t>
      </w:r>
      <w:r w:rsidR="00643916">
        <w:t>to</w:t>
      </w:r>
      <w:r w:rsidR="00371578">
        <w:t xml:space="preserve"> ensure that the conduct of the sale is lawful. Lord justice Salmon in Cuckmere Brick Co v Mutual Finance [1971] </w:t>
      </w:r>
      <w:r w:rsidR="00323087">
        <w:t>suggests that it is within the best interest of the borrower to find the best possible price for the property as to not do so would be unjust. Therefore, if the farm is to be sold trinity banks must ensure that they get the best possible market price.</w:t>
      </w:r>
      <w:r w:rsidR="00A2098B">
        <w:t xml:space="preserve"> Furthermore, the ruling in </w:t>
      </w:r>
      <w:bookmarkStart w:id="8" w:name="_Hlk92445494"/>
      <w:r w:rsidR="00A2098B">
        <w:t xml:space="preserve">China and South Sea Bank Plc [2003] </w:t>
      </w:r>
      <w:bookmarkEnd w:id="8"/>
      <w:r w:rsidR="00A2098B">
        <w:t>emphasises that although it is to the discretion of the mortgagee good timing is key to ensure that the right has been extended to the borrower</w:t>
      </w:r>
      <w:r w:rsidR="00643916">
        <w:t xml:space="preserve"> (Lees, 2020) ( Bevan, 2019)</w:t>
      </w:r>
      <w:r w:rsidR="00A2098B">
        <w:t>.</w:t>
      </w:r>
    </w:p>
    <w:p w14:paraId="4732891F" w14:textId="44A2C8AF" w:rsidR="000F515B" w:rsidRDefault="000F515B" w:rsidP="003C53B3"/>
    <w:p w14:paraId="2B9F90DA" w14:textId="77777777" w:rsidR="00CE3DB8" w:rsidRDefault="00CE3DB8" w:rsidP="003C53B3"/>
    <w:p w14:paraId="051AA971" w14:textId="77777777" w:rsidR="00CE3DB8" w:rsidRDefault="00CE3DB8" w:rsidP="003C53B3">
      <w:pPr>
        <w:rPr>
          <w:b/>
          <w:bCs/>
        </w:rPr>
      </w:pPr>
    </w:p>
    <w:p w14:paraId="24B85FCB" w14:textId="77777777" w:rsidR="00CE3DB8" w:rsidRDefault="00CE3DB8" w:rsidP="003C53B3">
      <w:pPr>
        <w:rPr>
          <w:b/>
          <w:bCs/>
        </w:rPr>
      </w:pPr>
    </w:p>
    <w:p w14:paraId="4C332CA1" w14:textId="77777777" w:rsidR="00643916" w:rsidRDefault="00643916" w:rsidP="003C53B3">
      <w:pPr>
        <w:rPr>
          <w:b/>
          <w:bCs/>
        </w:rPr>
      </w:pPr>
    </w:p>
    <w:p w14:paraId="6686EC94" w14:textId="77777777" w:rsidR="00643916" w:rsidRDefault="00643916" w:rsidP="003C53B3">
      <w:pPr>
        <w:rPr>
          <w:b/>
          <w:bCs/>
        </w:rPr>
      </w:pPr>
    </w:p>
    <w:p w14:paraId="5E34B363" w14:textId="77777777" w:rsidR="00643916" w:rsidRDefault="00643916" w:rsidP="003C53B3">
      <w:pPr>
        <w:rPr>
          <w:b/>
          <w:bCs/>
        </w:rPr>
      </w:pPr>
    </w:p>
    <w:p w14:paraId="7F5C703E" w14:textId="77777777" w:rsidR="00643916" w:rsidRDefault="00643916" w:rsidP="003C53B3">
      <w:pPr>
        <w:rPr>
          <w:b/>
          <w:bCs/>
        </w:rPr>
      </w:pPr>
    </w:p>
    <w:p w14:paraId="0EA70D26" w14:textId="77777777" w:rsidR="00643916" w:rsidRDefault="00643916" w:rsidP="003C53B3">
      <w:pPr>
        <w:rPr>
          <w:b/>
          <w:bCs/>
        </w:rPr>
      </w:pPr>
    </w:p>
    <w:p w14:paraId="36720BB7" w14:textId="77777777" w:rsidR="00643916" w:rsidRDefault="00643916" w:rsidP="003C53B3">
      <w:pPr>
        <w:rPr>
          <w:b/>
          <w:bCs/>
        </w:rPr>
      </w:pPr>
    </w:p>
    <w:p w14:paraId="1797A5AF" w14:textId="77777777" w:rsidR="00643916" w:rsidRDefault="00643916" w:rsidP="003C53B3">
      <w:pPr>
        <w:rPr>
          <w:b/>
          <w:bCs/>
        </w:rPr>
      </w:pPr>
    </w:p>
    <w:p w14:paraId="54E38EA9" w14:textId="77777777" w:rsidR="00643916" w:rsidRDefault="00643916" w:rsidP="003C53B3">
      <w:pPr>
        <w:rPr>
          <w:b/>
          <w:bCs/>
        </w:rPr>
      </w:pPr>
    </w:p>
    <w:p w14:paraId="3E33632A" w14:textId="77777777" w:rsidR="00643916" w:rsidRDefault="00643916" w:rsidP="003C53B3">
      <w:pPr>
        <w:rPr>
          <w:b/>
          <w:bCs/>
        </w:rPr>
      </w:pPr>
    </w:p>
    <w:p w14:paraId="6A017320" w14:textId="77777777" w:rsidR="00643916" w:rsidRDefault="00643916" w:rsidP="003C53B3">
      <w:pPr>
        <w:rPr>
          <w:b/>
          <w:bCs/>
        </w:rPr>
      </w:pPr>
    </w:p>
    <w:p w14:paraId="2C5A1D03" w14:textId="77777777" w:rsidR="00643916" w:rsidRDefault="00643916" w:rsidP="003C53B3">
      <w:pPr>
        <w:rPr>
          <w:b/>
          <w:bCs/>
        </w:rPr>
      </w:pPr>
    </w:p>
    <w:p w14:paraId="62AB1D55" w14:textId="77777777" w:rsidR="00643916" w:rsidRDefault="00643916" w:rsidP="003C53B3">
      <w:pPr>
        <w:rPr>
          <w:b/>
          <w:bCs/>
        </w:rPr>
      </w:pPr>
    </w:p>
    <w:p w14:paraId="33B656C3" w14:textId="77777777" w:rsidR="00643916" w:rsidRDefault="00643916" w:rsidP="003C53B3">
      <w:pPr>
        <w:rPr>
          <w:b/>
          <w:bCs/>
        </w:rPr>
      </w:pPr>
    </w:p>
    <w:p w14:paraId="16D4B6A4" w14:textId="77777777" w:rsidR="00643916" w:rsidRDefault="00643916" w:rsidP="003C53B3">
      <w:pPr>
        <w:rPr>
          <w:b/>
          <w:bCs/>
        </w:rPr>
      </w:pPr>
    </w:p>
    <w:p w14:paraId="41ACD9F3" w14:textId="77777777" w:rsidR="00643916" w:rsidRDefault="00643916" w:rsidP="003C53B3">
      <w:pPr>
        <w:rPr>
          <w:b/>
          <w:bCs/>
        </w:rPr>
      </w:pPr>
    </w:p>
    <w:p w14:paraId="5D0387B6" w14:textId="77777777" w:rsidR="00643916" w:rsidRDefault="00643916" w:rsidP="003C53B3">
      <w:pPr>
        <w:rPr>
          <w:b/>
          <w:bCs/>
        </w:rPr>
      </w:pPr>
    </w:p>
    <w:p w14:paraId="378A9026" w14:textId="77777777" w:rsidR="00D90C8A" w:rsidRDefault="00D90C8A" w:rsidP="003C53B3">
      <w:pPr>
        <w:rPr>
          <w:b/>
          <w:bCs/>
        </w:rPr>
      </w:pPr>
    </w:p>
    <w:p w14:paraId="3778AE58" w14:textId="77777777" w:rsidR="0076239C" w:rsidRDefault="0076239C" w:rsidP="003C53B3">
      <w:pPr>
        <w:rPr>
          <w:b/>
          <w:bCs/>
        </w:rPr>
      </w:pPr>
    </w:p>
    <w:p w14:paraId="7CA753DD" w14:textId="7B6D9EF9" w:rsidR="00A91EE1" w:rsidRPr="00CE3DB8" w:rsidRDefault="00703869" w:rsidP="003C53B3">
      <w:pPr>
        <w:rPr>
          <w:b/>
          <w:bCs/>
        </w:rPr>
      </w:pPr>
      <w:r w:rsidRPr="00CE3DB8">
        <w:rPr>
          <w:b/>
          <w:bCs/>
        </w:rPr>
        <w:lastRenderedPageBreak/>
        <w:t xml:space="preserve">Bibliography Question 1 </w:t>
      </w:r>
    </w:p>
    <w:p w14:paraId="40E510C8" w14:textId="78D173DB" w:rsidR="003F29E2" w:rsidRDefault="00293A7C" w:rsidP="003C53B3">
      <w:r>
        <w:t>A.L.G. (1932). Real Property Fixtures. The Cambridge Law Journal. Cambridge University Press. Pp 380</w:t>
      </w:r>
    </w:p>
    <w:p w14:paraId="2FD19063" w14:textId="534A758E" w:rsidR="008427BD" w:rsidRDefault="008427BD" w:rsidP="003C53B3">
      <w:r>
        <w:t>Bevan, C. (2018). Land Law. Oxford University Press. Pp. 4-551</w:t>
      </w:r>
    </w:p>
    <w:p w14:paraId="0FFD7830" w14:textId="505485A2" w:rsidR="004560AA" w:rsidRDefault="004560AA" w:rsidP="003C53B3">
      <w:r>
        <w:t>Bevan, C. (2021). The Law if Fixtures and Chattels: Recalibration, Rationalisation and Reform. Durham Law School. Pp. 1-4</w:t>
      </w:r>
    </w:p>
    <w:p w14:paraId="45BF5082" w14:textId="2794BC03" w:rsidR="00E17589" w:rsidRDefault="003F29E2" w:rsidP="003C53B3">
      <w:r>
        <w:t xml:space="preserve">Bray, J. (2014). Land Law. Routledge. </w:t>
      </w:r>
      <w:r w:rsidR="00D72E31">
        <w:t>Pp 8-184</w:t>
      </w:r>
    </w:p>
    <w:p w14:paraId="73FFAB5A" w14:textId="2896E361" w:rsidR="00E17589" w:rsidRDefault="00E17589" w:rsidP="003C53B3">
      <w:r>
        <w:t xml:space="preserve">Bray, J. (2019) Unlocking Land Law. Routledge. </w:t>
      </w:r>
    </w:p>
    <w:p w14:paraId="466A05B9" w14:textId="314FE229" w:rsidR="00224650" w:rsidRDefault="00224650" w:rsidP="003C53B3">
      <w:r>
        <w:t>Chappelle, D. (2008). Land Law. Pearson. 8</w:t>
      </w:r>
      <w:r w:rsidRPr="00224650">
        <w:rPr>
          <w:vertAlign w:val="superscript"/>
        </w:rPr>
        <w:t>th</w:t>
      </w:r>
      <w:r>
        <w:t xml:space="preserve"> Edition. Pp 23- 345</w:t>
      </w:r>
    </w:p>
    <w:p w14:paraId="1283B3E7" w14:textId="661677E9" w:rsidR="00224650" w:rsidRDefault="00224650" w:rsidP="003C53B3">
      <w:r>
        <w:t>Cooke, E. (2012). Land Law. University of Reading.  Oxford University Press. 2</w:t>
      </w:r>
      <w:r w:rsidRPr="00224650">
        <w:rPr>
          <w:vertAlign w:val="superscript"/>
        </w:rPr>
        <w:t>nd</w:t>
      </w:r>
      <w:r>
        <w:t xml:space="preserve"> edition. </w:t>
      </w:r>
      <w:r w:rsidR="00FF5001">
        <w:t>P</w:t>
      </w:r>
      <w:r>
        <w:t>p</w:t>
      </w:r>
      <w:r w:rsidR="00FF5001">
        <w:t xml:space="preserve"> 1-149</w:t>
      </w:r>
    </w:p>
    <w:p w14:paraId="78A5E2BA" w14:textId="49329170" w:rsidR="00BB6C8D" w:rsidRDefault="00BB6C8D" w:rsidP="003C53B3">
      <w:proofErr w:type="spellStart"/>
      <w:r>
        <w:t>Duddington</w:t>
      </w:r>
      <w:proofErr w:type="spellEnd"/>
      <w:r>
        <w:t>, J. (2021) Land Law. Law Express. Pearson. Pp 10-192</w:t>
      </w:r>
    </w:p>
    <w:p w14:paraId="06773CF9" w14:textId="4740A995" w:rsidR="00D72E31" w:rsidRDefault="00D72E31" w:rsidP="003C53B3">
      <w:r>
        <w:t>Dixon, M. (2014) Modern Land Law. Cambridge. Routledge. 9</w:t>
      </w:r>
      <w:r w:rsidRPr="00D72E31">
        <w:rPr>
          <w:vertAlign w:val="superscript"/>
        </w:rPr>
        <w:t>th</w:t>
      </w:r>
      <w:r>
        <w:t xml:space="preserve"> edition. Pp 408- </w:t>
      </w:r>
      <w:r w:rsidR="008427BD">
        <w:t>440</w:t>
      </w:r>
    </w:p>
    <w:p w14:paraId="4CB028D0" w14:textId="19F02B60" w:rsidR="00FB35D0" w:rsidRDefault="00FB35D0" w:rsidP="003C53B3">
      <w:r w:rsidRPr="00FB35D0">
        <w:t>Lees, E. (2020). The Principles of Land Law. Oxford University Press. Pp 25-376</w:t>
      </w:r>
      <w:r>
        <w:t xml:space="preserve"> </w:t>
      </w:r>
    </w:p>
    <w:p w14:paraId="53A96925" w14:textId="05774C20" w:rsidR="003F29E2" w:rsidRDefault="003F29E2" w:rsidP="003C53B3">
      <w:r>
        <w:t>Martin, G. (2019). Thompson’s Modern Land Law. Oxford University Press. 7</w:t>
      </w:r>
      <w:r w:rsidRPr="003F29E2">
        <w:rPr>
          <w:vertAlign w:val="superscript"/>
        </w:rPr>
        <w:t>th</w:t>
      </w:r>
      <w:r>
        <w:t xml:space="preserve"> Edition. Pp 22- 403</w:t>
      </w:r>
    </w:p>
    <w:p w14:paraId="428A3867" w14:textId="274C2DE7" w:rsidR="00975E33" w:rsidRDefault="00975E33" w:rsidP="003C53B3">
      <w:r>
        <w:t xml:space="preserve">McFarlane, B. (2021). Land Law. </w:t>
      </w:r>
      <w:r w:rsidR="003323C3">
        <w:t>Oxford University Press. 5</w:t>
      </w:r>
      <w:r w:rsidR="003323C3" w:rsidRPr="003323C3">
        <w:rPr>
          <w:vertAlign w:val="superscript"/>
        </w:rPr>
        <w:t>th</w:t>
      </w:r>
      <w:r w:rsidR="003323C3">
        <w:t xml:space="preserve"> Edition. Pp 25- 1026</w:t>
      </w:r>
    </w:p>
    <w:p w14:paraId="318EF466" w14:textId="12CFA218" w:rsidR="00EA33ED" w:rsidRDefault="00EA33ED" w:rsidP="003C53B3">
      <w:r>
        <w:t>Sayles, V. (2018). Concentrate Land Law. Oxford University Press. 6</w:t>
      </w:r>
      <w:r>
        <w:rPr>
          <w:vertAlign w:val="superscript"/>
        </w:rPr>
        <w:t xml:space="preserve">th </w:t>
      </w:r>
      <w:r>
        <w:t xml:space="preserve">Edition. </w:t>
      </w:r>
    </w:p>
    <w:p w14:paraId="5C02DCB2" w14:textId="527A1BF2" w:rsidR="003F29E2" w:rsidRDefault="003F7902" w:rsidP="003C53B3">
      <w:r>
        <w:t>Smith, R. (2017). Property Law. Pearson. 10</w:t>
      </w:r>
      <w:r w:rsidRPr="003F7902">
        <w:rPr>
          <w:vertAlign w:val="superscript"/>
        </w:rPr>
        <w:t>th</w:t>
      </w:r>
      <w:r>
        <w:t xml:space="preserve"> Edition. </w:t>
      </w:r>
      <w:r w:rsidR="00F34F6D">
        <w:t>P</w:t>
      </w:r>
      <w:r>
        <w:t>p</w:t>
      </w:r>
      <w:r w:rsidR="00F34F6D">
        <w:t xml:space="preserve"> 62-612</w:t>
      </w:r>
      <w:r w:rsidR="003F29E2">
        <w:t xml:space="preserve"> </w:t>
      </w:r>
    </w:p>
    <w:p w14:paraId="03515818" w14:textId="0824545A" w:rsidR="00CE3DB8" w:rsidRDefault="00CE3DB8" w:rsidP="003C53B3">
      <w:r w:rsidRPr="00CE3DB8">
        <w:t>Thomas, M. (2021). Blackstone’s Statutes on Property Law 2021-2022. Oxford University Press. 29th Edition. Pp 45- 174</w:t>
      </w:r>
      <w:r>
        <w:t xml:space="preserve"> </w:t>
      </w:r>
    </w:p>
    <w:p w14:paraId="259A3FFD" w14:textId="63CCB598" w:rsidR="003C77E2" w:rsidRDefault="003C77E2" w:rsidP="003C53B3">
      <w:proofErr w:type="spellStart"/>
      <w:r>
        <w:t>Thornely</w:t>
      </w:r>
      <w:proofErr w:type="spellEnd"/>
      <w:r>
        <w:t xml:space="preserve">, J. (1969) Vendor’s Title to Chattels Found on Land After its Sale to the Purchaser. The Cambridge Law Journal. Cambridge University Press. 28-30. </w:t>
      </w:r>
    </w:p>
    <w:p w14:paraId="1AE1B4C5" w14:textId="08C91794" w:rsidR="00FF5001" w:rsidRDefault="00FF5001" w:rsidP="003C53B3">
      <w:proofErr w:type="spellStart"/>
      <w:r>
        <w:t>Waner</w:t>
      </w:r>
      <w:proofErr w:type="spellEnd"/>
      <w:r>
        <w:t>-Reed, E. (2017). Optimize Land Law. Routledge. 2</w:t>
      </w:r>
      <w:r w:rsidRPr="00FF5001">
        <w:rPr>
          <w:vertAlign w:val="superscript"/>
        </w:rPr>
        <w:t>nd</w:t>
      </w:r>
      <w:r>
        <w:t xml:space="preserve"> edition. Pp 1-311</w:t>
      </w:r>
    </w:p>
    <w:p w14:paraId="157594E0" w14:textId="74C4C8EC" w:rsidR="00703869" w:rsidRDefault="003F7902" w:rsidP="003C53B3">
      <w:r>
        <w:t xml:space="preserve"> </w:t>
      </w:r>
    </w:p>
    <w:p w14:paraId="4E151674" w14:textId="6B4BF1FE" w:rsidR="00704ADA" w:rsidRPr="00CE3DB8" w:rsidRDefault="00CE3DB8" w:rsidP="003C53B3">
      <w:pPr>
        <w:rPr>
          <w:b/>
          <w:bCs/>
        </w:rPr>
      </w:pPr>
      <w:r w:rsidRPr="00CE3DB8">
        <w:rPr>
          <w:b/>
          <w:bCs/>
        </w:rPr>
        <w:t>Bibliography Question 2</w:t>
      </w:r>
    </w:p>
    <w:p w14:paraId="1FB5593F" w14:textId="77777777" w:rsidR="00CE3DB8" w:rsidRDefault="00CE3DB8" w:rsidP="00CE3DB8">
      <w:r>
        <w:t>Bevan, C. (2018). Land Law. Oxford University Press. Pp. 4-551</w:t>
      </w:r>
    </w:p>
    <w:p w14:paraId="0B2D831B" w14:textId="77777777" w:rsidR="00CE3DB8" w:rsidRDefault="00CE3DB8" w:rsidP="00CE3DB8">
      <w:r>
        <w:t>Bray, J. (2014). Land Law. Routledge. Pp 8-184</w:t>
      </w:r>
    </w:p>
    <w:p w14:paraId="6C0B65A4" w14:textId="77777777" w:rsidR="00CE3DB8" w:rsidRDefault="00CE3DB8" w:rsidP="00CE3DB8">
      <w:r>
        <w:t xml:space="preserve">Bray, J. (2019) Unlocking Land Law. Routledge. </w:t>
      </w:r>
    </w:p>
    <w:p w14:paraId="0C4745AF" w14:textId="77777777" w:rsidR="00CE3DB8" w:rsidRDefault="00CE3DB8" w:rsidP="00CE3DB8">
      <w:r>
        <w:t>Chappelle, D. (2008). Land Law. Pearson. 8th Edition. Pp 23- 345</w:t>
      </w:r>
    </w:p>
    <w:p w14:paraId="2548FCDA" w14:textId="77777777" w:rsidR="00CE3DB8" w:rsidRDefault="00CE3DB8" w:rsidP="00CE3DB8">
      <w:r>
        <w:t>Cooke, E. (2012). Land Law. University of Reading.  Oxford University Press. 2nd edition. Pp 1-149</w:t>
      </w:r>
    </w:p>
    <w:p w14:paraId="7C190C76" w14:textId="77777777" w:rsidR="00CE3DB8" w:rsidRDefault="00CE3DB8" w:rsidP="00CE3DB8">
      <w:proofErr w:type="spellStart"/>
      <w:r>
        <w:t>Duddington</w:t>
      </w:r>
      <w:proofErr w:type="spellEnd"/>
      <w:r>
        <w:t>, J. (2021) Land Law. Law Express. Pearson. Pp 10-192</w:t>
      </w:r>
    </w:p>
    <w:p w14:paraId="630656AF" w14:textId="77777777" w:rsidR="00CE3DB8" w:rsidRDefault="00CE3DB8" w:rsidP="00CE3DB8">
      <w:r>
        <w:t>Dixon, M. (2014) Modern Land Law. Cambridge. Routledge. 9th edition. Pp 408- 440</w:t>
      </w:r>
    </w:p>
    <w:p w14:paraId="053BC4F6" w14:textId="2E0C5107" w:rsidR="003A3C4E" w:rsidRDefault="003A3C4E" w:rsidP="00CE3DB8">
      <w:proofErr w:type="spellStart"/>
      <w:r>
        <w:t>Gooderson</w:t>
      </w:r>
      <w:proofErr w:type="spellEnd"/>
      <w:r>
        <w:t>, R. (1961). Mortgage Power of Sale Possession. The Cambridge Law Journal. Cambridge University Press. Vol. 19. Pp. 39-41</w:t>
      </w:r>
    </w:p>
    <w:p w14:paraId="3BB6ED2B" w14:textId="1F832554" w:rsidR="00FB35D0" w:rsidRDefault="00FB35D0" w:rsidP="00CE3DB8">
      <w:r w:rsidRPr="00FB35D0">
        <w:lastRenderedPageBreak/>
        <w:t>Lees, E. (2020). The Principles of Land Law. Oxford University Press. Pp 25-376</w:t>
      </w:r>
      <w:r>
        <w:t xml:space="preserve"> </w:t>
      </w:r>
    </w:p>
    <w:p w14:paraId="05385C48" w14:textId="2DBCB6A0" w:rsidR="00CE3DB8" w:rsidRDefault="00CE3DB8" w:rsidP="00CE3DB8">
      <w:r>
        <w:t>Martin, G. (2019). Thompson’s Modern Land Law. Oxford University Press. 7th Edition. Pp 22- 403</w:t>
      </w:r>
    </w:p>
    <w:p w14:paraId="5E38EE6D" w14:textId="77777777" w:rsidR="00CE3DB8" w:rsidRDefault="00CE3DB8" w:rsidP="00CE3DB8">
      <w:r>
        <w:t>McFarlane, B. (2021). Land Law. Oxford University Press. 5th Edition. Pp 25- 1026</w:t>
      </w:r>
    </w:p>
    <w:p w14:paraId="491FB53F" w14:textId="77777777" w:rsidR="00CE3DB8" w:rsidRDefault="00CE3DB8" w:rsidP="00CE3DB8">
      <w:r>
        <w:t xml:space="preserve">Sayles, V. (2018). Concentrate Land Law. Oxford University Press. 6th Edition. </w:t>
      </w:r>
    </w:p>
    <w:p w14:paraId="60791012" w14:textId="77777777" w:rsidR="00CE3DB8" w:rsidRDefault="00CE3DB8" w:rsidP="00CE3DB8">
      <w:r>
        <w:t xml:space="preserve">Smith, R. (2017). Property Law. Pearson. 10th Edition. Pp 62-612 </w:t>
      </w:r>
    </w:p>
    <w:p w14:paraId="1F6A68BE" w14:textId="77777777" w:rsidR="00CE3DB8" w:rsidRDefault="00CE3DB8" w:rsidP="00CE3DB8">
      <w:r>
        <w:t xml:space="preserve">Thomas, M. (2021). Blackstone’s Statutes on Property Law 2021-2022. Oxford University Press. 29th Edition. Pp 45- 174 </w:t>
      </w:r>
    </w:p>
    <w:p w14:paraId="3DA7ADBE" w14:textId="4705D2B4" w:rsidR="00704ADA" w:rsidRDefault="00CE3DB8" w:rsidP="00CE3DB8">
      <w:proofErr w:type="spellStart"/>
      <w:r>
        <w:t>Waner</w:t>
      </w:r>
      <w:proofErr w:type="spellEnd"/>
      <w:r>
        <w:t>-Reed, E. (2017). Optimize Land Law. Routledge. 2nd edition. Pp 1-311</w:t>
      </w:r>
      <w:r w:rsidR="0076239C">
        <w:t xml:space="preserve"> </w:t>
      </w:r>
    </w:p>
    <w:p w14:paraId="45710E65" w14:textId="1D420BB7" w:rsidR="0076239C" w:rsidRDefault="0076239C" w:rsidP="00CE3DB8"/>
    <w:p w14:paraId="4EA61DEA" w14:textId="77777777" w:rsidR="0076239C" w:rsidRDefault="0076239C" w:rsidP="0076239C">
      <w:r>
        <w:t xml:space="preserve">Case list </w:t>
      </w:r>
    </w:p>
    <w:p w14:paraId="55D66A8E" w14:textId="77777777" w:rsidR="0076239C" w:rsidRDefault="0076239C" w:rsidP="0076239C">
      <w:r>
        <w:t>Question 1</w:t>
      </w:r>
    </w:p>
    <w:p w14:paraId="1DC2AD8B" w14:textId="77777777" w:rsidR="0076239C" w:rsidRDefault="0076239C" w:rsidP="0076239C">
      <w:proofErr w:type="spellStart"/>
      <w:r>
        <w:t>Aircool</w:t>
      </w:r>
      <w:proofErr w:type="spellEnd"/>
      <w:r>
        <w:t xml:space="preserve"> Installations v British Telecommunications [1995] CLY 821 </w:t>
      </w:r>
    </w:p>
    <w:p w14:paraId="50886CCF" w14:textId="77777777" w:rsidR="0076239C" w:rsidRDefault="0076239C" w:rsidP="0076239C">
      <w:r>
        <w:t xml:space="preserve">Berkley v </w:t>
      </w:r>
      <w:proofErr w:type="spellStart"/>
      <w:r>
        <w:t>Poulett</w:t>
      </w:r>
      <w:proofErr w:type="spellEnd"/>
      <w:r>
        <w:t xml:space="preserve"> [1976] EWCA </w:t>
      </w:r>
      <w:proofErr w:type="spellStart"/>
      <w:r>
        <w:t>Civ</w:t>
      </w:r>
      <w:proofErr w:type="spellEnd"/>
      <w:r>
        <w:t xml:space="preserve"> 1 </w:t>
      </w:r>
    </w:p>
    <w:p w14:paraId="1CC32DB3" w14:textId="77777777" w:rsidR="0076239C" w:rsidRDefault="0076239C" w:rsidP="0076239C">
      <w:r>
        <w:t>Billing v Pill [1954] 1 QB 70</w:t>
      </w:r>
    </w:p>
    <w:p w14:paraId="06BCE01B" w14:textId="77777777" w:rsidR="0076239C" w:rsidRDefault="0076239C" w:rsidP="0076239C">
      <w:r>
        <w:t xml:space="preserve">Botham v TSB Bank plc (1997) 73 P &amp; CR D1 </w:t>
      </w:r>
    </w:p>
    <w:p w14:paraId="16EE2881" w14:textId="77777777" w:rsidR="0076239C" w:rsidRDefault="0076239C" w:rsidP="0076239C">
      <w:proofErr w:type="spellStart"/>
      <w:r>
        <w:t>D'Eyncourt</w:t>
      </w:r>
      <w:proofErr w:type="spellEnd"/>
      <w:r>
        <w:t xml:space="preserve"> v Gregory (1866) LR 3 </w:t>
      </w:r>
      <w:proofErr w:type="spellStart"/>
      <w:r>
        <w:t>Eq</w:t>
      </w:r>
      <w:proofErr w:type="spellEnd"/>
      <w:r>
        <w:t xml:space="preserve"> 382</w:t>
      </w:r>
    </w:p>
    <w:p w14:paraId="49949549" w14:textId="77777777" w:rsidR="0076239C" w:rsidRDefault="0076239C" w:rsidP="0076239C">
      <w:r>
        <w:t>Dixon v Fisher (1843) 5 D 775</w:t>
      </w:r>
    </w:p>
    <w:p w14:paraId="642FE2BD" w14:textId="77777777" w:rsidR="0076239C" w:rsidRDefault="0076239C" w:rsidP="0076239C">
      <w:proofErr w:type="spellStart"/>
      <w:r>
        <w:t>Elitestone</w:t>
      </w:r>
      <w:proofErr w:type="spellEnd"/>
      <w:r>
        <w:t xml:space="preserve"> v Morris [1997] 1 WLR 687</w:t>
      </w:r>
    </w:p>
    <w:p w14:paraId="1C1A68F8" w14:textId="77777777" w:rsidR="0076239C" w:rsidRDefault="0076239C" w:rsidP="0076239C">
      <w:r>
        <w:t>Hamp v Bygrave (1983) 266 EG 720</w:t>
      </w:r>
    </w:p>
    <w:p w14:paraId="3C39B2AF" w14:textId="77777777" w:rsidR="0076239C" w:rsidRDefault="0076239C" w:rsidP="0076239C">
      <w:r>
        <w:t xml:space="preserve">Holland v Hodgson (1872) LR 7 CP 328 </w:t>
      </w:r>
    </w:p>
    <w:p w14:paraId="0C88AD15" w14:textId="77777777" w:rsidR="0076239C" w:rsidRDefault="0076239C" w:rsidP="0076239C">
      <w:r>
        <w:t xml:space="preserve">Limitation act 1980 </w:t>
      </w:r>
    </w:p>
    <w:p w14:paraId="7264B95F" w14:textId="77777777" w:rsidR="0076239C" w:rsidRDefault="0076239C" w:rsidP="0076239C">
      <w:r>
        <w:t xml:space="preserve">Monsanto v Tilly [1999] EWCA </w:t>
      </w:r>
      <w:proofErr w:type="spellStart"/>
      <w:r>
        <w:t>Civ</w:t>
      </w:r>
      <w:proofErr w:type="spellEnd"/>
      <w:r>
        <w:t xml:space="preserve"> 3044 </w:t>
      </w:r>
    </w:p>
    <w:p w14:paraId="1D285AF0" w14:textId="77777777" w:rsidR="0076239C" w:rsidRDefault="0076239C" w:rsidP="0076239C">
      <w:r>
        <w:t xml:space="preserve">Re Cohen [1953] </w:t>
      </w:r>
    </w:p>
    <w:p w14:paraId="3035728B" w14:textId="77777777" w:rsidR="0076239C" w:rsidRDefault="0076239C" w:rsidP="0076239C">
      <w:proofErr w:type="spellStart"/>
      <w:r>
        <w:t>Spyer</w:t>
      </w:r>
      <w:proofErr w:type="spellEnd"/>
      <w:r>
        <w:t xml:space="preserve"> v Phillipson [1931] 2 Ch 183 </w:t>
      </w:r>
    </w:p>
    <w:p w14:paraId="0D7811AB" w14:textId="77777777" w:rsidR="0076239C" w:rsidRDefault="0076239C" w:rsidP="0076239C">
      <w:r>
        <w:t>The law of property act 1925</w:t>
      </w:r>
    </w:p>
    <w:p w14:paraId="524A986C" w14:textId="77777777" w:rsidR="0076239C" w:rsidRDefault="0076239C" w:rsidP="0076239C">
      <w:r>
        <w:t>The rent act 1977</w:t>
      </w:r>
    </w:p>
    <w:p w14:paraId="12C65622" w14:textId="77777777" w:rsidR="0076239C" w:rsidRDefault="0076239C" w:rsidP="0076239C">
      <w:r>
        <w:t xml:space="preserve">Tower Hamlets LBC v Bromley LBC [2015] EWHC </w:t>
      </w:r>
    </w:p>
    <w:p w14:paraId="5DE3033B" w14:textId="77777777" w:rsidR="0076239C" w:rsidRDefault="0076239C" w:rsidP="0076239C"/>
    <w:p w14:paraId="68FFE711" w14:textId="77777777" w:rsidR="0076239C" w:rsidRDefault="0076239C" w:rsidP="0076239C">
      <w:r>
        <w:t xml:space="preserve">Question 2 </w:t>
      </w:r>
    </w:p>
    <w:p w14:paraId="3C5061F3" w14:textId="77777777" w:rsidR="0076239C" w:rsidRDefault="0076239C" w:rsidP="0076239C">
      <w:r>
        <w:t xml:space="preserve">Administration of Justice Act 1970 </w:t>
      </w:r>
    </w:p>
    <w:p w14:paraId="72CA7AE5" w14:textId="77777777" w:rsidR="0076239C" w:rsidRDefault="0076239C" w:rsidP="0076239C">
      <w:r>
        <w:t xml:space="preserve">Article 1 Protocol 1 of the European Convention on Human rights </w:t>
      </w:r>
    </w:p>
    <w:p w14:paraId="5CD9984E" w14:textId="77777777" w:rsidR="0076239C" w:rsidRDefault="0076239C" w:rsidP="0076239C">
      <w:r>
        <w:lastRenderedPageBreak/>
        <w:t>Bishop v Blake [2006] EWHC 831</w:t>
      </w:r>
    </w:p>
    <w:p w14:paraId="22B4BE95" w14:textId="77777777" w:rsidR="0076239C" w:rsidRDefault="0076239C" w:rsidP="0076239C">
      <w:r>
        <w:t xml:space="preserve">Cheltenham &amp; Gloucester BS v </w:t>
      </w:r>
      <w:proofErr w:type="spellStart"/>
      <w:r>
        <w:t>Norgan</w:t>
      </w:r>
      <w:proofErr w:type="spellEnd"/>
      <w:r>
        <w:t xml:space="preserve"> [1996] 1 WLR 343</w:t>
      </w:r>
    </w:p>
    <w:p w14:paraId="0B00103B" w14:textId="77777777" w:rsidR="0076239C" w:rsidRDefault="0076239C" w:rsidP="0076239C">
      <w:r>
        <w:t xml:space="preserve">China and South Sea Bank Plc [2003] </w:t>
      </w:r>
    </w:p>
    <w:p w14:paraId="1C7B6075" w14:textId="77777777" w:rsidR="0076239C" w:rsidRDefault="0076239C" w:rsidP="0076239C">
      <w:r>
        <w:t xml:space="preserve">Cuckmere brick Co Ltd v Mutual Finance Ltd [1971] Ch 949 </w:t>
      </w:r>
    </w:p>
    <w:p w14:paraId="443024BF" w14:textId="77777777" w:rsidR="0076239C" w:rsidRDefault="0076239C" w:rsidP="0076239C">
      <w:r>
        <w:t xml:space="preserve">Four-Maids Ltd v Dudley Marshall (Properties) Ltd [1957] Ch 317 </w:t>
      </w:r>
    </w:p>
    <w:p w14:paraId="05FE8EBA" w14:textId="77777777" w:rsidR="0076239C" w:rsidRDefault="0076239C" w:rsidP="0076239C">
      <w:r>
        <w:t xml:space="preserve">Horsham Properties Group Ltd v Clark [2008] EWHC 2327 </w:t>
      </w:r>
    </w:p>
    <w:p w14:paraId="11B63929" w14:textId="77777777" w:rsidR="0076239C" w:rsidRDefault="0076239C" w:rsidP="0076239C">
      <w:r>
        <w:t xml:space="preserve">Martinson v Clowes [1882] 21 Ch D 857 </w:t>
      </w:r>
    </w:p>
    <w:p w14:paraId="16BB873B" w14:textId="77777777" w:rsidR="0076239C" w:rsidRDefault="0076239C" w:rsidP="0076239C">
      <w:r>
        <w:t>Michael v Miller [2004] 2 EGLR 151</w:t>
      </w:r>
    </w:p>
    <w:p w14:paraId="333F91CA" w14:textId="77777777" w:rsidR="0076239C" w:rsidRDefault="0076239C" w:rsidP="0076239C">
      <w:proofErr w:type="spellStart"/>
      <w:r>
        <w:t>Middlesborough</w:t>
      </w:r>
      <w:proofErr w:type="spellEnd"/>
      <w:r>
        <w:t xml:space="preserve"> Trading &amp; Mortgage Co Ltd v Cunningham [1974] P &amp; C R 69 at 75</w:t>
      </w:r>
    </w:p>
    <w:p w14:paraId="28C8C46E" w14:textId="77777777" w:rsidR="0076239C" w:rsidRDefault="0076239C" w:rsidP="0076239C">
      <w:proofErr w:type="spellStart"/>
      <w:r>
        <w:t>Ropaigealach</w:t>
      </w:r>
      <w:proofErr w:type="spellEnd"/>
      <w:r>
        <w:t xml:space="preserve"> v Barclays Bank plc [2000] QB 263 </w:t>
      </w:r>
    </w:p>
    <w:p w14:paraId="392485D4" w14:textId="77777777" w:rsidR="0076239C" w:rsidRDefault="0076239C" w:rsidP="0076239C">
      <w:r>
        <w:t xml:space="preserve">The Criminal Law Act 1977  </w:t>
      </w:r>
    </w:p>
    <w:p w14:paraId="09C828DA" w14:textId="492EF600" w:rsidR="0076239C" w:rsidRDefault="0076239C" w:rsidP="0076239C">
      <w:r>
        <w:t>The Law of Property Act 1925</w:t>
      </w:r>
    </w:p>
    <w:p w14:paraId="5F8C082D" w14:textId="77777777" w:rsidR="00704ADA" w:rsidRDefault="00704ADA" w:rsidP="003C53B3"/>
    <w:p w14:paraId="383DA761" w14:textId="77777777" w:rsidR="00704ADA" w:rsidRDefault="00704ADA" w:rsidP="003C53B3"/>
    <w:p w14:paraId="08D9DA47" w14:textId="1A227DB7" w:rsidR="00A66ECD" w:rsidRDefault="001B093A" w:rsidP="003C53B3">
      <w:r>
        <w:t xml:space="preserve"> </w:t>
      </w:r>
      <w:r w:rsidR="003B79D8">
        <w:t xml:space="preserve"> </w:t>
      </w:r>
    </w:p>
    <w:sectPr w:rsidR="00A66E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3B3"/>
    <w:rsid w:val="00036D54"/>
    <w:rsid w:val="00081D3A"/>
    <w:rsid w:val="000A1299"/>
    <w:rsid w:val="000F515B"/>
    <w:rsid w:val="00102909"/>
    <w:rsid w:val="00103A8A"/>
    <w:rsid w:val="00113891"/>
    <w:rsid w:val="001B093A"/>
    <w:rsid w:val="001B3A5E"/>
    <w:rsid w:val="00223CE3"/>
    <w:rsid w:val="00224650"/>
    <w:rsid w:val="002507DC"/>
    <w:rsid w:val="002557ED"/>
    <w:rsid w:val="002622DD"/>
    <w:rsid w:val="00293A7C"/>
    <w:rsid w:val="002A4EC9"/>
    <w:rsid w:val="002C1785"/>
    <w:rsid w:val="002E15D6"/>
    <w:rsid w:val="003065F8"/>
    <w:rsid w:val="00322DE6"/>
    <w:rsid w:val="00323087"/>
    <w:rsid w:val="00326767"/>
    <w:rsid w:val="003323C3"/>
    <w:rsid w:val="00333078"/>
    <w:rsid w:val="00371578"/>
    <w:rsid w:val="00380761"/>
    <w:rsid w:val="00381B88"/>
    <w:rsid w:val="003A3C4E"/>
    <w:rsid w:val="003B1E69"/>
    <w:rsid w:val="003B79D8"/>
    <w:rsid w:val="003C53B3"/>
    <w:rsid w:val="003C77E2"/>
    <w:rsid w:val="003E26AC"/>
    <w:rsid w:val="003E343B"/>
    <w:rsid w:val="003F29E2"/>
    <w:rsid w:val="003F7902"/>
    <w:rsid w:val="0040219C"/>
    <w:rsid w:val="0045044A"/>
    <w:rsid w:val="004560AA"/>
    <w:rsid w:val="00470E81"/>
    <w:rsid w:val="00471975"/>
    <w:rsid w:val="004C086C"/>
    <w:rsid w:val="004E5B98"/>
    <w:rsid w:val="005213F6"/>
    <w:rsid w:val="005466F1"/>
    <w:rsid w:val="005D0CA7"/>
    <w:rsid w:val="005D41F3"/>
    <w:rsid w:val="005F147E"/>
    <w:rsid w:val="005F46E4"/>
    <w:rsid w:val="00633705"/>
    <w:rsid w:val="00637D43"/>
    <w:rsid w:val="006424E8"/>
    <w:rsid w:val="00643916"/>
    <w:rsid w:val="0065128E"/>
    <w:rsid w:val="0068019A"/>
    <w:rsid w:val="006B302F"/>
    <w:rsid w:val="006D20E6"/>
    <w:rsid w:val="006E1AA3"/>
    <w:rsid w:val="00703869"/>
    <w:rsid w:val="00704ADA"/>
    <w:rsid w:val="00717FFD"/>
    <w:rsid w:val="0073511A"/>
    <w:rsid w:val="00740712"/>
    <w:rsid w:val="007576DB"/>
    <w:rsid w:val="0076239C"/>
    <w:rsid w:val="007A179A"/>
    <w:rsid w:val="007A53E5"/>
    <w:rsid w:val="00800965"/>
    <w:rsid w:val="008075A5"/>
    <w:rsid w:val="008427BD"/>
    <w:rsid w:val="00856439"/>
    <w:rsid w:val="00867F72"/>
    <w:rsid w:val="00890880"/>
    <w:rsid w:val="008B151D"/>
    <w:rsid w:val="00910FC5"/>
    <w:rsid w:val="009543F0"/>
    <w:rsid w:val="00960C52"/>
    <w:rsid w:val="00975E33"/>
    <w:rsid w:val="0098043E"/>
    <w:rsid w:val="00990EB4"/>
    <w:rsid w:val="009B2E4B"/>
    <w:rsid w:val="009C0047"/>
    <w:rsid w:val="009C735F"/>
    <w:rsid w:val="009E6878"/>
    <w:rsid w:val="00A2098B"/>
    <w:rsid w:val="00A66ECD"/>
    <w:rsid w:val="00A85CCF"/>
    <w:rsid w:val="00A86190"/>
    <w:rsid w:val="00A91EE1"/>
    <w:rsid w:val="00A9527D"/>
    <w:rsid w:val="00A96095"/>
    <w:rsid w:val="00AA1D30"/>
    <w:rsid w:val="00AB666C"/>
    <w:rsid w:val="00AD4DC3"/>
    <w:rsid w:val="00AF351F"/>
    <w:rsid w:val="00B23B8B"/>
    <w:rsid w:val="00B2670F"/>
    <w:rsid w:val="00B338EB"/>
    <w:rsid w:val="00B4008D"/>
    <w:rsid w:val="00B9730B"/>
    <w:rsid w:val="00BB6C8D"/>
    <w:rsid w:val="00BD4A6E"/>
    <w:rsid w:val="00BF49B1"/>
    <w:rsid w:val="00C14C07"/>
    <w:rsid w:val="00C1657C"/>
    <w:rsid w:val="00C16A43"/>
    <w:rsid w:val="00C65F8D"/>
    <w:rsid w:val="00C8306C"/>
    <w:rsid w:val="00C853F9"/>
    <w:rsid w:val="00CA7F34"/>
    <w:rsid w:val="00CD116C"/>
    <w:rsid w:val="00CD373A"/>
    <w:rsid w:val="00CD40C8"/>
    <w:rsid w:val="00CE3DB8"/>
    <w:rsid w:val="00D15DD8"/>
    <w:rsid w:val="00D15FF3"/>
    <w:rsid w:val="00D55B2B"/>
    <w:rsid w:val="00D65253"/>
    <w:rsid w:val="00D72E31"/>
    <w:rsid w:val="00D82864"/>
    <w:rsid w:val="00D90C8A"/>
    <w:rsid w:val="00DA5FF9"/>
    <w:rsid w:val="00DB59BB"/>
    <w:rsid w:val="00DD18EE"/>
    <w:rsid w:val="00DE1D04"/>
    <w:rsid w:val="00DE70C7"/>
    <w:rsid w:val="00E106EC"/>
    <w:rsid w:val="00E17589"/>
    <w:rsid w:val="00E71429"/>
    <w:rsid w:val="00EA1036"/>
    <w:rsid w:val="00EA33ED"/>
    <w:rsid w:val="00EA5783"/>
    <w:rsid w:val="00ED6F59"/>
    <w:rsid w:val="00EE268B"/>
    <w:rsid w:val="00EF55DF"/>
    <w:rsid w:val="00F04DC5"/>
    <w:rsid w:val="00F12AC7"/>
    <w:rsid w:val="00F34F6D"/>
    <w:rsid w:val="00F4430E"/>
    <w:rsid w:val="00F5119B"/>
    <w:rsid w:val="00F74C62"/>
    <w:rsid w:val="00F87D7C"/>
    <w:rsid w:val="00F963C8"/>
    <w:rsid w:val="00FB35D0"/>
    <w:rsid w:val="00FB39F3"/>
    <w:rsid w:val="00FB494C"/>
    <w:rsid w:val="00FF466A"/>
    <w:rsid w:val="00FF5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BF6B0"/>
  <w15:chartTrackingRefBased/>
  <w15:docId w15:val="{B4F84AB9-AC13-4359-A8AC-1BCEED7C8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11</Pages>
  <Words>3244</Words>
  <Characters>18496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Hopson</dc:creator>
  <cp:keywords/>
  <dc:description/>
  <cp:lastModifiedBy>Sam Hopson</cp:lastModifiedBy>
  <cp:revision>4</cp:revision>
  <dcterms:created xsi:type="dcterms:W3CDTF">2022-01-07T02:53:00Z</dcterms:created>
  <dcterms:modified xsi:type="dcterms:W3CDTF">2022-01-07T10:59:00Z</dcterms:modified>
</cp:coreProperties>
</file>