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BE1DCC" w14:textId="77777777" w:rsidR="000872B3" w:rsidRDefault="000872B3" w:rsidP="000872B3">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Living Heritage and the National Mining Museum: Site of memory? Or Tourist attraction?</w:t>
      </w:r>
    </w:p>
    <w:p w14:paraId="0262BBD2" w14:textId="77777777" w:rsidR="000D0DC0" w:rsidRDefault="000D0DC0" w:rsidP="000D0DC0">
      <w:pPr>
        <w:pStyle w:val="paragraph"/>
        <w:spacing w:before="0" w:beforeAutospacing="0" w:after="0" w:afterAutospacing="0" w:line="360" w:lineRule="auto"/>
        <w:textAlignment w:val="baseline"/>
        <w:rPr>
          <w:rStyle w:val="eop"/>
          <w:rFonts w:ascii="Calibri" w:hAnsi="Calibri" w:cs="Calibri"/>
          <w:sz w:val="22"/>
          <w:szCs w:val="22"/>
        </w:rPr>
      </w:pPr>
    </w:p>
    <w:p w14:paraId="20CC1479" w14:textId="77777777" w:rsidR="000D0DC0" w:rsidRDefault="000D0DC0" w:rsidP="000D0DC0">
      <w:pPr>
        <w:pStyle w:val="paragraph"/>
        <w:spacing w:before="0" w:beforeAutospacing="0" w:after="0" w:afterAutospacing="0" w:line="360" w:lineRule="auto"/>
        <w:ind w:left="3600"/>
        <w:jc w:val="right"/>
        <w:textAlignment w:val="baseline"/>
        <w:rPr>
          <w:rStyle w:val="eop"/>
          <w:rFonts w:ascii="Calibri" w:hAnsi="Calibri" w:cs="Calibri"/>
          <w:sz w:val="22"/>
          <w:szCs w:val="22"/>
        </w:rPr>
      </w:pPr>
      <w:r>
        <w:rPr>
          <w:rStyle w:val="eop"/>
          <w:rFonts w:ascii="Calibri" w:hAnsi="Calibri" w:cs="Calibri"/>
          <w:sz w:val="22"/>
          <w:szCs w:val="22"/>
        </w:rPr>
        <w:t>“The people of Blaenavon would have probably preferred a swimming pool, or a Tesco’s or anything other than a mining museum… However, it still puts it on the map as it’s not just a mining museum but because it’s always been here…What does big pit do for us?”</w:t>
      </w:r>
    </w:p>
    <w:p w14:paraId="503A2DBD" w14:textId="77777777" w:rsidR="000D0DC0" w:rsidRDefault="000D0DC0" w:rsidP="000D0DC0">
      <w:pPr>
        <w:pStyle w:val="paragraph"/>
        <w:numPr>
          <w:ilvl w:val="0"/>
          <w:numId w:val="2"/>
        </w:numPr>
        <w:spacing w:before="0" w:beforeAutospacing="0" w:after="0" w:afterAutospacing="0" w:line="360" w:lineRule="auto"/>
        <w:jc w:val="right"/>
        <w:textAlignment w:val="baseline"/>
        <w:rPr>
          <w:rStyle w:val="eop"/>
          <w:rFonts w:ascii="Calibri" w:hAnsi="Calibri" w:cs="Calibri"/>
          <w:sz w:val="22"/>
          <w:szCs w:val="22"/>
        </w:rPr>
      </w:pPr>
      <w:r>
        <w:rPr>
          <w:rStyle w:val="eop"/>
          <w:rFonts w:ascii="Calibri" w:hAnsi="Calibri" w:cs="Calibri"/>
          <w:sz w:val="22"/>
          <w:szCs w:val="22"/>
        </w:rPr>
        <w:t>Ceri Thompson, 2018</w:t>
      </w:r>
    </w:p>
    <w:p w14:paraId="1B688649" w14:textId="45E1FA00" w:rsidR="00AE118F" w:rsidRDefault="00AE118F" w:rsidP="000D0DC0">
      <w:pPr>
        <w:jc w:val="right"/>
      </w:pPr>
    </w:p>
    <w:p w14:paraId="0940B249" w14:textId="77777777" w:rsidR="000D0DC0" w:rsidRDefault="000D0DC0" w:rsidP="000D0DC0">
      <w:pPr>
        <w:jc w:val="right"/>
      </w:pPr>
    </w:p>
    <w:p w14:paraId="3CD0C330" w14:textId="7B57B511" w:rsidR="000872B3" w:rsidRDefault="000872B3">
      <w:pPr>
        <w:rPr>
          <w:u w:val="single"/>
        </w:rPr>
      </w:pPr>
      <w:r w:rsidRPr="000872B3">
        <w:rPr>
          <w:u w:val="single"/>
        </w:rPr>
        <w:t>Introduction</w:t>
      </w:r>
    </w:p>
    <w:p w14:paraId="33D5584A" w14:textId="77777777" w:rsidR="000872B3" w:rsidRDefault="000872B3" w:rsidP="000872B3">
      <w:pPr>
        <w:pStyle w:val="paragraph"/>
        <w:spacing w:before="0" w:beforeAutospacing="0" w:after="0" w:afterAutospacing="0" w:line="360" w:lineRule="auto"/>
        <w:textAlignment w:val="baseline"/>
        <w:rPr>
          <w:rStyle w:val="normaltextrun"/>
          <w:rFonts w:ascii="Calibri" w:hAnsi="Calibri" w:cs="Calibri"/>
          <w:sz w:val="22"/>
          <w:szCs w:val="22"/>
        </w:rPr>
      </w:pPr>
      <w:r>
        <w:rPr>
          <w:rStyle w:val="eop"/>
          <w:rFonts w:ascii="Calibri" w:hAnsi="Calibri" w:cs="Calibri"/>
          <w:sz w:val="22"/>
          <w:szCs w:val="22"/>
        </w:rPr>
        <w:t xml:space="preserve">Museums are naturally sites of cultural production. </w:t>
      </w:r>
      <w:r>
        <w:rPr>
          <w:rStyle w:val="normaltextrun"/>
          <w:rFonts w:ascii="Calibri" w:hAnsi="Calibri" w:cs="Calibri"/>
          <w:sz w:val="22"/>
          <w:szCs w:val="22"/>
        </w:rPr>
        <w:t>Heritage is often associated with memory, whether that be in the sense of cultural, tangible, intangible or historical</w:t>
      </w:r>
      <w:sdt>
        <w:sdtPr>
          <w:rPr>
            <w:rStyle w:val="normaltextrun"/>
            <w:rFonts w:ascii="Calibri" w:hAnsi="Calibri" w:cs="Calibri"/>
            <w:sz w:val="22"/>
            <w:szCs w:val="22"/>
          </w:rPr>
          <w:id w:val="85045276"/>
          <w:citation/>
        </w:sdtPr>
        <w:sdtContent>
          <w:r>
            <w:rPr>
              <w:rStyle w:val="normaltextrun"/>
              <w:rFonts w:ascii="Calibri" w:hAnsi="Calibri" w:cs="Calibri"/>
              <w:sz w:val="22"/>
              <w:szCs w:val="22"/>
            </w:rPr>
            <w:fldChar w:fldCharType="begin"/>
          </w:r>
          <w:r>
            <w:rPr>
              <w:rStyle w:val="normaltextrun"/>
              <w:rFonts w:ascii="Calibri" w:hAnsi="Calibri" w:cs="Calibri"/>
              <w:sz w:val="22"/>
              <w:szCs w:val="22"/>
            </w:rPr>
            <w:instrText xml:space="preserve"> CITATION Pra15 \l 2057 </w:instrText>
          </w:r>
          <w:r>
            <w:rPr>
              <w:rStyle w:val="normaltextrun"/>
              <w:rFonts w:ascii="Calibri" w:hAnsi="Calibri" w:cs="Calibri"/>
              <w:sz w:val="22"/>
              <w:szCs w:val="22"/>
            </w:rPr>
            <w:fldChar w:fldCharType="separate"/>
          </w:r>
          <w:r>
            <w:rPr>
              <w:rStyle w:val="normaltextrun"/>
              <w:rFonts w:ascii="Calibri" w:hAnsi="Calibri" w:cs="Calibri"/>
              <w:noProof/>
              <w:sz w:val="22"/>
              <w:szCs w:val="22"/>
            </w:rPr>
            <w:t xml:space="preserve"> </w:t>
          </w:r>
          <w:r w:rsidRPr="00034402">
            <w:rPr>
              <w:rFonts w:ascii="Calibri" w:hAnsi="Calibri" w:cs="Calibri"/>
              <w:noProof/>
              <w:sz w:val="22"/>
              <w:szCs w:val="22"/>
            </w:rPr>
            <w:t>(Prat, 2015)</w:t>
          </w:r>
          <w:r>
            <w:rPr>
              <w:rStyle w:val="normaltextrun"/>
              <w:rFonts w:ascii="Calibri" w:hAnsi="Calibri" w:cs="Calibri"/>
              <w:sz w:val="22"/>
              <w:szCs w:val="22"/>
            </w:rPr>
            <w:fldChar w:fldCharType="end"/>
          </w:r>
        </w:sdtContent>
      </w:sdt>
      <w:r>
        <w:rPr>
          <w:rStyle w:val="normaltextrun"/>
          <w:rFonts w:ascii="Calibri" w:hAnsi="Calibri" w:cs="Calibri"/>
          <w:sz w:val="22"/>
          <w:szCs w:val="22"/>
        </w:rPr>
        <w:t>. Places such as museums </w:t>
      </w:r>
      <w:proofErr w:type="gramStart"/>
      <w:r>
        <w:rPr>
          <w:rStyle w:val="advancedproofingissue"/>
          <w:rFonts w:ascii="Calibri" w:hAnsi="Calibri" w:cs="Calibri"/>
          <w:sz w:val="22"/>
          <w:szCs w:val="22"/>
        </w:rPr>
        <w:t>have an effect on</w:t>
      </w:r>
      <w:proofErr w:type="gramEnd"/>
      <w:r>
        <w:rPr>
          <w:rStyle w:val="normaltextrun"/>
          <w:rFonts w:ascii="Calibri" w:hAnsi="Calibri" w:cs="Calibri"/>
          <w:sz w:val="22"/>
          <w:szCs w:val="22"/>
        </w:rPr>
        <w:t> us. We </w:t>
      </w:r>
      <w:proofErr w:type="gramStart"/>
      <w:r>
        <w:rPr>
          <w:rStyle w:val="advancedproofingissue"/>
          <w:rFonts w:ascii="Calibri" w:hAnsi="Calibri" w:cs="Calibri"/>
          <w:sz w:val="22"/>
          <w:szCs w:val="22"/>
        </w:rPr>
        <w:t>are able to</w:t>
      </w:r>
      <w:proofErr w:type="gramEnd"/>
      <w:r>
        <w:rPr>
          <w:rStyle w:val="normaltextrun"/>
          <w:rFonts w:ascii="Calibri" w:hAnsi="Calibri" w:cs="Calibri"/>
          <w:sz w:val="22"/>
          <w:szCs w:val="22"/>
        </w:rPr>
        <w:t> relate them in some ways to our personal experiences and memories.</w:t>
      </w:r>
      <w:r>
        <w:rPr>
          <w:rStyle w:val="normaltextrun"/>
          <w:rFonts w:ascii="Calibri" w:hAnsi="Calibri" w:cs="Calibri"/>
          <w:color w:val="000000"/>
          <w:sz w:val="22"/>
          <w:szCs w:val="22"/>
          <w:shd w:val="clear" w:color="auto" w:fill="E1E3E6"/>
        </w:rPr>
        <w:t> (Prat, 2015)</w:t>
      </w:r>
      <w:r>
        <w:rPr>
          <w:rStyle w:val="normaltextrun"/>
          <w:rFonts w:ascii="Calibri" w:hAnsi="Calibri" w:cs="Calibri"/>
        </w:rPr>
        <w:t xml:space="preserve">. </w:t>
      </w:r>
      <w:r>
        <w:rPr>
          <w:rStyle w:val="normaltextrun"/>
          <w:rFonts w:ascii="Calibri" w:hAnsi="Calibri" w:cs="Calibri"/>
          <w:sz w:val="22"/>
          <w:szCs w:val="22"/>
        </w:rPr>
        <w:t>Difficult heritage, such as the site that is going to be examined, deals with what is considered problematic pasts, uncomfortable and contested histories.  In 2011, UNESCO, which Big Pit is recognised by, held a workshop identifying the problems surrounding the representation of difficult heritage.</w:t>
      </w:r>
      <w:r>
        <w:rPr>
          <w:rStyle w:val="eop"/>
          <w:rFonts w:ascii="Calibri" w:hAnsi="Calibri" w:cs="Calibri"/>
          <w:sz w:val="22"/>
          <w:szCs w:val="22"/>
        </w:rPr>
        <w:t xml:space="preserve"> They brought in the resulting queries; </w:t>
      </w:r>
      <w:r>
        <w:rPr>
          <w:rStyle w:val="eop"/>
          <w:rFonts w:ascii="Calibri" w:hAnsi="Calibri" w:cs="Calibri"/>
          <w:sz w:val="22"/>
          <w:szCs w:val="22"/>
        </w:rPr>
        <w:br/>
      </w:r>
    </w:p>
    <w:p w14:paraId="1AA8EE6B" w14:textId="77777777" w:rsidR="000872B3" w:rsidRDefault="000872B3" w:rsidP="000872B3">
      <w:pPr>
        <w:pStyle w:val="paragraph"/>
        <w:spacing w:before="0" w:beforeAutospacing="0" w:after="0" w:afterAutospacing="0" w:line="360" w:lineRule="auto"/>
        <w:ind w:left="720"/>
        <w:textAlignment w:val="baseline"/>
        <w:rPr>
          <w:rStyle w:val="normaltextrun"/>
          <w:rFonts w:ascii="Calibri" w:hAnsi="Calibri" w:cs="Calibri"/>
          <w:sz w:val="22"/>
          <w:szCs w:val="22"/>
        </w:rPr>
      </w:pPr>
      <w:r w:rsidRPr="00AE520F">
        <w:rPr>
          <w:rStyle w:val="normaltextrun"/>
          <w:rFonts w:ascii="Calibri" w:hAnsi="Calibri" w:cs="Calibri"/>
          <w:sz w:val="22"/>
          <w:szCs w:val="22"/>
        </w:rPr>
        <w:t xml:space="preserve">‘How does a museum deal with a legacy? How can a history museum bring </w:t>
      </w:r>
      <w:proofErr w:type="gramStart"/>
      <w:r w:rsidRPr="00AE520F">
        <w:rPr>
          <w:rStyle w:val="normaltextrun"/>
          <w:rFonts w:ascii="Calibri" w:hAnsi="Calibri" w:cs="Calibri"/>
          <w:sz w:val="22"/>
          <w:szCs w:val="22"/>
        </w:rPr>
        <w:t>a</w:t>
      </w:r>
      <w:proofErr w:type="gramEnd"/>
      <w:r w:rsidRPr="00AE520F">
        <w:rPr>
          <w:rStyle w:val="normaltextrun"/>
          <w:rFonts w:ascii="Calibri" w:hAnsi="Calibri" w:cs="Calibri"/>
          <w:sz w:val="22"/>
          <w:szCs w:val="22"/>
        </w:rPr>
        <w:t xml:space="preserve"> </w:t>
      </w:r>
    </w:p>
    <w:p w14:paraId="5DCF490C" w14:textId="77777777" w:rsidR="000872B3" w:rsidRDefault="000872B3" w:rsidP="000872B3">
      <w:pPr>
        <w:pStyle w:val="paragraph"/>
        <w:spacing w:before="0" w:beforeAutospacing="0" w:after="0" w:afterAutospacing="0" w:line="360" w:lineRule="auto"/>
        <w:ind w:left="720"/>
        <w:textAlignment w:val="baseline"/>
        <w:rPr>
          <w:rStyle w:val="normaltextrun"/>
          <w:rFonts w:ascii="Calibri" w:hAnsi="Calibri" w:cs="Calibri"/>
          <w:sz w:val="22"/>
          <w:szCs w:val="22"/>
        </w:rPr>
      </w:pPr>
      <w:r w:rsidRPr="00AE520F">
        <w:rPr>
          <w:rStyle w:val="normaltextrun"/>
          <w:rFonts w:ascii="Calibri" w:hAnsi="Calibri" w:cs="Calibri"/>
          <w:sz w:val="22"/>
          <w:szCs w:val="22"/>
        </w:rPr>
        <w:t>community to examine and seek answers to collective questions? Who</w:t>
      </w:r>
    </w:p>
    <w:p w14:paraId="74324AD1" w14:textId="77777777" w:rsidR="000872B3" w:rsidRDefault="000872B3" w:rsidP="000872B3">
      <w:pPr>
        <w:pStyle w:val="paragraph"/>
        <w:spacing w:before="0" w:beforeAutospacing="0" w:after="0" w:afterAutospacing="0" w:line="360" w:lineRule="auto"/>
        <w:ind w:left="720"/>
        <w:textAlignment w:val="baseline"/>
        <w:rPr>
          <w:rStyle w:val="normaltextrun"/>
          <w:rFonts w:ascii="Calibri" w:hAnsi="Calibri" w:cs="Calibri"/>
          <w:sz w:val="22"/>
          <w:szCs w:val="22"/>
        </w:rPr>
      </w:pPr>
      <w:r w:rsidRPr="00AE520F">
        <w:rPr>
          <w:rStyle w:val="normaltextrun"/>
          <w:rFonts w:ascii="Calibri" w:hAnsi="Calibri" w:cs="Calibri"/>
          <w:sz w:val="22"/>
          <w:szCs w:val="22"/>
        </w:rPr>
        <w:t xml:space="preserve"> is included and excluded? Is a history museum a place of reconciliation?’</w:t>
      </w:r>
      <w:sdt>
        <w:sdtPr>
          <w:rPr>
            <w:rStyle w:val="normaltextrun"/>
            <w:rFonts w:ascii="Calibri" w:hAnsi="Calibri" w:cs="Calibri"/>
            <w:sz w:val="22"/>
            <w:szCs w:val="22"/>
          </w:rPr>
          <w:id w:val="-857357174"/>
          <w:citation/>
        </w:sdtPr>
        <w:sdtContent>
          <w:r>
            <w:rPr>
              <w:rStyle w:val="normaltextrun"/>
              <w:rFonts w:ascii="Calibri" w:hAnsi="Calibri" w:cs="Calibri"/>
              <w:sz w:val="22"/>
              <w:szCs w:val="22"/>
            </w:rPr>
            <w:fldChar w:fldCharType="begin"/>
          </w:r>
          <w:r>
            <w:rPr>
              <w:rStyle w:val="normaltextrun"/>
              <w:rFonts w:ascii="Calibri" w:hAnsi="Calibri" w:cs="Calibri"/>
              <w:sz w:val="22"/>
              <w:szCs w:val="22"/>
            </w:rPr>
            <w:instrText xml:space="preserve"> CITATION UNE11 \l 2057 </w:instrText>
          </w:r>
          <w:r>
            <w:rPr>
              <w:rStyle w:val="normaltextrun"/>
              <w:rFonts w:ascii="Calibri" w:hAnsi="Calibri" w:cs="Calibri"/>
              <w:sz w:val="22"/>
              <w:szCs w:val="22"/>
            </w:rPr>
            <w:fldChar w:fldCharType="separate"/>
          </w:r>
          <w:r>
            <w:rPr>
              <w:rStyle w:val="normaltextrun"/>
              <w:rFonts w:ascii="Calibri" w:hAnsi="Calibri" w:cs="Calibri"/>
              <w:noProof/>
              <w:sz w:val="22"/>
              <w:szCs w:val="22"/>
            </w:rPr>
            <w:t xml:space="preserve"> </w:t>
          </w:r>
          <w:r w:rsidRPr="005D51AF">
            <w:rPr>
              <w:rFonts w:ascii="Calibri" w:hAnsi="Calibri" w:cs="Calibri"/>
              <w:noProof/>
              <w:sz w:val="22"/>
              <w:szCs w:val="22"/>
            </w:rPr>
            <w:t>(UNESCO, 2011)</w:t>
          </w:r>
          <w:r>
            <w:rPr>
              <w:rStyle w:val="normaltextrun"/>
              <w:rFonts w:ascii="Calibri" w:hAnsi="Calibri" w:cs="Calibri"/>
              <w:sz w:val="22"/>
              <w:szCs w:val="22"/>
            </w:rPr>
            <w:fldChar w:fldCharType="end"/>
          </w:r>
        </w:sdtContent>
      </w:sdt>
    </w:p>
    <w:p w14:paraId="486D1EA0" w14:textId="77777777" w:rsidR="000872B3" w:rsidRDefault="000872B3" w:rsidP="000872B3">
      <w:pPr>
        <w:pStyle w:val="paragraph"/>
        <w:spacing w:before="0" w:beforeAutospacing="0" w:after="0" w:afterAutospacing="0" w:line="360" w:lineRule="auto"/>
        <w:textAlignment w:val="baseline"/>
        <w:rPr>
          <w:rStyle w:val="normaltextrun"/>
          <w:rFonts w:ascii="Calibri" w:hAnsi="Calibri" w:cs="Calibri"/>
          <w:sz w:val="22"/>
          <w:szCs w:val="22"/>
        </w:rPr>
      </w:pPr>
    </w:p>
    <w:p w14:paraId="1D3CACC7" w14:textId="77777777" w:rsidR="000872B3" w:rsidRDefault="000872B3" w:rsidP="000872B3">
      <w:pPr>
        <w:pStyle w:val="paragraph"/>
        <w:spacing w:before="0" w:beforeAutospacing="0" w:after="0" w:afterAutospacing="0" w:line="360" w:lineRule="auto"/>
        <w:textAlignment w:val="baseline"/>
        <w:rPr>
          <w:rStyle w:val="normaltextrun"/>
          <w:rFonts w:ascii="Calibri" w:hAnsi="Calibri" w:cs="Calibri"/>
          <w:sz w:val="22"/>
          <w:szCs w:val="22"/>
        </w:rPr>
      </w:pPr>
    </w:p>
    <w:p w14:paraId="3BBD212A" w14:textId="77777777" w:rsidR="000872B3" w:rsidRDefault="000872B3" w:rsidP="000872B3">
      <w:pPr>
        <w:pStyle w:val="paragraph"/>
        <w:spacing w:before="0" w:beforeAutospacing="0" w:after="0" w:afterAutospacing="0" w:line="360" w:lineRule="auto"/>
        <w:textAlignment w:val="baseline"/>
        <w:rPr>
          <w:rStyle w:val="normaltextrun"/>
          <w:rFonts w:ascii="Calibri" w:hAnsi="Calibri" w:cs="Calibri"/>
          <w:sz w:val="22"/>
          <w:szCs w:val="22"/>
        </w:rPr>
      </w:pPr>
      <w:r>
        <w:rPr>
          <w:rStyle w:val="normaltextrun"/>
          <w:rFonts w:ascii="Calibri" w:hAnsi="Calibri" w:cs="Calibri"/>
          <w:sz w:val="22"/>
          <w:szCs w:val="22"/>
        </w:rPr>
        <w:t>This report aims to address the ways in which heritage sites, such as the National Mining Museum, are not only sites of memory (in this case living memory) but are also clearly tourist attractions; questioning whether sites are resolved to be either one or the other or whether a combination of the two concepts produces living heritage in a more accessible way.</w:t>
      </w:r>
    </w:p>
    <w:p w14:paraId="6ECA450F" w14:textId="30EBA60E" w:rsidR="000872B3" w:rsidRDefault="000872B3">
      <w:pPr>
        <w:rPr>
          <w:u w:val="single"/>
        </w:rPr>
      </w:pPr>
    </w:p>
    <w:p w14:paraId="5B4E2F17" w14:textId="4FD217F8" w:rsidR="000872B3" w:rsidRDefault="000872B3">
      <w:pPr>
        <w:rPr>
          <w:u w:val="single"/>
        </w:rPr>
      </w:pPr>
    </w:p>
    <w:p w14:paraId="49EE715D" w14:textId="3BEF98F7" w:rsidR="000872B3" w:rsidRDefault="000872B3">
      <w:pPr>
        <w:rPr>
          <w:u w:val="single"/>
        </w:rPr>
      </w:pPr>
      <w:r>
        <w:rPr>
          <w:u w:val="single"/>
        </w:rPr>
        <w:t>Introduction to the site.</w:t>
      </w:r>
    </w:p>
    <w:p w14:paraId="264A8C17" w14:textId="77777777" w:rsidR="000872B3" w:rsidRDefault="000872B3" w:rsidP="000872B3">
      <w:pPr>
        <w:pStyle w:val="paragraph"/>
        <w:spacing w:before="0" w:beforeAutospacing="0" w:after="0" w:afterAutospacing="0" w:line="360" w:lineRule="auto"/>
        <w:textAlignment w:val="baseline"/>
        <w:rPr>
          <w:rStyle w:val="eop"/>
          <w:rFonts w:ascii="Calibri" w:hAnsi="Calibri" w:cs="Calibri"/>
          <w:sz w:val="22"/>
          <w:szCs w:val="22"/>
        </w:rPr>
      </w:pPr>
      <w:r>
        <w:rPr>
          <w:rStyle w:val="eop"/>
          <w:rFonts w:ascii="Calibri" w:hAnsi="Calibri" w:cs="Calibri"/>
          <w:sz w:val="22"/>
          <w:szCs w:val="22"/>
        </w:rPr>
        <w:t xml:space="preserve">There are not many museums that are still in living memory. Big Pit is one of the main people’s museums. Every man on site was ex-coal board and the women were relatives or married to those on Big Pit.  When Big Pit launched as a heritage site in 1983, there was a notable amount of </w:t>
      </w:r>
      <w:r>
        <w:rPr>
          <w:rStyle w:val="eop"/>
          <w:rFonts w:ascii="Calibri" w:hAnsi="Calibri" w:cs="Calibri"/>
          <w:sz w:val="22"/>
          <w:szCs w:val="22"/>
        </w:rPr>
        <w:lastRenderedPageBreak/>
        <w:t>controversy due to the fact that coal mining was still a living industry within South Wales.</w:t>
      </w:r>
      <w:sdt>
        <w:sdtPr>
          <w:rPr>
            <w:rStyle w:val="eop"/>
            <w:rFonts w:ascii="Calibri" w:hAnsi="Calibri" w:cs="Calibri"/>
            <w:sz w:val="22"/>
            <w:szCs w:val="22"/>
          </w:rPr>
          <w:id w:val="1539324211"/>
          <w:citation/>
        </w:sdtPr>
        <w:sdtContent>
          <w:r>
            <w:rPr>
              <w:rStyle w:val="eop"/>
              <w:rFonts w:ascii="Calibri" w:hAnsi="Calibri" w:cs="Calibri"/>
              <w:sz w:val="22"/>
              <w:szCs w:val="22"/>
            </w:rPr>
            <w:fldChar w:fldCharType="begin"/>
          </w:r>
          <w:r>
            <w:rPr>
              <w:rStyle w:val="eop"/>
              <w:rFonts w:ascii="Calibri" w:hAnsi="Calibri" w:cs="Calibri"/>
              <w:sz w:val="22"/>
              <w:szCs w:val="22"/>
            </w:rPr>
            <w:instrText xml:space="preserve"> CITATION Cou15 \l 2057 </w:instrText>
          </w:r>
          <w:r>
            <w:rPr>
              <w:rStyle w:val="eop"/>
              <w:rFonts w:ascii="Calibri" w:hAnsi="Calibri" w:cs="Calibri"/>
              <w:sz w:val="22"/>
              <w:szCs w:val="22"/>
            </w:rPr>
            <w:fldChar w:fldCharType="separate"/>
          </w:r>
          <w:r>
            <w:rPr>
              <w:rStyle w:val="eop"/>
              <w:rFonts w:ascii="Calibri" w:hAnsi="Calibri" w:cs="Calibri"/>
              <w:noProof/>
              <w:sz w:val="22"/>
              <w:szCs w:val="22"/>
            </w:rPr>
            <w:t xml:space="preserve"> </w:t>
          </w:r>
          <w:r w:rsidRPr="004C0DFF">
            <w:rPr>
              <w:rFonts w:ascii="Calibri" w:hAnsi="Calibri" w:cs="Calibri"/>
              <w:noProof/>
              <w:sz w:val="22"/>
              <w:szCs w:val="22"/>
            </w:rPr>
            <w:t>(Coupland, 2015)</w:t>
          </w:r>
          <w:r>
            <w:rPr>
              <w:rStyle w:val="eop"/>
              <w:rFonts w:ascii="Calibri" w:hAnsi="Calibri" w:cs="Calibri"/>
              <w:sz w:val="22"/>
              <w:szCs w:val="22"/>
            </w:rPr>
            <w:fldChar w:fldCharType="end"/>
          </w:r>
        </w:sdtContent>
      </w:sdt>
      <w:r>
        <w:rPr>
          <w:rStyle w:val="eop"/>
          <w:rFonts w:ascii="Calibri" w:hAnsi="Calibri" w:cs="Calibri"/>
          <w:sz w:val="22"/>
          <w:szCs w:val="22"/>
        </w:rPr>
        <w:t xml:space="preserve"> Local people can either be the subjects or objects of the heritage sector. If invited, they have the potential to be active assistants, consultants or even directors in the process of encoding the heritage sector. This may be through the donations of items such as memorabilia, helping to design displays, volunteering time as well as being able to represent themselves and their history.</w:t>
      </w:r>
      <w:sdt>
        <w:sdtPr>
          <w:rPr>
            <w:rStyle w:val="eop"/>
            <w:rFonts w:ascii="Calibri" w:hAnsi="Calibri" w:cs="Calibri"/>
            <w:sz w:val="22"/>
            <w:szCs w:val="22"/>
          </w:rPr>
          <w:id w:val="-586848649"/>
          <w:citation/>
        </w:sdtPr>
        <w:sdtContent>
          <w:r>
            <w:rPr>
              <w:rStyle w:val="eop"/>
              <w:rFonts w:ascii="Calibri" w:hAnsi="Calibri" w:cs="Calibri"/>
              <w:sz w:val="22"/>
              <w:szCs w:val="22"/>
            </w:rPr>
            <w:fldChar w:fldCharType="begin"/>
          </w:r>
          <w:r>
            <w:rPr>
              <w:rStyle w:val="eop"/>
              <w:rFonts w:ascii="Calibri" w:hAnsi="Calibri" w:cs="Calibri"/>
              <w:sz w:val="22"/>
              <w:szCs w:val="22"/>
            </w:rPr>
            <w:instrText xml:space="preserve"> CITATION Dic00 \l 2057 </w:instrText>
          </w:r>
          <w:r>
            <w:rPr>
              <w:rStyle w:val="eop"/>
              <w:rFonts w:ascii="Calibri" w:hAnsi="Calibri" w:cs="Calibri"/>
              <w:sz w:val="22"/>
              <w:szCs w:val="22"/>
            </w:rPr>
            <w:fldChar w:fldCharType="separate"/>
          </w:r>
          <w:r>
            <w:rPr>
              <w:rStyle w:val="eop"/>
              <w:rFonts w:ascii="Calibri" w:hAnsi="Calibri" w:cs="Calibri"/>
              <w:noProof/>
              <w:sz w:val="22"/>
              <w:szCs w:val="22"/>
            </w:rPr>
            <w:t xml:space="preserve"> </w:t>
          </w:r>
          <w:r w:rsidRPr="00D04B81">
            <w:rPr>
              <w:rFonts w:ascii="Calibri" w:hAnsi="Calibri" w:cs="Calibri"/>
              <w:noProof/>
              <w:sz w:val="22"/>
              <w:szCs w:val="22"/>
            </w:rPr>
            <w:t>(Dicks, 2000)</w:t>
          </w:r>
          <w:r>
            <w:rPr>
              <w:rStyle w:val="eop"/>
              <w:rFonts w:ascii="Calibri" w:hAnsi="Calibri" w:cs="Calibri"/>
              <w:sz w:val="22"/>
              <w:szCs w:val="22"/>
            </w:rPr>
            <w:fldChar w:fldCharType="end"/>
          </w:r>
        </w:sdtContent>
      </w:sdt>
    </w:p>
    <w:p w14:paraId="14ED0C06" w14:textId="77777777" w:rsidR="000872B3" w:rsidRDefault="000872B3" w:rsidP="000872B3">
      <w:pPr>
        <w:pStyle w:val="paragraph"/>
        <w:spacing w:before="0" w:beforeAutospacing="0" w:after="0" w:afterAutospacing="0" w:line="360" w:lineRule="auto"/>
        <w:textAlignment w:val="baseline"/>
        <w:rPr>
          <w:rStyle w:val="eop"/>
          <w:rFonts w:ascii="Calibri" w:hAnsi="Calibri" w:cs="Calibri"/>
          <w:sz w:val="22"/>
          <w:szCs w:val="22"/>
        </w:rPr>
      </w:pPr>
      <w:r>
        <w:rPr>
          <w:rStyle w:val="eop"/>
          <w:rFonts w:ascii="Calibri" w:hAnsi="Calibri" w:cs="Calibri"/>
          <w:sz w:val="22"/>
          <w:szCs w:val="22"/>
        </w:rPr>
        <w:br/>
        <w:t xml:space="preserve">Big Pit was a new vernacular heritage which is unable to ignore the local communities due to the fact that the museum is experience centred, personalised and ground level, leading to the need to draw on local oral histories, which what makes the heart and soul of big pit, the miners, so important to the opening of the heritage site. </w:t>
      </w:r>
      <w:sdt>
        <w:sdtPr>
          <w:rPr>
            <w:rStyle w:val="eop"/>
            <w:rFonts w:ascii="Calibri" w:hAnsi="Calibri" w:cs="Calibri"/>
            <w:sz w:val="22"/>
            <w:szCs w:val="22"/>
          </w:rPr>
          <w:id w:val="-1629461894"/>
          <w:citation/>
        </w:sdtPr>
        <w:sdtContent>
          <w:r>
            <w:rPr>
              <w:rStyle w:val="eop"/>
              <w:rFonts w:ascii="Calibri" w:hAnsi="Calibri" w:cs="Calibri"/>
              <w:sz w:val="22"/>
              <w:szCs w:val="22"/>
            </w:rPr>
            <w:fldChar w:fldCharType="begin"/>
          </w:r>
          <w:r>
            <w:rPr>
              <w:rStyle w:val="eop"/>
              <w:rFonts w:ascii="Calibri" w:hAnsi="Calibri" w:cs="Calibri"/>
              <w:sz w:val="22"/>
              <w:szCs w:val="22"/>
            </w:rPr>
            <w:instrText xml:space="preserve"> CITATION Dic00 \l 2057 </w:instrText>
          </w:r>
          <w:r>
            <w:rPr>
              <w:rStyle w:val="eop"/>
              <w:rFonts w:ascii="Calibri" w:hAnsi="Calibri" w:cs="Calibri"/>
              <w:sz w:val="22"/>
              <w:szCs w:val="22"/>
            </w:rPr>
            <w:fldChar w:fldCharType="separate"/>
          </w:r>
          <w:r w:rsidRPr="00233471">
            <w:rPr>
              <w:rFonts w:ascii="Calibri" w:hAnsi="Calibri" w:cs="Calibri"/>
              <w:noProof/>
              <w:sz w:val="22"/>
              <w:szCs w:val="22"/>
            </w:rPr>
            <w:t>(Dicks, 2000)</w:t>
          </w:r>
          <w:r>
            <w:rPr>
              <w:rStyle w:val="eop"/>
              <w:rFonts w:ascii="Calibri" w:hAnsi="Calibri" w:cs="Calibri"/>
              <w:sz w:val="22"/>
              <w:szCs w:val="22"/>
            </w:rPr>
            <w:fldChar w:fldCharType="end"/>
          </w:r>
        </w:sdtContent>
      </w:sdt>
      <w:r w:rsidRPr="00D04B81">
        <w:rPr>
          <w:rStyle w:val="eop"/>
          <w:rFonts w:ascii="Calibri" w:hAnsi="Calibri" w:cs="Calibri"/>
          <w:sz w:val="22"/>
          <w:szCs w:val="22"/>
        </w:rPr>
        <w:t xml:space="preserve"> </w:t>
      </w:r>
    </w:p>
    <w:p w14:paraId="64F30876" w14:textId="77777777" w:rsidR="000872B3" w:rsidRDefault="000872B3" w:rsidP="000872B3">
      <w:pPr>
        <w:pStyle w:val="paragraph"/>
        <w:spacing w:before="0" w:beforeAutospacing="0" w:after="0" w:afterAutospacing="0" w:line="360" w:lineRule="auto"/>
        <w:textAlignment w:val="baseline"/>
        <w:rPr>
          <w:rStyle w:val="eop"/>
          <w:rFonts w:ascii="Calibri" w:hAnsi="Calibri" w:cs="Calibri"/>
          <w:sz w:val="22"/>
          <w:szCs w:val="22"/>
        </w:rPr>
      </w:pPr>
      <w:r w:rsidRPr="009C6D99">
        <w:rPr>
          <w:rStyle w:val="eop"/>
          <w:rFonts w:ascii="Calibri" w:hAnsi="Calibri" w:cs="Calibri"/>
          <w:sz w:val="22"/>
          <w:szCs w:val="22"/>
        </w:rPr>
        <w:t>Community involvement</w:t>
      </w:r>
      <w:r>
        <w:rPr>
          <w:rStyle w:val="eop"/>
          <w:rFonts w:ascii="Calibri" w:hAnsi="Calibri" w:cs="Calibri"/>
          <w:sz w:val="22"/>
          <w:szCs w:val="22"/>
        </w:rPr>
        <w:t xml:space="preserve">, such as the reopening of Big Pit as a museum, </w:t>
      </w:r>
      <w:r w:rsidRPr="009C6D99">
        <w:rPr>
          <w:rStyle w:val="eop"/>
          <w:rFonts w:ascii="Calibri" w:hAnsi="Calibri" w:cs="Calibri"/>
          <w:sz w:val="22"/>
          <w:szCs w:val="22"/>
        </w:rPr>
        <w:t xml:space="preserve">has become a universal component of heritage administration </w:t>
      </w:r>
      <w:r>
        <w:rPr>
          <w:rStyle w:val="eop"/>
          <w:rFonts w:ascii="Calibri" w:hAnsi="Calibri" w:cs="Calibri"/>
          <w:sz w:val="22"/>
          <w:szCs w:val="22"/>
        </w:rPr>
        <w:t>of late</w:t>
      </w:r>
      <w:r w:rsidRPr="009C6D99">
        <w:rPr>
          <w:rStyle w:val="eop"/>
          <w:rFonts w:ascii="Calibri" w:hAnsi="Calibri" w:cs="Calibri"/>
          <w:sz w:val="22"/>
          <w:szCs w:val="22"/>
        </w:rPr>
        <w:t xml:space="preserve">. These developing cooperative practices should preferably involve specialists or academics </w:t>
      </w:r>
      <w:r>
        <w:rPr>
          <w:rStyle w:val="eop"/>
          <w:rFonts w:ascii="Calibri" w:hAnsi="Calibri" w:cs="Calibri"/>
          <w:sz w:val="22"/>
          <w:szCs w:val="22"/>
        </w:rPr>
        <w:t>to work in partnership with the local community groups who would be affected by the decisions that would be made about their heritage when developing a museum.</w:t>
      </w:r>
      <w:sdt>
        <w:sdtPr>
          <w:rPr>
            <w:rStyle w:val="eop"/>
            <w:rFonts w:ascii="Calibri" w:hAnsi="Calibri" w:cs="Calibri"/>
            <w:sz w:val="22"/>
            <w:szCs w:val="22"/>
          </w:rPr>
          <w:id w:val="-672788883"/>
          <w:citation/>
        </w:sdtPr>
        <w:sdtContent>
          <w:r>
            <w:rPr>
              <w:rStyle w:val="eop"/>
              <w:rFonts w:ascii="Calibri" w:hAnsi="Calibri" w:cs="Calibri"/>
              <w:sz w:val="22"/>
              <w:szCs w:val="22"/>
            </w:rPr>
            <w:fldChar w:fldCharType="begin"/>
          </w:r>
          <w:r>
            <w:rPr>
              <w:rStyle w:val="eop"/>
              <w:rFonts w:ascii="Calibri" w:hAnsi="Calibri" w:cs="Calibri"/>
              <w:sz w:val="22"/>
              <w:szCs w:val="22"/>
            </w:rPr>
            <w:instrText xml:space="preserve"> CITATION Wal12 \l 2057 </w:instrText>
          </w:r>
          <w:r>
            <w:rPr>
              <w:rStyle w:val="eop"/>
              <w:rFonts w:ascii="Calibri" w:hAnsi="Calibri" w:cs="Calibri"/>
              <w:sz w:val="22"/>
              <w:szCs w:val="22"/>
            </w:rPr>
            <w:fldChar w:fldCharType="separate"/>
          </w:r>
          <w:r>
            <w:rPr>
              <w:rStyle w:val="eop"/>
              <w:rFonts w:ascii="Calibri" w:hAnsi="Calibri" w:cs="Calibri"/>
              <w:noProof/>
              <w:sz w:val="22"/>
              <w:szCs w:val="22"/>
            </w:rPr>
            <w:t xml:space="preserve"> </w:t>
          </w:r>
          <w:r w:rsidRPr="00CD405B">
            <w:rPr>
              <w:rFonts w:ascii="Calibri" w:hAnsi="Calibri" w:cs="Calibri"/>
              <w:noProof/>
              <w:sz w:val="22"/>
              <w:szCs w:val="22"/>
            </w:rPr>
            <w:t>(Walker, 2012)</w:t>
          </w:r>
          <w:r>
            <w:rPr>
              <w:rStyle w:val="eop"/>
              <w:rFonts w:ascii="Calibri" w:hAnsi="Calibri" w:cs="Calibri"/>
              <w:sz w:val="22"/>
              <w:szCs w:val="22"/>
            </w:rPr>
            <w:fldChar w:fldCharType="end"/>
          </w:r>
        </w:sdtContent>
      </w:sdt>
      <w:r>
        <w:rPr>
          <w:rStyle w:val="eop"/>
          <w:rFonts w:ascii="Calibri" w:hAnsi="Calibri" w:cs="Calibri"/>
          <w:sz w:val="22"/>
          <w:szCs w:val="22"/>
        </w:rPr>
        <w:t xml:space="preserve"> </w:t>
      </w:r>
      <w:r w:rsidRPr="00621281">
        <w:rPr>
          <w:rStyle w:val="eop"/>
          <w:rFonts w:ascii="Calibri" w:hAnsi="Calibri" w:cs="Calibri"/>
          <w:sz w:val="22"/>
          <w:szCs w:val="22"/>
        </w:rPr>
        <w:t>Museums obtain</w:t>
      </w:r>
      <w:r>
        <w:rPr>
          <w:rStyle w:val="eop"/>
          <w:rFonts w:ascii="Calibri" w:hAnsi="Calibri" w:cs="Calibri"/>
          <w:sz w:val="22"/>
          <w:szCs w:val="22"/>
        </w:rPr>
        <w:t xml:space="preserve"> and</w:t>
      </w:r>
      <w:r w:rsidRPr="00621281">
        <w:rPr>
          <w:rStyle w:val="eop"/>
          <w:rFonts w:ascii="Calibri" w:hAnsi="Calibri" w:cs="Calibri"/>
          <w:sz w:val="22"/>
          <w:szCs w:val="22"/>
        </w:rPr>
        <w:t xml:space="preserve"> </w:t>
      </w:r>
      <w:r>
        <w:rPr>
          <w:rStyle w:val="eop"/>
          <w:rFonts w:ascii="Calibri" w:hAnsi="Calibri" w:cs="Calibri"/>
          <w:sz w:val="22"/>
          <w:szCs w:val="22"/>
        </w:rPr>
        <w:t>p</w:t>
      </w:r>
      <w:r w:rsidRPr="00621281">
        <w:rPr>
          <w:rStyle w:val="eop"/>
          <w:rFonts w:ascii="Calibri" w:hAnsi="Calibri" w:cs="Calibri"/>
          <w:sz w:val="22"/>
          <w:szCs w:val="22"/>
        </w:rPr>
        <w:t xml:space="preserve">reserve their collections as a </w:t>
      </w:r>
      <w:r>
        <w:rPr>
          <w:rStyle w:val="eop"/>
          <w:rFonts w:ascii="Calibri" w:hAnsi="Calibri" w:cs="Calibri"/>
          <w:sz w:val="22"/>
          <w:szCs w:val="22"/>
        </w:rPr>
        <w:t xml:space="preserve">tool to safeguard </w:t>
      </w:r>
      <w:r w:rsidRPr="00621281">
        <w:rPr>
          <w:rStyle w:val="eop"/>
          <w:rFonts w:ascii="Calibri" w:hAnsi="Calibri" w:cs="Calibri"/>
          <w:sz w:val="22"/>
          <w:szCs w:val="22"/>
        </w:rPr>
        <w:t>th</w:t>
      </w:r>
      <w:r>
        <w:rPr>
          <w:rStyle w:val="eop"/>
          <w:rFonts w:ascii="Calibri" w:hAnsi="Calibri" w:cs="Calibri"/>
          <w:sz w:val="22"/>
          <w:szCs w:val="22"/>
        </w:rPr>
        <w:t xml:space="preserve">e cultural and natural </w:t>
      </w:r>
      <w:r w:rsidRPr="00621281">
        <w:rPr>
          <w:rStyle w:val="eop"/>
          <w:rFonts w:ascii="Calibri" w:hAnsi="Calibri" w:cs="Calibri"/>
          <w:sz w:val="22"/>
          <w:szCs w:val="22"/>
        </w:rPr>
        <w:t>heritage</w:t>
      </w:r>
      <w:r>
        <w:rPr>
          <w:rStyle w:val="eop"/>
          <w:rFonts w:ascii="Calibri" w:hAnsi="Calibri" w:cs="Calibri"/>
          <w:sz w:val="22"/>
          <w:szCs w:val="22"/>
        </w:rPr>
        <w:t>.</w:t>
      </w:r>
      <w:sdt>
        <w:sdtPr>
          <w:rPr>
            <w:rStyle w:val="eop"/>
            <w:rFonts w:ascii="Calibri" w:hAnsi="Calibri" w:cs="Calibri"/>
            <w:sz w:val="22"/>
            <w:szCs w:val="22"/>
          </w:rPr>
          <w:id w:val="-299534786"/>
          <w:citation/>
        </w:sdtPr>
        <w:sdtContent>
          <w:r>
            <w:rPr>
              <w:rStyle w:val="eop"/>
              <w:rFonts w:ascii="Calibri" w:hAnsi="Calibri" w:cs="Calibri"/>
              <w:sz w:val="22"/>
              <w:szCs w:val="22"/>
            </w:rPr>
            <w:fldChar w:fldCharType="begin"/>
          </w:r>
          <w:r>
            <w:rPr>
              <w:rStyle w:val="eop"/>
              <w:rFonts w:ascii="Calibri" w:hAnsi="Calibri" w:cs="Calibri"/>
              <w:sz w:val="22"/>
              <w:szCs w:val="22"/>
            </w:rPr>
            <w:instrText xml:space="preserve"> CITATION Pra15 \l 2057 </w:instrText>
          </w:r>
          <w:r>
            <w:rPr>
              <w:rStyle w:val="eop"/>
              <w:rFonts w:ascii="Calibri" w:hAnsi="Calibri" w:cs="Calibri"/>
              <w:sz w:val="22"/>
              <w:szCs w:val="22"/>
            </w:rPr>
            <w:fldChar w:fldCharType="separate"/>
          </w:r>
          <w:r>
            <w:rPr>
              <w:rStyle w:val="eop"/>
              <w:rFonts w:ascii="Calibri" w:hAnsi="Calibri" w:cs="Calibri"/>
              <w:noProof/>
              <w:sz w:val="22"/>
              <w:szCs w:val="22"/>
            </w:rPr>
            <w:t xml:space="preserve"> </w:t>
          </w:r>
          <w:r w:rsidRPr="00621281">
            <w:rPr>
              <w:rFonts w:ascii="Calibri" w:hAnsi="Calibri" w:cs="Calibri"/>
              <w:noProof/>
              <w:sz w:val="22"/>
              <w:szCs w:val="22"/>
            </w:rPr>
            <w:t>(Prat, 2015)</w:t>
          </w:r>
          <w:r>
            <w:rPr>
              <w:rStyle w:val="eop"/>
              <w:rFonts w:ascii="Calibri" w:hAnsi="Calibri" w:cs="Calibri"/>
              <w:sz w:val="22"/>
              <w:szCs w:val="22"/>
            </w:rPr>
            <w:fldChar w:fldCharType="end"/>
          </w:r>
        </w:sdtContent>
      </w:sdt>
      <w:r>
        <w:rPr>
          <w:rStyle w:val="eop"/>
          <w:rFonts w:ascii="Calibri" w:hAnsi="Calibri" w:cs="Calibri"/>
          <w:sz w:val="22"/>
          <w:szCs w:val="22"/>
        </w:rPr>
        <w:t xml:space="preserve"> Big Pit, whilst following the same mindset, also focus on set exhibitions, ones in which they have physical evidence for, so that it’s easier for visitors to be able to visualise the past.</w:t>
      </w:r>
      <w:sdt>
        <w:sdtPr>
          <w:rPr>
            <w:rStyle w:val="eop"/>
            <w:rFonts w:ascii="Calibri" w:hAnsi="Calibri" w:cs="Calibri"/>
            <w:sz w:val="22"/>
            <w:szCs w:val="22"/>
          </w:rPr>
          <w:id w:val="-382796017"/>
          <w:citation/>
        </w:sdtPr>
        <w:sdtContent>
          <w:r>
            <w:rPr>
              <w:rStyle w:val="eop"/>
              <w:rFonts w:ascii="Calibri" w:hAnsi="Calibri" w:cs="Calibri"/>
              <w:sz w:val="22"/>
              <w:szCs w:val="22"/>
            </w:rPr>
            <w:fldChar w:fldCharType="begin"/>
          </w:r>
          <w:r>
            <w:rPr>
              <w:rStyle w:val="eop"/>
              <w:rFonts w:ascii="Calibri" w:hAnsi="Calibri" w:cs="Calibri"/>
              <w:sz w:val="22"/>
              <w:szCs w:val="22"/>
            </w:rPr>
            <w:instrText xml:space="preserve"> CITATION Tho19 \l 2057 </w:instrText>
          </w:r>
          <w:r>
            <w:rPr>
              <w:rStyle w:val="eop"/>
              <w:rFonts w:ascii="Calibri" w:hAnsi="Calibri" w:cs="Calibri"/>
              <w:sz w:val="22"/>
              <w:szCs w:val="22"/>
            </w:rPr>
            <w:fldChar w:fldCharType="separate"/>
          </w:r>
          <w:r>
            <w:rPr>
              <w:rStyle w:val="eop"/>
              <w:rFonts w:ascii="Calibri" w:hAnsi="Calibri" w:cs="Calibri"/>
              <w:noProof/>
              <w:sz w:val="22"/>
              <w:szCs w:val="22"/>
            </w:rPr>
            <w:t xml:space="preserve"> </w:t>
          </w:r>
          <w:r w:rsidRPr="00584A67">
            <w:rPr>
              <w:rFonts w:ascii="Calibri" w:hAnsi="Calibri" w:cs="Calibri"/>
              <w:noProof/>
              <w:sz w:val="22"/>
              <w:szCs w:val="22"/>
            </w:rPr>
            <w:t>(Thompson, 2019)</w:t>
          </w:r>
          <w:r>
            <w:rPr>
              <w:rStyle w:val="eop"/>
              <w:rFonts w:ascii="Calibri" w:hAnsi="Calibri" w:cs="Calibri"/>
              <w:sz w:val="22"/>
              <w:szCs w:val="22"/>
            </w:rPr>
            <w:fldChar w:fldCharType="end"/>
          </w:r>
        </w:sdtContent>
      </w:sdt>
      <w:r>
        <w:rPr>
          <w:rStyle w:val="eop"/>
          <w:rFonts w:ascii="Calibri" w:hAnsi="Calibri" w:cs="Calibri"/>
          <w:sz w:val="22"/>
          <w:szCs w:val="22"/>
        </w:rPr>
        <w:t xml:space="preserve"> </w:t>
      </w:r>
    </w:p>
    <w:p w14:paraId="71CC1FC2" w14:textId="5A987F3E" w:rsidR="000872B3" w:rsidRDefault="000872B3"/>
    <w:p w14:paraId="2D000A5A" w14:textId="77777777" w:rsidR="000872B3" w:rsidRDefault="000872B3" w:rsidP="000872B3">
      <w:pPr>
        <w:pStyle w:val="paragraph"/>
        <w:spacing w:before="0" w:beforeAutospacing="0" w:after="0" w:afterAutospacing="0" w:line="360" w:lineRule="auto"/>
        <w:rPr>
          <w:rFonts w:ascii="Calibri" w:hAnsi="Calibri" w:cs="Calibri"/>
          <w:noProof/>
          <w:sz w:val="22"/>
          <w:szCs w:val="22"/>
        </w:rPr>
      </w:pPr>
      <w:r>
        <w:rPr>
          <w:rFonts w:ascii="Calibri" w:hAnsi="Calibri" w:cs="Calibri"/>
          <w:noProof/>
          <w:sz w:val="22"/>
          <w:szCs w:val="22"/>
        </w:rPr>
        <w:t>Museums such as the one being examined can be a</w:t>
      </w:r>
      <w:r w:rsidRPr="50CC89F0">
        <w:rPr>
          <w:rFonts w:ascii="Calibri" w:hAnsi="Calibri" w:cs="Calibri"/>
          <w:noProof/>
          <w:sz w:val="22"/>
          <w:szCs w:val="22"/>
        </w:rPr>
        <w:t xml:space="preserve"> representation of the community on an authentic, immediate and realistic level.</w:t>
      </w:r>
      <w:sdt>
        <w:sdtPr>
          <w:rPr>
            <w:rFonts w:ascii="Calibri" w:hAnsi="Calibri" w:cs="Calibri"/>
            <w:noProof/>
            <w:sz w:val="22"/>
            <w:szCs w:val="22"/>
          </w:rPr>
          <w:id w:val="-984081446"/>
          <w:citation/>
        </w:sdtPr>
        <w:sdtContent>
          <w:r>
            <w:rPr>
              <w:rFonts w:ascii="Calibri" w:hAnsi="Calibri" w:cs="Calibri"/>
              <w:noProof/>
              <w:sz w:val="22"/>
              <w:szCs w:val="22"/>
            </w:rPr>
            <w:fldChar w:fldCharType="begin"/>
          </w:r>
          <w:r>
            <w:rPr>
              <w:rFonts w:ascii="Calibri" w:hAnsi="Calibri" w:cs="Calibri"/>
              <w:noProof/>
              <w:sz w:val="22"/>
              <w:szCs w:val="22"/>
            </w:rPr>
            <w:instrText xml:space="preserve"> CITATION Dic00 \l 2057 </w:instrText>
          </w:r>
          <w:r>
            <w:rPr>
              <w:rFonts w:ascii="Calibri" w:hAnsi="Calibri" w:cs="Calibri"/>
              <w:noProof/>
              <w:sz w:val="22"/>
              <w:szCs w:val="22"/>
            </w:rPr>
            <w:fldChar w:fldCharType="separate"/>
          </w:r>
          <w:r>
            <w:rPr>
              <w:rFonts w:ascii="Calibri" w:hAnsi="Calibri" w:cs="Calibri"/>
              <w:noProof/>
              <w:sz w:val="22"/>
              <w:szCs w:val="22"/>
            </w:rPr>
            <w:t xml:space="preserve"> </w:t>
          </w:r>
          <w:r w:rsidRPr="008029A8">
            <w:rPr>
              <w:rFonts w:ascii="Calibri" w:hAnsi="Calibri" w:cs="Calibri"/>
              <w:noProof/>
              <w:sz w:val="22"/>
              <w:szCs w:val="22"/>
            </w:rPr>
            <w:t>(Dicks, 2000)</w:t>
          </w:r>
          <w:r>
            <w:rPr>
              <w:rFonts w:ascii="Calibri" w:hAnsi="Calibri" w:cs="Calibri"/>
              <w:noProof/>
              <w:sz w:val="22"/>
              <w:szCs w:val="22"/>
            </w:rPr>
            <w:fldChar w:fldCharType="end"/>
          </w:r>
        </w:sdtContent>
      </w:sdt>
      <w:r>
        <w:rPr>
          <w:rFonts w:ascii="Calibri" w:hAnsi="Calibri" w:cs="Calibri"/>
          <w:noProof/>
          <w:sz w:val="22"/>
          <w:szCs w:val="22"/>
        </w:rPr>
        <w:t xml:space="preserve"> a museum such as Big Pit is considered an industrial living museum, there are many who can represent themselves or their families which had direct memories to contribute to the museum. An example of a peoples museum such as this is the People’s Story Museum in Edinburgh whos deliberate aim was to ‘tell the story of life and work of Edinburgh people and to involve edinburgh people in the presentation of their own history’</w:t>
      </w:r>
      <w:sdt>
        <w:sdtPr>
          <w:rPr>
            <w:rFonts w:ascii="Calibri" w:hAnsi="Calibri" w:cs="Calibri"/>
            <w:noProof/>
            <w:sz w:val="22"/>
            <w:szCs w:val="22"/>
          </w:rPr>
          <w:id w:val="239983173"/>
          <w:citation/>
        </w:sdtPr>
        <w:sdtContent>
          <w:r>
            <w:rPr>
              <w:rFonts w:ascii="Calibri" w:hAnsi="Calibri" w:cs="Calibri"/>
              <w:noProof/>
              <w:sz w:val="22"/>
              <w:szCs w:val="22"/>
            </w:rPr>
            <w:fldChar w:fldCharType="begin"/>
          </w:r>
          <w:r>
            <w:rPr>
              <w:rFonts w:ascii="Calibri" w:hAnsi="Calibri" w:cs="Calibri"/>
              <w:noProof/>
              <w:sz w:val="22"/>
              <w:szCs w:val="22"/>
            </w:rPr>
            <w:instrText xml:space="preserve"> CITATION Mar95 \l 2057 </w:instrText>
          </w:r>
          <w:r>
            <w:rPr>
              <w:rFonts w:ascii="Calibri" w:hAnsi="Calibri" w:cs="Calibri"/>
              <w:noProof/>
              <w:sz w:val="22"/>
              <w:szCs w:val="22"/>
            </w:rPr>
            <w:fldChar w:fldCharType="separate"/>
          </w:r>
          <w:r>
            <w:rPr>
              <w:rFonts w:ascii="Calibri" w:hAnsi="Calibri" w:cs="Calibri"/>
              <w:noProof/>
              <w:sz w:val="22"/>
              <w:szCs w:val="22"/>
            </w:rPr>
            <w:t xml:space="preserve"> </w:t>
          </w:r>
          <w:r w:rsidRPr="001D530D">
            <w:rPr>
              <w:rFonts w:ascii="Calibri" w:hAnsi="Calibri" w:cs="Calibri"/>
              <w:noProof/>
              <w:sz w:val="22"/>
              <w:szCs w:val="22"/>
            </w:rPr>
            <w:t>(Marwick, 1995)</w:t>
          </w:r>
          <w:r>
            <w:rPr>
              <w:rFonts w:ascii="Calibri" w:hAnsi="Calibri" w:cs="Calibri"/>
              <w:noProof/>
              <w:sz w:val="22"/>
              <w:szCs w:val="22"/>
            </w:rPr>
            <w:fldChar w:fldCharType="end"/>
          </w:r>
        </w:sdtContent>
      </w:sdt>
      <w:r>
        <w:rPr>
          <w:rFonts w:ascii="Calibri" w:hAnsi="Calibri" w:cs="Calibri"/>
          <w:noProof/>
          <w:sz w:val="22"/>
          <w:szCs w:val="22"/>
        </w:rPr>
        <w:t xml:space="preserve">. Big Pit mirrors this.  </w:t>
      </w:r>
    </w:p>
    <w:p w14:paraId="4C18B756" w14:textId="5CB29B79" w:rsidR="000872B3" w:rsidRDefault="000872B3" w:rsidP="000872B3">
      <w:pPr>
        <w:pStyle w:val="paragraph"/>
        <w:spacing w:before="0" w:beforeAutospacing="0" w:after="0" w:afterAutospacing="0" w:line="360" w:lineRule="auto"/>
        <w:rPr>
          <w:rFonts w:ascii="Calibri" w:hAnsi="Calibri" w:cs="Calibri"/>
          <w:noProof/>
          <w:sz w:val="22"/>
          <w:szCs w:val="22"/>
        </w:rPr>
      </w:pPr>
      <w:r>
        <w:rPr>
          <w:rFonts w:ascii="Calibri" w:hAnsi="Calibri" w:cs="Calibri"/>
          <w:noProof/>
          <w:sz w:val="22"/>
          <w:szCs w:val="22"/>
        </w:rPr>
        <w:br/>
        <w:t xml:space="preserve">When Big Pit were in their prelimary development proposals of becoming a tourist attraction, there were operational objectives agreed which helped shape the museum; </w:t>
      </w:r>
    </w:p>
    <w:p w14:paraId="4B0358A8" w14:textId="77777777" w:rsidR="000872B3" w:rsidRDefault="000872B3" w:rsidP="000872B3">
      <w:pPr>
        <w:pStyle w:val="paragraph"/>
        <w:spacing w:before="0" w:beforeAutospacing="0" w:after="0" w:afterAutospacing="0" w:line="360" w:lineRule="auto"/>
        <w:rPr>
          <w:rFonts w:ascii="Calibri" w:hAnsi="Calibri" w:cs="Calibri"/>
          <w:noProof/>
          <w:sz w:val="22"/>
          <w:szCs w:val="22"/>
        </w:rPr>
      </w:pPr>
    </w:p>
    <w:p w14:paraId="6264BD92" w14:textId="77777777" w:rsidR="000872B3" w:rsidRDefault="000872B3" w:rsidP="000872B3">
      <w:pPr>
        <w:pStyle w:val="paragraph"/>
        <w:numPr>
          <w:ilvl w:val="0"/>
          <w:numId w:val="1"/>
        </w:numPr>
        <w:spacing w:before="0" w:beforeAutospacing="0" w:after="0" w:afterAutospacing="0" w:line="360" w:lineRule="auto"/>
        <w:ind w:left="1134" w:right="1655" w:firstLine="0"/>
        <w:rPr>
          <w:rFonts w:ascii="Calibri" w:hAnsi="Calibri" w:cs="Calibri"/>
          <w:noProof/>
          <w:sz w:val="22"/>
          <w:szCs w:val="22"/>
        </w:rPr>
      </w:pPr>
      <w:r>
        <w:rPr>
          <w:rFonts w:ascii="Calibri" w:hAnsi="Calibri" w:cs="Calibri"/>
          <w:noProof/>
          <w:sz w:val="22"/>
          <w:szCs w:val="22"/>
        </w:rPr>
        <w:t>To present to visitors an authentic impression of the historical development of coal mining, the interpretive and other elements of site provision never being allowed to obtrude;</w:t>
      </w:r>
    </w:p>
    <w:p w14:paraId="4DC96B72" w14:textId="77777777" w:rsidR="000872B3" w:rsidRDefault="000872B3" w:rsidP="000872B3">
      <w:pPr>
        <w:pStyle w:val="paragraph"/>
        <w:numPr>
          <w:ilvl w:val="0"/>
          <w:numId w:val="1"/>
        </w:numPr>
        <w:spacing w:before="0" w:beforeAutospacing="0" w:after="0" w:afterAutospacing="0" w:line="360" w:lineRule="auto"/>
        <w:ind w:left="1134" w:right="1655" w:firstLine="0"/>
        <w:rPr>
          <w:rFonts w:ascii="Calibri" w:hAnsi="Calibri" w:cs="Calibri"/>
          <w:noProof/>
          <w:sz w:val="22"/>
          <w:szCs w:val="22"/>
        </w:rPr>
      </w:pPr>
      <w:r>
        <w:rPr>
          <w:rFonts w:ascii="Calibri" w:hAnsi="Calibri" w:cs="Calibri"/>
          <w:noProof/>
          <w:sz w:val="22"/>
          <w:szCs w:val="22"/>
        </w:rPr>
        <w:lastRenderedPageBreak/>
        <w:t>To ensure that, so far is consistent with the above, visitors can enjoy a safe and pleasurable experience throughout the year, with adequate facilities for access, parking, visitor circulation and shelter, refreshment, toilets and other appopriate needs;</w:t>
      </w:r>
    </w:p>
    <w:p w14:paraId="432BD359" w14:textId="77777777" w:rsidR="000872B3" w:rsidRDefault="000872B3" w:rsidP="000872B3">
      <w:pPr>
        <w:pStyle w:val="paragraph"/>
        <w:numPr>
          <w:ilvl w:val="0"/>
          <w:numId w:val="1"/>
        </w:numPr>
        <w:spacing w:before="0" w:beforeAutospacing="0" w:after="0" w:afterAutospacing="0" w:line="360" w:lineRule="auto"/>
        <w:ind w:left="1134" w:right="1655" w:firstLine="0"/>
        <w:rPr>
          <w:rFonts w:ascii="Calibri" w:hAnsi="Calibri" w:cs="Calibri"/>
          <w:noProof/>
          <w:sz w:val="22"/>
          <w:szCs w:val="22"/>
        </w:rPr>
      </w:pPr>
      <w:r>
        <w:rPr>
          <w:rFonts w:ascii="Calibri" w:hAnsi="Calibri" w:cs="Calibri"/>
          <w:noProof/>
          <w:sz w:val="22"/>
          <w:szCs w:val="22"/>
        </w:rPr>
        <w:t>To operate the enterprise, so far as is consistent with the above, on a viable financial basis, at least in terms of annual costs, including loan chages (or their equivalent, where the project is grant-aided); and</w:t>
      </w:r>
    </w:p>
    <w:p w14:paraId="0357DC7F" w14:textId="067AF3BB" w:rsidR="000872B3" w:rsidRDefault="000872B3" w:rsidP="000872B3">
      <w:pPr>
        <w:pStyle w:val="paragraph"/>
        <w:numPr>
          <w:ilvl w:val="0"/>
          <w:numId w:val="1"/>
        </w:numPr>
        <w:spacing w:before="0" w:beforeAutospacing="0" w:after="0" w:afterAutospacing="0" w:line="360" w:lineRule="auto"/>
        <w:ind w:left="1134" w:right="1655" w:firstLine="0"/>
        <w:rPr>
          <w:rFonts w:ascii="Calibri" w:hAnsi="Calibri" w:cs="Calibri"/>
          <w:noProof/>
          <w:sz w:val="22"/>
          <w:szCs w:val="22"/>
        </w:rPr>
      </w:pPr>
      <w:r>
        <w:rPr>
          <w:rFonts w:ascii="Calibri" w:hAnsi="Calibri" w:cs="Calibri"/>
          <w:noProof/>
          <w:sz w:val="22"/>
          <w:szCs w:val="22"/>
        </w:rPr>
        <w:t>To programme development so as to secure the earliest opening of the musum at a reasonable initial cost, and thereafter to extend facilities according to demand and availability of resources.</w:t>
      </w:r>
      <w:sdt>
        <w:sdtPr>
          <w:rPr>
            <w:rFonts w:ascii="Calibri" w:hAnsi="Calibri" w:cs="Calibri"/>
            <w:noProof/>
            <w:sz w:val="22"/>
            <w:szCs w:val="22"/>
          </w:rPr>
          <w:id w:val="939727685"/>
          <w:citation/>
        </w:sdtPr>
        <w:sdtContent>
          <w:r w:rsidR="00FE5194">
            <w:rPr>
              <w:rFonts w:ascii="Calibri" w:hAnsi="Calibri" w:cs="Calibri"/>
              <w:noProof/>
              <w:sz w:val="22"/>
              <w:szCs w:val="22"/>
            </w:rPr>
            <w:fldChar w:fldCharType="begin"/>
          </w:r>
          <w:r w:rsidR="00FE5194">
            <w:rPr>
              <w:rFonts w:ascii="Calibri" w:hAnsi="Calibri" w:cs="Calibri"/>
              <w:noProof/>
              <w:sz w:val="22"/>
              <w:szCs w:val="22"/>
            </w:rPr>
            <w:instrText xml:space="preserve"> CITATION Joi79 \l 2057 </w:instrText>
          </w:r>
          <w:r w:rsidR="00FE5194">
            <w:rPr>
              <w:rFonts w:ascii="Calibri" w:hAnsi="Calibri" w:cs="Calibri"/>
              <w:noProof/>
              <w:sz w:val="22"/>
              <w:szCs w:val="22"/>
            </w:rPr>
            <w:fldChar w:fldCharType="separate"/>
          </w:r>
          <w:r w:rsidR="00FE5194">
            <w:rPr>
              <w:rFonts w:ascii="Calibri" w:hAnsi="Calibri" w:cs="Calibri"/>
              <w:noProof/>
              <w:sz w:val="22"/>
              <w:szCs w:val="22"/>
            </w:rPr>
            <w:t xml:space="preserve"> </w:t>
          </w:r>
          <w:r w:rsidR="00FE5194" w:rsidRPr="00FE5194">
            <w:rPr>
              <w:rFonts w:ascii="Calibri" w:hAnsi="Calibri" w:cs="Calibri"/>
              <w:noProof/>
              <w:sz w:val="22"/>
              <w:szCs w:val="22"/>
            </w:rPr>
            <w:t>(Joint Steering Group, 1979)</w:t>
          </w:r>
          <w:r w:rsidR="00FE5194">
            <w:rPr>
              <w:rFonts w:ascii="Calibri" w:hAnsi="Calibri" w:cs="Calibri"/>
              <w:noProof/>
              <w:sz w:val="22"/>
              <w:szCs w:val="22"/>
            </w:rPr>
            <w:fldChar w:fldCharType="end"/>
          </w:r>
        </w:sdtContent>
      </w:sdt>
    </w:p>
    <w:p w14:paraId="47780500" w14:textId="77777777" w:rsidR="000872B3" w:rsidRDefault="000872B3" w:rsidP="000872B3">
      <w:pPr>
        <w:pStyle w:val="paragraph"/>
        <w:spacing w:before="0" w:beforeAutospacing="0" w:after="0" w:afterAutospacing="0" w:line="360" w:lineRule="auto"/>
        <w:rPr>
          <w:rFonts w:ascii="Calibri" w:hAnsi="Calibri" w:cs="Calibri"/>
          <w:noProof/>
          <w:sz w:val="22"/>
          <w:szCs w:val="22"/>
        </w:rPr>
      </w:pPr>
    </w:p>
    <w:p w14:paraId="27564857" w14:textId="77777777" w:rsidR="000872B3" w:rsidRPr="000872B3" w:rsidRDefault="000872B3"/>
    <w:p w14:paraId="550E4AA1" w14:textId="3FD66D8A" w:rsidR="000872B3" w:rsidRDefault="000872B3">
      <w:r>
        <w:t xml:space="preserve">Already, through the </w:t>
      </w:r>
      <w:r w:rsidR="00FE5194">
        <w:t>examination of the objectives of the site, one can begin to obtain an understanding of how a site is both a tourist attraction and a site of memory; suggesting that one cannot be placed into production without the other.</w:t>
      </w:r>
      <w:r w:rsidR="00C04CA8">
        <w:t xml:space="preserve"> </w:t>
      </w:r>
    </w:p>
    <w:p w14:paraId="20351DFA" w14:textId="319B8F2F" w:rsidR="00C04CA8" w:rsidRDefault="00C04CA8">
      <w:r>
        <w:t xml:space="preserve">To elaborate, the points above </w:t>
      </w:r>
      <w:r w:rsidR="00AC2586">
        <w:t xml:space="preserve">show that the aims in which, in the first instance, the Pit needed to hit to </w:t>
      </w:r>
      <w:proofErr w:type="gramStart"/>
      <w:r w:rsidR="00AC2586">
        <w:t>be seen as</w:t>
      </w:r>
      <w:proofErr w:type="gramEnd"/>
      <w:r w:rsidR="00AC2586">
        <w:t xml:space="preserve"> a success in the eyes of a number of different people when it first opened. It has successfully achieved </w:t>
      </w:r>
      <w:proofErr w:type="gramStart"/>
      <w:r w:rsidR="00AC2586">
        <w:t>a number of</w:t>
      </w:r>
      <w:proofErr w:type="gramEnd"/>
      <w:r w:rsidR="00AC2586">
        <w:t xml:space="preserve"> the aims including being able to present what can be considered to be an authentic experience to visitors, with the historical developments of coal mining, shown through the use of multiple tours of both the museum and the mines themselves. From the initial aspects, the museum was considering the tourists and tourist motivations so that visitors will be able to find the experience both pleasurable and safe regardless of the time of the year whilst engaging with adequate facilities to meet the </w:t>
      </w:r>
      <w:proofErr w:type="gramStart"/>
      <w:r w:rsidR="00AC2586">
        <w:t>various different</w:t>
      </w:r>
      <w:proofErr w:type="gramEnd"/>
      <w:r w:rsidR="00AC2586">
        <w:t xml:space="preserve"> needs of a variety of individuals. </w:t>
      </w:r>
    </w:p>
    <w:p w14:paraId="37D0D5BE" w14:textId="770B39F3" w:rsidR="00AC2586" w:rsidRDefault="00AC2586">
      <w:r>
        <w:t>However, it is difficult to discover whether the last two aims have been successfully met and addressed as there has been a constant evolution of the site since it first opened as a heritage site. This does bring some contesting into consideration, as it questions whether the site has been effective in what it set out to do. Nonetheless</w:t>
      </w:r>
      <w:proofErr w:type="gramStart"/>
      <w:r>
        <w:t>, it is clear that, regardless</w:t>
      </w:r>
      <w:proofErr w:type="gramEnd"/>
      <w:r>
        <w:t xml:space="preserve"> of the aims, the site is clearly both a tourist site and a site of memory, something that will be further addressed throughout the course of this research report. </w:t>
      </w:r>
    </w:p>
    <w:p w14:paraId="0EE835D3" w14:textId="7D65A209" w:rsidR="00FE5194" w:rsidRDefault="00FE5194"/>
    <w:p w14:paraId="3F0630ED" w14:textId="29A1A0CE" w:rsidR="00FE5194" w:rsidRDefault="00FE5194">
      <w:r>
        <w:rPr>
          <w:u w:val="single"/>
        </w:rPr>
        <w:t>Contribution to Welsh Heritage</w:t>
      </w:r>
    </w:p>
    <w:p w14:paraId="5662C46E" w14:textId="77777777" w:rsidR="00FE5194" w:rsidRDefault="00FE5194" w:rsidP="00FE5194">
      <w:pPr>
        <w:pStyle w:val="paragraph"/>
        <w:spacing w:before="0" w:beforeAutospacing="0" w:after="0" w:afterAutospacing="0" w:line="360" w:lineRule="auto"/>
        <w:ind w:right="95"/>
        <w:rPr>
          <w:rFonts w:ascii="Calibri" w:hAnsi="Calibri" w:cs="Calibri"/>
          <w:noProof/>
          <w:sz w:val="22"/>
          <w:szCs w:val="22"/>
        </w:rPr>
      </w:pPr>
      <w:r>
        <w:rPr>
          <w:rFonts w:ascii="Calibri" w:hAnsi="Calibri" w:cs="Calibri"/>
          <w:noProof/>
          <w:sz w:val="22"/>
          <w:szCs w:val="22"/>
        </w:rPr>
        <w:t xml:space="preserve">Coal mining occupies a special place in the industrial, social and cultural history of Wales. It is fitting and proper that this most Welsh of industries should have a specialist museum, to record  and interpret its history for the benefit of international audience. </w:t>
      </w:r>
      <w:sdt>
        <w:sdtPr>
          <w:rPr>
            <w:rFonts w:ascii="Calibri" w:hAnsi="Calibri" w:cs="Calibri"/>
            <w:noProof/>
            <w:sz w:val="22"/>
            <w:szCs w:val="22"/>
          </w:rPr>
          <w:id w:val="2088099902"/>
          <w:citation/>
        </w:sdtPr>
        <w:sdtContent>
          <w:r>
            <w:rPr>
              <w:rFonts w:ascii="Calibri" w:hAnsi="Calibri" w:cs="Calibri"/>
              <w:noProof/>
              <w:sz w:val="22"/>
              <w:szCs w:val="22"/>
            </w:rPr>
            <w:fldChar w:fldCharType="begin"/>
          </w:r>
          <w:r>
            <w:rPr>
              <w:rFonts w:ascii="Calibri" w:hAnsi="Calibri" w:cs="Calibri"/>
              <w:noProof/>
              <w:sz w:val="22"/>
              <w:szCs w:val="22"/>
            </w:rPr>
            <w:instrText xml:space="preserve"> CITATION Joi79 \l 2057 </w:instrText>
          </w:r>
          <w:r>
            <w:rPr>
              <w:rFonts w:ascii="Calibri" w:hAnsi="Calibri" w:cs="Calibri"/>
              <w:noProof/>
              <w:sz w:val="22"/>
              <w:szCs w:val="22"/>
            </w:rPr>
            <w:fldChar w:fldCharType="separate"/>
          </w:r>
          <w:r w:rsidRPr="008D5927">
            <w:rPr>
              <w:rFonts w:ascii="Calibri" w:hAnsi="Calibri" w:cs="Calibri"/>
              <w:noProof/>
              <w:sz w:val="22"/>
              <w:szCs w:val="22"/>
            </w:rPr>
            <w:t>(Joint Steering Group, 1979)</w:t>
          </w:r>
          <w:r>
            <w:rPr>
              <w:rFonts w:ascii="Calibri" w:hAnsi="Calibri" w:cs="Calibri"/>
              <w:noProof/>
              <w:sz w:val="22"/>
              <w:szCs w:val="22"/>
            </w:rPr>
            <w:fldChar w:fldCharType="end"/>
          </w:r>
        </w:sdtContent>
      </w:sdt>
      <w:r>
        <w:rPr>
          <w:rFonts w:ascii="Calibri" w:hAnsi="Calibri" w:cs="Calibri"/>
          <w:noProof/>
          <w:sz w:val="22"/>
          <w:szCs w:val="22"/>
        </w:rPr>
        <w:t xml:space="preserve"> </w:t>
      </w:r>
      <w:r>
        <w:rPr>
          <w:rFonts w:ascii="Calibri" w:hAnsi="Calibri" w:cs="Calibri"/>
          <w:noProof/>
          <w:sz w:val="22"/>
          <w:szCs w:val="22"/>
        </w:rPr>
        <w:br/>
      </w:r>
    </w:p>
    <w:p w14:paraId="26168E86" w14:textId="77777777" w:rsidR="00FE5194" w:rsidRDefault="00FE5194" w:rsidP="00FE5194">
      <w:pPr>
        <w:pStyle w:val="paragraph"/>
        <w:spacing w:before="0" w:beforeAutospacing="0" w:after="0" w:afterAutospacing="0" w:line="360" w:lineRule="auto"/>
        <w:ind w:right="95"/>
        <w:rPr>
          <w:rFonts w:ascii="Calibri" w:hAnsi="Calibri" w:cs="Calibri"/>
          <w:noProof/>
          <w:sz w:val="22"/>
          <w:szCs w:val="22"/>
        </w:rPr>
      </w:pPr>
      <w:r>
        <w:rPr>
          <w:rFonts w:ascii="Calibri" w:hAnsi="Calibri" w:cs="Calibri"/>
          <w:noProof/>
          <w:sz w:val="22"/>
          <w:szCs w:val="22"/>
        </w:rPr>
        <w:lastRenderedPageBreak/>
        <w:t xml:space="preserve">It is believed that the opportunities which exist in Blaenavon are unique. The Joint Steering Group believed that no other heritage site would be able to combine the history and appeal of Bit Pit itself with the wealth of industrial reources founds in its immediate hinterland. Moreover, the area adjoins a National park and is easily accessible from the Motorway. </w:t>
      </w:r>
      <w:sdt>
        <w:sdtPr>
          <w:rPr>
            <w:rFonts w:ascii="Calibri" w:hAnsi="Calibri" w:cs="Calibri"/>
            <w:noProof/>
            <w:sz w:val="22"/>
            <w:szCs w:val="22"/>
          </w:rPr>
          <w:id w:val="260191731"/>
          <w:citation/>
        </w:sdtPr>
        <w:sdtContent>
          <w:r>
            <w:rPr>
              <w:rFonts w:ascii="Calibri" w:hAnsi="Calibri" w:cs="Calibri"/>
              <w:noProof/>
              <w:sz w:val="22"/>
              <w:szCs w:val="22"/>
            </w:rPr>
            <w:fldChar w:fldCharType="begin"/>
          </w:r>
          <w:r>
            <w:rPr>
              <w:rFonts w:ascii="Calibri" w:hAnsi="Calibri" w:cs="Calibri"/>
              <w:noProof/>
              <w:sz w:val="22"/>
              <w:szCs w:val="22"/>
            </w:rPr>
            <w:instrText xml:space="preserve"> CITATION Joi79 \l 2057 </w:instrText>
          </w:r>
          <w:r>
            <w:rPr>
              <w:rFonts w:ascii="Calibri" w:hAnsi="Calibri" w:cs="Calibri"/>
              <w:noProof/>
              <w:sz w:val="22"/>
              <w:szCs w:val="22"/>
            </w:rPr>
            <w:fldChar w:fldCharType="separate"/>
          </w:r>
          <w:r w:rsidRPr="00B35D24">
            <w:rPr>
              <w:rFonts w:ascii="Calibri" w:hAnsi="Calibri" w:cs="Calibri"/>
              <w:noProof/>
              <w:sz w:val="22"/>
              <w:szCs w:val="22"/>
            </w:rPr>
            <w:t>(Joint Steering Group, 1979)</w:t>
          </w:r>
          <w:r>
            <w:rPr>
              <w:rFonts w:ascii="Calibri" w:hAnsi="Calibri" w:cs="Calibri"/>
              <w:noProof/>
              <w:sz w:val="22"/>
              <w:szCs w:val="22"/>
            </w:rPr>
            <w:fldChar w:fldCharType="end"/>
          </w:r>
        </w:sdtContent>
      </w:sdt>
    </w:p>
    <w:p w14:paraId="4A6666FF" w14:textId="77777777" w:rsidR="00FE5194" w:rsidRDefault="00FE5194" w:rsidP="00FE5194">
      <w:pPr>
        <w:pStyle w:val="paragraph"/>
        <w:spacing w:before="0" w:beforeAutospacing="0" w:after="0" w:afterAutospacing="0" w:line="360" w:lineRule="auto"/>
        <w:ind w:right="1655"/>
        <w:rPr>
          <w:rFonts w:ascii="Calibri" w:hAnsi="Calibri" w:cs="Calibri"/>
          <w:noProof/>
          <w:sz w:val="22"/>
          <w:szCs w:val="22"/>
        </w:rPr>
      </w:pPr>
    </w:p>
    <w:p w14:paraId="719956FE" w14:textId="2789CB7D" w:rsidR="00FE5194" w:rsidRDefault="00FE5194" w:rsidP="00FE5194">
      <w:pPr>
        <w:pStyle w:val="paragraph"/>
        <w:spacing w:before="0" w:beforeAutospacing="0" w:after="0" w:afterAutospacing="0" w:line="360" w:lineRule="auto"/>
        <w:rPr>
          <w:rFonts w:ascii="Calibri" w:hAnsi="Calibri" w:cs="Calibri"/>
          <w:noProof/>
          <w:sz w:val="22"/>
          <w:szCs w:val="22"/>
        </w:rPr>
      </w:pPr>
      <w:r>
        <w:rPr>
          <w:rFonts w:ascii="Calibri" w:hAnsi="Calibri" w:cs="Calibri"/>
          <w:noProof/>
          <w:sz w:val="22"/>
          <w:szCs w:val="22"/>
        </w:rPr>
        <w:t>Museums are known to be focuses of cultural creation and interprative spaces where realisation is faced. Big Pit is one of the oldest shaft mines within South Wales</w:t>
      </w:r>
      <w:sdt>
        <w:sdtPr>
          <w:rPr>
            <w:rFonts w:ascii="Calibri" w:hAnsi="Calibri" w:cs="Calibri"/>
            <w:noProof/>
            <w:sz w:val="22"/>
            <w:szCs w:val="22"/>
          </w:rPr>
          <w:id w:val="-1689122094"/>
          <w:citation/>
        </w:sdtPr>
        <w:sdtContent>
          <w:r>
            <w:rPr>
              <w:rFonts w:ascii="Calibri" w:hAnsi="Calibri" w:cs="Calibri"/>
              <w:noProof/>
              <w:sz w:val="22"/>
              <w:szCs w:val="22"/>
            </w:rPr>
            <w:fldChar w:fldCharType="begin"/>
          </w:r>
          <w:r>
            <w:rPr>
              <w:rFonts w:ascii="Calibri" w:hAnsi="Calibri" w:cs="Calibri"/>
              <w:noProof/>
              <w:sz w:val="22"/>
              <w:szCs w:val="22"/>
            </w:rPr>
            <w:instrText xml:space="preserve"> CITATION Joi79 \l 2057 </w:instrText>
          </w:r>
          <w:r>
            <w:rPr>
              <w:rFonts w:ascii="Calibri" w:hAnsi="Calibri" w:cs="Calibri"/>
              <w:noProof/>
              <w:sz w:val="22"/>
              <w:szCs w:val="22"/>
            </w:rPr>
            <w:fldChar w:fldCharType="separate"/>
          </w:r>
          <w:r>
            <w:rPr>
              <w:rFonts w:ascii="Calibri" w:hAnsi="Calibri" w:cs="Calibri"/>
              <w:noProof/>
              <w:sz w:val="22"/>
              <w:szCs w:val="22"/>
            </w:rPr>
            <w:t xml:space="preserve"> </w:t>
          </w:r>
          <w:r w:rsidRPr="00024BBD">
            <w:rPr>
              <w:rFonts w:ascii="Calibri" w:hAnsi="Calibri" w:cs="Calibri"/>
              <w:noProof/>
              <w:sz w:val="22"/>
              <w:szCs w:val="22"/>
            </w:rPr>
            <w:t>(Joint Steering Group, 1979)</w:t>
          </w:r>
          <w:r>
            <w:rPr>
              <w:rFonts w:ascii="Calibri" w:hAnsi="Calibri" w:cs="Calibri"/>
              <w:noProof/>
              <w:sz w:val="22"/>
              <w:szCs w:val="22"/>
            </w:rPr>
            <w:fldChar w:fldCharType="end"/>
          </w:r>
        </w:sdtContent>
      </w:sdt>
      <w:r>
        <w:rPr>
          <w:rFonts w:ascii="Calibri" w:hAnsi="Calibri" w:cs="Calibri"/>
          <w:noProof/>
          <w:sz w:val="22"/>
          <w:szCs w:val="22"/>
        </w:rPr>
        <w:t xml:space="preserve"> The site is seen as significant due to the fact that it extends beyond its intrinsic historical imposrtance and character. After the mine shut, it still held potential for progress which derived from the fact that it was located in an area which had been appropriately labelled as ‘a living witness to the Industrial Revolution.’</w:t>
      </w:r>
      <w:sdt>
        <w:sdtPr>
          <w:rPr>
            <w:rFonts w:ascii="Calibri" w:hAnsi="Calibri" w:cs="Calibri"/>
            <w:noProof/>
            <w:sz w:val="22"/>
            <w:szCs w:val="22"/>
          </w:rPr>
          <w:id w:val="572238986"/>
          <w:citation/>
        </w:sdtPr>
        <w:sdtContent>
          <w:r>
            <w:rPr>
              <w:rFonts w:ascii="Calibri" w:hAnsi="Calibri" w:cs="Calibri"/>
              <w:noProof/>
              <w:sz w:val="22"/>
              <w:szCs w:val="22"/>
            </w:rPr>
            <w:fldChar w:fldCharType="begin"/>
          </w:r>
          <w:r>
            <w:rPr>
              <w:rFonts w:ascii="Calibri" w:hAnsi="Calibri" w:cs="Calibri"/>
              <w:noProof/>
              <w:sz w:val="22"/>
              <w:szCs w:val="22"/>
            </w:rPr>
            <w:instrText xml:space="preserve"> CITATION Joi79 \l 2057 </w:instrText>
          </w:r>
          <w:r>
            <w:rPr>
              <w:rFonts w:ascii="Calibri" w:hAnsi="Calibri" w:cs="Calibri"/>
              <w:noProof/>
              <w:sz w:val="22"/>
              <w:szCs w:val="22"/>
            </w:rPr>
            <w:fldChar w:fldCharType="separate"/>
          </w:r>
          <w:r>
            <w:rPr>
              <w:rFonts w:ascii="Calibri" w:hAnsi="Calibri" w:cs="Calibri"/>
              <w:noProof/>
              <w:sz w:val="22"/>
              <w:szCs w:val="22"/>
            </w:rPr>
            <w:t xml:space="preserve"> </w:t>
          </w:r>
          <w:r w:rsidRPr="00161E6E">
            <w:rPr>
              <w:rFonts w:ascii="Calibri" w:hAnsi="Calibri" w:cs="Calibri"/>
              <w:noProof/>
              <w:sz w:val="22"/>
              <w:szCs w:val="22"/>
            </w:rPr>
            <w:t>(Joint Steering Group, 1979)</w:t>
          </w:r>
          <w:r>
            <w:rPr>
              <w:rFonts w:ascii="Calibri" w:hAnsi="Calibri" w:cs="Calibri"/>
              <w:noProof/>
              <w:sz w:val="22"/>
              <w:szCs w:val="22"/>
            </w:rPr>
            <w:fldChar w:fldCharType="end"/>
          </w:r>
        </w:sdtContent>
      </w:sdt>
      <w:r>
        <w:rPr>
          <w:rFonts w:ascii="Calibri" w:hAnsi="Calibri" w:cs="Calibri"/>
          <w:noProof/>
          <w:sz w:val="22"/>
          <w:szCs w:val="22"/>
        </w:rPr>
        <w:t xml:space="preserve"> Big Pit is especially important within this as when looking at intepretive terms, it is situated within an area which holds a wealth of important sites associated with the social and industrial development of Britain. </w:t>
      </w:r>
      <w:sdt>
        <w:sdtPr>
          <w:rPr>
            <w:rFonts w:ascii="Calibri" w:hAnsi="Calibri" w:cs="Calibri"/>
            <w:noProof/>
            <w:sz w:val="22"/>
            <w:szCs w:val="22"/>
          </w:rPr>
          <w:id w:val="995222279"/>
          <w:citation/>
        </w:sdtPr>
        <w:sdtContent>
          <w:r>
            <w:rPr>
              <w:rFonts w:ascii="Calibri" w:hAnsi="Calibri" w:cs="Calibri"/>
              <w:noProof/>
              <w:sz w:val="22"/>
              <w:szCs w:val="22"/>
            </w:rPr>
            <w:fldChar w:fldCharType="begin"/>
          </w:r>
          <w:r>
            <w:rPr>
              <w:rFonts w:ascii="Calibri" w:hAnsi="Calibri" w:cs="Calibri"/>
              <w:noProof/>
              <w:sz w:val="22"/>
              <w:szCs w:val="22"/>
            </w:rPr>
            <w:instrText xml:space="preserve"> CITATION Joi79 \l 2057 </w:instrText>
          </w:r>
          <w:r>
            <w:rPr>
              <w:rFonts w:ascii="Calibri" w:hAnsi="Calibri" w:cs="Calibri"/>
              <w:noProof/>
              <w:sz w:val="22"/>
              <w:szCs w:val="22"/>
            </w:rPr>
            <w:fldChar w:fldCharType="separate"/>
          </w:r>
          <w:r w:rsidRPr="00004EB3">
            <w:rPr>
              <w:rFonts w:ascii="Calibri" w:hAnsi="Calibri" w:cs="Calibri"/>
              <w:noProof/>
              <w:sz w:val="22"/>
              <w:szCs w:val="22"/>
            </w:rPr>
            <w:t>(Joint Steering Group, 1979)</w:t>
          </w:r>
          <w:r>
            <w:rPr>
              <w:rFonts w:ascii="Calibri" w:hAnsi="Calibri" w:cs="Calibri"/>
              <w:noProof/>
              <w:sz w:val="22"/>
              <w:szCs w:val="22"/>
            </w:rPr>
            <w:fldChar w:fldCharType="end"/>
          </w:r>
        </w:sdtContent>
      </w:sdt>
      <w:r>
        <w:rPr>
          <w:rFonts w:ascii="Calibri" w:hAnsi="Calibri" w:cs="Calibri"/>
          <w:noProof/>
          <w:sz w:val="22"/>
          <w:szCs w:val="22"/>
        </w:rPr>
        <w:t xml:space="preserve"> The area linked closely, and most importantly, with the mining museum is Blaenavon Ironworks which is described as the best surviving example of the late 18</w:t>
      </w:r>
      <w:r w:rsidRPr="00D10009">
        <w:rPr>
          <w:rFonts w:ascii="Calibri" w:hAnsi="Calibri" w:cs="Calibri"/>
          <w:noProof/>
          <w:sz w:val="22"/>
          <w:szCs w:val="22"/>
          <w:vertAlign w:val="superscript"/>
        </w:rPr>
        <w:t>th</w:t>
      </w:r>
      <w:r>
        <w:rPr>
          <w:rFonts w:ascii="Calibri" w:hAnsi="Calibri" w:cs="Calibri"/>
          <w:noProof/>
          <w:sz w:val="22"/>
          <w:szCs w:val="22"/>
        </w:rPr>
        <w:t xml:space="preserve"> century ironworks</w:t>
      </w:r>
      <w:sdt>
        <w:sdtPr>
          <w:rPr>
            <w:rFonts w:ascii="Calibri" w:hAnsi="Calibri" w:cs="Calibri"/>
            <w:noProof/>
            <w:sz w:val="22"/>
            <w:szCs w:val="22"/>
          </w:rPr>
          <w:id w:val="1390693043"/>
          <w:citation/>
        </w:sdtPr>
        <w:sdtContent>
          <w:r>
            <w:rPr>
              <w:rFonts w:ascii="Calibri" w:hAnsi="Calibri" w:cs="Calibri"/>
              <w:noProof/>
              <w:sz w:val="22"/>
              <w:szCs w:val="22"/>
            </w:rPr>
            <w:fldChar w:fldCharType="begin"/>
          </w:r>
          <w:r>
            <w:rPr>
              <w:rFonts w:ascii="Calibri" w:hAnsi="Calibri" w:cs="Calibri"/>
              <w:noProof/>
              <w:sz w:val="22"/>
              <w:szCs w:val="22"/>
            </w:rPr>
            <w:instrText xml:space="preserve"> CITATION Joi79 \l 2057 </w:instrText>
          </w:r>
          <w:r>
            <w:rPr>
              <w:rFonts w:ascii="Calibri" w:hAnsi="Calibri" w:cs="Calibri"/>
              <w:noProof/>
              <w:sz w:val="22"/>
              <w:szCs w:val="22"/>
            </w:rPr>
            <w:fldChar w:fldCharType="separate"/>
          </w:r>
          <w:r>
            <w:rPr>
              <w:rFonts w:ascii="Calibri" w:hAnsi="Calibri" w:cs="Calibri"/>
              <w:noProof/>
              <w:sz w:val="22"/>
              <w:szCs w:val="22"/>
            </w:rPr>
            <w:t xml:space="preserve"> </w:t>
          </w:r>
          <w:r w:rsidRPr="00D10009">
            <w:rPr>
              <w:rFonts w:ascii="Calibri" w:hAnsi="Calibri" w:cs="Calibri"/>
              <w:noProof/>
              <w:sz w:val="22"/>
              <w:szCs w:val="22"/>
            </w:rPr>
            <w:t>(Joint Steering Group, 1979)</w:t>
          </w:r>
          <w:r>
            <w:rPr>
              <w:rFonts w:ascii="Calibri" w:hAnsi="Calibri" w:cs="Calibri"/>
              <w:noProof/>
              <w:sz w:val="22"/>
              <w:szCs w:val="22"/>
            </w:rPr>
            <w:fldChar w:fldCharType="end"/>
          </w:r>
        </w:sdtContent>
      </w:sdt>
      <w:r>
        <w:rPr>
          <w:rFonts w:ascii="Calibri" w:hAnsi="Calibri" w:cs="Calibri"/>
          <w:noProof/>
          <w:sz w:val="22"/>
          <w:szCs w:val="22"/>
        </w:rPr>
        <w:t xml:space="preserve"> alongside the ironworks is the remains of a historic tramroad, workers’ houses, schools, places of worship, most of which have a considerable amount of heritage value. </w:t>
      </w:r>
      <w:r>
        <w:rPr>
          <w:rFonts w:ascii="Calibri" w:hAnsi="Calibri" w:cs="Calibri"/>
          <w:noProof/>
          <w:sz w:val="22"/>
          <w:szCs w:val="22"/>
        </w:rPr>
        <w:br/>
        <w:t>Coalmining contributes to Welsh heritage, providing the people with a sense of identity and culture despite the fact that mining is no longer an active construct to their everyday lives. Family members can remember working in the mines, as such, Big Pit has become a clear case of Welsh heritage within living memory.</w:t>
      </w:r>
    </w:p>
    <w:p w14:paraId="6C50482F" w14:textId="0FF18C63" w:rsidR="00FE5194" w:rsidRDefault="00FE5194" w:rsidP="00FE5194">
      <w:pPr>
        <w:pStyle w:val="paragraph"/>
        <w:spacing w:before="0" w:beforeAutospacing="0" w:after="0" w:afterAutospacing="0" w:line="360" w:lineRule="auto"/>
        <w:rPr>
          <w:rFonts w:ascii="Calibri" w:hAnsi="Calibri" w:cs="Calibri"/>
          <w:noProof/>
          <w:sz w:val="22"/>
          <w:szCs w:val="22"/>
        </w:rPr>
      </w:pPr>
    </w:p>
    <w:p w14:paraId="40A364C4" w14:textId="76D44AB8" w:rsidR="00FE5194" w:rsidRDefault="00FE5194" w:rsidP="00FE5194">
      <w:pPr>
        <w:pStyle w:val="paragraph"/>
        <w:spacing w:before="0" w:beforeAutospacing="0" w:after="0" w:afterAutospacing="0" w:line="360" w:lineRule="auto"/>
        <w:rPr>
          <w:rFonts w:ascii="Calibri" w:hAnsi="Calibri" w:cs="Calibri"/>
          <w:noProof/>
          <w:sz w:val="22"/>
          <w:szCs w:val="22"/>
        </w:rPr>
      </w:pPr>
      <w:r>
        <w:rPr>
          <w:rFonts w:ascii="Calibri" w:hAnsi="Calibri" w:cs="Calibri"/>
          <w:noProof/>
          <w:sz w:val="22"/>
          <w:szCs w:val="22"/>
          <w:u w:val="single"/>
        </w:rPr>
        <w:t>Site of Memory</w:t>
      </w:r>
    </w:p>
    <w:p w14:paraId="49436A08" w14:textId="77777777" w:rsidR="00FE5194" w:rsidRPr="00FE5194" w:rsidRDefault="00FE5194" w:rsidP="00FE5194">
      <w:pPr>
        <w:pStyle w:val="paragraph"/>
        <w:spacing w:before="0" w:beforeAutospacing="0" w:after="0" w:afterAutospacing="0" w:line="360" w:lineRule="auto"/>
        <w:rPr>
          <w:rFonts w:ascii="Calibri" w:hAnsi="Calibri" w:cs="Calibri"/>
          <w:noProof/>
          <w:sz w:val="22"/>
          <w:szCs w:val="22"/>
        </w:rPr>
      </w:pPr>
    </w:p>
    <w:p w14:paraId="629345F3" w14:textId="77777777" w:rsidR="00BD58AF" w:rsidRDefault="00BD58AF" w:rsidP="00BD58AF">
      <w:proofErr w:type="spellStart"/>
      <w:r>
        <w:t>Hewison</w:t>
      </w:r>
      <w:proofErr w:type="spellEnd"/>
      <w:r>
        <w:t xml:space="preserve"> (1987) stated that an increase within the heritage sector had been intended to ‘capture a nostalgia for the past and to impose this on society.’</w:t>
      </w:r>
      <w:sdt>
        <w:sdtPr>
          <w:id w:val="1112411772"/>
          <w:citation/>
        </w:sdtPr>
        <w:sdtContent>
          <w:r>
            <w:fldChar w:fldCharType="begin"/>
          </w:r>
          <w:r>
            <w:instrText xml:space="preserve">CITATION Hew87 \l 2057 </w:instrText>
          </w:r>
          <w:r>
            <w:fldChar w:fldCharType="separate"/>
          </w:r>
          <w:r>
            <w:rPr>
              <w:noProof/>
            </w:rPr>
            <w:t xml:space="preserve"> </w:t>
          </w:r>
          <w:r w:rsidRPr="00352FC7">
            <w:rPr>
              <w:noProof/>
            </w:rPr>
            <w:t>(Hewison, 1987)</w:t>
          </w:r>
          <w:r>
            <w:fldChar w:fldCharType="end"/>
          </w:r>
        </w:sdtContent>
      </w:sdt>
      <w:r>
        <w:t xml:space="preserve"> Nostalgia is defined as a yearning for the past, and in this sense we view nostalgia as one significant feature of community memory. </w:t>
      </w:r>
      <w:sdt>
        <w:sdtPr>
          <w:id w:val="637076062"/>
          <w:citation/>
        </w:sdtPr>
        <w:sdtContent>
          <w:r>
            <w:fldChar w:fldCharType="begin"/>
          </w:r>
          <w:r>
            <w:instrText xml:space="preserve"> CITATION Ben10 \l 2057 </w:instrText>
          </w:r>
          <w:r>
            <w:fldChar w:fldCharType="separate"/>
          </w:r>
          <w:r w:rsidRPr="005A2CB0">
            <w:rPr>
              <w:noProof/>
            </w:rPr>
            <w:t>(Benton, 2010)</w:t>
          </w:r>
          <w:r>
            <w:fldChar w:fldCharType="end"/>
          </w:r>
        </w:sdtContent>
      </w:sdt>
      <w:r>
        <w:t>Keeping heritage safely in the past was considered to be preventing Britain from cultivating an active and artistic culture, which would have contributed to a sense of decline.</w:t>
      </w:r>
      <w:sdt>
        <w:sdtPr>
          <w:id w:val="1584488782"/>
          <w:citation/>
        </w:sdtPr>
        <w:sdtContent>
          <w:r>
            <w:fldChar w:fldCharType="begin"/>
          </w:r>
          <w:r>
            <w:instrText xml:space="preserve"> CITATION Hew87 \l 2057 </w:instrText>
          </w:r>
          <w:r>
            <w:fldChar w:fldCharType="separate"/>
          </w:r>
          <w:r>
            <w:rPr>
              <w:noProof/>
            </w:rPr>
            <w:t xml:space="preserve"> </w:t>
          </w:r>
          <w:r w:rsidRPr="00EB7C6F">
            <w:rPr>
              <w:noProof/>
            </w:rPr>
            <w:t>(Hewison, 1987)</w:t>
          </w:r>
          <w:r>
            <w:fldChar w:fldCharType="end"/>
          </w:r>
        </w:sdtContent>
      </w:sdt>
    </w:p>
    <w:p w14:paraId="38A2BE14" w14:textId="19B6527F" w:rsidR="00FE5194" w:rsidRDefault="00BD58AF">
      <w:r>
        <w:t>It is very clear that Big Pit uses the effects of nostalgia to encourage people to remember mining; an essential aspect of Welsh cultural heritage. Through the use of their exhibits, people are encouraged to remember certain aspects of the Welsh mining history such as the strike</w:t>
      </w:r>
      <w:sdt>
        <w:sdtPr>
          <w:id w:val="-1529400467"/>
          <w:citation/>
        </w:sdtPr>
        <w:sdtContent>
          <w:r w:rsidR="000D0DC0">
            <w:fldChar w:fldCharType="begin"/>
          </w:r>
          <w:r w:rsidR="000D0DC0">
            <w:instrText xml:space="preserve"> CITATION Tho19 \l 2057 </w:instrText>
          </w:r>
          <w:r w:rsidR="000D0DC0">
            <w:fldChar w:fldCharType="separate"/>
          </w:r>
          <w:r w:rsidR="000D0DC0">
            <w:rPr>
              <w:noProof/>
            </w:rPr>
            <w:t xml:space="preserve"> </w:t>
          </w:r>
          <w:r w:rsidR="000D0DC0" w:rsidRPr="000D0DC0">
            <w:rPr>
              <w:noProof/>
            </w:rPr>
            <w:t>(Thompson, 2019)</w:t>
          </w:r>
          <w:r w:rsidR="000D0DC0">
            <w:fldChar w:fldCharType="end"/>
          </w:r>
        </w:sdtContent>
      </w:sdt>
      <w:r w:rsidR="000224D6">
        <w:t xml:space="preserve"> which creates a political impact of their exhibits due to the fact that the miners’ strike of 1984-85 had been the biggest mass movement against the government in history, so much so that the government tried to erase it from history. </w:t>
      </w:r>
      <w:r w:rsidR="000224D6">
        <w:br/>
        <w:t xml:space="preserve">Alongside this, Big Pit is aimed at educating society on other aspects of the Welsh societies’ cultural </w:t>
      </w:r>
      <w:r w:rsidR="000224D6">
        <w:lastRenderedPageBreak/>
        <w:t xml:space="preserve">heritage as well as individuals heritage. It is linked strongly to the surrounding industrial revolution history of Blaenavon as well as the welsh valleys in a general sense. </w:t>
      </w:r>
    </w:p>
    <w:p w14:paraId="31879849" w14:textId="6B89F560" w:rsidR="000224D6" w:rsidRDefault="000224D6">
      <w:r>
        <w:t>Exhibits in themselves must have a physical</w:t>
      </w:r>
      <w:r w:rsidR="0004166A">
        <w:t xml:space="preserve"> or even </w:t>
      </w:r>
      <w:r>
        <w:t xml:space="preserve">tangible heritage for them to be put into the museum, this results in the hiding of intangible heritage such as the stories of miners as well. Alongside this, newspapers are never used within their exhibits </w:t>
      </w:r>
      <w:r w:rsidR="00AF5848">
        <w:t>as it’s easy for them to be destroyed as well as often being biased, which has resulted in the curator not wishing to use them within the museum.</w:t>
      </w:r>
      <w:sdt>
        <w:sdtPr>
          <w:id w:val="524909451"/>
          <w:citation/>
        </w:sdtPr>
        <w:sdtContent>
          <w:r w:rsidR="00AF5848">
            <w:fldChar w:fldCharType="begin"/>
          </w:r>
          <w:r w:rsidR="00AF5848">
            <w:instrText xml:space="preserve"> CITATION Tho19 \l 2057 </w:instrText>
          </w:r>
          <w:r w:rsidR="00AF5848">
            <w:fldChar w:fldCharType="separate"/>
          </w:r>
          <w:r w:rsidR="00AF5848">
            <w:rPr>
              <w:noProof/>
            </w:rPr>
            <w:t xml:space="preserve"> </w:t>
          </w:r>
          <w:r w:rsidR="00AF5848" w:rsidRPr="00AF5848">
            <w:rPr>
              <w:noProof/>
            </w:rPr>
            <w:t>(Thompson, 2019)</w:t>
          </w:r>
          <w:r w:rsidR="00AF5848">
            <w:fldChar w:fldCharType="end"/>
          </w:r>
        </w:sdtContent>
      </w:sdt>
      <w:r w:rsidR="00AF5848">
        <w:t xml:space="preserve">  Any stories which would be told must </w:t>
      </w:r>
      <w:r w:rsidR="000D0DC0">
        <w:t>e</w:t>
      </w:r>
      <w:r w:rsidR="00AF5848">
        <w:t xml:space="preserve">ither be directly linked to the exhibit and is used through a voice recording, or through the ex-miners doing the tours underground as well as on the pitheads and in the baths. </w:t>
      </w:r>
    </w:p>
    <w:p w14:paraId="7EC50DFC" w14:textId="0D5D06A1" w:rsidR="00677E6D" w:rsidRDefault="00677E6D">
      <w:r>
        <w:rPr>
          <w:rStyle w:val="normaltextrun"/>
          <w:rFonts w:ascii="Calibri" w:hAnsi="Calibri" w:cs="Calibri"/>
          <w:color w:val="000000"/>
          <w:shd w:val="clear" w:color="auto" w:fill="FFFFFF"/>
        </w:rPr>
        <w:t>This links heavily to Rothberg’s ‘multidirectional memory’.  Multidirectional memory considers a range of interventions through which societal factors convey several traumatic pasts into the present day</w:t>
      </w:r>
      <w:sdt>
        <w:sdtPr>
          <w:rPr>
            <w:rStyle w:val="normaltextrun"/>
            <w:rFonts w:ascii="Calibri" w:hAnsi="Calibri" w:cs="Calibri"/>
            <w:color w:val="000000"/>
            <w:shd w:val="clear" w:color="auto" w:fill="FFFFFF"/>
          </w:rPr>
          <w:id w:val="665596166"/>
          <w:citation/>
        </w:sdt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 CITATION Rot09 \l 2057 </w:instrText>
          </w:r>
          <w:r>
            <w:rPr>
              <w:rStyle w:val="normaltextrun"/>
              <w:rFonts w:ascii="Calibri" w:hAnsi="Calibri" w:cs="Calibri"/>
              <w:color w:val="000000"/>
              <w:shd w:val="clear" w:color="auto" w:fill="FFFFFF"/>
            </w:rPr>
            <w:fldChar w:fldCharType="separate"/>
          </w:r>
          <w:r>
            <w:rPr>
              <w:rStyle w:val="normaltextrun"/>
              <w:rFonts w:ascii="Calibri" w:hAnsi="Calibri" w:cs="Calibri"/>
              <w:noProof/>
              <w:color w:val="000000"/>
              <w:shd w:val="clear" w:color="auto" w:fill="FFFFFF"/>
            </w:rPr>
            <w:t xml:space="preserve"> </w:t>
          </w:r>
          <w:r w:rsidRPr="00677E6D">
            <w:rPr>
              <w:rFonts w:ascii="Calibri" w:hAnsi="Calibri" w:cs="Calibri"/>
              <w:noProof/>
              <w:color w:val="000000"/>
              <w:shd w:val="clear" w:color="auto" w:fill="FFFFFF"/>
            </w:rPr>
            <w:t>(Rothberg, 2009)</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The theory itself presents how the link between collective memory and group identity may have been taken for granted leading to the boundaries between identity and memory overlapping.</w:t>
      </w:r>
      <w:r>
        <w:rPr>
          <w:rStyle w:val="scxw159338959"/>
          <w:rFonts w:ascii="Calibri" w:hAnsi="Calibri" w:cs="Calibri"/>
          <w:color w:val="000000"/>
          <w:sz w:val="17"/>
          <w:szCs w:val="17"/>
          <w:shd w:val="clear" w:color="auto" w:fill="FFFFFF"/>
          <w:vertAlign w:val="superscript"/>
        </w:rPr>
        <w:t>14</w:t>
      </w:r>
      <w:r>
        <w:rPr>
          <w:rStyle w:val="normaltextrun"/>
          <w:rFonts w:ascii="Calibri" w:hAnsi="Calibri" w:cs="Calibri"/>
          <w:color w:val="000000"/>
          <w:shd w:val="clear" w:color="auto" w:fill="FFFFFF"/>
        </w:rPr>
        <w:t> This theory can be linked to living and societal memory surrounding the mining museums due to the fact that there are many voices which need to be conveyed within the museum, Big Pit was a working museum from 1880 to 1980 and there were a varied range of events which the mining communities had faced in those years.</w:t>
      </w:r>
      <w:r w:rsidRPr="00677E6D">
        <w:t xml:space="preserve"> </w:t>
      </w:r>
      <w:proofErr w:type="spellStart"/>
      <w:r>
        <w:t>Assmann</w:t>
      </w:r>
      <w:proofErr w:type="spellEnd"/>
      <w:r>
        <w:t xml:space="preserve"> highlights that cultural and societal memory is resulted from societal traditions</w:t>
      </w:r>
      <w:r w:rsidRPr="0083319E">
        <w:t xml:space="preserve"> rather than being a result of phylogenetic progress</w:t>
      </w:r>
      <w:sdt>
        <w:sdtPr>
          <w:id w:val="-732233611"/>
          <w:citation/>
        </w:sdtPr>
        <w:sdtContent>
          <w:r>
            <w:fldChar w:fldCharType="begin"/>
          </w:r>
          <w:r>
            <w:instrText xml:space="preserve"> CITATION Ass95 \l 2057 </w:instrText>
          </w:r>
          <w:r>
            <w:fldChar w:fldCharType="separate"/>
          </w:r>
          <w:r>
            <w:rPr>
              <w:noProof/>
            </w:rPr>
            <w:t xml:space="preserve"> </w:t>
          </w:r>
          <w:r w:rsidRPr="00677E6D">
            <w:rPr>
              <w:noProof/>
            </w:rPr>
            <w:t>(Assman &amp; John, 1995)</w:t>
          </w:r>
          <w:r>
            <w:fldChar w:fldCharType="end"/>
          </w:r>
        </w:sdtContent>
      </w:sdt>
      <w:r>
        <w:t xml:space="preserve"> this can be linked heavily with Nietzsche’s work </w:t>
      </w:r>
      <w:r w:rsidR="00662A22">
        <w:t>where he states that ‘humans need a means to preserve their nature throughout generations’</w:t>
      </w:r>
      <w:sdt>
        <w:sdtPr>
          <w:id w:val="592824826"/>
          <w:citation/>
        </w:sdtPr>
        <w:sdtContent>
          <w:r w:rsidR="00662A22">
            <w:fldChar w:fldCharType="begin"/>
          </w:r>
          <w:r w:rsidR="00662A22">
            <w:instrText xml:space="preserve"> CITATION Ass95 \l 2057 </w:instrText>
          </w:r>
          <w:r w:rsidR="00662A22">
            <w:fldChar w:fldCharType="separate"/>
          </w:r>
          <w:r w:rsidR="00662A22">
            <w:rPr>
              <w:noProof/>
            </w:rPr>
            <w:t xml:space="preserve"> </w:t>
          </w:r>
          <w:r w:rsidR="00662A22" w:rsidRPr="00662A22">
            <w:rPr>
              <w:noProof/>
            </w:rPr>
            <w:t>(Assman &amp; John, 1995)</w:t>
          </w:r>
          <w:r w:rsidR="00662A22">
            <w:fldChar w:fldCharType="end"/>
          </w:r>
        </w:sdtContent>
      </w:sdt>
      <w:r w:rsidR="00662A22">
        <w:t xml:space="preserve">. </w:t>
      </w:r>
    </w:p>
    <w:p w14:paraId="5B53697E" w14:textId="1AD2F842" w:rsidR="00662A22" w:rsidRDefault="00662A22">
      <w:r>
        <w:t xml:space="preserve">Big Pit is what </w:t>
      </w:r>
      <w:proofErr w:type="spellStart"/>
      <w:r>
        <w:t>Assmann</w:t>
      </w:r>
      <w:proofErr w:type="spellEnd"/>
      <w:r>
        <w:t xml:space="preserve"> would differentiate as the communicative or everyday memory strand of cultural memory</w:t>
      </w:r>
      <w:sdt>
        <w:sdtPr>
          <w:id w:val="-815731188"/>
          <w:citation/>
        </w:sdtPr>
        <w:sdtContent>
          <w:r>
            <w:fldChar w:fldCharType="begin"/>
          </w:r>
          <w:r>
            <w:instrText xml:space="preserve"> CITATION Ass95 \l 2057 </w:instrText>
          </w:r>
          <w:r>
            <w:fldChar w:fldCharType="separate"/>
          </w:r>
          <w:r>
            <w:rPr>
              <w:noProof/>
            </w:rPr>
            <w:t xml:space="preserve"> </w:t>
          </w:r>
          <w:r w:rsidRPr="00662A22">
            <w:rPr>
              <w:noProof/>
            </w:rPr>
            <w:t>(Assman &amp; John, 1995)</w:t>
          </w:r>
          <w:r>
            <w:fldChar w:fldCharType="end"/>
          </w:r>
        </w:sdtContent>
      </w:sdt>
      <w:r>
        <w:t xml:space="preserve"> due to the fact that the stories which are told, and the exhibits which are held are all part of something which is not only localised, but has also been passed down through the different generations within the area of Blaenavon through a range of courses, and more commonly word of mouth or familial ties. </w:t>
      </w:r>
    </w:p>
    <w:p w14:paraId="2A8AB11A" w14:textId="0054D267" w:rsidR="00662A22" w:rsidRDefault="00662A22">
      <w:r>
        <w:t xml:space="preserve">Reicher believes that society has collective memories which </w:t>
      </w:r>
      <w:proofErr w:type="gramStart"/>
      <w:r>
        <w:t>are able to</w:t>
      </w:r>
      <w:proofErr w:type="gramEnd"/>
      <w:r>
        <w:t xml:space="preserve"> go past the involvement of the individual, or even their own existence. A community will remember an oppression faced </w:t>
      </w:r>
      <w:proofErr w:type="gramStart"/>
      <w:r>
        <w:t>a number of</w:t>
      </w:r>
      <w:proofErr w:type="gramEnd"/>
      <w:r>
        <w:t xml:space="preserve"> years ago </w:t>
      </w:r>
    </w:p>
    <w:p w14:paraId="7D04887C" w14:textId="31F4F575" w:rsidR="00AF5848" w:rsidRDefault="00AF5848"/>
    <w:p w14:paraId="1D795F73" w14:textId="75522DAB" w:rsidR="00AF5848" w:rsidRDefault="00AF5848">
      <w:r>
        <w:rPr>
          <w:u w:val="single"/>
        </w:rPr>
        <w:t xml:space="preserve">Tourist Attraction </w:t>
      </w:r>
      <w:r>
        <w:t xml:space="preserve"> </w:t>
      </w:r>
    </w:p>
    <w:p w14:paraId="6CAF028A" w14:textId="4550B1E4" w:rsidR="00AF5848" w:rsidRDefault="00AF5848">
      <w:r>
        <w:t xml:space="preserve">Big Pit hosts a range of tourist attractions within their site. There are two cafes, a shop, an interactive exhibit as well as being a free place to visit and go underground. </w:t>
      </w:r>
      <w:r>
        <w:br/>
        <w:t xml:space="preserve">The shop hosts the regular memorabilia you would find in a shop with branded items, but alongside this they have books for visitors to buy on a range of Welsh historical topics such as mining, cooking, rugby. They also keep to the theme of being an ex-coal mine with the selling of coal figures which offers a tangible link to the visit. The shop is also a place that links to all aspects of welsh history through the sales of welsh alcohol, welsh baking and welsh gold. Showing that they are not just trying to promote the mining industry but also the welsh heritage. </w:t>
      </w:r>
    </w:p>
    <w:p w14:paraId="43C54D52" w14:textId="5604AEB7" w:rsidR="00AF5848" w:rsidRDefault="00AF5848">
      <w:r>
        <w:t xml:space="preserve">Big Pit is heavily linked to the surrounding areas, especially the town of Blaenavon where they link to the Iron Works nearby. They often prompt people to visit other heritage sites in the area such as this for people to be culturally aware of all aspects of the heritage of the industrial town. </w:t>
      </w:r>
    </w:p>
    <w:p w14:paraId="0CAF7607" w14:textId="0A05706D" w:rsidR="006309EC" w:rsidRDefault="006309EC">
      <w:r>
        <w:lastRenderedPageBreak/>
        <w:t>Cultural tourism is defined as being a generator of income.</w:t>
      </w:r>
      <w:sdt>
        <w:sdtPr>
          <w:id w:val="699602875"/>
          <w:citation/>
        </w:sdtPr>
        <w:sdtContent>
          <w:r>
            <w:fldChar w:fldCharType="begin"/>
          </w:r>
          <w:r>
            <w:instrText xml:space="preserve"> CITATION Sil95 \l 2057 </w:instrText>
          </w:r>
          <w:r>
            <w:fldChar w:fldCharType="separate"/>
          </w:r>
          <w:r>
            <w:rPr>
              <w:noProof/>
            </w:rPr>
            <w:t xml:space="preserve"> </w:t>
          </w:r>
          <w:r w:rsidRPr="006309EC">
            <w:rPr>
              <w:noProof/>
            </w:rPr>
            <w:t>(Silberberg, 1995)</w:t>
          </w:r>
          <w:r>
            <w:fldChar w:fldCharType="end"/>
          </w:r>
        </w:sdtContent>
      </w:sdt>
      <w:r>
        <w:t xml:space="preserve"> Tourism is now recognised as an objective of heritage institutions such as Big Pit. This is a result of the economic times,</w:t>
      </w:r>
      <w:sdt>
        <w:sdtPr>
          <w:id w:val="124208637"/>
          <w:citation/>
        </w:sdtPr>
        <w:sdtContent>
          <w:r>
            <w:fldChar w:fldCharType="begin"/>
          </w:r>
          <w:r>
            <w:instrText xml:space="preserve"> CITATION Sil95 \l 2057 </w:instrText>
          </w:r>
          <w:r>
            <w:fldChar w:fldCharType="separate"/>
          </w:r>
          <w:r>
            <w:rPr>
              <w:noProof/>
            </w:rPr>
            <w:t xml:space="preserve"> </w:t>
          </w:r>
          <w:r w:rsidRPr="006309EC">
            <w:rPr>
              <w:noProof/>
            </w:rPr>
            <w:t>(Silberberg, 1995)</w:t>
          </w:r>
          <w:r>
            <w:fldChar w:fldCharType="end"/>
          </w:r>
        </w:sdtContent>
      </w:sdt>
      <w:r>
        <w:t xml:space="preserve"> it has impacted how items are displayed, how tours would be as engaging as possible as well as using what they sell to their advantages and goals.</w:t>
      </w:r>
    </w:p>
    <w:p w14:paraId="0DB6B2B5" w14:textId="721DBF55" w:rsidR="006309EC" w:rsidRDefault="006309EC">
      <w:r>
        <w:t>Heritage can no longer be considered about just about the past, but also the economical issues surrounding the places in which heritage is portrayed. The profiles of tourists are now even more considered than usual due to the fact that tourists are more likely to visit a place of interest if they can find a shop of go to a café</w:t>
      </w:r>
      <w:sdt>
        <w:sdtPr>
          <w:id w:val="200978958"/>
          <w:citation/>
        </w:sdtPr>
        <w:sdtContent>
          <w:r>
            <w:fldChar w:fldCharType="begin"/>
          </w:r>
          <w:r>
            <w:instrText xml:space="preserve"> CITATION Sil95 \l 2057 </w:instrText>
          </w:r>
          <w:r>
            <w:fldChar w:fldCharType="separate"/>
          </w:r>
          <w:r>
            <w:rPr>
              <w:noProof/>
            </w:rPr>
            <w:t xml:space="preserve"> </w:t>
          </w:r>
          <w:r w:rsidRPr="006309EC">
            <w:rPr>
              <w:noProof/>
            </w:rPr>
            <w:t>(Silberberg, 1995)</w:t>
          </w:r>
          <w:r>
            <w:fldChar w:fldCharType="end"/>
          </w:r>
        </w:sdtContent>
      </w:sdt>
      <w:r>
        <w:t>. This could be to do with memorabilia of their trip, or just so they know it will not be strictly educational and intense.  Museums and sites, including Big Pit</w:t>
      </w:r>
      <w:r w:rsidR="00D75EA4">
        <w:t>, now need to adapt to suit the tourists, as their main source of income.</w:t>
      </w:r>
      <w:sdt>
        <w:sdtPr>
          <w:id w:val="337739574"/>
          <w:citation/>
        </w:sdtPr>
        <w:sdtContent>
          <w:r w:rsidR="00D75EA4">
            <w:fldChar w:fldCharType="begin"/>
          </w:r>
          <w:r w:rsidR="00D75EA4">
            <w:instrText xml:space="preserve"> CITATION Sil95 \l 2057 </w:instrText>
          </w:r>
          <w:r w:rsidR="00D75EA4">
            <w:fldChar w:fldCharType="separate"/>
          </w:r>
          <w:r w:rsidR="00D75EA4">
            <w:rPr>
              <w:noProof/>
            </w:rPr>
            <w:t xml:space="preserve"> </w:t>
          </w:r>
          <w:r w:rsidR="00D75EA4" w:rsidRPr="00D75EA4">
            <w:rPr>
              <w:noProof/>
            </w:rPr>
            <w:t>(Silberberg, 1995)</w:t>
          </w:r>
          <w:r w:rsidR="00D75EA4">
            <w:fldChar w:fldCharType="end"/>
          </w:r>
        </w:sdtContent>
      </w:sdt>
    </w:p>
    <w:p w14:paraId="49F05ED5" w14:textId="77777777" w:rsidR="00D75EA4" w:rsidRDefault="00D75EA4">
      <w:r>
        <w:t xml:space="preserve">Alongside this, </w:t>
      </w:r>
      <w:proofErr w:type="spellStart"/>
      <w:r>
        <w:t>Poria</w:t>
      </w:r>
      <w:proofErr w:type="spellEnd"/>
      <w:r>
        <w:t xml:space="preserve"> highlights the links between tourists, heritage and the reasons for visiting heritage sites. They highlight how tourist motivations are the key influencers to the museums and heritage sites as heritage tourist is regarded as an activity by tourists in an historic space</w:t>
      </w:r>
      <w:sdt>
        <w:sdtPr>
          <w:id w:val="565000125"/>
          <w:citation/>
        </w:sdtPr>
        <w:sdtContent>
          <w:r>
            <w:fldChar w:fldCharType="begin"/>
          </w:r>
          <w:r>
            <w:instrText xml:space="preserve"> CITATION Por04 \l 2057 </w:instrText>
          </w:r>
          <w:r>
            <w:fldChar w:fldCharType="separate"/>
          </w:r>
          <w:r>
            <w:rPr>
              <w:noProof/>
            </w:rPr>
            <w:t xml:space="preserve"> </w:t>
          </w:r>
          <w:r w:rsidRPr="00D75EA4">
            <w:rPr>
              <w:noProof/>
            </w:rPr>
            <w:t>(Poria, et al., 2004)</w:t>
          </w:r>
          <w:r>
            <w:fldChar w:fldCharType="end"/>
          </w:r>
        </w:sdtContent>
      </w:sdt>
      <w:r>
        <w:t>. Academics have researched the motivations surrounding tourism and results have shown that people are often influenced by the interactive aspects of a heritage site</w:t>
      </w:r>
      <w:sdt>
        <w:sdtPr>
          <w:id w:val="657812482"/>
          <w:citation/>
        </w:sdtPr>
        <w:sdtContent>
          <w:r>
            <w:fldChar w:fldCharType="begin"/>
          </w:r>
          <w:r>
            <w:instrText xml:space="preserve"> CITATION Por04 \l 2057 </w:instrText>
          </w:r>
          <w:r>
            <w:fldChar w:fldCharType="separate"/>
          </w:r>
          <w:r>
            <w:rPr>
              <w:noProof/>
            </w:rPr>
            <w:t xml:space="preserve"> </w:t>
          </w:r>
          <w:r w:rsidRPr="00D75EA4">
            <w:rPr>
              <w:noProof/>
            </w:rPr>
            <w:t>(Poria, et al., 2004)</w:t>
          </w:r>
          <w:r>
            <w:fldChar w:fldCharType="end"/>
          </w:r>
        </w:sdtContent>
      </w:sdt>
      <w:r>
        <w:t>. Whether this be a tour such as the underground ones in big pit, or the surface tours and conservation stores.</w:t>
      </w:r>
    </w:p>
    <w:p w14:paraId="7530C7AF" w14:textId="07F7D699" w:rsidR="00662A22" w:rsidRDefault="00662A22">
      <w:r>
        <w:t xml:space="preserve">What is interesting is that the notion of a heritage site being a tourism attraction cannot necessarily exist without the concept of memory. Even the shop provides tourists with the opportunity to buy memorabilia reinforcing what they have learnt within site itself. Nonetheless, it must be highlighted that, without the cafes </w:t>
      </w:r>
      <w:r w:rsidR="0004166A">
        <w:t xml:space="preserve">and interactive exhibits, the memory would have been forgotten; the need and desire for the tourist to explore such sights emphasised by the leisure aspects. The tourist can become part of the history </w:t>
      </w:r>
      <w:proofErr w:type="gramStart"/>
      <w:r w:rsidR="0004166A">
        <w:t>through the use of</w:t>
      </w:r>
      <w:proofErr w:type="gramEnd"/>
      <w:r w:rsidR="0004166A">
        <w:t xml:space="preserve"> buying a toy or book from the shop. They are suddenly part of that memory, something they can bring home and keep. As a result, the tourist nature of the site cannot be untangled from heritage sites.</w:t>
      </w:r>
    </w:p>
    <w:p w14:paraId="3D09E771" w14:textId="4000BAC9" w:rsidR="000D0DC0" w:rsidRDefault="000D0DC0"/>
    <w:p w14:paraId="770A7799" w14:textId="385FBBF1" w:rsidR="000D0DC0" w:rsidRPr="000D0DC0" w:rsidRDefault="00AE14ED">
      <w:pPr>
        <w:rPr>
          <w:u w:val="single"/>
        </w:rPr>
      </w:pPr>
      <w:r>
        <w:rPr>
          <w:u w:val="single"/>
        </w:rPr>
        <w:t>Analysis</w:t>
      </w:r>
    </w:p>
    <w:p w14:paraId="333CE22B" w14:textId="31B75B19" w:rsidR="00AF5848" w:rsidRDefault="000D0DC0">
      <w:r>
        <w:t xml:space="preserve">To contest Big Pit being a tourist attraction is the fact that without living memory, and people being able to relate to the histories of the pits, there would not be a tourist attraction to begin with. The museum would not exist without the work of the community and the ex-miners, all of whom lived the industrial history of the mine and connects with the cultural identity. </w:t>
      </w:r>
      <w:r w:rsidR="00AE14ED">
        <w:t>Neither could live whilst the other survives</w:t>
      </w:r>
      <w:sdt>
        <w:sdtPr>
          <w:id w:val="-699395261"/>
          <w:citation/>
        </w:sdtPr>
        <w:sdtContent>
          <w:r w:rsidR="00AE14ED">
            <w:fldChar w:fldCharType="begin"/>
          </w:r>
          <w:r w:rsidR="00AE14ED">
            <w:instrText xml:space="preserve"> CITATION Row03 \l 2057 </w:instrText>
          </w:r>
          <w:r w:rsidR="00AE14ED">
            <w:fldChar w:fldCharType="separate"/>
          </w:r>
          <w:r w:rsidR="00AE14ED">
            <w:rPr>
              <w:noProof/>
            </w:rPr>
            <w:t xml:space="preserve"> </w:t>
          </w:r>
          <w:r w:rsidR="00AE14ED" w:rsidRPr="00AE14ED">
            <w:rPr>
              <w:noProof/>
            </w:rPr>
            <w:t>(Rowling, 2003)</w:t>
          </w:r>
          <w:r w:rsidR="00AE14ED">
            <w:fldChar w:fldCharType="end"/>
          </w:r>
        </w:sdtContent>
      </w:sdt>
      <w:r w:rsidR="00AE14ED">
        <w:t xml:space="preserve"> meaning that you can not have one without the other and expect it to prosper. </w:t>
      </w:r>
      <w:proofErr w:type="spellStart"/>
      <w:r w:rsidR="00AE14ED">
        <w:t>Halbwach</w:t>
      </w:r>
      <w:proofErr w:type="spellEnd"/>
      <w:r w:rsidR="00AE14ED">
        <w:t xml:space="preserve"> highlights how communicative memory can link with collective memories.</w:t>
      </w:r>
      <w:sdt>
        <w:sdtPr>
          <w:id w:val="1133448492"/>
          <w:citation/>
        </w:sdtPr>
        <w:sdtContent>
          <w:r w:rsidR="00AE14ED">
            <w:fldChar w:fldCharType="begin"/>
          </w:r>
          <w:r w:rsidR="00AE14ED">
            <w:instrText xml:space="preserve"> CITATION Rad10 \l 2057 </w:instrText>
          </w:r>
          <w:r w:rsidR="00AE14ED">
            <w:fldChar w:fldCharType="separate"/>
          </w:r>
          <w:r w:rsidR="00AE14ED">
            <w:rPr>
              <w:noProof/>
            </w:rPr>
            <w:t xml:space="preserve"> </w:t>
          </w:r>
          <w:r w:rsidR="00AE14ED" w:rsidRPr="00AE14ED">
            <w:rPr>
              <w:noProof/>
            </w:rPr>
            <w:t>(Radstone &amp; Schwarts, 2010)</w:t>
          </w:r>
          <w:r w:rsidR="00AE14ED">
            <w:fldChar w:fldCharType="end"/>
          </w:r>
        </w:sdtContent>
      </w:sdt>
      <w:r w:rsidR="00AE14ED">
        <w:t xml:space="preserve"> </w:t>
      </w:r>
      <w:proofErr w:type="spellStart"/>
      <w:r w:rsidR="00AE14ED">
        <w:t>Halbwach</w:t>
      </w:r>
      <w:proofErr w:type="spellEnd"/>
      <w:r w:rsidR="00AE14ED">
        <w:t xml:space="preserve"> analysed the social and collective elements linked with individual memory, he stated that the key concepts were linked with oral history</w:t>
      </w:r>
      <w:sdt>
        <w:sdtPr>
          <w:id w:val="1638524604"/>
          <w:citation/>
        </w:sdtPr>
        <w:sdtContent>
          <w:r w:rsidR="00AE14ED">
            <w:fldChar w:fldCharType="begin"/>
          </w:r>
          <w:r w:rsidR="00AE14ED">
            <w:instrText xml:space="preserve"> CITATION Rad10 \l 2057 </w:instrText>
          </w:r>
          <w:r w:rsidR="00AE14ED">
            <w:fldChar w:fldCharType="separate"/>
          </w:r>
          <w:r w:rsidR="00AE14ED">
            <w:rPr>
              <w:noProof/>
            </w:rPr>
            <w:t xml:space="preserve"> </w:t>
          </w:r>
          <w:r w:rsidR="00AE14ED" w:rsidRPr="00AE14ED">
            <w:rPr>
              <w:noProof/>
            </w:rPr>
            <w:t>(Radstone &amp; Schwarts, 2010)</w:t>
          </w:r>
          <w:r w:rsidR="00AE14ED">
            <w:fldChar w:fldCharType="end"/>
          </w:r>
        </w:sdtContent>
      </w:sdt>
      <w:proofErr w:type="spellStart"/>
      <w:r w:rsidR="00AE14ED">
        <w:t>Halbwach</w:t>
      </w:r>
      <w:proofErr w:type="spellEnd"/>
      <w:r w:rsidR="00AE14ED">
        <w:t xml:space="preserve"> states that societies regular communication is characterised by ‘a high degree of non-specialisation, reciprocity of roles…’ showing that an individuals memory will be composed upon the framework of social memory, constituted from communication the person would have had with others.</w:t>
      </w:r>
      <w:sdt>
        <w:sdtPr>
          <w:id w:val="-1285875224"/>
          <w:citation/>
        </w:sdtPr>
        <w:sdtContent>
          <w:r w:rsidR="00AE14ED">
            <w:fldChar w:fldCharType="begin"/>
          </w:r>
          <w:r w:rsidR="00AE14ED">
            <w:instrText xml:space="preserve"> CITATION Rad10 \l 2057 </w:instrText>
          </w:r>
          <w:r w:rsidR="00AE14ED">
            <w:fldChar w:fldCharType="separate"/>
          </w:r>
          <w:r w:rsidR="00AE14ED">
            <w:rPr>
              <w:noProof/>
            </w:rPr>
            <w:t xml:space="preserve"> </w:t>
          </w:r>
          <w:r w:rsidR="00AE14ED" w:rsidRPr="00AE14ED">
            <w:rPr>
              <w:noProof/>
            </w:rPr>
            <w:t>(Radstone &amp; Schwarts, 2010)</w:t>
          </w:r>
          <w:r w:rsidR="00AE14ED">
            <w:fldChar w:fldCharType="end"/>
          </w:r>
        </w:sdtContent>
      </w:sdt>
      <w:r w:rsidR="00AE14ED" w:rsidRPr="00AE14ED">
        <w:t xml:space="preserve"> </w:t>
      </w:r>
      <w:r w:rsidR="00AE14ED">
        <w:t>This is strongly linked to the success of Big Pit due to the fact that</w:t>
      </w:r>
      <w:r w:rsidR="00AE14ED">
        <w:t xml:space="preserve"> the others in this situation would be the people who society have conceived a unity with through the same image of their past. This could be in relation to family members, political views as well as neighbourhoods</w:t>
      </w:r>
      <w:sdt>
        <w:sdtPr>
          <w:id w:val="634906386"/>
          <w:citation/>
        </w:sdtPr>
        <w:sdtContent>
          <w:r w:rsidR="00AE14ED">
            <w:fldChar w:fldCharType="begin"/>
          </w:r>
          <w:r w:rsidR="00AE14ED">
            <w:instrText xml:space="preserve"> CITATION Rad10 \l 2057 </w:instrText>
          </w:r>
          <w:r w:rsidR="00AE14ED">
            <w:fldChar w:fldCharType="separate"/>
          </w:r>
          <w:r w:rsidR="00AE14ED">
            <w:rPr>
              <w:noProof/>
            </w:rPr>
            <w:t xml:space="preserve"> </w:t>
          </w:r>
          <w:r w:rsidR="00AE14ED" w:rsidRPr="00AE14ED">
            <w:rPr>
              <w:noProof/>
            </w:rPr>
            <w:t>(Radstone &amp; Schwarts, 2010)</w:t>
          </w:r>
          <w:r w:rsidR="00AE14ED">
            <w:fldChar w:fldCharType="end"/>
          </w:r>
        </w:sdtContent>
      </w:sdt>
      <w:r w:rsidR="00AE14ED">
        <w:t xml:space="preserve">. In this respect, many people would still be visiting Big Pit today because their family members may have worked down the mines, or they were on the same side of the miners during their strike. Ceri Thompson, the curator of the </w:t>
      </w:r>
      <w:r w:rsidR="00AE14ED">
        <w:lastRenderedPageBreak/>
        <w:t xml:space="preserve">museum at Big Pit stated that every year you get ex-coal board workers coming to the mine to </w:t>
      </w:r>
      <w:r w:rsidR="008A2F74">
        <w:t>reminisce on their past and the histories, which then leads to their families also visiting as it gives them a closer connection to their families due to the fact that if they can see, touch as well as hear stories and evidence of what people went through they ultimately feel closer to them.</w:t>
      </w:r>
      <w:sdt>
        <w:sdtPr>
          <w:id w:val="830637690"/>
          <w:citation/>
        </w:sdtPr>
        <w:sdtContent>
          <w:r w:rsidR="008A2F74">
            <w:fldChar w:fldCharType="begin"/>
          </w:r>
          <w:r w:rsidR="008A2F74">
            <w:instrText xml:space="preserve"> CITATION Rad10 \l 2057 </w:instrText>
          </w:r>
          <w:r w:rsidR="008A2F74">
            <w:fldChar w:fldCharType="separate"/>
          </w:r>
          <w:r w:rsidR="008A2F74">
            <w:rPr>
              <w:noProof/>
            </w:rPr>
            <w:t xml:space="preserve"> </w:t>
          </w:r>
          <w:r w:rsidR="008A2F74" w:rsidRPr="008A2F74">
            <w:rPr>
              <w:noProof/>
            </w:rPr>
            <w:t>(Radstone &amp; Schwarts, 2010)</w:t>
          </w:r>
          <w:r w:rsidR="008A2F74">
            <w:fldChar w:fldCharType="end"/>
          </w:r>
        </w:sdtContent>
      </w:sdt>
      <w:r w:rsidR="008A2F74">
        <w:t xml:space="preserve"> </w:t>
      </w:r>
    </w:p>
    <w:p w14:paraId="622E94BD" w14:textId="6EA82DA0" w:rsidR="008A2F74" w:rsidRDefault="008A2F74">
      <w:r>
        <w:t>McCartney summaries a way in which remembering the past would not only involve first person narratives but also the narratives from the generations in the following years as they will later circulate their own views and opinions on what would have happened in past events.</w:t>
      </w:r>
      <w:sdt>
        <w:sdtPr>
          <w:id w:val="-2034876152"/>
          <w:citation/>
        </w:sdtPr>
        <w:sdtContent>
          <w:r>
            <w:fldChar w:fldCharType="begin"/>
          </w:r>
          <w:r>
            <w:instrText xml:space="preserve"> CITATION McC14 \l 2057 </w:instrText>
          </w:r>
          <w:r>
            <w:fldChar w:fldCharType="separate"/>
          </w:r>
          <w:r>
            <w:rPr>
              <w:noProof/>
            </w:rPr>
            <w:t xml:space="preserve"> </w:t>
          </w:r>
          <w:r w:rsidRPr="008A2F74">
            <w:rPr>
              <w:noProof/>
            </w:rPr>
            <w:t>(McCartney, 2014)</w:t>
          </w:r>
          <w:r>
            <w:fldChar w:fldCharType="end"/>
          </w:r>
        </w:sdtContent>
      </w:sdt>
      <w:r>
        <w:t xml:space="preserve"> she states that ‘the empathetic approach to history often encourages us to project our own feelings and attitudes… onto those who lived in the past.’</w:t>
      </w:r>
      <w:sdt>
        <w:sdtPr>
          <w:id w:val="-1490401254"/>
          <w:citation/>
        </w:sdtPr>
        <w:sdtContent>
          <w:r>
            <w:fldChar w:fldCharType="begin"/>
          </w:r>
          <w:r>
            <w:instrText xml:space="preserve"> CITATION McC14 \l 2057 </w:instrText>
          </w:r>
          <w:r>
            <w:fldChar w:fldCharType="separate"/>
          </w:r>
          <w:r>
            <w:rPr>
              <w:noProof/>
            </w:rPr>
            <w:t xml:space="preserve"> </w:t>
          </w:r>
          <w:r w:rsidRPr="008A2F74">
            <w:rPr>
              <w:noProof/>
            </w:rPr>
            <w:t>(McCartney, 2014)</w:t>
          </w:r>
          <w:r>
            <w:fldChar w:fldCharType="end"/>
          </w:r>
        </w:sdtContent>
      </w:sdt>
      <w:r>
        <w:t xml:space="preserve"> This highlights how although there is plenty of first hand, factual evidence for different events and experiences within this lifetime, there will always be a chance that a person’s own agenda may be applied to the situation to perceive it in a completely new and different way. This is greatly relevant for the modern day in which society has become more technologically advanced and it is easier to access documents which may not have been attainable previously.</w:t>
      </w:r>
    </w:p>
    <w:p w14:paraId="250FE9DF" w14:textId="1C950A4A" w:rsidR="0004166A" w:rsidRDefault="0004166A"/>
    <w:p w14:paraId="2ADC3373" w14:textId="77777777" w:rsidR="00C04CA8" w:rsidRDefault="00C04CA8"/>
    <w:p w14:paraId="048C506E" w14:textId="4FD9B607" w:rsidR="0004166A" w:rsidRDefault="0004166A">
      <w:r>
        <w:rPr>
          <w:u w:val="single"/>
        </w:rPr>
        <w:t>Conclusion</w:t>
      </w:r>
    </w:p>
    <w:p w14:paraId="6E291ADC" w14:textId="4C86F3D2" w:rsidR="0004166A" w:rsidRDefault="0004166A">
      <w:r>
        <w:t xml:space="preserve">This report has identified how the combination of memory and the notion of tourism can help the heritage industry thrive and promote the past most effectively. Whilst examining how Big Pit is both a site of memory and a tourist attraction, </w:t>
      </w:r>
      <w:proofErr w:type="gramStart"/>
      <w:r>
        <w:t>it can be seen that one</w:t>
      </w:r>
      <w:proofErr w:type="gramEnd"/>
      <w:r>
        <w:t xml:space="preserve"> concept cannot survive without the other. A comparison has been made between the two concepts with the </w:t>
      </w:r>
      <w:proofErr w:type="gramStart"/>
      <w:r>
        <w:t>ultimate conclusion</w:t>
      </w:r>
      <w:proofErr w:type="gramEnd"/>
      <w:r>
        <w:t xml:space="preserve"> that the site is a combination of factors, playing on the public’s notion of nostalgia and culture to encourage people to visit and engage with the site. Furthermore, as Big Pit is of such considerable importance to the Welsh cultural heritage and is within living memo</w:t>
      </w:r>
      <w:r w:rsidR="00D75EA4">
        <w:t xml:space="preserve">ry it can be said that there would be a lack of tourist attractions in Industrial South Wales without the mine being there with the histories, personal touches and </w:t>
      </w:r>
      <w:r w:rsidR="00C04CA8">
        <w:t>the living memory which all people experience, especially with a historical event as critical to the Welsh identity as this one. In conclusion, Big Pit is a combination of both memory and tourism, as has been stated.</w:t>
      </w:r>
    </w:p>
    <w:p w14:paraId="6771306E" w14:textId="06C44737" w:rsidR="00AC2586" w:rsidRDefault="00C04CA8">
      <w:r>
        <w:t xml:space="preserve">Overall, Big Pit would have faced many issues in their presentation of their exhibits </w:t>
      </w:r>
      <w:proofErr w:type="gramStart"/>
      <w:r>
        <w:t>due to the fact that</w:t>
      </w:r>
      <w:proofErr w:type="gramEnd"/>
      <w:r>
        <w:t xml:space="preserve"> it is impossible to showcase every aspect of Welsh mining history. However, it has still successfully contributed to Welsh Heritage. </w:t>
      </w:r>
    </w:p>
    <w:p w14:paraId="32ECB138" w14:textId="5810D06F" w:rsidR="00AC2586" w:rsidRDefault="00AC2586">
      <w:r>
        <w:t>Linking back to the questions posed by UNESCO, which Big Pit is a part of, the museum would have had to have thought about the following questions in their portrayal of the heritage;</w:t>
      </w:r>
    </w:p>
    <w:p w14:paraId="11826B48" w14:textId="77777777" w:rsidR="00AC2586" w:rsidRDefault="00AC2586"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4D2D5E30" w14:textId="7321AD3A" w:rsidR="00AC2586" w:rsidRDefault="00AC2586" w:rsidP="00AC2586">
      <w:pPr>
        <w:pStyle w:val="paragraph"/>
        <w:spacing w:before="0" w:beforeAutospacing="0" w:after="0" w:afterAutospacing="0" w:line="360" w:lineRule="auto"/>
        <w:textAlignment w:val="baseline"/>
        <w:rPr>
          <w:rStyle w:val="normaltextrun"/>
          <w:rFonts w:ascii="Calibri" w:hAnsi="Calibri" w:cs="Calibri"/>
          <w:sz w:val="22"/>
          <w:szCs w:val="22"/>
        </w:rPr>
      </w:pPr>
      <w:r w:rsidRPr="00AE520F">
        <w:rPr>
          <w:rStyle w:val="normaltextrun"/>
          <w:rFonts w:ascii="Calibri" w:hAnsi="Calibri" w:cs="Calibri"/>
          <w:sz w:val="22"/>
          <w:szCs w:val="22"/>
        </w:rPr>
        <w:t xml:space="preserve">How does a museum deal with a legacy? </w:t>
      </w:r>
      <w:r>
        <w:rPr>
          <w:rStyle w:val="normaltextrun"/>
          <w:rFonts w:ascii="Calibri" w:hAnsi="Calibri" w:cs="Calibri"/>
          <w:sz w:val="22"/>
          <w:szCs w:val="22"/>
        </w:rPr>
        <w:t xml:space="preserve"> Big Pit deals with their </w:t>
      </w:r>
      <w:proofErr w:type="gramStart"/>
      <w:r>
        <w:rPr>
          <w:rStyle w:val="normaltextrun"/>
          <w:rFonts w:ascii="Calibri" w:hAnsi="Calibri" w:cs="Calibri"/>
          <w:sz w:val="22"/>
          <w:szCs w:val="22"/>
        </w:rPr>
        <w:t>communities</w:t>
      </w:r>
      <w:proofErr w:type="gramEnd"/>
      <w:r>
        <w:rPr>
          <w:rStyle w:val="normaltextrun"/>
          <w:rFonts w:ascii="Calibri" w:hAnsi="Calibri" w:cs="Calibri"/>
          <w:sz w:val="22"/>
          <w:szCs w:val="22"/>
        </w:rPr>
        <w:t xml:space="preserve"> legacy through the use of tours by </w:t>
      </w:r>
      <w:proofErr w:type="spellStart"/>
      <w:r>
        <w:rPr>
          <w:rStyle w:val="normaltextrun"/>
          <w:rFonts w:ascii="Calibri" w:hAnsi="Calibri" w:cs="Calibri"/>
          <w:sz w:val="22"/>
          <w:szCs w:val="22"/>
        </w:rPr>
        <w:t>ex miners</w:t>
      </w:r>
      <w:proofErr w:type="spellEnd"/>
      <w:r>
        <w:rPr>
          <w:rStyle w:val="normaltextrun"/>
          <w:rFonts w:ascii="Calibri" w:hAnsi="Calibri" w:cs="Calibri"/>
          <w:sz w:val="22"/>
          <w:szCs w:val="22"/>
        </w:rPr>
        <w:t xml:space="preserve"> and the use of their stories and artefacts, showing all aspects of the mine. Refusing to conceal the negative aspects such as death and brutality faced whether that be down the mine or on the picket lines.</w:t>
      </w:r>
    </w:p>
    <w:p w14:paraId="2270F4B4" w14:textId="77777777" w:rsidR="00AC2586" w:rsidRDefault="00AC2586"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0E6EF89F" w14:textId="11548B24" w:rsidR="00AC2586" w:rsidRDefault="00AC2586" w:rsidP="00AC2586">
      <w:pPr>
        <w:pStyle w:val="paragraph"/>
        <w:spacing w:before="0" w:beforeAutospacing="0" w:after="0" w:afterAutospacing="0" w:line="360" w:lineRule="auto"/>
        <w:textAlignment w:val="baseline"/>
        <w:rPr>
          <w:rStyle w:val="normaltextrun"/>
          <w:rFonts w:ascii="Calibri" w:hAnsi="Calibri" w:cs="Calibri"/>
          <w:sz w:val="22"/>
          <w:szCs w:val="22"/>
        </w:rPr>
      </w:pPr>
      <w:r w:rsidRPr="00AE520F">
        <w:rPr>
          <w:rStyle w:val="normaltextrun"/>
          <w:rFonts w:ascii="Calibri" w:hAnsi="Calibri" w:cs="Calibri"/>
          <w:sz w:val="22"/>
          <w:szCs w:val="22"/>
        </w:rPr>
        <w:lastRenderedPageBreak/>
        <w:t xml:space="preserve">How can a history museum bring a community to examine and seek answers to collective questions? </w:t>
      </w:r>
      <w:r>
        <w:rPr>
          <w:rStyle w:val="normaltextrun"/>
          <w:rFonts w:ascii="Calibri" w:hAnsi="Calibri" w:cs="Calibri"/>
          <w:sz w:val="22"/>
          <w:szCs w:val="22"/>
        </w:rPr>
        <w:t xml:space="preserve"> The museum uses a range of exhibits to present the ways in which the miners and their families would have been affected during their time underground and during the strikes as well as exhibiting the ways in which communities worked together to support each</w:t>
      </w:r>
      <w:r w:rsidR="00F71370">
        <w:rPr>
          <w:rStyle w:val="normaltextrun"/>
          <w:rFonts w:ascii="Calibri" w:hAnsi="Calibri" w:cs="Calibri"/>
          <w:sz w:val="22"/>
          <w:szCs w:val="22"/>
        </w:rPr>
        <w:t xml:space="preserve"> </w:t>
      </w:r>
      <w:r>
        <w:rPr>
          <w:rStyle w:val="normaltextrun"/>
          <w:rFonts w:ascii="Calibri" w:hAnsi="Calibri" w:cs="Calibri"/>
          <w:sz w:val="22"/>
          <w:szCs w:val="22"/>
        </w:rPr>
        <w:t>other.</w:t>
      </w:r>
    </w:p>
    <w:p w14:paraId="7B0B6570" w14:textId="202B934B" w:rsidR="00AC2586" w:rsidRDefault="00AC2586" w:rsidP="00AC2586">
      <w:pPr>
        <w:pStyle w:val="paragraph"/>
        <w:spacing w:before="0" w:beforeAutospacing="0" w:after="0" w:afterAutospacing="0" w:line="360" w:lineRule="auto"/>
        <w:textAlignment w:val="baseline"/>
        <w:rPr>
          <w:rStyle w:val="normaltextrun"/>
          <w:rFonts w:ascii="Calibri" w:hAnsi="Calibri" w:cs="Calibri"/>
          <w:sz w:val="22"/>
          <w:szCs w:val="22"/>
        </w:rPr>
      </w:pPr>
      <w:r w:rsidRPr="00AE520F">
        <w:rPr>
          <w:rStyle w:val="normaltextrun"/>
          <w:rFonts w:ascii="Calibri" w:hAnsi="Calibri" w:cs="Calibri"/>
          <w:sz w:val="22"/>
          <w:szCs w:val="22"/>
        </w:rPr>
        <w:t>Who is included and excluded?</w:t>
      </w:r>
      <w:r>
        <w:rPr>
          <w:rStyle w:val="normaltextrun"/>
          <w:rFonts w:ascii="Calibri" w:hAnsi="Calibri" w:cs="Calibri"/>
          <w:sz w:val="22"/>
          <w:szCs w:val="22"/>
        </w:rPr>
        <w:t xml:space="preserve"> The museum has constantly included all aspects of the miners lives from the 1880s all the way to the present day, highlighting the ways in which their lives had changed, how the mines had changed throughout the later parts of the twentieth century. </w:t>
      </w:r>
    </w:p>
    <w:p w14:paraId="61C41DF5" w14:textId="736A92D5" w:rsidR="00AC2586" w:rsidRDefault="00AC2586" w:rsidP="00AC2586">
      <w:pPr>
        <w:pStyle w:val="paragraph"/>
        <w:spacing w:before="0" w:beforeAutospacing="0" w:after="0" w:afterAutospacing="0" w:line="360" w:lineRule="auto"/>
        <w:textAlignment w:val="baseline"/>
        <w:rPr>
          <w:rStyle w:val="normaltextrun"/>
          <w:rFonts w:ascii="Calibri" w:hAnsi="Calibri" w:cs="Calibri"/>
          <w:sz w:val="22"/>
          <w:szCs w:val="22"/>
        </w:rPr>
      </w:pPr>
      <w:r w:rsidRPr="00AE520F">
        <w:rPr>
          <w:rStyle w:val="normaltextrun"/>
          <w:rFonts w:ascii="Calibri" w:hAnsi="Calibri" w:cs="Calibri"/>
          <w:sz w:val="22"/>
          <w:szCs w:val="22"/>
        </w:rPr>
        <w:t xml:space="preserve"> Is a history museum a place of reconciliation?</w:t>
      </w:r>
      <w:r>
        <w:rPr>
          <w:rStyle w:val="normaltextrun"/>
          <w:rFonts w:ascii="Calibri" w:hAnsi="Calibri" w:cs="Calibri"/>
          <w:sz w:val="22"/>
          <w:szCs w:val="22"/>
        </w:rPr>
        <w:t xml:space="preserve"> Big Pit can be perceived as a place of reconciliation as i</w:t>
      </w:r>
      <w:r w:rsidR="00F71370">
        <w:rPr>
          <w:rStyle w:val="normaltextrun"/>
          <w:rFonts w:ascii="Calibri" w:hAnsi="Calibri" w:cs="Calibri"/>
          <w:sz w:val="22"/>
          <w:szCs w:val="22"/>
        </w:rPr>
        <w:t xml:space="preserve">t highlights the ways in which the miners have reconciled with their past. </w:t>
      </w:r>
    </w:p>
    <w:p w14:paraId="5A8FDC67" w14:textId="5C075254"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1FEE4479" w14:textId="3B86447D"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28FE35C5" w14:textId="3B618F8C"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28CCC48E" w14:textId="529D3521"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740C2002" w14:textId="1034D195"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5559077C" w14:textId="53810F64"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19384606" w14:textId="1EE30DBA"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07925F3B" w14:textId="155C18ED"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0935024F" w14:textId="51A64BBE"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73B496F4" w14:textId="0930DF67"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32F724D9" w14:textId="4E4D55AC"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07DC9436" w14:textId="342E7E3C"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76AD9A7C" w14:textId="7D0C8D51"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65964972" w14:textId="518C7F57"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15FE2026" w14:textId="512408BA"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6E6FA6E0" w14:textId="77777777"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6DE25D1B" w14:textId="201ACA86"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3ED837F1" w14:textId="77777777"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40FC6490" w14:textId="4C61E160"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620FFF68" w14:textId="1AC62953"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3F2C2840" w14:textId="1C10E396"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4EF7BE25" w14:textId="77777777"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0AFE22CF" w14:textId="528A179F"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p w14:paraId="16B8FFFD" w14:textId="52413C7D" w:rsidR="00F71370" w:rsidRDefault="00F71370" w:rsidP="00AC2586">
      <w:pPr>
        <w:pStyle w:val="paragraph"/>
        <w:spacing w:before="0" w:beforeAutospacing="0" w:after="0" w:afterAutospacing="0" w:line="360" w:lineRule="auto"/>
        <w:textAlignment w:val="baseline"/>
        <w:rPr>
          <w:rStyle w:val="normaltextrun"/>
          <w:rFonts w:ascii="Calibri" w:hAnsi="Calibri" w:cs="Calibri"/>
          <w:sz w:val="22"/>
          <w:szCs w:val="22"/>
        </w:rPr>
      </w:pPr>
    </w:p>
    <w:bookmarkStart w:id="0" w:name="_GoBack" w:displacedByCustomXml="next"/>
    <w:bookmarkEnd w:id="0" w:displacedByCustomXml="next"/>
    <w:sdt>
      <w:sdtPr>
        <w:id w:val="197756619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FDB2BC2" w14:textId="12B4BE29" w:rsidR="00F71370" w:rsidRDefault="00F71370">
          <w:pPr>
            <w:pStyle w:val="Heading1"/>
          </w:pPr>
          <w:r>
            <w:t>Bibliography</w:t>
          </w:r>
        </w:p>
        <w:sdt>
          <w:sdtPr>
            <w:id w:val="111145805"/>
            <w:bibliography/>
          </w:sdtPr>
          <w:sdtContent>
            <w:p w14:paraId="19BEB32C" w14:textId="77777777" w:rsidR="00F71370" w:rsidRDefault="00F71370" w:rsidP="00F71370">
              <w:pPr>
                <w:pStyle w:val="Bibliography"/>
                <w:rPr>
                  <w:noProof/>
                  <w:sz w:val="24"/>
                  <w:szCs w:val="24"/>
                  <w:lang w:val="en-US"/>
                </w:rPr>
              </w:pPr>
              <w:r>
                <w:fldChar w:fldCharType="begin"/>
              </w:r>
              <w:r>
                <w:instrText xml:space="preserve"> BIBLIOGRAPHY </w:instrText>
              </w:r>
              <w:r>
                <w:fldChar w:fldCharType="separate"/>
              </w:r>
              <w:r>
                <w:rPr>
                  <w:noProof/>
                  <w:lang w:val="en-US"/>
                </w:rPr>
                <w:t xml:space="preserve">Assman, J. &amp; John, C., 1995. Collective Memory and Cultural Identity. </w:t>
              </w:r>
              <w:r>
                <w:rPr>
                  <w:i/>
                  <w:iCs/>
                  <w:noProof/>
                  <w:lang w:val="en-US"/>
                </w:rPr>
                <w:t xml:space="preserve">New German Critique, </w:t>
              </w:r>
              <w:r>
                <w:rPr>
                  <w:noProof/>
                  <w:lang w:val="en-US"/>
                </w:rPr>
                <w:t>Volume 65, pp. 125-33.</w:t>
              </w:r>
            </w:p>
            <w:p w14:paraId="43EC4FD6" w14:textId="77777777" w:rsidR="00F71370" w:rsidRDefault="00F71370" w:rsidP="00F71370">
              <w:pPr>
                <w:pStyle w:val="Bibliography"/>
                <w:rPr>
                  <w:noProof/>
                  <w:lang w:val="en-US"/>
                </w:rPr>
              </w:pPr>
              <w:r>
                <w:rPr>
                  <w:noProof/>
                  <w:lang w:val="en-US"/>
                </w:rPr>
                <w:t xml:space="preserve">Benton, T., 2010. </w:t>
              </w:r>
              <w:r>
                <w:rPr>
                  <w:i/>
                  <w:iCs/>
                  <w:noProof/>
                  <w:lang w:val="en-US"/>
                </w:rPr>
                <w:t xml:space="preserve">Understanding heritage and memory. </w:t>
              </w:r>
              <w:r>
                <w:rPr>
                  <w:noProof/>
                  <w:lang w:val="en-US"/>
                </w:rPr>
                <w:t>1st ed. Manchester: Manchester University Press.</w:t>
              </w:r>
            </w:p>
            <w:p w14:paraId="5BBFAF10" w14:textId="77777777" w:rsidR="00F71370" w:rsidRDefault="00F71370" w:rsidP="00F71370">
              <w:pPr>
                <w:pStyle w:val="Bibliography"/>
                <w:rPr>
                  <w:noProof/>
                  <w:lang w:val="en-US"/>
                </w:rPr>
              </w:pPr>
              <w:r>
                <w:rPr>
                  <w:noProof/>
                  <w:lang w:val="en-US"/>
                </w:rPr>
                <w:t xml:space="preserve">Coupland, B., 2015. Remembering Blaenavon: What Can Group Interviews Tell Us About "Collective Memory"?. </w:t>
              </w:r>
              <w:r>
                <w:rPr>
                  <w:i/>
                  <w:iCs/>
                  <w:noProof/>
                  <w:lang w:val="en-US"/>
                </w:rPr>
                <w:t xml:space="preserve">The Oral History Review, </w:t>
              </w:r>
              <w:r>
                <w:rPr>
                  <w:noProof/>
                  <w:lang w:val="en-US"/>
                </w:rPr>
                <w:t>42(2), pp. 277-299.</w:t>
              </w:r>
            </w:p>
            <w:p w14:paraId="63ABEF59" w14:textId="77777777" w:rsidR="00F71370" w:rsidRDefault="00F71370" w:rsidP="00F71370">
              <w:pPr>
                <w:pStyle w:val="Bibliography"/>
                <w:rPr>
                  <w:noProof/>
                  <w:lang w:val="en-US"/>
                </w:rPr>
              </w:pPr>
              <w:r>
                <w:rPr>
                  <w:noProof/>
                  <w:lang w:val="en-US"/>
                </w:rPr>
                <w:t xml:space="preserve">Dicks, B., 2000. </w:t>
              </w:r>
              <w:r>
                <w:rPr>
                  <w:i/>
                  <w:iCs/>
                  <w:noProof/>
                  <w:lang w:val="en-US"/>
                </w:rPr>
                <w:t xml:space="preserve">Heritage, Place and Community. </w:t>
              </w:r>
              <w:r>
                <w:rPr>
                  <w:noProof/>
                  <w:lang w:val="en-US"/>
                </w:rPr>
                <w:t>1st ed. Cardiff: University of Wales Press.</w:t>
              </w:r>
            </w:p>
            <w:p w14:paraId="560A10CF" w14:textId="77777777" w:rsidR="00F71370" w:rsidRDefault="00F71370" w:rsidP="00F71370">
              <w:pPr>
                <w:pStyle w:val="Bibliography"/>
                <w:rPr>
                  <w:noProof/>
                  <w:lang w:val="en-US"/>
                </w:rPr>
              </w:pPr>
              <w:r>
                <w:rPr>
                  <w:noProof/>
                  <w:lang w:val="en-US"/>
                </w:rPr>
                <w:t xml:space="preserve">Hewison, R., 1987. </w:t>
              </w:r>
              <w:r>
                <w:rPr>
                  <w:i/>
                  <w:iCs/>
                  <w:noProof/>
                  <w:lang w:val="en-US"/>
                </w:rPr>
                <w:t xml:space="preserve">The Heritage Industry: Britain in a Climate of Decline. </w:t>
              </w:r>
              <w:r>
                <w:rPr>
                  <w:noProof/>
                  <w:lang w:val="en-US"/>
                </w:rPr>
                <w:t>London: Methuen.</w:t>
              </w:r>
            </w:p>
            <w:p w14:paraId="5B33A91E" w14:textId="77777777" w:rsidR="00F71370" w:rsidRDefault="00F71370" w:rsidP="00F71370">
              <w:pPr>
                <w:pStyle w:val="Bibliography"/>
                <w:rPr>
                  <w:noProof/>
                  <w:lang w:val="en-US"/>
                </w:rPr>
              </w:pPr>
              <w:r>
                <w:rPr>
                  <w:noProof/>
                  <w:lang w:val="en-US"/>
                </w:rPr>
                <w:t xml:space="preserve">Joint Steering Group, 1979. </w:t>
              </w:r>
              <w:r>
                <w:rPr>
                  <w:i/>
                  <w:iCs/>
                  <w:noProof/>
                  <w:lang w:val="en-US"/>
                </w:rPr>
                <w:t xml:space="preserve">The Tourism Potential of the Big Pit, Bleanavon, </w:t>
              </w:r>
              <w:r>
                <w:rPr>
                  <w:noProof/>
                  <w:lang w:val="en-US"/>
                </w:rPr>
                <w:t>Cardiff: Wales Tourist Board.</w:t>
              </w:r>
            </w:p>
            <w:p w14:paraId="67EBCE85" w14:textId="77777777" w:rsidR="00F71370" w:rsidRDefault="00F71370" w:rsidP="00F71370">
              <w:pPr>
                <w:pStyle w:val="Bibliography"/>
                <w:rPr>
                  <w:noProof/>
                  <w:lang w:val="en-US"/>
                </w:rPr>
              </w:pPr>
              <w:r>
                <w:rPr>
                  <w:noProof/>
                  <w:lang w:val="en-US"/>
                </w:rPr>
                <w:t xml:space="preserve">Marwick, S., 1995. Learning from Each Other: Museums and Older Members of the Community-the People’s Story.. In: E. Hooper-Greenhill, ed. </w:t>
              </w:r>
              <w:r>
                <w:rPr>
                  <w:i/>
                  <w:iCs/>
                  <w:noProof/>
                  <w:lang w:val="en-US"/>
                </w:rPr>
                <w:t xml:space="preserve">Museum, Media, message. </w:t>
              </w:r>
              <w:r>
                <w:rPr>
                  <w:noProof/>
                  <w:lang w:val="en-US"/>
                </w:rPr>
                <w:t>London: Routeledge, pp. 140-150.</w:t>
              </w:r>
            </w:p>
            <w:p w14:paraId="5C5EB05D" w14:textId="77777777" w:rsidR="00F71370" w:rsidRDefault="00F71370" w:rsidP="00F71370">
              <w:pPr>
                <w:pStyle w:val="Bibliography"/>
                <w:rPr>
                  <w:noProof/>
                  <w:lang w:val="en-US"/>
                </w:rPr>
              </w:pPr>
              <w:r>
                <w:rPr>
                  <w:noProof/>
                  <w:lang w:val="en-US"/>
                </w:rPr>
                <w:t xml:space="preserve">McCartney, H., 2014. The First World War Soldier and His Contemporary Image in britain. </w:t>
              </w:r>
              <w:r>
                <w:rPr>
                  <w:i/>
                  <w:iCs/>
                  <w:noProof/>
                  <w:lang w:val="en-US"/>
                </w:rPr>
                <w:t xml:space="preserve">International Affairs, </w:t>
              </w:r>
              <w:r>
                <w:rPr>
                  <w:noProof/>
                  <w:lang w:val="en-US"/>
                </w:rPr>
                <w:t>90(2), pp. 299-315.</w:t>
              </w:r>
            </w:p>
            <w:p w14:paraId="37A0B6C7" w14:textId="77777777" w:rsidR="00F71370" w:rsidRDefault="00F71370" w:rsidP="00F71370">
              <w:pPr>
                <w:pStyle w:val="Bibliography"/>
                <w:rPr>
                  <w:noProof/>
                  <w:lang w:val="en-US"/>
                </w:rPr>
              </w:pPr>
              <w:r>
                <w:rPr>
                  <w:noProof/>
                  <w:lang w:val="en-US"/>
                </w:rPr>
                <w:t xml:space="preserve">Poria, Y., Butler, R. &amp; Airey, D., 2004. Links between Tourists, Heritage and Reasons for visiting heritage sites. </w:t>
              </w:r>
              <w:r>
                <w:rPr>
                  <w:i/>
                  <w:iCs/>
                  <w:noProof/>
                  <w:lang w:val="en-US"/>
                </w:rPr>
                <w:t xml:space="preserve">Journal of Travel Research, </w:t>
              </w:r>
              <w:r>
                <w:rPr>
                  <w:noProof/>
                  <w:lang w:val="en-US"/>
                </w:rPr>
                <w:t>Volume 43, pp. 19-28.</w:t>
              </w:r>
            </w:p>
            <w:p w14:paraId="2B90C5B6" w14:textId="77777777" w:rsidR="00F71370" w:rsidRDefault="00F71370" w:rsidP="00F71370">
              <w:pPr>
                <w:pStyle w:val="Bibliography"/>
                <w:rPr>
                  <w:noProof/>
                  <w:lang w:val="en-US"/>
                </w:rPr>
              </w:pPr>
              <w:r>
                <w:rPr>
                  <w:noProof/>
                  <w:lang w:val="en-US"/>
                </w:rPr>
                <w:t xml:space="preserve">Prat, C., 2015. </w:t>
              </w:r>
              <w:r>
                <w:rPr>
                  <w:i/>
                  <w:iCs/>
                  <w:noProof/>
                  <w:lang w:val="en-US"/>
                </w:rPr>
                <w:t xml:space="preserve">Deconstructing the museum's task of representing and advocating for memory and Human Rights. Developing Social Change through Activistm. </w:t>
              </w:r>
              <w:r>
                <w:rPr>
                  <w:noProof/>
                  <w:lang w:val="en-US"/>
                </w:rPr>
                <w:t>Munich, Jewish Museum Munich.</w:t>
              </w:r>
            </w:p>
            <w:p w14:paraId="6BFDB3A7" w14:textId="77777777" w:rsidR="00F71370" w:rsidRDefault="00F71370" w:rsidP="00F71370">
              <w:pPr>
                <w:pStyle w:val="Bibliography"/>
                <w:rPr>
                  <w:noProof/>
                  <w:lang w:val="en-US"/>
                </w:rPr>
              </w:pPr>
              <w:r>
                <w:rPr>
                  <w:noProof/>
                  <w:lang w:val="en-US"/>
                </w:rPr>
                <w:t xml:space="preserve">Radstone, S. &amp; Schwarts, B., 2010. </w:t>
              </w:r>
              <w:r>
                <w:rPr>
                  <w:i/>
                  <w:iCs/>
                  <w:noProof/>
                  <w:lang w:val="en-US"/>
                </w:rPr>
                <w:t xml:space="preserve">Memory: histories, theories, debates. </w:t>
              </w:r>
              <w:r>
                <w:rPr>
                  <w:noProof/>
                  <w:lang w:val="en-US"/>
                </w:rPr>
                <w:t>New York: Fordham University Press.</w:t>
              </w:r>
            </w:p>
            <w:p w14:paraId="7EE1F404" w14:textId="77777777" w:rsidR="00F71370" w:rsidRDefault="00F71370" w:rsidP="00F71370">
              <w:pPr>
                <w:pStyle w:val="Bibliography"/>
                <w:rPr>
                  <w:noProof/>
                  <w:lang w:val="en-US"/>
                </w:rPr>
              </w:pPr>
              <w:r>
                <w:rPr>
                  <w:noProof/>
                  <w:lang w:val="en-US"/>
                </w:rPr>
                <w:t xml:space="preserve">Rothberg, M., 2009. </w:t>
              </w:r>
              <w:r>
                <w:rPr>
                  <w:i/>
                  <w:iCs/>
                  <w:noProof/>
                  <w:lang w:val="en-US"/>
                </w:rPr>
                <w:t xml:space="preserve">Multidirectional Memory Remembering the Holocause in the Age of Decolonization, cultural memory in the present. </w:t>
              </w:r>
              <w:r>
                <w:rPr>
                  <w:noProof/>
                  <w:lang w:val="en-US"/>
                </w:rPr>
                <w:t>Palo Alto: Stanford University Press.</w:t>
              </w:r>
            </w:p>
            <w:p w14:paraId="3D5B4274" w14:textId="77777777" w:rsidR="00F71370" w:rsidRDefault="00F71370" w:rsidP="00F71370">
              <w:pPr>
                <w:pStyle w:val="Bibliography"/>
                <w:rPr>
                  <w:noProof/>
                  <w:lang w:val="en-US"/>
                </w:rPr>
              </w:pPr>
              <w:r>
                <w:rPr>
                  <w:noProof/>
                  <w:lang w:val="en-US"/>
                </w:rPr>
                <w:t xml:space="preserve">Rowling, J., 2003. </w:t>
              </w:r>
              <w:r>
                <w:rPr>
                  <w:i/>
                  <w:iCs/>
                  <w:noProof/>
                  <w:lang w:val="en-US"/>
                </w:rPr>
                <w:t xml:space="preserve">Harry Potter and the Order of the Phoenix. </w:t>
              </w:r>
              <w:r>
                <w:rPr>
                  <w:noProof/>
                  <w:lang w:val="en-US"/>
                </w:rPr>
                <w:t>London: Bloomsbury.</w:t>
              </w:r>
            </w:p>
            <w:p w14:paraId="71111F80" w14:textId="77777777" w:rsidR="00F71370" w:rsidRDefault="00F71370" w:rsidP="00F71370">
              <w:pPr>
                <w:pStyle w:val="Bibliography"/>
                <w:rPr>
                  <w:noProof/>
                  <w:lang w:val="en-US"/>
                </w:rPr>
              </w:pPr>
              <w:r>
                <w:rPr>
                  <w:noProof/>
                  <w:lang w:val="en-US"/>
                </w:rPr>
                <w:t xml:space="preserve">Silberberg, T., 1995. Cultural Tourism and business opportunities for museums and heritage sites. </w:t>
              </w:r>
              <w:r>
                <w:rPr>
                  <w:i/>
                  <w:iCs/>
                  <w:noProof/>
                  <w:lang w:val="en-US"/>
                </w:rPr>
                <w:t xml:space="preserve">tourism management, </w:t>
              </w:r>
              <w:r>
                <w:rPr>
                  <w:noProof/>
                  <w:lang w:val="en-US"/>
                </w:rPr>
                <w:t>16(5), pp. 361-365.</w:t>
              </w:r>
            </w:p>
            <w:p w14:paraId="38F256A7" w14:textId="77777777" w:rsidR="00F71370" w:rsidRDefault="00F71370" w:rsidP="00F71370">
              <w:pPr>
                <w:pStyle w:val="Bibliography"/>
                <w:rPr>
                  <w:noProof/>
                  <w:lang w:val="en-US"/>
                </w:rPr>
              </w:pPr>
              <w:r>
                <w:rPr>
                  <w:noProof/>
                  <w:lang w:val="en-US"/>
                </w:rPr>
                <w:t xml:space="preserve">Thompson, C., 2019. </w:t>
              </w:r>
              <w:r>
                <w:rPr>
                  <w:i/>
                  <w:iCs/>
                  <w:noProof/>
                  <w:lang w:val="en-US"/>
                </w:rPr>
                <w:t xml:space="preserve">Interview with Big Pit Curator </w:t>
              </w:r>
              <w:r>
                <w:rPr>
                  <w:noProof/>
                  <w:lang w:val="en-US"/>
                </w:rPr>
                <w:t>[Interview] (1 January 2019).</w:t>
              </w:r>
            </w:p>
            <w:p w14:paraId="43F326E6" w14:textId="77777777" w:rsidR="00F71370" w:rsidRDefault="00F71370" w:rsidP="00F71370">
              <w:pPr>
                <w:pStyle w:val="Bibliography"/>
                <w:rPr>
                  <w:noProof/>
                  <w:lang w:val="en-US"/>
                </w:rPr>
              </w:pPr>
              <w:r>
                <w:rPr>
                  <w:noProof/>
                  <w:lang w:val="en-US"/>
                </w:rPr>
                <w:t xml:space="preserve">UNESCO, 2011. </w:t>
              </w:r>
              <w:r>
                <w:rPr>
                  <w:i/>
                  <w:iCs/>
                  <w:noProof/>
                  <w:lang w:val="en-US"/>
                </w:rPr>
                <w:t xml:space="preserve">Dealing With Difficult Heritage, Educating on History in South-East Europe. </w:t>
              </w:r>
              <w:r>
                <w:rPr>
                  <w:noProof/>
                  <w:lang w:val="en-US"/>
                </w:rPr>
                <w:t xml:space="preserve">[Online] </w:t>
              </w:r>
              <w:r>
                <w:rPr>
                  <w:noProof/>
                  <w:lang w:val="en-US"/>
                </w:rPr>
                <w:br/>
                <w:t xml:space="preserve">Available at: </w:t>
              </w:r>
              <w:r>
                <w:rPr>
                  <w:noProof/>
                  <w:u w:val="single"/>
                  <w:lang w:val="en-US"/>
                </w:rPr>
                <w:t>http://www.unesco.org/new/en/member-states/single-view/news/dealing_with_difficult_heritage_educating_on_history_in_sou/</w:t>
              </w:r>
              <w:r>
                <w:rPr>
                  <w:noProof/>
                  <w:lang w:val="en-US"/>
                </w:rPr>
                <w:br/>
                <w:t>[Accessed 15 January 2019].</w:t>
              </w:r>
            </w:p>
            <w:p w14:paraId="6228246A" w14:textId="77777777" w:rsidR="00F71370" w:rsidRDefault="00F71370" w:rsidP="00F71370">
              <w:pPr>
                <w:pStyle w:val="Bibliography"/>
                <w:rPr>
                  <w:noProof/>
                  <w:lang w:val="en-US"/>
                </w:rPr>
              </w:pPr>
              <w:r>
                <w:rPr>
                  <w:noProof/>
                  <w:lang w:val="en-US"/>
                </w:rPr>
                <w:t xml:space="preserve">Walker, D., 2012. Towards a Beneficial World Heritage: Community Involvement in the Blaenavon Industrial Landscape. </w:t>
              </w:r>
              <w:r>
                <w:rPr>
                  <w:i/>
                  <w:iCs/>
                  <w:noProof/>
                  <w:lang w:val="en-US"/>
                </w:rPr>
                <w:t xml:space="preserve">Museum International, </w:t>
              </w:r>
              <w:r>
                <w:rPr>
                  <w:noProof/>
                  <w:lang w:val="en-US"/>
                </w:rPr>
                <w:t>63(1-2), pp. 25-33.</w:t>
              </w:r>
            </w:p>
            <w:p w14:paraId="362A6A6C" w14:textId="484B7AD9" w:rsidR="00F71370" w:rsidRDefault="00F71370" w:rsidP="00F71370">
              <w:r>
                <w:rPr>
                  <w:b/>
                  <w:bCs/>
                  <w:noProof/>
                </w:rPr>
                <w:fldChar w:fldCharType="end"/>
              </w:r>
            </w:p>
          </w:sdtContent>
        </w:sdt>
      </w:sdtContent>
    </w:sdt>
    <w:p w14:paraId="6BA86E23" w14:textId="77777777" w:rsidR="00AC2586" w:rsidRPr="0004166A" w:rsidRDefault="00AC2586"/>
    <w:sectPr w:rsidR="00AC2586" w:rsidRPr="000416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543715"/>
    <w:multiLevelType w:val="hybridMultilevel"/>
    <w:tmpl w:val="66AE8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6E2DC9"/>
    <w:multiLevelType w:val="hybridMultilevel"/>
    <w:tmpl w:val="412ECE9A"/>
    <w:lvl w:ilvl="0" w:tplc="17FEF0AA">
      <w:numFmt w:val="bullet"/>
      <w:lvlText w:val="-"/>
      <w:lvlJc w:val="left"/>
      <w:pPr>
        <w:ind w:left="3960" w:hanging="360"/>
      </w:pPr>
      <w:rPr>
        <w:rFonts w:ascii="Calibri" w:eastAsia="Times New Roman" w:hAnsi="Calibri" w:cs="Calibri"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2B3"/>
    <w:rsid w:val="000224D6"/>
    <w:rsid w:val="0004166A"/>
    <w:rsid w:val="000872B3"/>
    <w:rsid w:val="000D0DC0"/>
    <w:rsid w:val="004E3C88"/>
    <w:rsid w:val="006309EC"/>
    <w:rsid w:val="00662A22"/>
    <w:rsid w:val="00677E6D"/>
    <w:rsid w:val="008A2F74"/>
    <w:rsid w:val="00AC2586"/>
    <w:rsid w:val="00AE118F"/>
    <w:rsid w:val="00AE14ED"/>
    <w:rsid w:val="00AF5848"/>
    <w:rsid w:val="00BD58AF"/>
    <w:rsid w:val="00C04CA8"/>
    <w:rsid w:val="00D75EA4"/>
    <w:rsid w:val="00F71370"/>
    <w:rsid w:val="00FE5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F7235"/>
  <w15:chartTrackingRefBased/>
  <w15:docId w15:val="{60E9567B-BAD5-4EC1-B53E-A814E4BD5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37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872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872B3"/>
  </w:style>
  <w:style w:type="character" w:customStyle="1" w:styleId="eop">
    <w:name w:val="eop"/>
    <w:basedOn w:val="DefaultParagraphFont"/>
    <w:rsid w:val="000872B3"/>
  </w:style>
  <w:style w:type="character" w:customStyle="1" w:styleId="advancedproofingissue">
    <w:name w:val="advancedproofingissue"/>
    <w:basedOn w:val="DefaultParagraphFont"/>
    <w:rsid w:val="000872B3"/>
  </w:style>
  <w:style w:type="character" w:customStyle="1" w:styleId="scxw159338959">
    <w:name w:val="scxw159338959"/>
    <w:basedOn w:val="DefaultParagraphFont"/>
    <w:rsid w:val="00677E6D"/>
  </w:style>
  <w:style w:type="character" w:customStyle="1" w:styleId="Heading1Char">
    <w:name w:val="Heading 1 Char"/>
    <w:basedOn w:val="DefaultParagraphFont"/>
    <w:link w:val="Heading1"/>
    <w:uiPriority w:val="9"/>
    <w:rsid w:val="00F7137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71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63404">
      <w:bodyDiv w:val="1"/>
      <w:marLeft w:val="0"/>
      <w:marRight w:val="0"/>
      <w:marTop w:val="0"/>
      <w:marBottom w:val="0"/>
      <w:divBdr>
        <w:top w:val="none" w:sz="0" w:space="0" w:color="auto"/>
        <w:left w:val="none" w:sz="0" w:space="0" w:color="auto"/>
        <w:bottom w:val="none" w:sz="0" w:space="0" w:color="auto"/>
        <w:right w:val="none" w:sz="0" w:space="0" w:color="auto"/>
      </w:divBdr>
    </w:div>
    <w:div w:id="84958739">
      <w:bodyDiv w:val="1"/>
      <w:marLeft w:val="0"/>
      <w:marRight w:val="0"/>
      <w:marTop w:val="0"/>
      <w:marBottom w:val="0"/>
      <w:divBdr>
        <w:top w:val="none" w:sz="0" w:space="0" w:color="auto"/>
        <w:left w:val="none" w:sz="0" w:space="0" w:color="auto"/>
        <w:bottom w:val="none" w:sz="0" w:space="0" w:color="auto"/>
        <w:right w:val="none" w:sz="0" w:space="0" w:color="auto"/>
      </w:divBdr>
    </w:div>
    <w:div w:id="325133581">
      <w:bodyDiv w:val="1"/>
      <w:marLeft w:val="0"/>
      <w:marRight w:val="0"/>
      <w:marTop w:val="0"/>
      <w:marBottom w:val="0"/>
      <w:divBdr>
        <w:top w:val="none" w:sz="0" w:space="0" w:color="auto"/>
        <w:left w:val="none" w:sz="0" w:space="0" w:color="auto"/>
        <w:bottom w:val="none" w:sz="0" w:space="0" w:color="auto"/>
        <w:right w:val="none" w:sz="0" w:space="0" w:color="auto"/>
      </w:divBdr>
    </w:div>
    <w:div w:id="339816902">
      <w:bodyDiv w:val="1"/>
      <w:marLeft w:val="0"/>
      <w:marRight w:val="0"/>
      <w:marTop w:val="0"/>
      <w:marBottom w:val="0"/>
      <w:divBdr>
        <w:top w:val="none" w:sz="0" w:space="0" w:color="auto"/>
        <w:left w:val="none" w:sz="0" w:space="0" w:color="auto"/>
        <w:bottom w:val="none" w:sz="0" w:space="0" w:color="auto"/>
        <w:right w:val="none" w:sz="0" w:space="0" w:color="auto"/>
      </w:divBdr>
    </w:div>
    <w:div w:id="414472273">
      <w:bodyDiv w:val="1"/>
      <w:marLeft w:val="0"/>
      <w:marRight w:val="0"/>
      <w:marTop w:val="0"/>
      <w:marBottom w:val="0"/>
      <w:divBdr>
        <w:top w:val="none" w:sz="0" w:space="0" w:color="auto"/>
        <w:left w:val="none" w:sz="0" w:space="0" w:color="auto"/>
        <w:bottom w:val="none" w:sz="0" w:space="0" w:color="auto"/>
        <w:right w:val="none" w:sz="0" w:space="0" w:color="auto"/>
      </w:divBdr>
    </w:div>
    <w:div w:id="450322976">
      <w:bodyDiv w:val="1"/>
      <w:marLeft w:val="0"/>
      <w:marRight w:val="0"/>
      <w:marTop w:val="0"/>
      <w:marBottom w:val="0"/>
      <w:divBdr>
        <w:top w:val="none" w:sz="0" w:space="0" w:color="auto"/>
        <w:left w:val="none" w:sz="0" w:space="0" w:color="auto"/>
        <w:bottom w:val="none" w:sz="0" w:space="0" w:color="auto"/>
        <w:right w:val="none" w:sz="0" w:space="0" w:color="auto"/>
      </w:divBdr>
    </w:div>
    <w:div w:id="490829871">
      <w:bodyDiv w:val="1"/>
      <w:marLeft w:val="0"/>
      <w:marRight w:val="0"/>
      <w:marTop w:val="0"/>
      <w:marBottom w:val="0"/>
      <w:divBdr>
        <w:top w:val="none" w:sz="0" w:space="0" w:color="auto"/>
        <w:left w:val="none" w:sz="0" w:space="0" w:color="auto"/>
        <w:bottom w:val="none" w:sz="0" w:space="0" w:color="auto"/>
        <w:right w:val="none" w:sz="0" w:space="0" w:color="auto"/>
      </w:divBdr>
    </w:div>
    <w:div w:id="694770567">
      <w:bodyDiv w:val="1"/>
      <w:marLeft w:val="0"/>
      <w:marRight w:val="0"/>
      <w:marTop w:val="0"/>
      <w:marBottom w:val="0"/>
      <w:divBdr>
        <w:top w:val="none" w:sz="0" w:space="0" w:color="auto"/>
        <w:left w:val="none" w:sz="0" w:space="0" w:color="auto"/>
        <w:bottom w:val="none" w:sz="0" w:space="0" w:color="auto"/>
        <w:right w:val="none" w:sz="0" w:space="0" w:color="auto"/>
      </w:divBdr>
    </w:div>
    <w:div w:id="997533014">
      <w:bodyDiv w:val="1"/>
      <w:marLeft w:val="0"/>
      <w:marRight w:val="0"/>
      <w:marTop w:val="0"/>
      <w:marBottom w:val="0"/>
      <w:divBdr>
        <w:top w:val="none" w:sz="0" w:space="0" w:color="auto"/>
        <w:left w:val="none" w:sz="0" w:space="0" w:color="auto"/>
        <w:bottom w:val="none" w:sz="0" w:space="0" w:color="auto"/>
        <w:right w:val="none" w:sz="0" w:space="0" w:color="auto"/>
      </w:divBdr>
    </w:div>
    <w:div w:id="1081441146">
      <w:bodyDiv w:val="1"/>
      <w:marLeft w:val="0"/>
      <w:marRight w:val="0"/>
      <w:marTop w:val="0"/>
      <w:marBottom w:val="0"/>
      <w:divBdr>
        <w:top w:val="none" w:sz="0" w:space="0" w:color="auto"/>
        <w:left w:val="none" w:sz="0" w:space="0" w:color="auto"/>
        <w:bottom w:val="none" w:sz="0" w:space="0" w:color="auto"/>
        <w:right w:val="none" w:sz="0" w:space="0" w:color="auto"/>
      </w:divBdr>
    </w:div>
    <w:div w:id="1088160376">
      <w:bodyDiv w:val="1"/>
      <w:marLeft w:val="0"/>
      <w:marRight w:val="0"/>
      <w:marTop w:val="0"/>
      <w:marBottom w:val="0"/>
      <w:divBdr>
        <w:top w:val="none" w:sz="0" w:space="0" w:color="auto"/>
        <w:left w:val="none" w:sz="0" w:space="0" w:color="auto"/>
        <w:bottom w:val="none" w:sz="0" w:space="0" w:color="auto"/>
        <w:right w:val="none" w:sz="0" w:space="0" w:color="auto"/>
      </w:divBdr>
    </w:div>
    <w:div w:id="1106576974">
      <w:bodyDiv w:val="1"/>
      <w:marLeft w:val="0"/>
      <w:marRight w:val="0"/>
      <w:marTop w:val="0"/>
      <w:marBottom w:val="0"/>
      <w:divBdr>
        <w:top w:val="none" w:sz="0" w:space="0" w:color="auto"/>
        <w:left w:val="none" w:sz="0" w:space="0" w:color="auto"/>
        <w:bottom w:val="none" w:sz="0" w:space="0" w:color="auto"/>
        <w:right w:val="none" w:sz="0" w:space="0" w:color="auto"/>
      </w:divBdr>
    </w:div>
    <w:div w:id="1244097788">
      <w:bodyDiv w:val="1"/>
      <w:marLeft w:val="0"/>
      <w:marRight w:val="0"/>
      <w:marTop w:val="0"/>
      <w:marBottom w:val="0"/>
      <w:divBdr>
        <w:top w:val="none" w:sz="0" w:space="0" w:color="auto"/>
        <w:left w:val="none" w:sz="0" w:space="0" w:color="auto"/>
        <w:bottom w:val="none" w:sz="0" w:space="0" w:color="auto"/>
        <w:right w:val="none" w:sz="0" w:space="0" w:color="auto"/>
      </w:divBdr>
    </w:div>
    <w:div w:id="1374043078">
      <w:bodyDiv w:val="1"/>
      <w:marLeft w:val="0"/>
      <w:marRight w:val="0"/>
      <w:marTop w:val="0"/>
      <w:marBottom w:val="0"/>
      <w:divBdr>
        <w:top w:val="none" w:sz="0" w:space="0" w:color="auto"/>
        <w:left w:val="none" w:sz="0" w:space="0" w:color="auto"/>
        <w:bottom w:val="none" w:sz="0" w:space="0" w:color="auto"/>
        <w:right w:val="none" w:sz="0" w:space="0" w:color="auto"/>
      </w:divBdr>
    </w:div>
    <w:div w:id="1378581970">
      <w:bodyDiv w:val="1"/>
      <w:marLeft w:val="0"/>
      <w:marRight w:val="0"/>
      <w:marTop w:val="0"/>
      <w:marBottom w:val="0"/>
      <w:divBdr>
        <w:top w:val="none" w:sz="0" w:space="0" w:color="auto"/>
        <w:left w:val="none" w:sz="0" w:space="0" w:color="auto"/>
        <w:bottom w:val="none" w:sz="0" w:space="0" w:color="auto"/>
        <w:right w:val="none" w:sz="0" w:space="0" w:color="auto"/>
      </w:divBdr>
    </w:div>
    <w:div w:id="1485899490">
      <w:bodyDiv w:val="1"/>
      <w:marLeft w:val="0"/>
      <w:marRight w:val="0"/>
      <w:marTop w:val="0"/>
      <w:marBottom w:val="0"/>
      <w:divBdr>
        <w:top w:val="none" w:sz="0" w:space="0" w:color="auto"/>
        <w:left w:val="none" w:sz="0" w:space="0" w:color="auto"/>
        <w:bottom w:val="none" w:sz="0" w:space="0" w:color="auto"/>
        <w:right w:val="none" w:sz="0" w:space="0" w:color="auto"/>
      </w:divBdr>
    </w:div>
    <w:div w:id="1529685322">
      <w:bodyDiv w:val="1"/>
      <w:marLeft w:val="0"/>
      <w:marRight w:val="0"/>
      <w:marTop w:val="0"/>
      <w:marBottom w:val="0"/>
      <w:divBdr>
        <w:top w:val="none" w:sz="0" w:space="0" w:color="auto"/>
        <w:left w:val="none" w:sz="0" w:space="0" w:color="auto"/>
        <w:bottom w:val="none" w:sz="0" w:space="0" w:color="auto"/>
        <w:right w:val="none" w:sz="0" w:space="0" w:color="auto"/>
      </w:divBdr>
    </w:div>
    <w:div w:id="1549680870">
      <w:bodyDiv w:val="1"/>
      <w:marLeft w:val="0"/>
      <w:marRight w:val="0"/>
      <w:marTop w:val="0"/>
      <w:marBottom w:val="0"/>
      <w:divBdr>
        <w:top w:val="none" w:sz="0" w:space="0" w:color="auto"/>
        <w:left w:val="none" w:sz="0" w:space="0" w:color="auto"/>
        <w:bottom w:val="none" w:sz="0" w:space="0" w:color="auto"/>
        <w:right w:val="none" w:sz="0" w:space="0" w:color="auto"/>
      </w:divBdr>
    </w:div>
    <w:div w:id="1569267142">
      <w:bodyDiv w:val="1"/>
      <w:marLeft w:val="0"/>
      <w:marRight w:val="0"/>
      <w:marTop w:val="0"/>
      <w:marBottom w:val="0"/>
      <w:divBdr>
        <w:top w:val="none" w:sz="0" w:space="0" w:color="auto"/>
        <w:left w:val="none" w:sz="0" w:space="0" w:color="auto"/>
        <w:bottom w:val="none" w:sz="0" w:space="0" w:color="auto"/>
        <w:right w:val="none" w:sz="0" w:space="0" w:color="auto"/>
      </w:divBdr>
    </w:div>
    <w:div w:id="1645087737">
      <w:bodyDiv w:val="1"/>
      <w:marLeft w:val="0"/>
      <w:marRight w:val="0"/>
      <w:marTop w:val="0"/>
      <w:marBottom w:val="0"/>
      <w:divBdr>
        <w:top w:val="none" w:sz="0" w:space="0" w:color="auto"/>
        <w:left w:val="none" w:sz="0" w:space="0" w:color="auto"/>
        <w:bottom w:val="none" w:sz="0" w:space="0" w:color="auto"/>
        <w:right w:val="none" w:sz="0" w:space="0" w:color="auto"/>
      </w:divBdr>
    </w:div>
    <w:div w:id="1845633405">
      <w:bodyDiv w:val="1"/>
      <w:marLeft w:val="0"/>
      <w:marRight w:val="0"/>
      <w:marTop w:val="0"/>
      <w:marBottom w:val="0"/>
      <w:divBdr>
        <w:top w:val="none" w:sz="0" w:space="0" w:color="auto"/>
        <w:left w:val="none" w:sz="0" w:space="0" w:color="auto"/>
        <w:bottom w:val="none" w:sz="0" w:space="0" w:color="auto"/>
        <w:right w:val="none" w:sz="0" w:space="0" w:color="auto"/>
      </w:divBdr>
    </w:div>
    <w:div w:id="1908101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Pra15</b:Tag>
    <b:SourceType>ConferenceProceedings</b:SourceType>
    <b:Guid>{B1E3848C-B7B1-482D-9D4F-6A048C03D494}</b:Guid>
    <b:Author>
      <b:Author>
        <b:NameList>
          <b:Person>
            <b:Last>Prat</b:Last>
            <b:First>Carla</b:First>
          </b:Person>
        </b:NameList>
      </b:Author>
    </b:Author>
    <b:Title>Deconstructing the museum's task of representing and advocating for memory and Human Rights. Developing Social Change through Activistm</b:Title>
    <b:Year>2015</b:Year>
    <b:City>Munich</b:City>
    <b:Publisher>Jewish Museum Munich</b:Publisher>
    <b:RefOrder>1</b:RefOrder>
  </b:Source>
  <b:Source>
    <b:Tag>UNE11</b:Tag>
    <b:SourceType>DocumentFromInternetSite</b:SourceType>
    <b:Guid>{664E7442-8348-4FBD-89B4-C86079501546}</b:Guid>
    <b:Title>Dealing With Difficult Heritage, Educating on History in South-East Europe</b:Title>
    <b:Year>2011</b:Year>
    <b:Author>
      <b:Author>
        <b:NameList>
          <b:Person>
            <b:Last>UNESCO</b:Last>
          </b:Person>
        </b:NameList>
      </b:Author>
    </b:Author>
    <b:Month>January</b:Month>
    <b:Day>11</b:Day>
    <b:YearAccessed>2019</b:YearAccessed>
    <b:MonthAccessed>January</b:MonthAccessed>
    <b:DayAccessed>15</b:DayAccessed>
    <b:URL>http://www.unesco.org/new/en/member-states/single-view/news/dealing_with_difficult_heritage_educating_on_history_in_sou/</b:URL>
    <b:RefOrder>2</b:RefOrder>
  </b:Source>
  <b:Source>
    <b:Tag>Cou15</b:Tag>
    <b:SourceType>JournalArticle</b:SourceType>
    <b:Guid>{79670A82-F434-4348-ACAF-51B0DCA18748}</b:Guid>
    <b:Author>
      <b:Author>
        <b:NameList>
          <b:Person>
            <b:Last>Coupland</b:Last>
            <b:First>Bethan</b:First>
          </b:Person>
        </b:NameList>
      </b:Author>
    </b:Author>
    <b:Title>Remembering Blaenavon: What Can Group Interviews Tell Us About "Collective Memory"?</b:Title>
    <b:Year>2015</b:Year>
    <b:JournalName>The Oral History Review</b:JournalName>
    <b:Pages>277-299</b:Pages>
    <b:Volume>42</b:Volume>
    <b:Issue>2</b:Issue>
    <b:RefOrder>3</b:RefOrder>
  </b:Source>
  <b:Source>
    <b:Tag>Dic00</b:Tag>
    <b:SourceType>Book</b:SourceType>
    <b:Guid>{602830C5-8AD2-42CA-B2CB-5C891ACF30FE}</b:Guid>
    <b:Title>Heritage, Place and Community</b:Title>
    <b:Year>2000</b:Year>
    <b:Author>
      <b:Author>
        <b:NameList>
          <b:Person>
            <b:Last>Dicks</b:Last>
            <b:First>Bella</b:First>
          </b:Person>
        </b:NameList>
      </b:Author>
    </b:Author>
    <b:City>Cardiff</b:City>
    <b:Publisher>University of Wales Press</b:Publisher>
    <b:Edition>1st</b:Edition>
    <b:RefOrder>4</b:RefOrder>
  </b:Source>
  <b:Source>
    <b:Tag>Wal12</b:Tag>
    <b:SourceType>JournalArticle</b:SourceType>
    <b:Guid>{04A454E8-B197-4BCE-8DAD-2D43BA76348E}</b:Guid>
    <b:Title>Towards a Beneficial World Heritage: Community Involvement in the Blaenavon Industrial Landscape</b:Title>
    <b:Year>2012</b:Year>
    <b:Author>
      <b:Author>
        <b:NameList>
          <b:Person>
            <b:Last>Walker</b:Last>
            <b:First>Dominic</b:First>
          </b:Person>
        </b:NameList>
      </b:Author>
    </b:Author>
    <b:JournalName>Museum International</b:JournalName>
    <b:Pages>25-33</b:Pages>
    <b:Volume>63</b:Volume>
    <b:Issue>1-2</b:Issue>
    <b:RefOrder>5</b:RefOrder>
  </b:Source>
  <b:Source>
    <b:Tag>Tho19</b:Tag>
    <b:SourceType>Interview</b:SourceType>
    <b:Guid>{120A5080-11F8-4888-8EE9-387A6B3CC3FA}</b:Guid>
    <b:Title>Interview with Big Pit Curator</b:Title>
    <b:Year>2019</b:Year>
    <b:Author>
      <b:Interviewee>
        <b:NameList>
          <b:Person>
            <b:Last>Thompson</b:Last>
            <b:First>Ceri</b:First>
          </b:Person>
        </b:NameList>
      </b:Interviewee>
    </b:Author>
    <b:Month>January</b:Month>
    <b:Day>1</b:Day>
    <b:RefOrder>6</b:RefOrder>
  </b:Source>
  <b:Source>
    <b:Tag>Mar95</b:Tag>
    <b:SourceType>BookSection</b:SourceType>
    <b:Guid>{C09F55F4-F6BA-4839-8AC0-C70E247009D1}</b:Guid>
    <b:Title>Learning from Each Other: Museums and Older Members of the Community-the People’s Story.</b:Title>
    <b:Year>1995</b:Year>
    <b:City>London</b:City>
    <b:Publisher>Routeledge</b:Publisher>
    <b:Author>
      <b:Author>
        <b:NameList>
          <b:Person>
            <b:Last>Marwick</b:Last>
            <b:First>Sandra</b:First>
          </b:Person>
        </b:NameList>
      </b:Author>
      <b:Editor>
        <b:NameList>
          <b:Person>
            <b:Last>Hooper-Greenhill</b:Last>
            <b:First>Eilean</b:First>
          </b:Person>
        </b:NameList>
      </b:Editor>
    </b:Author>
    <b:BookTitle>Museum, Media, message</b:BookTitle>
    <b:Pages>140-150</b:Pages>
    <b:RefOrder>7</b:RefOrder>
  </b:Source>
  <b:Source>
    <b:Tag>Joi79</b:Tag>
    <b:SourceType>Report</b:SourceType>
    <b:Guid>{D6E4259D-E3D3-4DC1-B4EB-1728F02D8D4A}</b:Guid>
    <b:Title>The Tourism Potential of the Big Pit, Bleanavon</b:Title>
    <b:Year>1979</b:Year>
    <b:City>Cardiff</b:City>
    <b:Publisher>Wales Tourist Board</b:Publisher>
    <b:Author>
      <b:Author>
        <b:Corporate>Joint Steering Group</b:Corporate>
      </b:Author>
    </b:Author>
    <b:RefOrder>8</b:RefOrder>
  </b:Source>
  <b:Source>
    <b:Tag>Hew87</b:Tag>
    <b:SourceType>Book</b:SourceType>
    <b:Guid>{7BCAD316-CE9A-4C6C-B61E-FE467C05ACA1}</b:Guid>
    <b:Title>The Heritage Industry: Britain in a Climate of Decline</b:Title>
    <b:Year>1987</b:Year>
    <b:Publisher>Methuen</b:Publisher>
    <b:City>London</b:City>
    <b:Author>
      <b:Author>
        <b:NameList>
          <b:Person>
            <b:Last>Hewison</b:Last>
            <b:First>Robert</b:First>
          </b:Person>
        </b:NameList>
      </b:Author>
    </b:Author>
    <b:RefOrder>9</b:RefOrder>
  </b:Source>
  <b:Source>
    <b:Tag>Ben10</b:Tag>
    <b:SourceType>Book</b:SourceType>
    <b:Guid>{F75A9728-7D8C-4D46-B272-5FAFBB834536}</b:Guid>
    <b:Title>Understanding heritage and memory </b:Title>
    <b:Year>2010</b:Year>
    <b:City>Manchester</b:City>
    <b:Publisher>Manchester University Press</b:Publisher>
    <b:Edition>1st</b:Edition>
    <b:Author>
      <b:Author>
        <b:NameList>
          <b:Person>
            <b:Last>Benton</b:Last>
            <b:First>Tim</b:First>
          </b:Person>
        </b:NameList>
      </b:Author>
    </b:Author>
    <b:RefOrder>10</b:RefOrder>
  </b:Source>
  <b:Source>
    <b:Tag>Rot09</b:Tag>
    <b:SourceType>Book</b:SourceType>
    <b:Guid>{E7AE9769-1322-4C07-9FBB-7C62B4C66A72}</b:Guid>
    <b:Title>Multidirectional Memory Remembering the Holocause in the Age of Decolonization, cultural memory in the present</b:Title>
    <b:Year>2009</b:Year>
    <b:Author>
      <b:Author>
        <b:NameList>
          <b:Person>
            <b:Last>Rothberg</b:Last>
            <b:First>Michael</b:First>
          </b:Person>
        </b:NameList>
      </b:Author>
    </b:Author>
    <b:City>Palo Alto</b:City>
    <b:Publisher>Stanford University Press</b:Publisher>
    <b:RefOrder>11</b:RefOrder>
  </b:Source>
  <b:Source>
    <b:Tag>Ass95</b:Tag>
    <b:SourceType>JournalArticle</b:SourceType>
    <b:Guid>{97CB0DAB-0BE1-4E49-A42D-D492736757CB}</b:Guid>
    <b:Title>Collective Memory and Cultural Identity</b:Title>
    <b:Year>1995</b:Year>
    <b:Author>
      <b:Author>
        <b:NameList>
          <b:Person>
            <b:Last>Assman</b:Last>
            <b:First>Jan</b:First>
          </b:Person>
          <b:Person>
            <b:Last>John</b:Last>
            <b:First>Czaplicka</b:First>
          </b:Person>
        </b:NameList>
      </b:Author>
    </b:Author>
    <b:JournalName>New German Critique</b:JournalName>
    <b:Pages>125-33</b:Pages>
    <b:Volume>65</b:Volume>
    <b:RefOrder>12</b:RefOrder>
  </b:Source>
  <b:Source>
    <b:Tag>Sil95</b:Tag>
    <b:SourceType>JournalArticle</b:SourceType>
    <b:Guid>{F70579DF-D242-4FF9-BE90-50F6F90B1828}</b:Guid>
    <b:Author>
      <b:Author>
        <b:NameList>
          <b:Person>
            <b:Last>Silberberg</b:Last>
            <b:First>T</b:First>
          </b:Person>
        </b:NameList>
      </b:Author>
    </b:Author>
    <b:Title>Cultural Tourism and business opportunities for museums and heritage sites</b:Title>
    <b:JournalName>tourism management</b:JournalName>
    <b:Year>1995</b:Year>
    <b:Pages>361-365</b:Pages>
    <b:Volume>16</b:Volume>
    <b:Issue>5</b:Issue>
    <b:RefOrder>13</b:RefOrder>
  </b:Source>
  <b:Source>
    <b:Tag>Por04</b:Tag>
    <b:SourceType>JournalArticle</b:SourceType>
    <b:Guid>{0EC22546-11A9-4FEA-A77A-448B3023348E}</b:Guid>
    <b:Author>
      <b:Author>
        <b:NameList>
          <b:Person>
            <b:Last>Poria</b:Last>
            <b:First>Y</b:First>
          </b:Person>
          <b:Person>
            <b:Last>Butler</b:Last>
            <b:First>R</b:First>
          </b:Person>
          <b:Person>
            <b:Last>Airey</b:Last>
            <b:First>D</b:First>
          </b:Person>
        </b:NameList>
      </b:Author>
    </b:Author>
    <b:Title>Links between Tourists, Heritage and Reasons for visiting heritage sites</b:Title>
    <b:JournalName>Journal of Travel Research</b:JournalName>
    <b:Year>2004</b:Year>
    <b:Pages>19-28</b:Pages>
    <b:Volume>43</b:Volume>
    <b:RefOrder>14</b:RefOrder>
  </b:Source>
  <b:Source>
    <b:Tag>Row03</b:Tag>
    <b:SourceType>Book</b:SourceType>
    <b:Guid>{AA5542EA-AB0C-4053-BB2A-5F624F9ACF70}</b:Guid>
    <b:Author>
      <b:Author>
        <b:NameList>
          <b:Person>
            <b:Last>Rowling</b:Last>
            <b:First>J.K</b:First>
          </b:Person>
        </b:NameList>
      </b:Author>
    </b:Author>
    <b:Title>Harry Potter and the Order of the Phoenix</b:Title>
    <b:Year>2003</b:Year>
    <b:City>London</b:City>
    <b:Publisher>Bloomsbury</b:Publisher>
    <b:RefOrder>15</b:RefOrder>
  </b:Source>
  <b:Source>
    <b:Tag>Rad10</b:Tag>
    <b:SourceType>Book</b:SourceType>
    <b:Guid>{06E8C259-12D1-4DF5-9F80-67964BD05891}</b:Guid>
    <b:Title>Memory: histories, theories, debates</b:Title>
    <b:Year>2010</b:Year>
    <b:City>New York</b:City>
    <b:Publisher>Fordham University Press</b:Publisher>
    <b:Author>
      <b:Author>
        <b:NameList>
          <b:Person>
            <b:Last>Radstone</b:Last>
            <b:First>Susannah</b:First>
          </b:Person>
          <b:Person>
            <b:Last>Schwarts</b:Last>
            <b:First>Bill</b:First>
          </b:Person>
        </b:NameList>
      </b:Author>
    </b:Author>
    <b:RefOrder>16</b:RefOrder>
  </b:Source>
  <b:Source>
    <b:Tag>McC14</b:Tag>
    <b:SourceType>JournalArticle</b:SourceType>
    <b:Guid>{4D403203-6255-454E-B8C8-FDC378B2FFA2}</b:Guid>
    <b:Author>
      <b:Author>
        <b:NameList>
          <b:Person>
            <b:Last>McCartney</b:Last>
            <b:First>Helen</b:First>
          </b:Person>
        </b:NameList>
      </b:Author>
    </b:Author>
    <b:Title>The First World War Soldier and His Contemporary Image in britain</b:Title>
    <b:Year>2014</b:Year>
    <b:JournalName>International Affairs</b:JournalName>
    <b:Pages>299-315</b:Pages>
    <b:Volume>90</b:Volume>
    <b:Issue>2</b:Issue>
    <b:RefOrder>17</b:RefOrder>
  </b:Source>
</b:Sources>
</file>

<file path=customXml/itemProps1.xml><?xml version="1.0" encoding="utf-8"?>
<ds:datastoreItem xmlns:ds="http://schemas.openxmlformats.org/officeDocument/2006/customXml" ds:itemID="{3776CE01-B292-4FC6-A85D-E111FD39A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9</Pages>
  <Words>3767</Words>
  <Characters>21472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Laura-Cait Driscoll</dc:creator>
  <cp:keywords/>
  <dc:description/>
  <cp:lastModifiedBy>Laura-Cait Driscoll</cp:lastModifiedBy>
  <cp:revision>4</cp:revision>
  <dcterms:created xsi:type="dcterms:W3CDTF">2019-01-25T21:44:00Z</dcterms:created>
  <dcterms:modified xsi:type="dcterms:W3CDTF">2019-01-25T23:59:00Z</dcterms:modified>
</cp:coreProperties>
</file>