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634478" w14:textId="77777777" w:rsidR="00112F6D" w:rsidRDefault="00112F6D" w:rsidP="00112F6D">
      <w:pPr>
        <w:spacing w:before="200"/>
        <w:jc w:val="center"/>
      </w:pPr>
      <w:r>
        <w:rPr>
          <w:noProof/>
        </w:rPr>
        <w:drawing>
          <wp:inline distT="0" distB="0" distL="0" distR="0" wp14:anchorId="3A4E979E" wp14:editId="741B64A2">
            <wp:extent cx="3238500" cy="1295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3238500" cy="1295400"/>
                    </a:xfrm>
                    <a:prstGeom prst="rect">
                      <a:avLst/>
                    </a:prstGeom>
                  </pic:spPr>
                </pic:pic>
              </a:graphicData>
            </a:graphic>
          </wp:inline>
        </w:drawing>
      </w:r>
    </w:p>
    <w:p w14:paraId="60467DBE" w14:textId="77777777" w:rsidR="00112F6D" w:rsidRPr="007333CF" w:rsidRDefault="00112F6D" w:rsidP="00112F6D">
      <w:pPr>
        <w:jc w:val="center"/>
        <w:rPr>
          <w:b/>
          <w:bCs/>
          <w:color w:val="0070C0"/>
          <w:sz w:val="72"/>
          <w:szCs w:val="72"/>
        </w:rPr>
      </w:pPr>
      <w:r w:rsidRPr="007333CF">
        <w:rPr>
          <w:b/>
          <w:bCs/>
          <w:i/>
          <w:iCs/>
          <w:color w:val="0070C0"/>
          <w:sz w:val="48"/>
          <w:szCs w:val="48"/>
        </w:rPr>
        <w:t>University of Wales Trinity Saint David</w:t>
      </w:r>
    </w:p>
    <w:p w14:paraId="0B52CD2D" w14:textId="77777777" w:rsidR="00112F6D" w:rsidRDefault="00112F6D" w:rsidP="00112F6D">
      <w:pPr>
        <w:jc w:val="center"/>
      </w:pPr>
      <w:r>
        <w:rPr>
          <w:b/>
          <w:bCs/>
          <w:color w:val="12294D"/>
          <w:sz w:val="32"/>
          <w:szCs w:val="32"/>
        </w:rPr>
        <w:t>Master of Business Administration</w:t>
      </w:r>
    </w:p>
    <w:p w14:paraId="0295E116" w14:textId="77777777" w:rsidR="00112F6D" w:rsidRDefault="00112F6D" w:rsidP="00112F6D">
      <w:pPr>
        <w:jc w:val="center"/>
      </w:pPr>
      <w:r>
        <w:rPr>
          <w:b/>
          <w:bCs/>
          <w:color w:val="2E6BB0"/>
          <w:sz w:val="26"/>
          <w:szCs w:val="26"/>
        </w:rPr>
        <w:t>Human Capital Management (LCMB7023)</w:t>
      </w:r>
    </w:p>
    <w:p w14:paraId="4AE8C323" w14:textId="1C7507C7" w:rsidR="00112F6D" w:rsidRPr="007333CF" w:rsidRDefault="00112F6D" w:rsidP="00112F6D">
      <w:pPr>
        <w:jc w:val="center"/>
        <w:rPr>
          <w:b/>
          <w:color w:val="12294D"/>
          <w:sz w:val="36"/>
        </w:rPr>
      </w:pPr>
      <w:r w:rsidRPr="007333CF">
        <w:rPr>
          <w:b/>
          <w:bCs/>
          <w:color w:val="12294D"/>
          <w:sz w:val="36"/>
          <w:szCs w:val="28"/>
        </w:rPr>
        <w:t xml:space="preserve">Designing </w:t>
      </w:r>
      <w:r w:rsidR="00FE3459">
        <w:rPr>
          <w:b/>
          <w:bCs/>
          <w:color w:val="12294D"/>
          <w:sz w:val="36"/>
          <w:szCs w:val="28"/>
        </w:rPr>
        <w:t>Sustainable Competitive Advantage: A Marketing Environment Analysis of Vale S.A ‘S Transition Towards Lower-Carbon Products</w:t>
      </w:r>
    </w:p>
    <w:p w14:paraId="5E92EDC2" w14:textId="77777777" w:rsidR="00112F6D" w:rsidRPr="007333CF" w:rsidRDefault="00112F6D" w:rsidP="00112F6D">
      <w:pPr>
        <w:jc w:val="center"/>
        <w:rPr>
          <w:b/>
          <w:bCs/>
          <w:color w:val="7030A0"/>
          <w:sz w:val="36"/>
          <w:szCs w:val="36"/>
        </w:rPr>
      </w:pPr>
      <w:r w:rsidRPr="007333CF">
        <w:rPr>
          <w:b/>
          <w:bCs/>
          <w:color w:val="7030A0"/>
          <w:sz w:val="32"/>
          <w:szCs w:val="32"/>
        </w:rPr>
        <w:t>Assessment Component 1: Individual Report</w:t>
      </w:r>
    </w:p>
    <w:p w14:paraId="45B8065D" w14:textId="77777777" w:rsidR="00112F6D" w:rsidRPr="007333CF" w:rsidRDefault="00112F6D" w:rsidP="00112F6D"/>
    <w:tbl>
      <w:tblPr>
        <w:tblStyle w:val="TableGrid"/>
        <w:tblW w:w="0" w:type="auto"/>
        <w:jc w:val="center"/>
        <w:tblLook w:val="04A0" w:firstRow="1" w:lastRow="0" w:firstColumn="1" w:lastColumn="0" w:noHBand="0" w:noVBand="1"/>
      </w:tblPr>
      <w:tblGrid>
        <w:gridCol w:w="3000"/>
        <w:gridCol w:w="6000"/>
      </w:tblGrid>
      <w:tr w:rsidR="00112F6D" w14:paraId="52DC0105" w14:textId="77777777" w:rsidTr="002E7E78">
        <w:trPr>
          <w:jc w:val="center"/>
        </w:trPr>
        <w:tc>
          <w:tcPr>
            <w:tcW w:w="3000" w:type="dxa"/>
            <w:shd w:val="clear" w:color="EAF0F8" w:fill="EAF0F8"/>
            <w:vAlign w:val="center"/>
          </w:tcPr>
          <w:p w14:paraId="3FD9044A" w14:textId="77777777" w:rsidR="00112F6D" w:rsidRPr="007333CF" w:rsidRDefault="00112F6D" w:rsidP="002E7E78">
            <w:pPr>
              <w:spacing w:before="240" w:line="360" w:lineRule="auto"/>
              <w:jc w:val="center"/>
              <w:rPr>
                <w:b/>
                <w:color w:val="0070C0"/>
              </w:rPr>
            </w:pPr>
            <w:r w:rsidRPr="007333CF">
              <w:rPr>
                <w:b/>
                <w:color w:val="0070C0"/>
              </w:rPr>
              <w:t>Assessment Component</w:t>
            </w:r>
          </w:p>
        </w:tc>
        <w:tc>
          <w:tcPr>
            <w:tcW w:w="6000" w:type="dxa"/>
            <w:vAlign w:val="center"/>
          </w:tcPr>
          <w:p w14:paraId="038650F2" w14:textId="77777777" w:rsidR="00112F6D" w:rsidRPr="007333CF" w:rsidRDefault="00112F6D" w:rsidP="002E7E78">
            <w:pPr>
              <w:spacing w:before="240" w:line="360" w:lineRule="auto"/>
              <w:jc w:val="center"/>
              <w:rPr>
                <w:color w:val="0070C0"/>
              </w:rPr>
            </w:pPr>
            <w:r w:rsidRPr="00E6192D">
              <w:rPr>
                <w:color w:val="0070C0"/>
              </w:rPr>
              <w:t>Marketing Environment</w:t>
            </w:r>
            <w:r>
              <w:rPr>
                <w:color w:val="0070C0"/>
              </w:rPr>
              <w:t xml:space="preserve"> Analysis</w:t>
            </w:r>
          </w:p>
        </w:tc>
      </w:tr>
      <w:tr w:rsidR="00112F6D" w14:paraId="0954DF52" w14:textId="77777777" w:rsidTr="002E7E78">
        <w:trPr>
          <w:jc w:val="center"/>
        </w:trPr>
        <w:tc>
          <w:tcPr>
            <w:tcW w:w="3000" w:type="dxa"/>
            <w:shd w:val="clear" w:color="EAF0F8" w:fill="EAF0F8"/>
            <w:vAlign w:val="center"/>
          </w:tcPr>
          <w:p w14:paraId="5D2003FE" w14:textId="77777777" w:rsidR="00112F6D" w:rsidRPr="007333CF" w:rsidRDefault="00112F6D" w:rsidP="002E7E78">
            <w:pPr>
              <w:spacing w:before="240" w:line="360" w:lineRule="auto"/>
              <w:jc w:val="center"/>
              <w:rPr>
                <w:b/>
                <w:color w:val="0070C0"/>
              </w:rPr>
            </w:pPr>
            <w:r w:rsidRPr="007333CF">
              <w:rPr>
                <w:b/>
                <w:color w:val="0070C0"/>
              </w:rPr>
              <w:t>Student Name</w:t>
            </w:r>
          </w:p>
        </w:tc>
        <w:tc>
          <w:tcPr>
            <w:tcW w:w="6000" w:type="dxa"/>
            <w:vAlign w:val="center"/>
          </w:tcPr>
          <w:p w14:paraId="304605AF" w14:textId="4C7D0359" w:rsidR="00112F6D" w:rsidRPr="007333CF" w:rsidRDefault="00FE3459" w:rsidP="002E7E78">
            <w:pPr>
              <w:spacing w:before="240" w:line="360" w:lineRule="auto"/>
              <w:jc w:val="center"/>
              <w:rPr>
                <w:color w:val="0070C0"/>
              </w:rPr>
            </w:pPr>
            <w:r>
              <w:rPr>
                <w:color w:val="0070C0"/>
              </w:rPr>
              <w:t>Vedant Mukeshkumar Pandya</w:t>
            </w:r>
          </w:p>
        </w:tc>
      </w:tr>
      <w:tr w:rsidR="00112F6D" w14:paraId="326133E2" w14:textId="77777777" w:rsidTr="002E7E78">
        <w:trPr>
          <w:jc w:val="center"/>
        </w:trPr>
        <w:tc>
          <w:tcPr>
            <w:tcW w:w="3000" w:type="dxa"/>
            <w:shd w:val="clear" w:color="EAF0F8" w:fill="EAF0F8"/>
            <w:vAlign w:val="center"/>
          </w:tcPr>
          <w:p w14:paraId="180810FA" w14:textId="77777777" w:rsidR="00112F6D" w:rsidRPr="007333CF" w:rsidRDefault="00112F6D" w:rsidP="002E7E78">
            <w:pPr>
              <w:spacing w:before="240" w:line="360" w:lineRule="auto"/>
              <w:jc w:val="center"/>
              <w:rPr>
                <w:b/>
                <w:color w:val="0070C0"/>
              </w:rPr>
            </w:pPr>
            <w:r w:rsidRPr="007333CF">
              <w:rPr>
                <w:b/>
                <w:color w:val="0070C0"/>
              </w:rPr>
              <w:t>Student ID</w:t>
            </w:r>
          </w:p>
        </w:tc>
        <w:tc>
          <w:tcPr>
            <w:tcW w:w="6000" w:type="dxa"/>
            <w:vAlign w:val="center"/>
          </w:tcPr>
          <w:p w14:paraId="0880058A" w14:textId="04F22B9D" w:rsidR="00112F6D" w:rsidRPr="007333CF" w:rsidRDefault="00FE3459" w:rsidP="002E7E78">
            <w:pPr>
              <w:spacing w:before="240" w:line="360" w:lineRule="auto"/>
              <w:jc w:val="center"/>
              <w:rPr>
                <w:color w:val="0070C0"/>
              </w:rPr>
            </w:pPr>
            <w:r>
              <w:rPr>
                <w:color w:val="0070C0"/>
              </w:rPr>
              <w:t>2541366</w:t>
            </w:r>
          </w:p>
        </w:tc>
      </w:tr>
      <w:tr w:rsidR="00112F6D" w14:paraId="00426C19" w14:textId="77777777" w:rsidTr="002E7E78">
        <w:trPr>
          <w:jc w:val="center"/>
        </w:trPr>
        <w:tc>
          <w:tcPr>
            <w:tcW w:w="3000" w:type="dxa"/>
            <w:shd w:val="clear" w:color="EAF0F8" w:fill="EAF0F8"/>
            <w:vAlign w:val="center"/>
          </w:tcPr>
          <w:p w14:paraId="56103A25" w14:textId="77777777" w:rsidR="00112F6D" w:rsidRPr="007333CF" w:rsidRDefault="00112F6D" w:rsidP="002E7E78">
            <w:pPr>
              <w:spacing w:before="240" w:line="360" w:lineRule="auto"/>
              <w:jc w:val="center"/>
              <w:rPr>
                <w:b/>
                <w:color w:val="0070C0"/>
              </w:rPr>
            </w:pPr>
            <w:r w:rsidRPr="007333CF">
              <w:rPr>
                <w:b/>
                <w:color w:val="0070C0"/>
              </w:rPr>
              <w:t>Programme</w:t>
            </w:r>
          </w:p>
        </w:tc>
        <w:tc>
          <w:tcPr>
            <w:tcW w:w="6000" w:type="dxa"/>
            <w:vAlign w:val="center"/>
          </w:tcPr>
          <w:p w14:paraId="47937D80" w14:textId="77777777" w:rsidR="00112F6D" w:rsidRPr="007333CF" w:rsidRDefault="00112F6D" w:rsidP="002E7E78">
            <w:pPr>
              <w:spacing w:before="240" w:line="360" w:lineRule="auto"/>
              <w:jc w:val="center"/>
              <w:rPr>
                <w:color w:val="0070C0"/>
              </w:rPr>
            </w:pPr>
            <w:r w:rsidRPr="00E6192D">
              <w:rPr>
                <w:color w:val="0070C0"/>
              </w:rPr>
              <w:t>Master of Business Administration</w:t>
            </w:r>
          </w:p>
        </w:tc>
      </w:tr>
      <w:tr w:rsidR="00112F6D" w14:paraId="57DC8A79" w14:textId="77777777" w:rsidTr="002E7E78">
        <w:trPr>
          <w:jc w:val="center"/>
        </w:trPr>
        <w:tc>
          <w:tcPr>
            <w:tcW w:w="3000" w:type="dxa"/>
            <w:shd w:val="clear" w:color="EAF0F8" w:fill="EAF0F8"/>
            <w:vAlign w:val="center"/>
          </w:tcPr>
          <w:p w14:paraId="0F39B155" w14:textId="77777777" w:rsidR="00112F6D" w:rsidRPr="007333CF" w:rsidRDefault="00112F6D" w:rsidP="002E7E78">
            <w:pPr>
              <w:spacing w:before="240" w:line="360" w:lineRule="auto"/>
              <w:jc w:val="center"/>
              <w:rPr>
                <w:b/>
                <w:color w:val="0070C0"/>
              </w:rPr>
            </w:pPr>
            <w:r w:rsidRPr="007333CF">
              <w:rPr>
                <w:b/>
                <w:color w:val="0070C0"/>
              </w:rPr>
              <w:t>Module</w:t>
            </w:r>
          </w:p>
        </w:tc>
        <w:tc>
          <w:tcPr>
            <w:tcW w:w="6000" w:type="dxa"/>
            <w:vAlign w:val="center"/>
          </w:tcPr>
          <w:p w14:paraId="3354D0D7" w14:textId="77777777" w:rsidR="00112F6D" w:rsidRPr="007333CF" w:rsidRDefault="00112F6D" w:rsidP="002E7E78">
            <w:pPr>
              <w:spacing w:before="240" w:line="360" w:lineRule="auto"/>
              <w:jc w:val="center"/>
              <w:rPr>
                <w:color w:val="0070C0"/>
              </w:rPr>
            </w:pPr>
            <w:r w:rsidRPr="00E6192D">
              <w:rPr>
                <w:color w:val="0070C0"/>
              </w:rPr>
              <w:t>Marketing Management</w:t>
            </w:r>
          </w:p>
        </w:tc>
      </w:tr>
      <w:tr w:rsidR="00112F6D" w14:paraId="4C606EFB" w14:textId="77777777" w:rsidTr="002E7E78">
        <w:trPr>
          <w:jc w:val="center"/>
        </w:trPr>
        <w:tc>
          <w:tcPr>
            <w:tcW w:w="3000" w:type="dxa"/>
            <w:shd w:val="clear" w:color="EAF0F8" w:fill="EAF0F8"/>
            <w:vAlign w:val="center"/>
          </w:tcPr>
          <w:p w14:paraId="42B9231E" w14:textId="77777777" w:rsidR="00112F6D" w:rsidRPr="007333CF" w:rsidRDefault="00112F6D" w:rsidP="002E7E78">
            <w:pPr>
              <w:spacing w:before="240" w:line="360" w:lineRule="auto"/>
              <w:jc w:val="center"/>
              <w:rPr>
                <w:b/>
                <w:color w:val="0070C0"/>
              </w:rPr>
            </w:pPr>
            <w:r w:rsidRPr="007333CF">
              <w:rPr>
                <w:b/>
                <w:color w:val="0070C0"/>
              </w:rPr>
              <w:t>Lecturer</w:t>
            </w:r>
          </w:p>
        </w:tc>
        <w:tc>
          <w:tcPr>
            <w:tcW w:w="6000" w:type="dxa"/>
            <w:vAlign w:val="center"/>
          </w:tcPr>
          <w:p w14:paraId="53850399" w14:textId="77777777" w:rsidR="00112F6D" w:rsidRDefault="00112F6D" w:rsidP="002E7E78">
            <w:pPr>
              <w:spacing w:before="240" w:line="360" w:lineRule="auto"/>
              <w:jc w:val="center"/>
              <w:rPr>
                <w:color w:val="0070C0"/>
              </w:rPr>
            </w:pPr>
            <w:r w:rsidRPr="00E6192D">
              <w:rPr>
                <w:color w:val="0070C0"/>
              </w:rPr>
              <w:t>Laila Maazouz</w:t>
            </w:r>
          </w:p>
          <w:p w14:paraId="30E7EC49" w14:textId="77777777" w:rsidR="00112F6D" w:rsidRPr="007333CF" w:rsidRDefault="00112F6D" w:rsidP="002E7E78">
            <w:pPr>
              <w:spacing w:before="240" w:line="360" w:lineRule="auto"/>
              <w:jc w:val="center"/>
              <w:rPr>
                <w:color w:val="0070C0"/>
              </w:rPr>
            </w:pPr>
            <w:r w:rsidRPr="00E6192D">
              <w:rPr>
                <w:color w:val="0070C0"/>
              </w:rPr>
              <w:t xml:space="preserve">Taonga Kaonga </w:t>
            </w:r>
            <w:proofErr w:type="spellStart"/>
            <w:r w:rsidRPr="00E6192D">
              <w:rPr>
                <w:color w:val="0070C0"/>
              </w:rPr>
              <w:t>Sobere-Snithers</w:t>
            </w:r>
            <w:proofErr w:type="spellEnd"/>
          </w:p>
        </w:tc>
      </w:tr>
      <w:tr w:rsidR="00112F6D" w14:paraId="45D9FC22" w14:textId="77777777" w:rsidTr="002E7E78">
        <w:trPr>
          <w:jc w:val="center"/>
        </w:trPr>
        <w:tc>
          <w:tcPr>
            <w:tcW w:w="3000" w:type="dxa"/>
            <w:shd w:val="clear" w:color="EAF0F8" w:fill="EAF0F8"/>
            <w:vAlign w:val="center"/>
          </w:tcPr>
          <w:p w14:paraId="2A8E7172" w14:textId="77777777" w:rsidR="00112F6D" w:rsidRPr="007333CF" w:rsidRDefault="00112F6D" w:rsidP="002E7E78">
            <w:pPr>
              <w:spacing w:before="240" w:line="360" w:lineRule="auto"/>
              <w:jc w:val="center"/>
              <w:rPr>
                <w:b/>
                <w:color w:val="0070C0"/>
              </w:rPr>
            </w:pPr>
            <w:r w:rsidRPr="007333CF">
              <w:rPr>
                <w:b/>
                <w:color w:val="0070C0"/>
              </w:rPr>
              <w:t>Word Count</w:t>
            </w:r>
          </w:p>
        </w:tc>
        <w:tc>
          <w:tcPr>
            <w:tcW w:w="6000" w:type="dxa"/>
            <w:vAlign w:val="center"/>
          </w:tcPr>
          <w:p w14:paraId="35A2E939" w14:textId="77777777" w:rsidR="00112F6D" w:rsidRPr="007333CF" w:rsidRDefault="00112F6D" w:rsidP="002E7E78">
            <w:pPr>
              <w:spacing w:before="240" w:line="360" w:lineRule="auto"/>
              <w:jc w:val="center"/>
              <w:rPr>
                <w:color w:val="0070C0"/>
              </w:rPr>
            </w:pPr>
            <w:r>
              <w:rPr>
                <w:color w:val="0070C0"/>
              </w:rPr>
              <w:t>2607</w:t>
            </w:r>
          </w:p>
        </w:tc>
      </w:tr>
      <w:tr w:rsidR="00112F6D" w14:paraId="2AECB70A" w14:textId="77777777" w:rsidTr="002E7E78">
        <w:trPr>
          <w:jc w:val="center"/>
        </w:trPr>
        <w:tc>
          <w:tcPr>
            <w:tcW w:w="3000" w:type="dxa"/>
            <w:shd w:val="clear" w:color="EAF0F8" w:fill="EAF0F8"/>
            <w:vAlign w:val="center"/>
          </w:tcPr>
          <w:p w14:paraId="56AA88AE" w14:textId="77777777" w:rsidR="00112F6D" w:rsidRPr="007333CF" w:rsidRDefault="00112F6D" w:rsidP="002E7E78">
            <w:pPr>
              <w:spacing w:before="240" w:line="360" w:lineRule="auto"/>
              <w:jc w:val="center"/>
              <w:rPr>
                <w:b/>
                <w:color w:val="0070C0"/>
              </w:rPr>
            </w:pPr>
            <w:r w:rsidRPr="007333CF">
              <w:rPr>
                <w:b/>
                <w:color w:val="0070C0"/>
              </w:rPr>
              <w:t>Submission Date</w:t>
            </w:r>
          </w:p>
        </w:tc>
        <w:tc>
          <w:tcPr>
            <w:tcW w:w="6000" w:type="dxa"/>
            <w:vAlign w:val="center"/>
          </w:tcPr>
          <w:p w14:paraId="674A5D5D" w14:textId="306672C0" w:rsidR="00112F6D" w:rsidRPr="007333CF" w:rsidRDefault="00FE3459" w:rsidP="002E7E78">
            <w:pPr>
              <w:spacing w:before="240" w:line="360" w:lineRule="auto"/>
              <w:jc w:val="center"/>
              <w:rPr>
                <w:color w:val="0070C0"/>
              </w:rPr>
            </w:pPr>
            <w:r>
              <w:rPr>
                <w:color w:val="0070C0"/>
              </w:rPr>
              <w:t>23 July 2026</w:t>
            </w:r>
          </w:p>
        </w:tc>
      </w:tr>
    </w:tbl>
    <w:p w14:paraId="5636D6F2" w14:textId="77777777" w:rsidR="00112F6D" w:rsidRDefault="00112F6D">
      <w:pPr>
        <w:jc w:val="left"/>
        <w:rPr>
          <w:rFonts w:asciiTheme="majorHAnsi" w:eastAsiaTheme="majorEastAsia" w:hAnsiTheme="majorHAnsi" w:cstheme="majorBidi"/>
          <w:spacing w:val="-10"/>
          <w:kern w:val="28"/>
          <w:sz w:val="56"/>
          <w:szCs w:val="56"/>
        </w:rPr>
      </w:pPr>
      <w:r>
        <w:br w:type="page"/>
      </w:r>
    </w:p>
    <w:p w14:paraId="10E0D35D" w14:textId="77777777" w:rsidR="005A0785" w:rsidRDefault="00C81043" w:rsidP="00C81043">
      <w:pPr>
        <w:pStyle w:val="Title"/>
        <w:jc w:val="center"/>
      </w:pPr>
      <w:r>
        <w:lastRenderedPageBreak/>
        <w:t>Developing Sustainable Competitive Advantage: A Marketing Environment Analysis of Vale S.A.'s Transition Towards Lower-Carbon Products</w:t>
      </w:r>
    </w:p>
    <w:p w14:paraId="1C195B46" w14:textId="77777777" w:rsidR="00C81043" w:rsidRDefault="00C81043">
      <w:pPr>
        <w:jc w:val="left"/>
      </w:pPr>
      <w:r>
        <w:br w:type="page"/>
      </w:r>
    </w:p>
    <w:sdt>
      <w:sdtPr>
        <w:rPr>
          <w:rFonts w:ascii="Arial" w:eastAsiaTheme="minorHAnsi" w:hAnsi="Arial" w:cs="Times New Roman"/>
          <w:b w:val="0"/>
          <w:bCs w:val="0"/>
          <w:color w:val="auto"/>
          <w:sz w:val="24"/>
          <w:szCs w:val="24"/>
          <w:lang w:val="en-GB"/>
        </w:rPr>
        <w:id w:val="-1823722725"/>
        <w:docPartObj>
          <w:docPartGallery w:val="Table of Contents"/>
          <w:docPartUnique/>
        </w:docPartObj>
      </w:sdtPr>
      <w:sdtEndPr>
        <w:rPr>
          <w:noProof/>
        </w:rPr>
      </w:sdtEndPr>
      <w:sdtContent>
        <w:p w14:paraId="13CF40A8" w14:textId="77777777" w:rsidR="00336F65" w:rsidRDefault="00336F65">
          <w:pPr>
            <w:pStyle w:val="TOCHeading"/>
          </w:pPr>
          <w:r>
            <w:t>Table of Contents</w:t>
          </w:r>
        </w:p>
        <w:p w14:paraId="10F037AA" w14:textId="720FEC35" w:rsidR="003804DD" w:rsidRDefault="00336F65">
          <w:pPr>
            <w:pStyle w:val="TOC1"/>
            <w:tabs>
              <w:tab w:val="right" w:leader="dot" w:pos="9016"/>
            </w:tabs>
            <w:rPr>
              <w:rFonts w:eastAsiaTheme="minorEastAsia" w:cstheme="minorBidi"/>
              <w:b w:val="0"/>
              <w:bCs w:val="0"/>
              <w:i w:val="0"/>
              <w:iCs w:val="0"/>
              <w:noProof/>
              <w:kern w:val="2"/>
              <w:lang w:val="en-IN" w:eastAsia="en-GB"/>
              <w14:ligatures w14:val="standardContextual"/>
            </w:rPr>
          </w:pPr>
          <w:r>
            <w:rPr>
              <w:b w:val="0"/>
              <w:bCs w:val="0"/>
            </w:rPr>
            <w:fldChar w:fldCharType="begin"/>
          </w:r>
          <w:r>
            <w:instrText xml:space="preserve"> TOC \o "1-3" \h \z \u </w:instrText>
          </w:r>
          <w:r>
            <w:rPr>
              <w:b w:val="0"/>
              <w:bCs w:val="0"/>
            </w:rPr>
            <w:fldChar w:fldCharType="separate"/>
          </w:r>
          <w:hyperlink w:anchor="_Toc235223741" w:history="1">
            <w:r w:rsidR="003804DD" w:rsidRPr="00F615B1">
              <w:rPr>
                <w:rStyle w:val="Hyperlink"/>
                <w:noProof/>
                <w:lang w:val="en-IN"/>
              </w:rPr>
              <w:t>Task 1: Marketing Environment Analysis</w:t>
            </w:r>
            <w:r w:rsidR="003804DD">
              <w:rPr>
                <w:noProof/>
                <w:webHidden/>
              </w:rPr>
              <w:tab/>
            </w:r>
            <w:r w:rsidR="003804DD">
              <w:rPr>
                <w:noProof/>
                <w:webHidden/>
              </w:rPr>
              <w:fldChar w:fldCharType="begin"/>
            </w:r>
            <w:r w:rsidR="003804DD">
              <w:rPr>
                <w:noProof/>
                <w:webHidden/>
              </w:rPr>
              <w:instrText xml:space="preserve"> PAGEREF _Toc235223741 \h </w:instrText>
            </w:r>
            <w:r w:rsidR="003804DD">
              <w:rPr>
                <w:noProof/>
                <w:webHidden/>
              </w:rPr>
            </w:r>
            <w:r w:rsidR="003804DD">
              <w:rPr>
                <w:noProof/>
                <w:webHidden/>
              </w:rPr>
              <w:fldChar w:fldCharType="separate"/>
            </w:r>
            <w:r w:rsidR="00FE3459">
              <w:rPr>
                <w:noProof/>
                <w:webHidden/>
              </w:rPr>
              <w:t>4</w:t>
            </w:r>
            <w:r w:rsidR="003804DD">
              <w:rPr>
                <w:noProof/>
                <w:webHidden/>
              </w:rPr>
              <w:fldChar w:fldCharType="end"/>
            </w:r>
          </w:hyperlink>
        </w:p>
        <w:p w14:paraId="6A9424EF" w14:textId="4ADBD38A" w:rsidR="003804DD" w:rsidRDefault="003804DD">
          <w:pPr>
            <w:pStyle w:val="TOC2"/>
            <w:tabs>
              <w:tab w:val="right" w:leader="dot" w:pos="9016"/>
            </w:tabs>
            <w:rPr>
              <w:rFonts w:eastAsiaTheme="minorEastAsia" w:cstheme="minorBidi"/>
              <w:b w:val="0"/>
              <w:bCs w:val="0"/>
              <w:noProof/>
              <w:kern w:val="2"/>
              <w:sz w:val="24"/>
              <w:szCs w:val="24"/>
              <w:lang w:val="en-IN" w:eastAsia="en-GB"/>
              <w14:ligatures w14:val="standardContextual"/>
            </w:rPr>
          </w:pPr>
          <w:hyperlink w:anchor="_Toc235223742" w:history="1">
            <w:r w:rsidRPr="00F615B1">
              <w:rPr>
                <w:rStyle w:val="Hyperlink"/>
                <w:noProof/>
              </w:rPr>
              <w:t>1.1 The Natural Environment as the Primary Marketing Environment Actor</w:t>
            </w:r>
            <w:r>
              <w:rPr>
                <w:noProof/>
                <w:webHidden/>
              </w:rPr>
              <w:tab/>
            </w:r>
            <w:r>
              <w:rPr>
                <w:noProof/>
                <w:webHidden/>
              </w:rPr>
              <w:fldChar w:fldCharType="begin"/>
            </w:r>
            <w:r>
              <w:rPr>
                <w:noProof/>
                <w:webHidden/>
              </w:rPr>
              <w:instrText xml:space="preserve"> PAGEREF _Toc235223742 \h </w:instrText>
            </w:r>
            <w:r>
              <w:rPr>
                <w:noProof/>
                <w:webHidden/>
              </w:rPr>
            </w:r>
            <w:r>
              <w:rPr>
                <w:noProof/>
                <w:webHidden/>
              </w:rPr>
              <w:fldChar w:fldCharType="separate"/>
            </w:r>
            <w:r w:rsidR="00FE3459">
              <w:rPr>
                <w:noProof/>
                <w:webHidden/>
              </w:rPr>
              <w:t>4</w:t>
            </w:r>
            <w:r>
              <w:rPr>
                <w:noProof/>
                <w:webHidden/>
              </w:rPr>
              <w:fldChar w:fldCharType="end"/>
            </w:r>
          </w:hyperlink>
        </w:p>
        <w:p w14:paraId="5059DD29" w14:textId="26682454" w:rsidR="003804DD" w:rsidRDefault="003804DD">
          <w:pPr>
            <w:pStyle w:val="TOC2"/>
            <w:tabs>
              <w:tab w:val="right" w:leader="dot" w:pos="9016"/>
            </w:tabs>
            <w:rPr>
              <w:rFonts w:eastAsiaTheme="minorEastAsia" w:cstheme="minorBidi"/>
              <w:b w:val="0"/>
              <w:bCs w:val="0"/>
              <w:noProof/>
              <w:kern w:val="2"/>
              <w:sz w:val="24"/>
              <w:szCs w:val="24"/>
              <w:lang w:val="en-IN" w:eastAsia="en-GB"/>
              <w14:ligatures w14:val="standardContextual"/>
            </w:rPr>
          </w:pPr>
          <w:hyperlink w:anchor="_Toc235223743" w:history="1">
            <w:r w:rsidRPr="00F615B1">
              <w:rPr>
                <w:rStyle w:val="Hyperlink"/>
                <w:noProof/>
              </w:rPr>
              <w:t>1.2 Publics as the Secondary Marketing Environment Actor</w:t>
            </w:r>
            <w:r>
              <w:rPr>
                <w:noProof/>
                <w:webHidden/>
              </w:rPr>
              <w:tab/>
            </w:r>
            <w:r>
              <w:rPr>
                <w:noProof/>
                <w:webHidden/>
              </w:rPr>
              <w:fldChar w:fldCharType="begin"/>
            </w:r>
            <w:r>
              <w:rPr>
                <w:noProof/>
                <w:webHidden/>
              </w:rPr>
              <w:instrText xml:space="preserve"> PAGEREF _Toc235223743 \h </w:instrText>
            </w:r>
            <w:r>
              <w:rPr>
                <w:noProof/>
                <w:webHidden/>
              </w:rPr>
            </w:r>
            <w:r>
              <w:rPr>
                <w:noProof/>
                <w:webHidden/>
              </w:rPr>
              <w:fldChar w:fldCharType="separate"/>
            </w:r>
            <w:r w:rsidR="00FE3459">
              <w:rPr>
                <w:noProof/>
                <w:webHidden/>
              </w:rPr>
              <w:t>7</w:t>
            </w:r>
            <w:r>
              <w:rPr>
                <w:noProof/>
                <w:webHidden/>
              </w:rPr>
              <w:fldChar w:fldCharType="end"/>
            </w:r>
          </w:hyperlink>
        </w:p>
        <w:p w14:paraId="22863CCC" w14:textId="56E849BA" w:rsidR="003804DD" w:rsidRDefault="003804DD">
          <w:pPr>
            <w:pStyle w:val="TOC1"/>
            <w:tabs>
              <w:tab w:val="right" w:leader="dot" w:pos="9016"/>
            </w:tabs>
            <w:rPr>
              <w:rFonts w:eastAsiaTheme="minorEastAsia" w:cstheme="minorBidi"/>
              <w:b w:val="0"/>
              <w:bCs w:val="0"/>
              <w:i w:val="0"/>
              <w:iCs w:val="0"/>
              <w:noProof/>
              <w:kern w:val="2"/>
              <w:lang w:val="en-IN" w:eastAsia="en-GB"/>
              <w14:ligatures w14:val="standardContextual"/>
            </w:rPr>
          </w:pPr>
          <w:hyperlink w:anchor="_Toc235223744" w:history="1">
            <w:r w:rsidRPr="00F615B1">
              <w:rPr>
                <w:rStyle w:val="Hyperlink"/>
                <w:noProof/>
              </w:rPr>
              <w:t>Task 2: Strategic Growth and Competitive Positioning</w:t>
            </w:r>
            <w:r>
              <w:rPr>
                <w:noProof/>
                <w:webHidden/>
              </w:rPr>
              <w:tab/>
            </w:r>
            <w:r>
              <w:rPr>
                <w:noProof/>
                <w:webHidden/>
              </w:rPr>
              <w:fldChar w:fldCharType="begin"/>
            </w:r>
            <w:r>
              <w:rPr>
                <w:noProof/>
                <w:webHidden/>
              </w:rPr>
              <w:instrText xml:space="preserve"> PAGEREF _Toc235223744 \h </w:instrText>
            </w:r>
            <w:r>
              <w:rPr>
                <w:noProof/>
                <w:webHidden/>
              </w:rPr>
            </w:r>
            <w:r>
              <w:rPr>
                <w:noProof/>
                <w:webHidden/>
              </w:rPr>
              <w:fldChar w:fldCharType="separate"/>
            </w:r>
            <w:r w:rsidR="00FE3459">
              <w:rPr>
                <w:noProof/>
                <w:webHidden/>
              </w:rPr>
              <w:t>10</w:t>
            </w:r>
            <w:r>
              <w:rPr>
                <w:noProof/>
                <w:webHidden/>
              </w:rPr>
              <w:fldChar w:fldCharType="end"/>
            </w:r>
          </w:hyperlink>
        </w:p>
        <w:p w14:paraId="12D71BDA" w14:textId="4FAD60F1" w:rsidR="003804DD" w:rsidRDefault="003804DD">
          <w:pPr>
            <w:pStyle w:val="TOC2"/>
            <w:tabs>
              <w:tab w:val="right" w:leader="dot" w:pos="9016"/>
            </w:tabs>
            <w:rPr>
              <w:rFonts w:eastAsiaTheme="minorEastAsia" w:cstheme="minorBidi"/>
              <w:b w:val="0"/>
              <w:bCs w:val="0"/>
              <w:noProof/>
              <w:kern w:val="2"/>
              <w:sz w:val="24"/>
              <w:szCs w:val="24"/>
              <w:lang w:val="en-IN" w:eastAsia="en-GB"/>
              <w14:ligatures w14:val="standardContextual"/>
            </w:rPr>
          </w:pPr>
          <w:hyperlink w:anchor="_Toc235223745" w:history="1">
            <w:r w:rsidRPr="00F615B1">
              <w:rPr>
                <w:rStyle w:val="Hyperlink"/>
                <w:noProof/>
              </w:rPr>
              <w:t>2.1 Evaluating Growth Opportunities Using the Ansoff Matrix</w:t>
            </w:r>
            <w:r>
              <w:rPr>
                <w:noProof/>
                <w:webHidden/>
              </w:rPr>
              <w:tab/>
            </w:r>
            <w:r>
              <w:rPr>
                <w:noProof/>
                <w:webHidden/>
              </w:rPr>
              <w:fldChar w:fldCharType="begin"/>
            </w:r>
            <w:r>
              <w:rPr>
                <w:noProof/>
                <w:webHidden/>
              </w:rPr>
              <w:instrText xml:space="preserve"> PAGEREF _Toc235223745 \h </w:instrText>
            </w:r>
            <w:r>
              <w:rPr>
                <w:noProof/>
                <w:webHidden/>
              </w:rPr>
            </w:r>
            <w:r>
              <w:rPr>
                <w:noProof/>
                <w:webHidden/>
              </w:rPr>
              <w:fldChar w:fldCharType="separate"/>
            </w:r>
            <w:r w:rsidR="00FE3459">
              <w:rPr>
                <w:noProof/>
                <w:webHidden/>
              </w:rPr>
              <w:t>10</w:t>
            </w:r>
            <w:r>
              <w:rPr>
                <w:noProof/>
                <w:webHidden/>
              </w:rPr>
              <w:fldChar w:fldCharType="end"/>
            </w:r>
          </w:hyperlink>
        </w:p>
        <w:p w14:paraId="61544772" w14:textId="7B1AA017" w:rsidR="003804DD" w:rsidRDefault="003804DD">
          <w:pPr>
            <w:pStyle w:val="TOC2"/>
            <w:tabs>
              <w:tab w:val="right" w:leader="dot" w:pos="9016"/>
            </w:tabs>
            <w:rPr>
              <w:rFonts w:eastAsiaTheme="minorEastAsia" w:cstheme="minorBidi"/>
              <w:b w:val="0"/>
              <w:bCs w:val="0"/>
              <w:noProof/>
              <w:kern w:val="2"/>
              <w:sz w:val="24"/>
              <w:szCs w:val="24"/>
              <w:lang w:val="en-IN" w:eastAsia="en-GB"/>
              <w14:ligatures w14:val="standardContextual"/>
            </w:rPr>
          </w:pPr>
          <w:hyperlink w:anchor="_Toc235223746" w:history="1">
            <w:r w:rsidRPr="00F615B1">
              <w:rPr>
                <w:rStyle w:val="Hyperlink"/>
                <w:noProof/>
              </w:rPr>
              <w:t>2.2 Achieving Competitive Advantage Using Porter's Generic Strategies</w:t>
            </w:r>
            <w:r>
              <w:rPr>
                <w:noProof/>
                <w:webHidden/>
              </w:rPr>
              <w:tab/>
            </w:r>
            <w:r>
              <w:rPr>
                <w:noProof/>
                <w:webHidden/>
              </w:rPr>
              <w:fldChar w:fldCharType="begin"/>
            </w:r>
            <w:r>
              <w:rPr>
                <w:noProof/>
                <w:webHidden/>
              </w:rPr>
              <w:instrText xml:space="preserve"> PAGEREF _Toc235223746 \h </w:instrText>
            </w:r>
            <w:r>
              <w:rPr>
                <w:noProof/>
                <w:webHidden/>
              </w:rPr>
            </w:r>
            <w:r>
              <w:rPr>
                <w:noProof/>
                <w:webHidden/>
              </w:rPr>
              <w:fldChar w:fldCharType="separate"/>
            </w:r>
            <w:r w:rsidR="00FE3459">
              <w:rPr>
                <w:noProof/>
                <w:webHidden/>
              </w:rPr>
              <w:t>12</w:t>
            </w:r>
            <w:r>
              <w:rPr>
                <w:noProof/>
                <w:webHidden/>
              </w:rPr>
              <w:fldChar w:fldCharType="end"/>
            </w:r>
          </w:hyperlink>
        </w:p>
        <w:p w14:paraId="7945C4AA" w14:textId="34F5305C" w:rsidR="003804DD" w:rsidRDefault="003804DD">
          <w:pPr>
            <w:pStyle w:val="TOC2"/>
            <w:tabs>
              <w:tab w:val="right" w:leader="dot" w:pos="9016"/>
            </w:tabs>
            <w:rPr>
              <w:rFonts w:eastAsiaTheme="minorEastAsia" w:cstheme="minorBidi"/>
              <w:b w:val="0"/>
              <w:bCs w:val="0"/>
              <w:noProof/>
              <w:kern w:val="2"/>
              <w:sz w:val="24"/>
              <w:szCs w:val="24"/>
              <w:lang w:val="en-IN" w:eastAsia="en-GB"/>
              <w14:ligatures w14:val="standardContextual"/>
            </w:rPr>
          </w:pPr>
          <w:hyperlink w:anchor="_Toc235223747" w:history="1">
            <w:r w:rsidRPr="00F615B1">
              <w:rPr>
                <w:rStyle w:val="Hyperlink"/>
                <w:noProof/>
              </w:rPr>
              <w:t>2.3 Strategic Recommendations</w:t>
            </w:r>
            <w:r>
              <w:rPr>
                <w:noProof/>
                <w:webHidden/>
              </w:rPr>
              <w:tab/>
            </w:r>
            <w:r>
              <w:rPr>
                <w:noProof/>
                <w:webHidden/>
              </w:rPr>
              <w:fldChar w:fldCharType="begin"/>
            </w:r>
            <w:r>
              <w:rPr>
                <w:noProof/>
                <w:webHidden/>
              </w:rPr>
              <w:instrText xml:space="preserve"> PAGEREF _Toc235223747 \h </w:instrText>
            </w:r>
            <w:r>
              <w:rPr>
                <w:noProof/>
                <w:webHidden/>
              </w:rPr>
            </w:r>
            <w:r>
              <w:rPr>
                <w:noProof/>
                <w:webHidden/>
              </w:rPr>
              <w:fldChar w:fldCharType="separate"/>
            </w:r>
            <w:r w:rsidR="00FE3459">
              <w:rPr>
                <w:noProof/>
                <w:webHidden/>
              </w:rPr>
              <w:t>13</w:t>
            </w:r>
            <w:r>
              <w:rPr>
                <w:noProof/>
                <w:webHidden/>
              </w:rPr>
              <w:fldChar w:fldCharType="end"/>
            </w:r>
          </w:hyperlink>
        </w:p>
        <w:p w14:paraId="0496AF50" w14:textId="11DB08F6" w:rsidR="003804DD" w:rsidRDefault="003804DD">
          <w:pPr>
            <w:pStyle w:val="TOC1"/>
            <w:tabs>
              <w:tab w:val="right" w:leader="dot" w:pos="9016"/>
            </w:tabs>
            <w:rPr>
              <w:rFonts w:eastAsiaTheme="minorEastAsia" w:cstheme="minorBidi"/>
              <w:b w:val="0"/>
              <w:bCs w:val="0"/>
              <w:i w:val="0"/>
              <w:iCs w:val="0"/>
              <w:noProof/>
              <w:kern w:val="2"/>
              <w:lang w:val="en-IN" w:eastAsia="en-GB"/>
              <w14:ligatures w14:val="standardContextual"/>
            </w:rPr>
          </w:pPr>
          <w:hyperlink w:anchor="_Toc235223748" w:history="1">
            <w:r w:rsidRPr="00F615B1">
              <w:rPr>
                <w:rStyle w:val="Hyperlink"/>
                <w:noProof/>
              </w:rPr>
              <w:t>Task 3: Critical Reflection on AI Usage</w:t>
            </w:r>
            <w:r>
              <w:rPr>
                <w:noProof/>
                <w:webHidden/>
              </w:rPr>
              <w:tab/>
            </w:r>
            <w:r>
              <w:rPr>
                <w:noProof/>
                <w:webHidden/>
              </w:rPr>
              <w:fldChar w:fldCharType="begin"/>
            </w:r>
            <w:r>
              <w:rPr>
                <w:noProof/>
                <w:webHidden/>
              </w:rPr>
              <w:instrText xml:space="preserve"> PAGEREF _Toc235223748 \h </w:instrText>
            </w:r>
            <w:r>
              <w:rPr>
                <w:noProof/>
                <w:webHidden/>
              </w:rPr>
            </w:r>
            <w:r>
              <w:rPr>
                <w:noProof/>
                <w:webHidden/>
              </w:rPr>
              <w:fldChar w:fldCharType="separate"/>
            </w:r>
            <w:r w:rsidR="00FE3459">
              <w:rPr>
                <w:noProof/>
                <w:webHidden/>
              </w:rPr>
              <w:t>15</w:t>
            </w:r>
            <w:r>
              <w:rPr>
                <w:noProof/>
                <w:webHidden/>
              </w:rPr>
              <w:fldChar w:fldCharType="end"/>
            </w:r>
          </w:hyperlink>
        </w:p>
        <w:p w14:paraId="23D045CA" w14:textId="3165F50E" w:rsidR="003804DD" w:rsidRDefault="003804DD">
          <w:pPr>
            <w:pStyle w:val="TOC2"/>
            <w:tabs>
              <w:tab w:val="right" w:leader="dot" w:pos="9016"/>
            </w:tabs>
            <w:rPr>
              <w:rFonts w:eastAsiaTheme="minorEastAsia" w:cstheme="minorBidi"/>
              <w:b w:val="0"/>
              <w:bCs w:val="0"/>
              <w:noProof/>
              <w:kern w:val="2"/>
              <w:sz w:val="24"/>
              <w:szCs w:val="24"/>
              <w:lang w:val="en-IN" w:eastAsia="en-GB"/>
              <w14:ligatures w14:val="standardContextual"/>
            </w:rPr>
          </w:pPr>
          <w:hyperlink w:anchor="_Toc235223749" w:history="1">
            <w:r w:rsidRPr="00F615B1">
              <w:rPr>
                <w:rStyle w:val="Hyperlink"/>
                <w:noProof/>
              </w:rPr>
              <w:t>a. Tool Disclosure</w:t>
            </w:r>
            <w:r>
              <w:rPr>
                <w:noProof/>
                <w:webHidden/>
              </w:rPr>
              <w:tab/>
            </w:r>
            <w:r>
              <w:rPr>
                <w:noProof/>
                <w:webHidden/>
              </w:rPr>
              <w:fldChar w:fldCharType="begin"/>
            </w:r>
            <w:r>
              <w:rPr>
                <w:noProof/>
                <w:webHidden/>
              </w:rPr>
              <w:instrText xml:space="preserve"> PAGEREF _Toc235223749 \h </w:instrText>
            </w:r>
            <w:r>
              <w:rPr>
                <w:noProof/>
                <w:webHidden/>
              </w:rPr>
            </w:r>
            <w:r>
              <w:rPr>
                <w:noProof/>
                <w:webHidden/>
              </w:rPr>
              <w:fldChar w:fldCharType="separate"/>
            </w:r>
            <w:r w:rsidR="00FE3459">
              <w:rPr>
                <w:noProof/>
                <w:webHidden/>
              </w:rPr>
              <w:t>15</w:t>
            </w:r>
            <w:r>
              <w:rPr>
                <w:noProof/>
                <w:webHidden/>
              </w:rPr>
              <w:fldChar w:fldCharType="end"/>
            </w:r>
          </w:hyperlink>
        </w:p>
        <w:p w14:paraId="081212EE" w14:textId="42B1BDE7" w:rsidR="003804DD" w:rsidRDefault="003804DD">
          <w:pPr>
            <w:pStyle w:val="TOC2"/>
            <w:tabs>
              <w:tab w:val="right" w:leader="dot" w:pos="9016"/>
            </w:tabs>
            <w:rPr>
              <w:rFonts w:eastAsiaTheme="minorEastAsia" w:cstheme="minorBidi"/>
              <w:b w:val="0"/>
              <w:bCs w:val="0"/>
              <w:noProof/>
              <w:kern w:val="2"/>
              <w:sz w:val="24"/>
              <w:szCs w:val="24"/>
              <w:lang w:val="en-IN" w:eastAsia="en-GB"/>
              <w14:ligatures w14:val="standardContextual"/>
            </w:rPr>
          </w:pPr>
          <w:hyperlink w:anchor="_Toc235223750" w:history="1">
            <w:r w:rsidRPr="00F615B1">
              <w:rPr>
                <w:rStyle w:val="Hyperlink"/>
                <w:noProof/>
              </w:rPr>
              <w:t>b. Critical Evaluation of AI Output</w:t>
            </w:r>
            <w:r>
              <w:rPr>
                <w:noProof/>
                <w:webHidden/>
              </w:rPr>
              <w:tab/>
            </w:r>
            <w:r>
              <w:rPr>
                <w:noProof/>
                <w:webHidden/>
              </w:rPr>
              <w:fldChar w:fldCharType="begin"/>
            </w:r>
            <w:r>
              <w:rPr>
                <w:noProof/>
                <w:webHidden/>
              </w:rPr>
              <w:instrText xml:space="preserve"> PAGEREF _Toc235223750 \h </w:instrText>
            </w:r>
            <w:r>
              <w:rPr>
                <w:noProof/>
                <w:webHidden/>
              </w:rPr>
            </w:r>
            <w:r>
              <w:rPr>
                <w:noProof/>
                <w:webHidden/>
              </w:rPr>
              <w:fldChar w:fldCharType="separate"/>
            </w:r>
            <w:r w:rsidR="00FE3459">
              <w:rPr>
                <w:noProof/>
                <w:webHidden/>
              </w:rPr>
              <w:t>15</w:t>
            </w:r>
            <w:r>
              <w:rPr>
                <w:noProof/>
                <w:webHidden/>
              </w:rPr>
              <w:fldChar w:fldCharType="end"/>
            </w:r>
          </w:hyperlink>
        </w:p>
        <w:p w14:paraId="386CDEF2" w14:textId="5B432F68" w:rsidR="003804DD" w:rsidRDefault="003804DD">
          <w:pPr>
            <w:pStyle w:val="TOC2"/>
            <w:tabs>
              <w:tab w:val="right" w:leader="dot" w:pos="9016"/>
            </w:tabs>
            <w:rPr>
              <w:rFonts w:eastAsiaTheme="minorEastAsia" w:cstheme="minorBidi"/>
              <w:b w:val="0"/>
              <w:bCs w:val="0"/>
              <w:noProof/>
              <w:kern w:val="2"/>
              <w:sz w:val="24"/>
              <w:szCs w:val="24"/>
              <w:lang w:val="en-IN" w:eastAsia="en-GB"/>
              <w14:ligatures w14:val="standardContextual"/>
            </w:rPr>
          </w:pPr>
          <w:hyperlink w:anchor="_Toc235223751" w:history="1">
            <w:r w:rsidRPr="00F615B1">
              <w:rPr>
                <w:rStyle w:val="Hyperlink"/>
                <w:noProof/>
              </w:rPr>
              <w:t>c. Contribution Analysis</w:t>
            </w:r>
            <w:r>
              <w:rPr>
                <w:noProof/>
                <w:webHidden/>
              </w:rPr>
              <w:tab/>
            </w:r>
            <w:r>
              <w:rPr>
                <w:noProof/>
                <w:webHidden/>
              </w:rPr>
              <w:fldChar w:fldCharType="begin"/>
            </w:r>
            <w:r>
              <w:rPr>
                <w:noProof/>
                <w:webHidden/>
              </w:rPr>
              <w:instrText xml:space="preserve"> PAGEREF _Toc235223751 \h </w:instrText>
            </w:r>
            <w:r>
              <w:rPr>
                <w:noProof/>
                <w:webHidden/>
              </w:rPr>
            </w:r>
            <w:r>
              <w:rPr>
                <w:noProof/>
                <w:webHidden/>
              </w:rPr>
              <w:fldChar w:fldCharType="separate"/>
            </w:r>
            <w:r w:rsidR="00FE3459">
              <w:rPr>
                <w:noProof/>
                <w:webHidden/>
              </w:rPr>
              <w:t>16</w:t>
            </w:r>
            <w:r>
              <w:rPr>
                <w:noProof/>
                <w:webHidden/>
              </w:rPr>
              <w:fldChar w:fldCharType="end"/>
            </w:r>
          </w:hyperlink>
        </w:p>
        <w:p w14:paraId="43B1C361" w14:textId="75E0183E" w:rsidR="003804DD" w:rsidRDefault="003804DD">
          <w:pPr>
            <w:pStyle w:val="TOC2"/>
            <w:tabs>
              <w:tab w:val="right" w:leader="dot" w:pos="9016"/>
            </w:tabs>
            <w:rPr>
              <w:rFonts w:eastAsiaTheme="minorEastAsia" w:cstheme="minorBidi"/>
              <w:b w:val="0"/>
              <w:bCs w:val="0"/>
              <w:noProof/>
              <w:kern w:val="2"/>
              <w:sz w:val="24"/>
              <w:szCs w:val="24"/>
              <w:lang w:val="en-IN" w:eastAsia="en-GB"/>
              <w14:ligatures w14:val="standardContextual"/>
            </w:rPr>
          </w:pPr>
          <w:hyperlink w:anchor="_Toc235223752" w:history="1">
            <w:r w:rsidRPr="00F615B1">
              <w:rPr>
                <w:rStyle w:val="Hyperlink"/>
                <w:noProof/>
              </w:rPr>
              <w:t>d. Ethical and Professional Reflection</w:t>
            </w:r>
            <w:r>
              <w:rPr>
                <w:noProof/>
                <w:webHidden/>
              </w:rPr>
              <w:tab/>
            </w:r>
            <w:r>
              <w:rPr>
                <w:noProof/>
                <w:webHidden/>
              </w:rPr>
              <w:fldChar w:fldCharType="begin"/>
            </w:r>
            <w:r>
              <w:rPr>
                <w:noProof/>
                <w:webHidden/>
              </w:rPr>
              <w:instrText xml:space="preserve"> PAGEREF _Toc235223752 \h </w:instrText>
            </w:r>
            <w:r>
              <w:rPr>
                <w:noProof/>
                <w:webHidden/>
              </w:rPr>
            </w:r>
            <w:r>
              <w:rPr>
                <w:noProof/>
                <w:webHidden/>
              </w:rPr>
              <w:fldChar w:fldCharType="separate"/>
            </w:r>
            <w:r w:rsidR="00FE3459">
              <w:rPr>
                <w:noProof/>
                <w:webHidden/>
              </w:rPr>
              <w:t>16</w:t>
            </w:r>
            <w:r>
              <w:rPr>
                <w:noProof/>
                <w:webHidden/>
              </w:rPr>
              <w:fldChar w:fldCharType="end"/>
            </w:r>
          </w:hyperlink>
        </w:p>
        <w:p w14:paraId="15A1356F" w14:textId="5A4B66FB" w:rsidR="003804DD" w:rsidRDefault="003804DD">
          <w:pPr>
            <w:pStyle w:val="TOC1"/>
            <w:tabs>
              <w:tab w:val="right" w:leader="dot" w:pos="9016"/>
            </w:tabs>
            <w:rPr>
              <w:rFonts w:eastAsiaTheme="minorEastAsia" w:cstheme="minorBidi"/>
              <w:b w:val="0"/>
              <w:bCs w:val="0"/>
              <w:i w:val="0"/>
              <w:iCs w:val="0"/>
              <w:noProof/>
              <w:kern w:val="2"/>
              <w:lang w:val="en-IN" w:eastAsia="en-GB"/>
              <w14:ligatures w14:val="standardContextual"/>
            </w:rPr>
          </w:pPr>
          <w:hyperlink w:anchor="_Toc235223753" w:history="1">
            <w:r w:rsidRPr="00F615B1">
              <w:rPr>
                <w:rStyle w:val="Hyperlink"/>
                <w:noProof/>
              </w:rPr>
              <w:t>References</w:t>
            </w:r>
            <w:r>
              <w:rPr>
                <w:noProof/>
                <w:webHidden/>
              </w:rPr>
              <w:tab/>
            </w:r>
            <w:r>
              <w:rPr>
                <w:noProof/>
                <w:webHidden/>
              </w:rPr>
              <w:fldChar w:fldCharType="begin"/>
            </w:r>
            <w:r>
              <w:rPr>
                <w:noProof/>
                <w:webHidden/>
              </w:rPr>
              <w:instrText xml:space="preserve"> PAGEREF _Toc235223753 \h </w:instrText>
            </w:r>
            <w:r>
              <w:rPr>
                <w:noProof/>
                <w:webHidden/>
              </w:rPr>
            </w:r>
            <w:r>
              <w:rPr>
                <w:noProof/>
                <w:webHidden/>
              </w:rPr>
              <w:fldChar w:fldCharType="separate"/>
            </w:r>
            <w:r w:rsidR="00FE3459">
              <w:rPr>
                <w:noProof/>
                <w:webHidden/>
              </w:rPr>
              <w:t>17</w:t>
            </w:r>
            <w:r>
              <w:rPr>
                <w:noProof/>
                <w:webHidden/>
              </w:rPr>
              <w:fldChar w:fldCharType="end"/>
            </w:r>
          </w:hyperlink>
        </w:p>
        <w:p w14:paraId="648BAAF4" w14:textId="77777777" w:rsidR="00336F65" w:rsidRDefault="00336F65">
          <w:r>
            <w:rPr>
              <w:b/>
              <w:bCs/>
              <w:noProof/>
            </w:rPr>
            <w:fldChar w:fldCharType="end"/>
          </w:r>
        </w:p>
      </w:sdtContent>
    </w:sdt>
    <w:p w14:paraId="5D2A455B" w14:textId="77777777" w:rsidR="00336F65" w:rsidRDefault="00336F65">
      <w:pPr>
        <w:jc w:val="left"/>
        <w:rPr>
          <w:rFonts w:eastAsia="Arial" w:cs="Arial"/>
          <w:color w:val="4472C4" w:themeColor="accent1"/>
          <w:sz w:val="40"/>
          <w:szCs w:val="40"/>
          <w:lang w:val="en-IN" w:eastAsia="en-GB"/>
        </w:rPr>
      </w:pPr>
      <w:r>
        <w:rPr>
          <w:lang w:val="en-IN"/>
        </w:rPr>
        <w:br w:type="page"/>
      </w:r>
    </w:p>
    <w:p w14:paraId="39B3916C" w14:textId="77777777" w:rsidR="00C81043" w:rsidRPr="00C81043" w:rsidRDefault="00C81043" w:rsidP="00C81043">
      <w:pPr>
        <w:pStyle w:val="Heading1"/>
        <w:rPr>
          <w:lang w:val="en-IN"/>
        </w:rPr>
      </w:pPr>
      <w:bookmarkStart w:id="0" w:name="_Toc235223741"/>
      <w:r w:rsidRPr="00C81043">
        <w:rPr>
          <w:lang w:val="en-IN"/>
        </w:rPr>
        <w:lastRenderedPageBreak/>
        <w:t>Task 1: Marketing Environment Analysis</w:t>
      </w:r>
      <w:bookmarkEnd w:id="0"/>
    </w:p>
    <w:p w14:paraId="38DE9C26" w14:textId="77777777" w:rsidR="001C0060" w:rsidRPr="00336F65" w:rsidRDefault="00021CF3" w:rsidP="00336F65">
      <w:pPr>
        <w:pStyle w:val="Heading2"/>
        <w:ind w:left="360"/>
        <w:rPr>
          <w:b w:val="0"/>
          <w:bCs w:val="0"/>
          <w:lang w:val="en-IN"/>
        </w:rPr>
      </w:pPr>
      <w:bookmarkStart w:id="1" w:name="_Toc235223742"/>
      <w:r w:rsidRPr="00336F65">
        <w:rPr>
          <w:b w:val="0"/>
          <w:bCs w:val="0"/>
        </w:rPr>
        <w:t>1</w:t>
      </w:r>
      <w:r w:rsidR="001C0060" w:rsidRPr="00336F65">
        <w:rPr>
          <w:b w:val="0"/>
          <w:bCs w:val="0"/>
        </w:rPr>
        <w:t>.1 The Natural Environment as the Primary Marketing Environment Actor</w:t>
      </w:r>
      <w:bookmarkEnd w:id="1"/>
      <w:r w:rsidR="001C0060" w:rsidRPr="00336F65">
        <w:rPr>
          <w:b w:val="0"/>
          <w:bCs w:val="0"/>
        </w:rPr>
        <w:t xml:space="preserve"> </w:t>
      </w:r>
    </w:p>
    <w:p w14:paraId="4F193552" w14:textId="77777777" w:rsidR="00746B9B" w:rsidRDefault="00336F65" w:rsidP="00AA1BC3">
      <w:pPr>
        <w:pStyle w:val="NormalWeb"/>
        <w:spacing w:line="360" w:lineRule="auto"/>
        <w:jc w:val="both"/>
        <w:rPr>
          <w:rFonts w:ascii="Arial" w:hAnsi="Arial" w:cs="Arial"/>
        </w:rPr>
      </w:pPr>
      <w:r w:rsidRPr="00AA1BC3">
        <w:rPr>
          <w:rFonts w:ascii="Arial" w:hAnsi="Arial" w:cs="Arial"/>
        </w:rPr>
        <w:t xml:space="preserve">The Natural Environment is considered as one of the most crucial marketing environment actor guiding Vale S.A’s transition towards the lower-carbon products. As a part of the world’s leading producers of nickel and iron ore, vale operates in an industry where there is a close link of environmental sustainability with business performance and competitive edge. Increasing concerns </w:t>
      </w:r>
      <w:r w:rsidR="007B3396" w:rsidRPr="00AA1BC3">
        <w:rPr>
          <w:rFonts w:ascii="Arial" w:hAnsi="Arial" w:cs="Arial"/>
        </w:rPr>
        <w:t xml:space="preserve">regarding climate change, carbon emissions, and biodiversity loss have transformed environmental responsibility from a regulatory obligation into a strategic consideration for market. </w:t>
      </w:r>
      <w:r w:rsidR="00746B9B">
        <w:rPr>
          <w:rFonts w:ascii="Arial" w:hAnsi="Arial" w:cs="Arial"/>
        </w:rPr>
        <w:t xml:space="preserve">Mining companies are constantly being evaluated by government, customer and investor based on quality of their products along with sustainable and responsible way of extracting and managing natural resources </w:t>
      </w:r>
      <w:r w:rsidR="00746B9B" w:rsidRPr="00AA1BC3">
        <w:rPr>
          <w:rFonts w:ascii="Arial" w:hAnsi="Arial" w:cs="Arial"/>
        </w:rPr>
        <w:t>(Kotler et al., 2024).</w:t>
      </w:r>
      <w:r w:rsidR="00746B9B">
        <w:rPr>
          <w:rFonts w:ascii="Arial" w:hAnsi="Arial" w:cs="Arial"/>
        </w:rPr>
        <w:t xml:space="preserve"> Therefore, there is a direct impact of environmental performance of Vale on its long-term growth, reputation and confidence of stakeholder. </w:t>
      </w:r>
    </w:p>
    <w:p w14:paraId="151F6AA0" w14:textId="77777777" w:rsidR="005A0940" w:rsidRDefault="005A0940" w:rsidP="005A0940">
      <w:pPr>
        <w:pStyle w:val="NormalWeb"/>
        <w:spacing w:line="360" w:lineRule="auto"/>
        <w:jc w:val="center"/>
        <w:rPr>
          <w:rFonts w:ascii="Arial" w:hAnsi="Arial" w:cs="Arial"/>
        </w:rPr>
      </w:pPr>
      <w:r>
        <w:fldChar w:fldCharType="begin"/>
      </w:r>
      <w:r>
        <w:instrText xml:space="preserve"> INCLUDEPICTURE "https://brandlogovector.com/wp-content/uploads/2021/10/Vale-Logo-Small.png" \* MERGEFORMATINET </w:instrText>
      </w:r>
      <w:r>
        <w:fldChar w:fldCharType="separate"/>
      </w:r>
      <w:r>
        <w:rPr>
          <w:noProof/>
        </w:rPr>
        <w:drawing>
          <wp:inline distT="0" distB="0" distL="0" distR="0" wp14:anchorId="2790A838" wp14:editId="7392425C">
            <wp:extent cx="2540513" cy="1088822"/>
            <wp:effectExtent l="0" t="0" r="0" b="0"/>
            <wp:docPr id="751755200" name="Picture 1" descr="Vale Logo PNG - Brand Logo Vec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le Logo PNG - Brand Logo Vector"/>
                    <pic:cNvPicPr>
                      <a:picLocks noChangeAspect="1" noChangeArrowheads="1"/>
                    </pic:cNvPicPr>
                  </pic:nvPicPr>
                  <pic:blipFill rotWithShape="1">
                    <a:blip r:embed="rId9">
                      <a:extLst>
                        <a:ext uri="{28A0092B-C50C-407E-A947-70E740481C1C}">
                          <a14:useLocalDpi xmlns:a14="http://schemas.microsoft.com/office/drawing/2010/main" val="0"/>
                        </a:ext>
                      </a:extLst>
                    </a:blip>
                    <a:srcRect t="24453" b="32689"/>
                    <a:stretch/>
                  </pic:blipFill>
                  <pic:spPr bwMode="auto">
                    <a:xfrm>
                      <a:off x="0" y="0"/>
                      <a:ext cx="2540635" cy="1088874"/>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714A3BD0" w14:textId="77777777" w:rsidR="001C0060" w:rsidRDefault="007B3396" w:rsidP="00AA1BC3">
      <w:pPr>
        <w:pStyle w:val="NormalWeb"/>
        <w:spacing w:line="360" w:lineRule="auto"/>
        <w:jc w:val="both"/>
        <w:rPr>
          <w:rFonts w:ascii="Arial" w:hAnsi="Arial" w:cs="Arial"/>
        </w:rPr>
      </w:pPr>
      <w:r w:rsidRPr="00AA1BC3">
        <w:rPr>
          <w:rFonts w:ascii="Arial" w:hAnsi="Arial" w:cs="Arial"/>
        </w:rPr>
        <w:t xml:space="preserve">The global shift towards a cleaner energy systems have substantially increased the demand for critical minerals which supports decarbonisation. </w:t>
      </w:r>
      <w:r w:rsidR="00746B9B">
        <w:rPr>
          <w:rFonts w:ascii="Arial" w:hAnsi="Arial" w:cs="Arial"/>
        </w:rPr>
        <w:t xml:space="preserve">Vale supplies high-grade iron ore which contributes to the production of lower-carbon steel by improving manufacturing capabilities, and reducing emissions, whereas nickel is an important raw material used producing storage technologies for renewable energy and electric vehicle batteries. </w:t>
      </w:r>
      <w:r w:rsidR="000A715B" w:rsidRPr="00AA1BC3">
        <w:rPr>
          <w:rFonts w:ascii="Arial" w:hAnsi="Arial" w:cs="Arial"/>
        </w:rPr>
        <w:t xml:space="preserve">As per </w:t>
      </w:r>
      <w:r w:rsidR="00AA1BC3" w:rsidRPr="00AA1BC3">
        <w:rPr>
          <w:rFonts w:ascii="Arial" w:hAnsi="Arial" w:cs="Arial"/>
        </w:rPr>
        <w:t xml:space="preserve">the International Energy Agency (2025), there will be an increase in the demand for these minerals as government accelerate investment in renewable energy infrastructure. This also creates a substantial growth opportunities for Vale along with increasing expectations for responsible mining practices. </w:t>
      </w:r>
      <w:r w:rsidR="000C7AE2">
        <w:rPr>
          <w:rFonts w:ascii="Arial" w:hAnsi="Arial" w:cs="Arial"/>
        </w:rPr>
        <w:t xml:space="preserve">Industrial customers in today’s time </w:t>
      </w:r>
      <w:r w:rsidR="000C7AE2" w:rsidRPr="00746B9B">
        <w:rPr>
          <w:rFonts w:ascii="Arial" w:hAnsi="Arial" w:cs="Arial"/>
        </w:rPr>
        <w:t>look for vendors</w:t>
      </w:r>
      <w:r w:rsidR="000C7AE2">
        <w:rPr>
          <w:rFonts w:ascii="Arial" w:hAnsi="Arial" w:cs="Arial"/>
        </w:rPr>
        <w:t xml:space="preserve"> who are capable of sustainable </w:t>
      </w:r>
      <w:r w:rsidR="000C7AE2">
        <w:rPr>
          <w:rFonts w:ascii="Arial" w:hAnsi="Arial" w:cs="Arial"/>
        </w:rPr>
        <w:lastRenderedPageBreak/>
        <w:t>management of resource across the supply chain, reduced environmental consequence and transparency reporting</w:t>
      </w:r>
      <w:r w:rsidR="001C0060" w:rsidRPr="00746B9B">
        <w:rPr>
          <w:rFonts w:ascii="Arial" w:hAnsi="Arial" w:cs="Arial"/>
        </w:rPr>
        <w:t xml:space="preserve"> (World Steel Association, 2025).</w:t>
      </w:r>
    </w:p>
    <w:p w14:paraId="47E58389" w14:textId="77777777" w:rsidR="005A0940" w:rsidRDefault="005A0940" w:rsidP="005A0940">
      <w:pPr>
        <w:pStyle w:val="NormalWeb"/>
        <w:keepNext/>
        <w:spacing w:line="360" w:lineRule="auto"/>
        <w:jc w:val="center"/>
      </w:pPr>
      <w:r>
        <w:fldChar w:fldCharType="begin"/>
      </w:r>
      <w:r>
        <w:instrText xml:space="preserve"> INCLUDEPICTURE "https://s.wsj.net/public/resources/images/BN-MQ975_0218va_GR_20160218070411.jpg" \* MERGEFORMATINET </w:instrText>
      </w:r>
      <w:r>
        <w:fldChar w:fldCharType="separate"/>
      </w:r>
      <w:r>
        <w:rPr>
          <w:noProof/>
        </w:rPr>
        <w:drawing>
          <wp:inline distT="0" distB="0" distL="0" distR="0" wp14:anchorId="4D08B157" wp14:editId="50B82BCF">
            <wp:extent cx="3372218" cy="2199451"/>
            <wp:effectExtent l="0" t="0" r="0" b="0"/>
            <wp:docPr id="1521834138" name="Picture 2" descr="Vale Iron-Ore Production Increases in Fourth Quarter - WS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ale Iron-Ore Production Increases in Fourth Quarter - WSJ"/>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76543" cy="2202272"/>
                    </a:xfrm>
                    <a:prstGeom prst="rect">
                      <a:avLst/>
                    </a:prstGeom>
                    <a:noFill/>
                    <a:ln>
                      <a:noFill/>
                    </a:ln>
                  </pic:spPr>
                </pic:pic>
              </a:graphicData>
            </a:graphic>
          </wp:inline>
        </w:drawing>
      </w:r>
      <w:r>
        <w:fldChar w:fldCharType="end"/>
      </w:r>
    </w:p>
    <w:p w14:paraId="4AF40B0A" w14:textId="77777777" w:rsidR="005A0940" w:rsidRDefault="005A0940" w:rsidP="005A0940">
      <w:pPr>
        <w:pStyle w:val="Caption"/>
        <w:jc w:val="center"/>
      </w:pPr>
      <w:r>
        <w:t xml:space="preserve">Figure </w:t>
      </w:r>
      <w:r>
        <w:fldChar w:fldCharType="begin"/>
      </w:r>
      <w:r>
        <w:instrText xml:space="preserve"> SEQ Figure \* ARABIC </w:instrText>
      </w:r>
      <w:r>
        <w:fldChar w:fldCharType="separate"/>
      </w:r>
      <w:r w:rsidR="00D05438">
        <w:rPr>
          <w:noProof/>
        </w:rPr>
        <w:t>1</w:t>
      </w:r>
      <w:r>
        <w:fldChar w:fldCharType="end"/>
      </w:r>
      <w:r>
        <w:t xml:space="preserve"> Vale Iron Ore Mining</w:t>
      </w:r>
    </w:p>
    <w:p w14:paraId="0F586A88" w14:textId="77777777" w:rsidR="005A0940" w:rsidRPr="005A0940" w:rsidRDefault="005A0940" w:rsidP="005A0940">
      <w:pPr>
        <w:jc w:val="center"/>
      </w:pPr>
      <w:r>
        <w:t>Source: The Wall Street Journal</w:t>
      </w:r>
    </w:p>
    <w:p w14:paraId="4DFBAC76" w14:textId="77777777" w:rsidR="00AA1BC3" w:rsidRPr="00F61E06" w:rsidRDefault="000C7AE2" w:rsidP="00F61E06">
      <w:pPr>
        <w:pStyle w:val="NormalWeb"/>
        <w:spacing w:line="360" w:lineRule="auto"/>
        <w:jc w:val="both"/>
        <w:rPr>
          <w:rFonts w:ascii="Arial" w:hAnsi="Arial" w:cs="Arial"/>
        </w:rPr>
      </w:pPr>
      <w:r w:rsidRPr="000C7AE2">
        <w:rPr>
          <w:rFonts w:ascii="Arial" w:hAnsi="Arial" w:cs="Arial"/>
        </w:rPr>
        <w:t>Vale has integrated sustainability into its company strategy to address these shifting market demands. The business has pledged to reduce Scope 1 and Scope 2 greenhouse emissions, increase the use of renewable energy, and invest in technology that can boost operational effectiveness while reducing environmental consequences. For instance, the growth of dry mineral processing lowers operational and environmental hazards by reducing water use and dependence on traditional tailings dams</w:t>
      </w:r>
      <w:r w:rsidR="00F61E06" w:rsidRPr="00F61E06">
        <w:rPr>
          <w:rFonts w:ascii="Arial" w:hAnsi="Arial" w:cs="Arial"/>
        </w:rPr>
        <w:t xml:space="preserve"> (Vale, 2025a). Porter and Kramer (2011) argued that organisations creates a shared value by aligning business objectives with their social needs. Sustainability initiatives of Vale reflects this principle by supporting decarbonisation goals of customers whilst strengthening the competitive position of the company. </w:t>
      </w:r>
    </w:p>
    <w:p w14:paraId="4B140887" w14:textId="77777777" w:rsidR="00F61E06" w:rsidRDefault="00F61E06" w:rsidP="004A0001">
      <w:pPr>
        <w:pStyle w:val="NormalWeb"/>
        <w:spacing w:line="360" w:lineRule="auto"/>
        <w:jc w:val="both"/>
        <w:rPr>
          <w:rFonts w:ascii="Arial" w:hAnsi="Arial" w:cs="Arial"/>
        </w:rPr>
      </w:pPr>
      <w:r w:rsidRPr="004A0001">
        <w:rPr>
          <w:rFonts w:ascii="Arial" w:hAnsi="Arial" w:cs="Arial"/>
        </w:rPr>
        <w:t>Regardless of these initiatives, the Natural Environment continues to represent an important strategic challenges. Mining operations unavoidably disturb the ecosystems through carbon emissions, water consumption, and land use. Additionally, Vale remains under increased environmental scrutiny following previous tailings dam failures</w:t>
      </w:r>
      <w:r w:rsidR="004A0001" w:rsidRPr="004A0001">
        <w:rPr>
          <w:rFonts w:ascii="Arial" w:hAnsi="Arial" w:cs="Arial"/>
        </w:rPr>
        <w:t xml:space="preserve">, which means that stakeholders assess its sustainability commitments against both historical experience and current performance (Vale, 2025b). Climate change also increase the operational uncertainty through changing weather conditions, stricter </w:t>
      </w:r>
      <w:r w:rsidR="004A0001" w:rsidRPr="004A0001">
        <w:rPr>
          <w:rFonts w:ascii="Arial" w:hAnsi="Arial" w:cs="Arial"/>
        </w:rPr>
        <w:lastRenderedPageBreak/>
        <w:t xml:space="preserve">regulations and increased pressure to reduce emissions all across global supply chains. </w:t>
      </w:r>
    </w:p>
    <w:p w14:paraId="5A97FED4" w14:textId="77777777" w:rsidR="005A0940" w:rsidRDefault="005A0940" w:rsidP="005A0940">
      <w:pPr>
        <w:pStyle w:val="NormalWeb"/>
        <w:keepNext/>
        <w:spacing w:line="360" w:lineRule="auto"/>
        <w:jc w:val="both"/>
      </w:pPr>
      <w:r w:rsidRPr="005A0940">
        <w:rPr>
          <w:rFonts w:ascii="Arial" w:hAnsi="Arial" w:cs="Arial"/>
          <w:noProof/>
        </w:rPr>
        <w:drawing>
          <wp:inline distT="0" distB="0" distL="0" distR="0" wp14:anchorId="71438331" wp14:editId="23C99067">
            <wp:extent cx="5731510" cy="3103245"/>
            <wp:effectExtent l="0" t="0" r="0" b="0"/>
            <wp:docPr id="5435653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565305" name=""/>
                    <pic:cNvPicPr/>
                  </pic:nvPicPr>
                  <pic:blipFill>
                    <a:blip r:embed="rId11"/>
                    <a:stretch>
                      <a:fillRect/>
                    </a:stretch>
                  </pic:blipFill>
                  <pic:spPr>
                    <a:xfrm>
                      <a:off x="0" y="0"/>
                      <a:ext cx="5731510" cy="3103245"/>
                    </a:xfrm>
                    <a:prstGeom prst="rect">
                      <a:avLst/>
                    </a:prstGeom>
                  </pic:spPr>
                </pic:pic>
              </a:graphicData>
            </a:graphic>
          </wp:inline>
        </w:drawing>
      </w:r>
    </w:p>
    <w:p w14:paraId="1417F86A" w14:textId="77777777" w:rsidR="005A0940" w:rsidRDefault="005A0940" w:rsidP="005A0940">
      <w:pPr>
        <w:pStyle w:val="Caption"/>
        <w:jc w:val="center"/>
      </w:pPr>
      <w:r>
        <w:t xml:space="preserve">Figure </w:t>
      </w:r>
      <w:r>
        <w:fldChar w:fldCharType="begin"/>
      </w:r>
      <w:r>
        <w:instrText xml:space="preserve"> SEQ Figure \* ARABIC </w:instrText>
      </w:r>
      <w:r>
        <w:fldChar w:fldCharType="separate"/>
      </w:r>
      <w:r w:rsidR="00D05438">
        <w:rPr>
          <w:noProof/>
        </w:rPr>
        <w:t>2</w:t>
      </w:r>
      <w:r>
        <w:fldChar w:fldCharType="end"/>
      </w:r>
      <w:r>
        <w:t xml:space="preserve"> Sustainability Performance of Vale</w:t>
      </w:r>
    </w:p>
    <w:p w14:paraId="76A1B579" w14:textId="77777777" w:rsidR="005A0940" w:rsidRPr="005A0940" w:rsidRDefault="006E45FE" w:rsidP="006E45FE">
      <w:pPr>
        <w:jc w:val="center"/>
      </w:pPr>
      <w:r>
        <w:t>Source: Vale’s Annual report</w:t>
      </w:r>
    </w:p>
    <w:p w14:paraId="34BBE14A" w14:textId="77777777" w:rsidR="004A0001" w:rsidRPr="004A0001" w:rsidRDefault="004A0001" w:rsidP="004A0001">
      <w:pPr>
        <w:pStyle w:val="NormalWeb"/>
        <w:spacing w:line="360" w:lineRule="auto"/>
        <w:jc w:val="both"/>
        <w:rPr>
          <w:rFonts w:ascii="Arial" w:hAnsi="Arial" w:cs="Arial"/>
        </w:rPr>
      </w:pPr>
      <w:r w:rsidRPr="004A0001">
        <w:rPr>
          <w:rFonts w:ascii="Arial" w:hAnsi="Arial" w:cs="Arial"/>
        </w:rPr>
        <w:t xml:space="preserve">Overall, the Natural Environment represents both a strategic challenges as well as an opportunity for Vale’s transition towards lower-carbon products. Strong environmental performance strengthens the confidence of stakeholders, enhance long-term competitiveness and supports customer relationships, whereas environmental failures can undermine investor trust and corporate reputation. Therefore, continuous investment in environmental innovation, sustainable resource management, and transparent governance is important for competitive edge within the evolving global mining industry. </w:t>
      </w:r>
    </w:p>
    <w:p w14:paraId="26BE90F4" w14:textId="77777777" w:rsidR="004A0001" w:rsidRDefault="004A0001">
      <w:pPr>
        <w:jc w:val="left"/>
        <w:rPr>
          <w:rFonts w:eastAsia="Arial" w:cs="Arial"/>
          <w:color w:val="4472C4" w:themeColor="accent1"/>
          <w:sz w:val="34"/>
          <w:szCs w:val="34"/>
          <w:lang w:eastAsia="en-GB"/>
        </w:rPr>
      </w:pPr>
      <w:r>
        <w:rPr>
          <w:b/>
          <w:bCs/>
        </w:rPr>
        <w:br w:type="page"/>
      </w:r>
    </w:p>
    <w:p w14:paraId="77CB9589" w14:textId="77777777" w:rsidR="00021CF3" w:rsidRPr="00021CF3" w:rsidRDefault="00021CF3" w:rsidP="00021CF3">
      <w:pPr>
        <w:pStyle w:val="Heading2"/>
        <w:ind w:left="360"/>
        <w:rPr>
          <w:b w:val="0"/>
          <w:bCs w:val="0"/>
          <w:lang w:val="en-IN"/>
        </w:rPr>
      </w:pPr>
      <w:bookmarkStart w:id="2" w:name="_Toc235223743"/>
      <w:r w:rsidRPr="00021CF3">
        <w:rPr>
          <w:b w:val="0"/>
          <w:bCs w:val="0"/>
        </w:rPr>
        <w:lastRenderedPageBreak/>
        <w:t>1.2 Publics as the Secondary Marketing Environment Actor</w:t>
      </w:r>
      <w:bookmarkEnd w:id="2"/>
    </w:p>
    <w:p w14:paraId="5834B21D" w14:textId="77777777" w:rsidR="004A0001" w:rsidRDefault="004A0001" w:rsidP="00F853E3">
      <w:pPr>
        <w:pStyle w:val="NormalWeb"/>
        <w:spacing w:line="360" w:lineRule="auto"/>
        <w:jc w:val="both"/>
      </w:pPr>
      <w:r>
        <w:t xml:space="preserve">Alongside the Natural Environment, another important marketing environment actor impacting Vale’s transition towards lower-carbon products in Publics. Kotler et al., (2024) define publics as stakeholder groups which have a potential or actual interest in an organisation’s activities, including environmental organisations, </w:t>
      </w:r>
      <w:r w:rsidR="00F853E3">
        <w:t xml:space="preserve">governments, local communities, investors, financial institutions and the media. </w:t>
      </w:r>
    </w:p>
    <w:p w14:paraId="78A1DA6C" w14:textId="77777777" w:rsidR="000C7AE2" w:rsidRPr="002C7A83" w:rsidRDefault="000C7AE2" w:rsidP="002C7A83">
      <w:pPr>
        <w:pStyle w:val="NormalWeb"/>
        <w:spacing w:line="360" w:lineRule="auto"/>
        <w:jc w:val="both"/>
        <w:rPr>
          <w:rFonts w:ascii="Arial" w:hAnsi="Arial" w:cs="Arial"/>
        </w:rPr>
      </w:pPr>
      <w:r w:rsidRPr="002C7A83">
        <w:rPr>
          <w:rFonts w:ascii="Arial" w:hAnsi="Arial" w:cs="Arial"/>
        </w:rPr>
        <w:t xml:space="preserve">Along with the Natural Environment, another significant marketing environment actor impacting Vale’s shift towards lower-carbon products is Publics. As defined by </w:t>
      </w:r>
      <w:r w:rsidR="00021CF3" w:rsidRPr="002C7A83">
        <w:rPr>
          <w:rFonts w:ascii="Arial" w:hAnsi="Arial" w:cs="Arial"/>
        </w:rPr>
        <w:t>Kotler et al. (2024)</w:t>
      </w:r>
      <w:r w:rsidRPr="002C7A83">
        <w:rPr>
          <w:rFonts w:ascii="Arial" w:hAnsi="Arial" w:cs="Arial"/>
        </w:rPr>
        <w:t xml:space="preserve">, Publics comprises of </w:t>
      </w:r>
      <w:r w:rsidR="002C7A83" w:rsidRPr="002C7A83">
        <w:rPr>
          <w:rFonts w:ascii="Arial" w:hAnsi="Arial" w:cs="Arial"/>
        </w:rPr>
        <w:t xml:space="preserve">investors, local communities, governments, environmental organisations, media and financial institutions. These organisations have a substantial impact on the mining sector as mining activities have social, environmental and economic effects in addition to the business transactions. As a result, sustaining trust among stakeholders is now important to protect a company’s brand, fostering long-term business growth and introducing capital. </w:t>
      </w:r>
    </w:p>
    <w:p w14:paraId="744563E8" w14:textId="77777777" w:rsidR="00F853E3" w:rsidRPr="00554A0C" w:rsidRDefault="00F853E3" w:rsidP="00554A0C">
      <w:pPr>
        <w:pStyle w:val="NormalWeb"/>
        <w:spacing w:line="360" w:lineRule="auto"/>
        <w:jc w:val="both"/>
        <w:rPr>
          <w:rFonts w:ascii="Arial" w:hAnsi="Arial" w:cs="Arial"/>
        </w:rPr>
      </w:pPr>
      <w:r w:rsidRPr="00554A0C">
        <w:rPr>
          <w:rFonts w:ascii="Arial" w:hAnsi="Arial" w:cs="Arial"/>
        </w:rPr>
        <w:t>Freeman’s (1984) Stakeholder Theory argues that organisations creates the value in long-term by balancing the interests of different stakeholder groups instead of focusing only on shareholders. This perspective is especially relevant to Vale as its operations directly impact ecosystems, communities, and natural economies. Decisions related to environmental protection, resource management, and mine safety therefore shape public perceptions and impacts organisational legitimacy. Strong stakeholder relationships are no longer considered only as a co</w:t>
      </w:r>
      <w:r w:rsidR="00554A0C" w:rsidRPr="00554A0C">
        <w:rPr>
          <w:rFonts w:ascii="Arial" w:hAnsi="Arial" w:cs="Arial"/>
        </w:rPr>
        <w:t xml:space="preserve">rporate social responsibility initiatives but also as a strategic assets which can contribute to competitive edge and long-term resilience. </w:t>
      </w:r>
    </w:p>
    <w:p w14:paraId="2516B318" w14:textId="77777777" w:rsidR="00554A0C" w:rsidRPr="000A37A6" w:rsidRDefault="00554A0C" w:rsidP="000A37A6">
      <w:pPr>
        <w:pStyle w:val="NormalWeb"/>
        <w:spacing w:line="360" w:lineRule="auto"/>
        <w:jc w:val="both"/>
        <w:rPr>
          <w:rFonts w:ascii="Arial" w:hAnsi="Arial" w:cs="Arial"/>
        </w:rPr>
      </w:pPr>
      <w:r w:rsidRPr="000A37A6">
        <w:rPr>
          <w:rFonts w:ascii="Arial" w:hAnsi="Arial" w:cs="Arial"/>
        </w:rPr>
        <w:t xml:space="preserve">Vale’s relationship with its publics have become increasingly important following previous environmental incidents that attracted extensive regulatory scrutiny and international media attention. These events represented that stakeholder perception can directly impact confidence of investors, commercial partnerships, and regulatory approvals. Subsequently, </w:t>
      </w:r>
      <w:r w:rsidR="000A37A6" w:rsidRPr="000A37A6">
        <w:rPr>
          <w:rFonts w:ascii="Arial" w:hAnsi="Arial" w:cs="Arial"/>
        </w:rPr>
        <w:t xml:space="preserve">reinforcing trust has become a strategic priority embedded into the company’s sustainability agenda instead of a short-term public relations exercise (Vale, 2025b). Investors increasingly evaluate mining companies using </w:t>
      </w:r>
      <w:r w:rsidR="000A37A6" w:rsidRPr="000A37A6">
        <w:rPr>
          <w:rFonts w:ascii="Arial" w:hAnsi="Arial" w:cs="Arial"/>
        </w:rPr>
        <w:lastRenderedPageBreak/>
        <w:t>Environmental, Social and Governance criteria, making accountability and transparency crucial determinants of investment decisions (Carroll and Brown, 2018).</w:t>
      </w:r>
    </w:p>
    <w:p w14:paraId="72E16446" w14:textId="77777777" w:rsidR="002041FE" w:rsidRDefault="002041FE" w:rsidP="00BF292C">
      <w:pPr>
        <w:pStyle w:val="NormalWeb"/>
        <w:spacing w:line="360" w:lineRule="auto"/>
        <w:jc w:val="both"/>
        <w:rPr>
          <w:rFonts w:ascii="Arial" w:hAnsi="Arial" w:cs="Arial"/>
        </w:rPr>
      </w:pPr>
      <w:r>
        <w:rPr>
          <w:rFonts w:ascii="Arial" w:hAnsi="Arial" w:cs="Arial"/>
        </w:rPr>
        <w:t xml:space="preserve">In order to strengthen </w:t>
      </w:r>
      <w:r w:rsidR="008C604B">
        <w:rPr>
          <w:rFonts w:ascii="Arial" w:hAnsi="Arial" w:cs="Arial"/>
        </w:rPr>
        <w:t xml:space="preserve">the stakeholder confidence, Vale has </w:t>
      </w:r>
      <w:r w:rsidR="00554E3D">
        <w:rPr>
          <w:rFonts w:ascii="Arial" w:hAnsi="Arial" w:cs="Arial"/>
        </w:rPr>
        <w:t xml:space="preserve">expanded their sustainability reporting, initiative for environmental restoration and community engagement. The company regularly publishes climate and sustainability reports drawing upon the progress on dam safety improvements, biodiversity conversation, renewable energy adoption and emission reduction </w:t>
      </w:r>
      <w:r w:rsidR="00554E3D" w:rsidRPr="00BF292C">
        <w:rPr>
          <w:rFonts w:ascii="Arial" w:hAnsi="Arial" w:cs="Arial"/>
        </w:rPr>
        <w:t>(Vale, 2025a).</w:t>
      </w:r>
      <w:r w:rsidR="00554E3D">
        <w:rPr>
          <w:rFonts w:ascii="Arial" w:hAnsi="Arial" w:cs="Arial"/>
        </w:rPr>
        <w:t xml:space="preserve"> Transparent reporting helps investors, governments, and customers to evaluate their organisational performance using measurable evidence instead of making any promotional claims. Vale has also improved their collaboration with local communities </w:t>
      </w:r>
      <w:r w:rsidR="006E0BBD">
        <w:rPr>
          <w:rFonts w:ascii="Arial" w:hAnsi="Arial" w:cs="Arial"/>
        </w:rPr>
        <w:t xml:space="preserve">by offering employment opportunities, investment in infrastructure, and ongoing dialogues, helping in maintaining its social licence to operate whereas decreasing potential conflicts the surrounding mining projects. </w:t>
      </w:r>
    </w:p>
    <w:p w14:paraId="4BD0D959" w14:textId="77777777" w:rsidR="00984146" w:rsidRDefault="00984146" w:rsidP="00BF292C">
      <w:pPr>
        <w:pStyle w:val="NormalWeb"/>
        <w:spacing w:line="360" w:lineRule="auto"/>
        <w:jc w:val="both"/>
        <w:rPr>
          <w:rFonts w:ascii="Arial" w:hAnsi="Arial" w:cs="Arial"/>
        </w:rPr>
      </w:pPr>
      <w:r w:rsidRPr="00BF292C">
        <w:rPr>
          <w:rFonts w:ascii="Arial" w:hAnsi="Arial" w:cs="Arial"/>
        </w:rPr>
        <w:t xml:space="preserve">Nonetheless, balancing the expectations of stakeholder remains challenging because different publics often have competing priorities. Government focuses on regulatory compliance, investors focuses on risk management and financial returns, whereas community prioritise employment, safety, and environmental protection. </w:t>
      </w:r>
      <w:r w:rsidR="00BF292C" w:rsidRPr="00BF292C">
        <w:rPr>
          <w:rFonts w:ascii="Arial" w:hAnsi="Arial" w:cs="Arial"/>
        </w:rPr>
        <w:t xml:space="preserve">Any further environment failure can quickly damage the confidence of stakeholder regardless of recent improvements. Therefore, value should continue strengthening governance, transparency, and stakeholder engagement to maintain credibility, reinforce market confidence and support its shift towards a lower-carbon and sustainable mining business. </w:t>
      </w:r>
    </w:p>
    <w:p w14:paraId="262F185B" w14:textId="77777777" w:rsidR="00D05438" w:rsidRDefault="00D05438" w:rsidP="00D05438">
      <w:pPr>
        <w:pStyle w:val="NormalWeb"/>
        <w:keepNext/>
        <w:spacing w:line="360" w:lineRule="auto"/>
        <w:jc w:val="both"/>
      </w:pPr>
      <w:r>
        <w:rPr>
          <w:rFonts w:ascii="Arial" w:hAnsi="Arial" w:cs="Arial"/>
          <w:noProof/>
        </w:rPr>
        <w:lastRenderedPageBreak/>
        <w:drawing>
          <wp:inline distT="0" distB="0" distL="0" distR="0" wp14:anchorId="4369380C" wp14:editId="36980624">
            <wp:extent cx="5731510" cy="5172293"/>
            <wp:effectExtent l="0" t="0" r="0" b="0"/>
            <wp:docPr id="109648144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481448" name="Picture 1096481448"/>
                    <pic:cNvPicPr/>
                  </pic:nvPicPr>
                  <pic:blipFill rotWithShape="1">
                    <a:blip r:embed="rId12">
                      <a:extLst>
                        <a:ext uri="{28A0092B-C50C-407E-A947-70E740481C1C}">
                          <a14:useLocalDpi xmlns:a14="http://schemas.microsoft.com/office/drawing/2010/main" val="0"/>
                        </a:ext>
                      </a:extLst>
                    </a:blip>
                    <a:srcRect b="9757"/>
                    <a:stretch/>
                  </pic:blipFill>
                  <pic:spPr bwMode="auto">
                    <a:xfrm>
                      <a:off x="0" y="0"/>
                      <a:ext cx="5731510" cy="5172293"/>
                    </a:xfrm>
                    <a:prstGeom prst="rect">
                      <a:avLst/>
                    </a:prstGeom>
                    <a:ln>
                      <a:noFill/>
                    </a:ln>
                    <a:extLst>
                      <a:ext uri="{53640926-AAD7-44D8-BBD7-CCE9431645EC}">
                        <a14:shadowObscured xmlns:a14="http://schemas.microsoft.com/office/drawing/2010/main"/>
                      </a:ext>
                    </a:extLst>
                  </pic:spPr>
                </pic:pic>
              </a:graphicData>
            </a:graphic>
          </wp:inline>
        </w:drawing>
      </w:r>
    </w:p>
    <w:p w14:paraId="77C6198C" w14:textId="77777777" w:rsidR="006E45FE" w:rsidRDefault="00D05438" w:rsidP="00D05438">
      <w:pPr>
        <w:pStyle w:val="Caption"/>
        <w:jc w:val="center"/>
      </w:pPr>
      <w:r>
        <w:t xml:space="preserve">Figure </w:t>
      </w:r>
      <w:r>
        <w:fldChar w:fldCharType="begin"/>
      </w:r>
      <w:r>
        <w:instrText xml:space="preserve"> SEQ Figure \* ARABIC </w:instrText>
      </w:r>
      <w:r>
        <w:fldChar w:fldCharType="separate"/>
      </w:r>
      <w:r>
        <w:rPr>
          <w:noProof/>
        </w:rPr>
        <w:t>3</w:t>
      </w:r>
      <w:r>
        <w:fldChar w:fldCharType="end"/>
      </w:r>
      <w:r>
        <w:t xml:space="preserve"> Stakeholder Mapping</w:t>
      </w:r>
    </w:p>
    <w:p w14:paraId="05CEFC6F" w14:textId="77777777" w:rsidR="00D05438" w:rsidRPr="00D05438" w:rsidRDefault="00D05438" w:rsidP="00D05438">
      <w:pPr>
        <w:jc w:val="center"/>
      </w:pPr>
      <w:r>
        <w:t>Source: Self</w:t>
      </w:r>
    </w:p>
    <w:p w14:paraId="70B6E971" w14:textId="77777777" w:rsidR="000A37A6" w:rsidRDefault="000A37A6">
      <w:pPr>
        <w:jc w:val="left"/>
        <w:rPr>
          <w:rStyle w:val="Strong"/>
          <w:rFonts w:eastAsia="Arial" w:cs="Arial"/>
          <w:b w:val="0"/>
          <w:color w:val="4472C4" w:themeColor="accent1"/>
          <w:sz w:val="40"/>
          <w:szCs w:val="40"/>
          <w:lang w:eastAsia="en-GB"/>
        </w:rPr>
      </w:pPr>
      <w:r>
        <w:rPr>
          <w:rStyle w:val="Strong"/>
          <w:b w:val="0"/>
        </w:rPr>
        <w:br w:type="page"/>
      </w:r>
    </w:p>
    <w:p w14:paraId="342679F4" w14:textId="77777777" w:rsidR="00336F65" w:rsidRDefault="00336F65" w:rsidP="00336F65">
      <w:pPr>
        <w:pStyle w:val="Heading1"/>
        <w:jc w:val="both"/>
        <w:rPr>
          <w:rStyle w:val="Strong"/>
          <w:b w:val="0"/>
          <w:bCs w:val="0"/>
        </w:rPr>
      </w:pPr>
      <w:bookmarkStart w:id="3" w:name="_Toc235223744"/>
      <w:r w:rsidRPr="00336F65">
        <w:rPr>
          <w:rStyle w:val="Strong"/>
          <w:b w:val="0"/>
        </w:rPr>
        <w:lastRenderedPageBreak/>
        <w:t>Task 2: Strategic Growth and Competitive Positioning</w:t>
      </w:r>
      <w:bookmarkEnd w:id="3"/>
    </w:p>
    <w:p w14:paraId="432160AE" w14:textId="77777777" w:rsidR="00021CF3" w:rsidRPr="00336F65" w:rsidRDefault="00336F65" w:rsidP="00336F65">
      <w:pPr>
        <w:pStyle w:val="Heading2"/>
        <w:ind w:left="360"/>
        <w:rPr>
          <w:lang w:val="en-IN"/>
        </w:rPr>
      </w:pPr>
      <w:bookmarkStart w:id="4" w:name="_Toc235223745"/>
      <w:r w:rsidRPr="00336F65">
        <w:rPr>
          <w:rStyle w:val="Strong"/>
        </w:rPr>
        <w:t>2</w:t>
      </w:r>
      <w:r w:rsidR="00021CF3" w:rsidRPr="00336F65">
        <w:rPr>
          <w:rStyle w:val="Strong"/>
        </w:rPr>
        <w:t>.1 Evaluating Growth Opportunities Using the Ansoff Matrix</w:t>
      </w:r>
      <w:bookmarkEnd w:id="4"/>
      <w:r w:rsidR="00021CF3" w:rsidRPr="00336F65">
        <w:rPr>
          <w:rStyle w:val="Strong"/>
        </w:rPr>
        <w:t xml:space="preserve"> </w:t>
      </w:r>
    </w:p>
    <w:p w14:paraId="7286C149" w14:textId="77777777" w:rsidR="00BF292C" w:rsidRPr="00DE66A1" w:rsidRDefault="00BF292C" w:rsidP="00DE66A1">
      <w:pPr>
        <w:pStyle w:val="NormalWeb"/>
        <w:spacing w:line="360" w:lineRule="auto"/>
        <w:jc w:val="both"/>
        <w:rPr>
          <w:rFonts w:ascii="Arial" w:hAnsi="Arial" w:cs="Arial"/>
        </w:rPr>
      </w:pPr>
      <w:r w:rsidRPr="00DE66A1">
        <w:rPr>
          <w:rFonts w:ascii="Arial" w:hAnsi="Arial" w:cs="Arial"/>
        </w:rPr>
        <w:t xml:space="preserve">The marketing environment analysis points out that future growth of Vale depends of responding effectively to the increasing global demand for responsibly and sustainably sourced minerals used in lower-carbon technologies. As governments strengthen industries accelerate </w:t>
      </w:r>
      <w:r w:rsidR="00A577B6" w:rsidRPr="00DE66A1">
        <w:rPr>
          <w:rFonts w:ascii="Arial" w:hAnsi="Arial" w:cs="Arial"/>
        </w:rPr>
        <w:t>decarbonisation</w:t>
      </w:r>
      <w:r w:rsidRPr="00DE66A1">
        <w:rPr>
          <w:rFonts w:ascii="Arial" w:hAnsi="Arial" w:cs="Arial"/>
        </w:rPr>
        <w:t xml:space="preserve"> and </w:t>
      </w:r>
      <w:r w:rsidR="00A577B6" w:rsidRPr="00DE66A1">
        <w:rPr>
          <w:rFonts w:ascii="Arial" w:hAnsi="Arial" w:cs="Arial"/>
        </w:rPr>
        <w:t xml:space="preserve">climate policies, mining companies are expected to supply the required raw materials whereas demonstrating strong environmental performance. To identify the most suitable strategic direction, the Ansoff Matrix provides a useful framework for assessing growth opportunities based on markets and products (Ansoff, 1957). Among its four strategic options, market development offers the most appropriate fit for Vale as it enables the company to broader the reach of its existing products into growing markets without going beyond their core mining capabilities. </w:t>
      </w:r>
    </w:p>
    <w:p w14:paraId="36B1F1B3" w14:textId="77777777" w:rsidR="006E0BBD" w:rsidRDefault="00A577B6" w:rsidP="00DE66A1">
      <w:pPr>
        <w:pStyle w:val="NormalWeb"/>
        <w:spacing w:line="360" w:lineRule="auto"/>
        <w:jc w:val="both"/>
        <w:rPr>
          <w:rFonts w:ascii="Arial" w:hAnsi="Arial" w:cs="Arial"/>
        </w:rPr>
      </w:pPr>
      <w:r w:rsidRPr="00DE66A1">
        <w:rPr>
          <w:rFonts w:ascii="Arial" w:hAnsi="Arial" w:cs="Arial"/>
        </w:rPr>
        <w:t xml:space="preserve">Market development emphasises on introducing existing products into new customer or geographical markets (Ansoff, 1957). This strategy is especially suitable for Vale as demand for high-grade iron core and nickel is increasing swiftly in economies investing heavily in electric vehicles, lower-carbon infrastructure and renewable energy. Countries like India, different Middle Eastern nations and Indonesia are expanding steel production whereas simultaneously adopting cleaner industrial technologies. </w:t>
      </w:r>
      <w:r w:rsidR="006E0BBD">
        <w:rPr>
          <w:rFonts w:ascii="Arial" w:hAnsi="Arial" w:cs="Arial"/>
        </w:rPr>
        <w:t xml:space="preserve">By making its presence stronger within these high-growth markets, Vale can boost their sales of its existing mineral products whereas supporting decarbonisation objectives globally </w:t>
      </w:r>
      <w:r w:rsidR="006E0BBD" w:rsidRPr="00DE66A1">
        <w:rPr>
          <w:rFonts w:ascii="Arial" w:hAnsi="Arial" w:cs="Arial"/>
        </w:rPr>
        <w:t>(International Energy Agency, 2025).</w:t>
      </w:r>
    </w:p>
    <w:p w14:paraId="63923452" w14:textId="77777777" w:rsidR="00C04320" w:rsidRPr="00DE66A1" w:rsidRDefault="006E0BBD" w:rsidP="00DE66A1">
      <w:pPr>
        <w:pStyle w:val="NormalWeb"/>
        <w:spacing w:line="360" w:lineRule="auto"/>
        <w:jc w:val="both"/>
        <w:rPr>
          <w:rFonts w:ascii="Arial" w:hAnsi="Arial" w:cs="Arial"/>
        </w:rPr>
      </w:pPr>
      <w:r>
        <w:rPr>
          <w:rFonts w:ascii="Arial" w:hAnsi="Arial" w:cs="Arial"/>
        </w:rPr>
        <w:t xml:space="preserve">In comparison, alternative growth strategies are less appropriate. Market penetration focuses on increasing sales within existing markets, however, Vale also possess a well-known presence, limiting their opportunities for important organic growth with their customers alone. </w:t>
      </w:r>
      <w:r w:rsidR="00C04320" w:rsidRPr="00DE66A1">
        <w:rPr>
          <w:rFonts w:ascii="Arial" w:hAnsi="Arial" w:cs="Arial"/>
        </w:rPr>
        <w:t xml:space="preserve">Product development, which also involves introducing new products into existing markets, can support future innovation but will need considerable investment in research, commercialisation and technology before generating </w:t>
      </w:r>
      <w:r w:rsidR="00C04320" w:rsidRPr="00DE66A1">
        <w:rPr>
          <w:rFonts w:ascii="Arial" w:hAnsi="Arial" w:cs="Arial"/>
        </w:rPr>
        <w:lastRenderedPageBreak/>
        <w:t>significant returns. Diversification indicates the highest level of strategic risk because expanding into new industry will demand new capabilities whereas diverting resources from Vale’s established expertise in mineral and mining processing. Subsequently, Market Development offers the most balanced approach by integrating lower risk with re</w:t>
      </w:r>
      <w:r w:rsidR="00DE66A1" w:rsidRPr="00DE66A1">
        <w:rPr>
          <w:rFonts w:ascii="Arial" w:hAnsi="Arial" w:cs="Arial"/>
        </w:rPr>
        <w:t xml:space="preserve">alistic growth opportunities. </w:t>
      </w:r>
    </w:p>
    <w:p w14:paraId="7AEE14E3" w14:textId="77777777" w:rsidR="00DE66A1" w:rsidRPr="00DE66A1" w:rsidRDefault="00DE66A1" w:rsidP="00DE66A1">
      <w:pPr>
        <w:pStyle w:val="NormalWeb"/>
        <w:spacing w:line="360" w:lineRule="auto"/>
        <w:jc w:val="both"/>
        <w:rPr>
          <w:rFonts w:ascii="Arial" w:hAnsi="Arial" w:cs="Arial"/>
        </w:rPr>
      </w:pPr>
      <w:r w:rsidRPr="00DE66A1">
        <w:rPr>
          <w:rFonts w:ascii="Arial" w:hAnsi="Arial" w:cs="Arial"/>
        </w:rPr>
        <w:t xml:space="preserve">Market development also relates closely with Vale’s sustainability objectives. Customers increasingly </w:t>
      </w:r>
      <w:r w:rsidR="006E0BBD">
        <w:rPr>
          <w:rFonts w:ascii="Arial" w:hAnsi="Arial" w:cs="Arial"/>
        </w:rPr>
        <w:t xml:space="preserve">look to collaborate with suppliers </w:t>
      </w:r>
      <w:r w:rsidR="00934BED">
        <w:rPr>
          <w:rFonts w:ascii="Arial" w:hAnsi="Arial" w:cs="Arial"/>
        </w:rPr>
        <w:t xml:space="preserve">who is able to provide sustainably resourced minerals which is supported by transparent environmental reporting and lower operational emissions </w:t>
      </w:r>
      <w:r w:rsidRPr="00DE66A1">
        <w:rPr>
          <w:rFonts w:ascii="Arial" w:hAnsi="Arial" w:cs="Arial"/>
        </w:rPr>
        <w:t xml:space="preserve">(Kotler et al., 2024). Vale’s investments in dry mineral processing, renewable energy, and emissions reduction strengthen its ability to meet these expectations whereas differentiating itself in emerging markets (Vale, 2025a). Additionally, expanding partnerships with battery producers, steel manufacturers, and renewable energy companies enables Vale to position itself as a strategic contributor to the global energy shift instead of simply a commodity supplier. </w:t>
      </w:r>
    </w:p>
    <w:p w14:paraId="1AA44646" w14:textId="77777777" w:rsidR="00934BED" w:rsidRDefault="00D05438" w:rsidP="00DE66A1">
      <w:pPr>
        <w:pStyle w:val="NormalWeb"/>
        <w:spacing w:line="360" w:lineRule="auto"/>
        <w:jc w:val="both"/>
        <w:rPr>
          <w:rFonts w:ascii="Arial" w:hAnsi="Arial" w:cs="Arial"/>
        </w:rPr>
      </w:pPr>
      <w:r>
        <w:rPr>
          <w:b/>
          <w:bCs/>
          <w:noProof/>
        </w:rPr>
        <w:drawing>
          <wp:anchor distT="0" distB="0" distL="114300" distR="114300" simplePos="0" relativeHeight="251658240" behindDoc="0" locked="0" layoutInCell="1" allowOverlap="1" wp14:anchorId="01306E7F" wp14:editId="3A0BA254">
            <wp:simplePos x="0" y="0"/>
            <wp:positionH relativeFrom="column">
              <wp:posOffset>1304925</wp:posOffset>
            </wp:positionH>
            <wp:positionV relativeFrom="paragraph">
              <wp:posOffset>1581901</wp:posOffset>
            </wp:positionV>
            <wp:extent cx="3141301" cy="3141301"/>
            <wp:effectExtent l="0" t="0" r="0" b="0"/>
            <wp:wrapNone/>
            <wp:docPr id="203891302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8913021" name="Picture 203891302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141301" cy="3141301"/>
                    </a:xfrm>
                    <a:prstGeom prst="rect">
                      <a:avLst/>
                    </a:prstGeom>
                  </pic:spPr>
                </pic:pic>
              </a:graphicData>
            </a:graphic>
            <wp14:sizeRelH relativeFrom="page">
              <wp14:pctWidth>0</wp14:pctWidth>
            </wp14:sizeRelH>
            <wp14:sizeRelV relativeFrom="page">
              <wp14:pctHeight>0</wp14:pctHeight>
            </wp14:sizeRelV>
          </wp:anchor>
        </w:drawing>
      </w:r>
      <w:r w:rsidR="00DE66A1" w:rsidRPr="00DE66A1">
        <w:rPr>
          <w:rFonts w:ascii="Arial" w:hAnsi="Arial" w:cs="Arial"/>
        </w:rPr>
        <w:t xml:space="preserve">Overall, market development helps with providing Vale with the strongest opportunity to achieve the growth in a sustainable manner by leveraging its existing product portfolio within expanding low-carbon industries. </w:t>
      </w:r>
      <w:r w:rsidR="00934BED">
        <w:rPr>
          <w:rFonts w:ascii="Arial" w:hAnsi="Arial" w:cs="Arial"/>
        </w:rPr>
        <w:t xml:space="preserve">By entering in a rapidly developing markets along with maintaining its commitment towards environment, the company can strengthen its competitive edge, support long-term value creation, and diversify revenue sources in an increasingly sustainability-focused global economy. </w:t>
      </w:r>
    </w:p>
    <w:p w14:paraId="2B289E02" w14:textId="77777777" w:rsidR="00BF292C" w:rsidRDefault="00D05438" w:rsidP="00D05438">
      <w:pPr>
        <w:jc w:val="center"/>
        <w:rPr>
          <w:rStyle w:val="Strong"/>
          <w:rFonts w:eastAsia="Arial" w:cs="Arial"/>
          <w:b w:val="0"/>
          <w:bCs w:val="0"/>
          <w:color w:val="4472C4" w:themeColor="accent1"/>
          <w:sz w:val="34"/>
          <w:szCs w:val="34"/>
          <w:lang w:eastAsia="en-GB"/>
        </w:rPr>
      </w:pPr>
      <w:r>
        <w:rPr>
          <w:noProof/>
        </w:rPr>
        <mc:AlternateContent>
          <mc:Choice Requires="wps">
            <w:drawing>
              <wp:anchor distT="0" distB="0" distL="114300" distR="114300" simplePos="0" relativeHeight="251660288" behindDoc="0" locked="0" layoutInCell="1" allowOverlap="1" wp14:anchorId="496D13DB" wp14:editId="789FA666">
                <wp:simplePos x="0" y="0"/>
                <wp:positionH relativeFrom="column">
                  <wp:posOffset>1304925</wp:posOffset>
                </wp:positionH>
                <wp:positionV relativeFrom="paragraph">
                  <wp:posOffset>2927534</wp:posOffset>
                </wp:positionV>
                <wp:extent cx="3140710" cy="635"/>
                <wp:effectExtent l="0" t="0" r="0" b="12065"/>
                <wp:wrapNone/>
                <wp:docPr id="1256899813" name="Text Box 1"/>
                <wp:cNvGraphicFramePr/>
                <a:graphic xmlns:a="http://schemas.openxmlformats.org/drawingml/2006/main">
                  <a:graphicData uri="http://schemas.microsoft.com/office/word/2010/wordprocessingShape">
                    <wps:wsp>
                      <wps:cNvSpPr txBox="1"/>
                      <wps:spPr>
                        <a:xfrm>
                          <a:off x="0" y="0"/>
                          <a:ext cx="3140710" cy="635"/>
                        </a:xfrm>
                        <a:prstGeom prst="rect">
                          <a:avLst/>
                        </a:prstGeom>
                        <a:solidFill>
                          <a:prstClr val="white"/>
                        </a:solidFill>
                        <a:ln>
                          <a:noFill/>
                        </a:ln>
                      </wps:spPr>
                      <wps:txbx>
                        <w:txbxContent>
                          <w:p w14:paraId="39C24E1D" w14:textId="77777777" w:rsidR="00D05438" w:rsidRDefault="00D05438" w:rsidP="00D05438">
                            <w:pPr>
                              <w:pStyle w:val="Caption"/>
                              <w:jc w:val="center"/>
                            </w:pPr>
                            <w:r>
                              <w:t xml:space="preserve">Figure </w:t>
                            </w:r>
                            <w:r>
                              <w:fldChar w:fldCharType="begin"/>
                            </w:r>
                            <w:r>
                              <w:instrText xml:space="preserve"> SEQ Figure \* ARABIC </w:instrText>
                            </w:r>
                            <w:r>
                              <w:fldChar w:fldCharType="separate"/>
                            </w:r>
                            <w:r>
                              <w:rPr>
                                <w:noProof/>
                              </w:rPr>
                              <w:t>4</w:t>
                            </w:r>
                            <w:r>
                              <w:fldChar w:fldCharType="end"/>
                            </w:r>
                            <w:r>
                              <w:t xml:space="preserve"> Ansoff Matrix</w:t>
                            </w:r>
                          </w:p>
                          <w:p w14:paraId="6E3B8A78" w14:textId="77777777" w:rsidR="00D05438" w:rsidRPr="00D05438" w:rsidRDefault="00D05438" w:rsidP="00D05438">
                            <w:pPr>
                              <w:jc w:val="center"/>
                            </w:pPr>
                            <w:r>
                              <w:t>Source: Self</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96D13DB" id="_x0000_t202" coordsize="21600,21600" o:spt="202" path="m,l,21600r21600,l21600,xe">
                <v:stroke joinstyle="miter"/>
                <v:path gradientshapeok="t" o:connecttype="rect"/>
              </v:shapetype>
              <v:shape id="Text Box 1" o:spid="_x0000_s1026" type="#_x0000_t202" style="position:absolute;left:0;text-align:left;margin-left:102.75pt;margin-top:230.5pt;width:247.3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" stroked="f">
                <v:textbox style="mso-fit-shape-to-text:t" inset="0,0,0,0">
                  <w:txbxContent>
                    <w:p w14:paraId="39C24E1D" w14:textId="77777777" w:rsidR="00D05438" w:rsidRDefault="00D05438" w:rsidP="00D05438">
                      <w:pPr>
                        <w:pStyle w:val="Caption"/>
                        <w:jc w:val="center"/>
                      </w:pPr>
                      <w:r>
                        <w:t xml:space="preserve">Figure </w:t>
                      </w:r>
                      <w:r>
                        <w:fldChar w:fldCharType="begin"/>
                      </w:r>
                      <w:r>
                        <w:instrText xml:space="preserve"> SEQ Figure \* ARABIC </w:instrText>
                      </w:r>
                      <w:r>
                        <w:fldChar w:fldCharType="separate"/>
                      </w:r>
                      <w:r>
                        <w:rPr>
                          <w:noProof/>
                        </w:rPr>
                        <w:t>4</w:t>
                      </w:r>
                      <w:r>
                        <w:fldChar w:fldCharType="end"/>
                      </w:r>
                      <w:r>
                        <w:t xml:space="preserve"> Ansoff Matrix</w:t>
                      </w:r>
                    </w:p>
                    <w:p w14:paraId="6E3B8A78" w14:textId="77777777" w:rsidR="00D05438" w:rsidRPr="00D05438" w:rsidRDefault="00D05438" w:rsidP="00D05438">
                      <w:pPr>
                        <w:jc w:val="center"/>
                      </w:pPr>
                      <w:r>
                        <w:t>Source: Self</w:t>
                      </w:r>
                    </w:p>
                  </w:txbxContent>
                </v:textbox>
              </v:shape>
            </w:pict>
          </mc:Fallback>
        </mc:AlternateContent>
      </w:r>
      <w:r w:rsidR="00BF292C">
        <w:rPr>
          <w:rStyle w:val="Strong"/>
        </w:rPr>
        <w:br w:type="page"/>
      </w:r>
    </w:p>
    <w:p w14:paraId="50427D81" w14:textId="77777777" w:rsidR="000D16BF" w:rsidRDefault="00336F65" w:rsidP="000D16BF">
      <w:pPr>
        <w:pStyle w:val="Heading2"/>
        <w:ind w:left="360"/>
      </w:pPr>
      <w:bookmarkStart w:id="5" w:name="_Toc235223746"/>
      <w:r>
        <w:rPr>
          <w:rStyle w:val="Strong"/>
        </w:rPr>
        <w:lastRenderedPageBreak/>
        <w:t>2</w:t>
      </w:r>
      <w:r w:rsidRPr="00336F65">
        <w:rPr>
          <w:rStyle w:val="Strong"/>
        </w:rPr>
        <w:t>.2 Achieving Competitive Advantage Using Porter's Generic Strategies</w:t>
      </w:r>
      <w:bookmarkEnd w:id="5"/>
      <w:r w:rsidRPr="00336F65">
        <w:rPr>
          <w:rStyle w:val="Strong"/>
        </w:rPr>
        <w:t xml:space="preserve"> </w:t>
      </w:r>
    </w:p>
    <w:p w14:paraId="21D5A258" w14:textId="77777777" w:rsidR="00BC2322" w:rsidRPr="00A15637" w:rsidRDefault="00BC2322" w:rsidP="00A15637">
      <w:pPr>
        <w:pStyle w:val="NormalWeb"/>
        <w:spacing w:line="360" w:lineRule="auto"/>
        <w:jc w:val="both"/>
        <w:rPr>
          <w:rFonts w:ascii="Arial" w:hAnsi="Arial" w:cs="Arial"/>
        </w:rPr>
      </w:pPr>
      <w:r w:rsidRPr="00A15637">
        <w:rPr>
          <w:rFonts w:ascii="Arial" w:hAnsi="Arial" w:cs="Arial"/>
        </w:rPr>
        <w:t xml:space="preserve">While Market Development helps Vale with the clear direction for business growth, achieving the sustainable success will be depending upon establishing a competitive position which competitors cannot easily imitate. </w:t>
      </w:r>
      <w:r w:rsidR="008C367C" w:rsidRPr="00A15637">
        <w:rPr>
          <w:rFonts w:ascii="Arial" w:hAnsi="Arial" w:cs="Arial"/>
        </w:rPr>
        <w:t>Porter’s generic Strategies identifies differentiation, cost leadership, and focus as the principal approaches which organisations can utilise to gain the competitive edge</w:t>
      </w:r>
      <w:r w:rsidR="00A15637" w:rsidRPr="00A15637">
        <w:rPr>
          <w:rFonts w:ascii="Arial" w:hAnsi="Arial" w:cs="Arial"/>
        </w:rPr>
        <w:t xml:space="preserve"> (Porter, 1985)</w:t>
      </w:r>
      <w:r w:rsidR="008C367C" w:rsidRPr="00A15637">
        <w:rPr>
          <w:rFonts w:ascii="Arial" w:hAnsi="Arial" w:cs="Arial"/>
        </w:rPr>
        <w:t xml:space="preserve">. </w:t>
      </w:r>
      <w:r w:rsidR="00A15637" w:rsidRPr="00A15637">
        <w:rPr>
          <w:rFonts w:ascii="Arial" w:hAnsi="Arial" w:cs="Arial"/>
        </w:rPr>
        <w:t xml:space="preserve">Considering Vale’s sustainability ambitious, changing customer expectations, and product portfolio, a Focussed Differentiation strategy is considered as the most appropriate option. This strategy allows the company to target industrial customers looking for sustainably sources minerals whereas creating value through sustainability, operational reliability and quality instead of price competition. </w:t>
      </w:r>
    </w:p>
    <w:p w14:paraId="1BC1D3B3" w14:textId="77777777" w:rsidR="00E77AB5" w:rsidRDefault="00A15637" w:rsidP="00E77AB5">
      <w:pPr>
        <w:pStyle w:val="NormalWeb"/>
        <w:spacing w:line="360" w:lineRule="auto"/>
        <w:jc w:val="both"/>
        <w:rPr>
          <w:rFonts w:ascii="Arial" w:hAnsi="Arial" w:cs="Arial"/>
        </w:rPr>
      </w:pPr>
      <w:r w:rsidRPr="00E77AB5">
        <w:rPr>
          <w:rFonts w:ascii="Arial" w:hAnsi="Arial" w:cs="Arial"/>
        </w:rPr>
        <w:t>It would be difficult to compete only on cost because mining companies face increasing cost for environmental compliance, investments in cleaner technologies, and pressure to reduce carbon emissions. Although operational efficiency remains important, competing only on price could diminish profitability and weaken ability of the brand to continue investing in sustainability initiatives. In the similar manner, adopting a broad differentiation strategy across each customer segment might dilute resources and make it very difficult to develop a distinctive market position. Instead, focusing on customers which prioritise sustainable supply chains enables Vale to build stringer relationships with organisations who are willing to pay a premium price for sustainably produced minerals.</w:t>
      </w:r>
    </w:p>
    <w:p w14:paraId="75E349AC" w14:textId="77777777" w:rsidR="00336F65" w:rsidRPr="00121AF1" w:rsidRDefault="00E77AB5" w:rsidP="00121AF1">
      <w:pPr>
        <w:pStyle w:val="NormalWeb"/>
        <w:spacing w:line="360" w:lineRule="auto"/>
        <w:jc w:val="both"/>
        <w:rPr>
          <w:rFonts w:ascii="Arial" w:hAnsi="Arial" w:cs="Arial"/>
        </w:rPr>
      </w:pPr>
      <w:r w:rsidRPr="00121AF1">
        <w:rPr>
          <w:rFonts w:ascii="Arial" w:hAnsi="Arial" w:cs="Arial"/>
        </w:rPr>
        <w:t xml:space="preserve">Focussed Differentiation is closely aligned with the current market trends. Steel manufacturers, renewable energy companies, and battery producers increasingly seeks suppliers who are capable of supporting their own Environmental, Social and Governance (ESG) commitments through transparent sourcing and lower-carbon production processes (Kotler et al., 2024). Vale’s high grade iron ore allows for more efficient steel </w:t>
      </w:r>
      <w:r w:rsidR="00121AF1" w:rsidRPr="00121AF1">
        <w:rPr>
          <w:rFonts w:ascii="Arial" w:hAnsi="Arial" w:cs="Arial"/>
        </w:rPr>
        <w:t>production with lower emissions, while its nickel supports the electric vehicle batteries as well as clean energy technologies. By combining the product quality with measurable environmental performance, the company offers value which extends beyond the physical characteristics of its product</w:t>
      </w:r>
      <w:r w:rsidR="00336F65" w:rsidRPr="00121AF1">
        <w:rPr>
          <w:rFonts w:ascii="Arial" w:hAnsi="Arial" w:cs="Arial"/>
        </w:rPr>
        <w:t xml:space="preserve"> (Vale, 2025a).</w:t>
      </w:r>
    </w:p>
    <w:p w14:paraId="2B8E4EE9" w14:textId="77777777" w:rsidR="00121AF1" w:rsidRDefault="00121AF1" w:rsidP="00121AF1">
      <w:pPr>
        <w:pStyle w:val="NormalWeb"/>
        <w:spacing w:line="360" w:lineRule="auto"/>
        <w:jc w:val="both"/>
        <w:rPr>
          <w:rFonts w:ascii="Arial" w:hAnsi="Arial" w:cs="Arial"/>
        </w:rPr>
      </w:pPr>
      <w:r w:rsidRPr="00121AF1">
        <w:rPr>
          <w:rFonts w:ascii="Arial" w:hAnsi="Arial" w:cs="Arial"/>
        </w:rPr>
        <w:lastRenderedPageBreak/>
        <w:t xml:space="preserve">The strategy is further strengthened by the investment of the brand in renewable energy, emissions reduction, dry mineral processing, and transparent sustainability reporting. Porter and Kramer (2011) argues that organisations develops a competitive edge by generating shared value, where business success is achieved along with positive environmental and social outcomes. Vale’s sustainability initiatives reinstates the trust and confidence of the customers while improving the organisational reputation among regulators, investors and communities. These factors creates a differentiation which is more difficult for competitors to copy than simple reduction in prices. </w:t>
      </w:r>
    </w:p>
    <w:p w14:paraId="0D760B34" w14:textId="77777777" w:rsidR="00121AF1" w:rsidRPr="00121AF1" w:rsidRDefault="00121AF1" w:rsidP="00121AF1">
      <w:pPr>
        <w:pStyle w:val="NormalWeb"/>
        <w:spacing w:line="360" w:lineRule="auto"/>
        <w:jc w:val="both"/>
        <w:rPr>
          <w:rFonts w:ascii="Arial" w:hAnsi="Arial" w:cs="Arial"/>
        </w:rPr>
      </w:pPr>
      <w:r>
        <w:rPr>
          <w:rFonts w:ascii="Arial" w:hAnsi="Arial" w:cs="Arial"/>
        </w:rPr>
        <w:t>However, maintaining its competitive edge requires a</w:t>
      </w:r>
      <w:r w:rsidR="004C320B">
        <w:rPr>
          <w:rFonts w:ascii="Arial" w:hAnsi="Arial" w:cs="Arial"/>
        </w:rPr>
        <w:t>n</w:t>
      </w:r>
      <w:r>
        <w:rPr>
          <w:rFonts w:ascii="Arial" w:hAnsi="Arial" w:cs="Arial"/>
        </w:rPr>
        <w:t xml:space="preserve"> ongoing improvement. Competitors like Rio Tinto and BHP are also investing </w:t>
      </w:r>
      <w:r w:rsidR="004C320B">
        <w:rPr>
          <w:rFonts w:ascii="Arial" w:hAnsi="Arial" w:cs="Arial"/>
        </w:rPr>
        <w:t xml:space="preserve">heavily in the sustainable mining practices and decarbonisation. Therefore, Vale should continue improving product traceability, expanding strategic partnerships with customers who are committed to low-carbon manufacturing, and strengthening ESG reporting. Vale can work on strengthening their customer loyalty, protect profitability in long-term and maintain a sustainable competitive advantage within the evolving global mining industry by consistently delivering the premium-quality minerals supported by credible sustainability performance. </w:t>
      </w:r>
    </w:p>
    <w:p w14:paraId="0498731B" w14:textId="77777777" w:rsidR="00336F65" w:rsidRPr="00336F65" w:rsidRDefault="00934BED" w:rsidP="00336F65">
      <w:pPr>
        <w:pStyle w:val="Heading2"/>
        <w:ind w:left="360"/>
      </w:pPr>
      <w:bookmarkStart w:id="6" w:name="_Toc235223747"/>
      <w:r>
        <w:rPr>
          <w:rStyle w:val="Strong"/>
        </w:rPr>
        <w:t>2</w:t>
      </w:r>
      <w:r w:rsidR="00336F65" w:rsidRPr="00336F65">
        <w:rPr>
          <w:rStyle w:val="Strong"/>
        </w:rPr>
        <w:t>.3 Strategic Recommendations</w:t>
      </w:r>
      <w:bookmarkEnd w:id="6"/>
      <w:r w:rsidR="00336F65" w:rsidRPr="00336F65">
        <w:rPr>
          <w:rStyle w:val="Strong"/>
        </w:rPr>
        <w:t xml:space="preserve"> </w:t>
      </w:r>
    </w:p>
    <w:p w14:paraId="67848289" w14:textId="77777777" w:rsidR="00B27ECB" w:rsidRPr="000D16BF" w:rsidRDefault="00B27ECB" w:rsidP="000D16BF">
      <w:pPr>
        <w:pStyle w:val="NormalWeb"/>
        <w:spacing w:line="360" w:lineRule="auto"/>
        <w:jc w:val="both"/>
        <w:rPr>
          <w:rFonts w:ascii="Arial" w:hAnsi="Arial" w:cs="Arial"/>
        </w:rPr>
      </w:pPr>
      <w:r w:rsidRPr="000D16BF">
        <w:rPr>
          <w:rFonts w:ascii="Arial" w:hAnsi="Arial" w:cs="Arial"/>
        </w:rPr>
        <w:t xml:space="preserve">To make its market position strong, Vale should prioritise three strategic actions. First, the company should expand their long-term partnerships with battery producers, steel manufacturers and renewable energy businesses in a rapidly growing market like India, Middle East and Southeast Asia, where there is an increased demand for sustainable sources minerals continue to grow (International Energy Agency, 2025). Secondly, Vale should further invest in digital traceability technologies which can enable customers to monitor the environmental performance of products throughout the supply chain, supporting ESG reporting requirements, improving transparency. Finally, the company need to continue </w:t>
      </w:r>
      <w:r w:rsidR="00E84D35" w:rsidRPr="000D16BF">
        <w:rPr>
          <w:rFonts w:ascii="Arial" w:hAnsi="Arial" w:cs="Arial"/>
        </w:rPr>
        <w:t xml:space="preserve">embedding sustainability into its marketing strategy by highlighting measurable achievements in emission reduction, responsible mining practices and renewable energy adoption. These initiatives will boost the stakeholder confidence while reinforcing Vale’s reputation as a trusted supplier of </w:t>
      </w:r>
      <w:r w:rsidR="00E84D35" w:rsidRPr="000D16BF">
        <w:rPr>
          <w:rFonts w:ascii="Arial" w:hAnsi="Arial" w:cs="Arial"/>
        </w:rPr>
        <w:lastRenderedPageBreak/>
        <w:t xml:space="preserve">minerals supporting the global transition towards lower-carbon technologies. Collectively, these recommendations will help in supporting sustainable growth, strengthen its competitive edge and improve its long-term organisational resilience. </w:t>
      </w:r>
    </w:p>
    <w:p w14:paraId="6190B6A8" w14:textId="77777777" w:rsidR="00336F65" w:rsidRDefault="00336F65" w:rsidP="00021CF3">
      <w:pPr>
        <w:pStyle w:val="NormalWeb"/>
      </w:pPr>
    </w:p>
    <w:p w14:paraId="07BC32A9" w14:textId="77777777" w:rsidR="00021CF3" w:rsidRDefault="00021CF3" w:rsidP="00021CF3">
      <w:pPr>
        <w:pStyle w:val="NormalWeb"/>
      </w:pPr>
    </w:p>
    <w:p w14:paraId="59F038E3" w14:textId="77777777" w:rsidR="001C0060" w:rsidRDefault="001C0060">
      <w:pPr>
        <w:jc w:val="left"/>
        <w:rPr>
          <w:rFonts w:ascii="Times New Roman" w:eastAsia="Times New Roman" w:hAnsi="Times New Roman"/>
          <w:lang w:val="en-IN" w:eastAsia="en-GB"/>
        </w:rPr>
      </w:pPr>
      <w:r>
        <w:br w:type="page"/>
      </w:r>
    </w:p>
    <w:p w14:paraId="6FC33ED8" w14:textId="77777777" w:rsidR="001C0060" w:rsidRDefault="00336F65" w:rsidP="00336F65">
      <w:pPr>
        <w:pStyle w:val="Heading1"/>
      </w:pPr>
      <w:bookmarkStart w:id="7" w:name="_Toc235223748"/>
      <w:r w:rsidRPr="00336F65">
        <w:lastRenderedPageBreak/>
        <w:t>Task 3: Critical Reflection on AI Usage</w:t>
      </w:r>
      <w:bookmarkEnd w:id="7"/>
    </w:p>
    <w:p w14:paraId="304ED144" w14:textId="77777777" w:rsidR="00336F65" w:rsidRPr="00336F65" w:rsidRDefault="00336F65" w:rsidP="00336F65">
      <w:pPr>
        <w:pStyle w:val="Heading2"/>
        <w:ind w:left="360"/>
        <w:rPr>
          <w:b w:val="0"/>
          <w:bCs w:val="0"/>
        </w:rPr>
      </w:pPr>
      <w:bookmarkStart w:id="8" w:name="_Toc235223749"/>
      <w:r w:rsidRPr="00336F65">
        <w:rPr>
          <w:b w:val="0"/>
          <w:bCs w:val="0"/>
        </w:rPr>
        <w:t>a. Tool Disclosure</w:t>
      </w:r>
      <w:bookmarkEnd w:id="8"/>
    </w:p>
    <w:p w14:paraId="5ABEEDA6" w14:textId="77777777" w:rsidR="004C320B" w:rsidRPr="000727BA" w:rsidRDefault="004C320B" w:rsidP="000727BA">
      <w:pPr>
        <w:pStyle w:val="pdq2pgselectionanchorcontainer"/>
        <w:spacing w:line="360" w:lineRule="auto"/>
        <w:jc w:val="both"/>
        <w:rPr>
          <w:rFonts w:ascii="Arial" w:hAnsi="Arial" w:cs="Arial"/>
        </w:rPr>
      </w:pPr>
      <w:r w:rsidRPr="000727BA">
        <w:rPr>
          <w:rFonts w:ascii="Arial" w:hAnsi="Arial" w:cs="Arial"/>
        </w:rPr>
        <w:t xml:space="preserve">Artificial Intelligence (AI) was used in a very responsible and limited manner during the course of writing the report. The primary tool which I used was ChatGPT, which provided me support in the start of the research process. AI was first used to do the comparison of different organisations and identify the company which aligned with the assessment guidelines and requirements. Following this comparison, Vale S.A. was picked because of its core focus on sustainability, critical minerals, and lower-carbon mining. AI also helped me with providing an overall overview of current </w:t>
      </w:r>
      <w:r w:rsidR="000727BA" w:rsidRPr="000727BA">
        <w:rPr>
          <w:rFonts w:ascii="Arial" w:hAnsi="Arial" w:cs="Arial"/>
        </w:rPr>
        <w:t xml:space="preserve">issues impacting the mining industry, including Environmental, Social, and Governance (ESG)  practices and decarbonisation and market trends. Finally, AI was used at the last stage of the report where proofreading was done to improve grammar, readability and sentence clarity. In accordance with the AI use Acknowledgement, AI was used only for the research support and proofreading tool and not to generate the content for the report or replace the complete academic judgement. </w:t>
      </w:r>
    </w:p>
    <w:p w14:paraId="69AFF23D" w14:textId="77777777" w:rsidR="00336F65" w:rsidRPr="00336F65" w:rsidRDefault="00336F65" w:rsidP="00336F65">
      <w:pPr>
        <w:pStyle w:val="Heading2"/>
        <w:ind w:left="360"/>
        <w:rPr>
          <w:b w:val="0"/>
          <w:bCs w:val="0"/>
        </w:rPr>
      </w:pPr>
      <w:bookmarkStart w:id="9" w:name="_Toc235223750"/>
      <w:r w:rsidRPr="00336F65">
        <w:rPr>
          <w:b w:val="0"/>
          <w:bCs w:val="0"/>
        </w:rPr>
        <w:t>b. Critical Evaluation of AI Output</w:t>
      </w:r>
      <w:bookmarkEnd w:id="9"/>
    </w:p>
    <w:p w14:paraId="1DECEE72" w14:textId="77777777" w:rsidR="000727BA" w:rsidRPr="00E87A87" w:rsidRDefault="000727BA" w:rsidP="00E87A87">
      <w:pPr>
        <w:pStyle w:val="NormalWeb"/>
        <w:spacing w:line="360" w:lineRule="auto"/>
        <w:jc w:val="both"/>
        <w:rPr>
          <w:rFonts w:ascii="Arial" w:hAnsi="Arial" w:cs="Arial"/>
        </w:rPr>
      </w:pPr>
      <w:r w:rsidRPr="00E87A87">
        <w:rPr>
          <w:rFonts w:ascii="Arial" w:hAnsi="Arial" w:cs="Arial"/>
        </w:rPr>
        <w:t xml:space="preserve">Even though AI provided a useful background information, its responses were carefully assesses before being included in the report. AI-generated content was never accepted without verifying it as it occasionally produced statements in general manner which lacked supporting evidence or the specific references. In order to ensure the </w:t>
      </w:r>
      <w:r w:rsidR="00E87A87" w:rsidRPr="00E87A87">
        <w:rPr>
          <w:rFonts w:ascii="Arial" w:hAnsi="Arial" w:cs="Arial"/>
        </w:rPr>
        <w:t xml:space="preserve">accuracy, company information was cross-verified using the company’s published reports  like their annual report, and sustainability report, whereas industry trends were verified through publications from the International Energy Agency and academic literature on marketing. During the entire process, Some of the AI-generated statements were identified as either being too broad or generic or lacking sufficient evidence to support the academic analysis. These responses were either rewritten using reliable sources or were completely omitted from the report. This verification process minimises the risk of relying on inaccurate information or AI hallucinations and made sure that all the arguments are well supported by credible evidence and suitable academic references. </w:t>
      </w:r>
    </w:p>
    <w:p w14:paraId="25844E8D" w14:textId="77777777" w:rsidR="00336F65" w:rsidRPr="00336F65" w:rsidRDefault="00336F65" w:rsidP="00336F65">
      <w:pPr>
        <w:pStyle w:val="Heading2"/>
        <w:ind w:left="360"/>
        <w:rPr>
          <w:b w:val="0"/>
          <w:bCs w:val="0"/>
        </w:rPr>
      </w:pPr>
      <w:bookmarkStart w:id="10" w:name="_Toc235223751"/>
      <w:r w:rsidRPr="00336F65">
        <w:rPr>
          <w:b w:val="0"/>
          <w:bCs w:val="0"/>
        </w:rPr>
        <w:lastRenderedPageBreak/>
        <w:t>c. Contribution Analysis</w:t>
      </w:r>
      <w:bookmarkEnd w:id="10"/>
    </w:p>
    <w:p w14:paraId="5FC64778" w14:textId="77777777" w:rsidR="00F3687D" w:rsidRPr="00F3687D" w:rsidRDefault="00F3687D" w:rsidP="00F3687D">
      <w:pPr>
        <w:pStyle w:val="NormalWeb"/>
        <w:spacing w:line="360" w:lineRule="auto"/>
        <w:jc w:val="both"/>
        <w:rPr>
          <w:rFonts w:ascii="Arial" w:hAnsi="Arial" w:cs="Arial"/>
        </w:rPr>
      </w:pPr>
      <w:r w:rsidRPr="00F3687D">
        <w:rPr>
          <w:rFonts w:ascii="Arial" w:hAnsi="Arial" w:cs="Arial"/>
        </w:rPr>
        <w:t xml:space="preserve">The final structure and analytical content of this report is purely my own work. AI contributed only at the initial stages of the report by helping me identify an appropriate company, summarising the background information, and proofreading my report. The selection of the Natural Environment and Publics as the key marketing environmental actors, the recommendation of market Development using the Ansoff Matrix and the evaluation of Focussed Differentiation through Porter’s Generic Strategies were based on the own interpretation of the facts, data and the evidences related to both company and literature. I independently researched for the sources, developed the critical analysis, structured and formulated the discussion and recommendations. AI therefore supported the entire research process but do not entirely replace my own viewpoints and critical thinking. AI therefore supported the entire research process but did not replace my viewpoints, decision-making and academic writing. </w:t>
      </w:r>
    </w:p>
    <w:p w14:paraId="54B0B50A" w14:textId="77777777" w:rsidR="00336F65" w:rsidRPr="00336F65" w:rsidRDefault="00336F65" w:rsidP="00336F65">
      <w:pPr>
        <w:pStyle w:val="Heading2"/>
        <w:ind w:left="360"/>
        <w:rPr>
          <w:b w:val="0"/>
          <w:bCs w:val="0"/>
        </w:rPr>
      </w:pPr>
      <w:bookmarkStart w:id="11" w:name="_Toc235223752"/>
      <w:r w:rsidRPr="00336F65">
        <w:rPr>
          <w:b w:val="0"/>
          <w:bCs w:val="0"/>
        </w:rPr>
        <w:t>d. Ethical and Professional Reflection</w:t>
      </w:r>
      <w:bookmarkEnd w:id="11"/>
    </w:p>
    <w:p w14:paraId="1A1E106F" w14:textId="77777777" w:rsidR="00626E90" w:rsidRDefault="00626E90" w:rsidP="00626E90">
      <w:pPr>
        <w:pStyle w:val="pdq2pgselectionanchorcontainer"/>
        <w:spacing w:line="360" w:lineRule="auto"/>
        <w:jc w:val="both"/>
        <w:rPr>
          <w:rFonts w:ascii="Arial" w:hAnsi="Arial" w:cs="Arial"/>
        </w:rPr>
      </w:pPr>
      <w:r w:rsidRPr="00626E90">
        <w:rPr>
          <w:rFonts w:ascii="Arial" w:hAnsi="Arial" w:cs="Arial"/>
        </w:rPr>
        <w:t xml:space="preserve">AI helped me with providing valuable support by improving research efficiency, improving written communication and summarising information. However, ethical use requires to verify all the AI-generated content, acknowledge its use in a transparent manner, and depend on the independent judgement drawing upon the conclusions and recommendations. In marketing, responsible AI use also includes protecting data privacy, maintaining transparency, and avoiding misinformation. This report indicates that AI can be used to support the critical thinking and learning instead of replacing human analysis or decision-making. </w:t>
      </w:r>
    </w:p>
    <w:p w14:paraId="0E6936F6" w14:textId="77777777" w:rsidR="00133B62" w:rsidRDefault="00133B62">
      <w:pPr>
        <w:jc w:val="left"/>
        <w:rPr>
          <w:rFonts w:eastAsia="Times New Roman" w:cs="Arial"/>
          <w:lang w:val="en-IN" w:eastAsia="en-GB"/>
        </w:rPr>
      </w:pPr>
      <w:r>
        <w:rPr>
          <w:rFonts w:cs="Arial"/>
        </w:rPr>
        <w:br w:type="page"/>
      </w:r>
    </w:p>
    <w:p w14:paraId="756E3D87" w14:textId="77777777" w:rsidR="00133B62" w:rsidRDefault="00133B62" w:rsidP="00133B62">
      <w:pPr>
        <w:pStyle w:val="Heading1"/>
      </w:pPr>
      <w:bookmarkStart w:id="12" w:name="_Toc235223753"/>
      <w:r>
        <w:lastRenderedPageBreak/>
        <w:t>References</w:t>
      </w:r>
      <w:bookmarkEnd w:id="12"/>
    </w:p>
    <w:p w14:paraId="213B4CCC" w14:textId="77777777" w:rsidR="00133B62" w:rsidRPr="00133B62" w:rsidRDefault="00133B62" w:rsidP="00133B62">
      <w:pPr>
        <w:pStyle w:val="ListParagraph"/>
        <w:numPr>
          <w:ilvl w:val="0"/>
          <w:numId w:val="3"/>
        </w:numPr>
        <w:spacing w:line="360" w:lineRule="auto"/>
        <w:rPr>
          <w:rFonts w:cs="Arial"/>
          <w:lang w:val="en-IN"/>
        </w:rPr>
      </w:pPr>
      <w:r w:rsidRPr="00133B62">
        <w:rPr>
          <w:rFonts w:cs="Arial"/>
        </w:rPr>
        <w:t xml:space="preserve">Ansoff, H.I. (1957) ‘Strategies for diversification’, </w:t>
      </w:r>
      <w:r w:rsidRPr="00133B62">
        <w:rPr>
          <w:rStyle w:val="Emphasis"/>
          <w:rFonts w:cs="Arial"/>
        </w:rPr>
        <w:t>Harvard Business Review</w:t>
      </w:r>
      <w:r w:rsidRPr="00133B62">
        <w:rPr>
          <w:rFonts w:cs="Arial"/>
        </w:rPr>
        <w:t xml:space="preserve">, 35(5), pp. 113–124. Available at: Harvard Business Review archive </w:t>
      </w:r>
    </w:p>
    <w:p w14:paraId="7AFDDF2F" w14:textId="77777777" w:rsidR="00133B62" w:rsidRPr="00133B62" w:rsidRDefault="00133B62" w:rsidP="00133B62">
      <w:pPr>
        <w:pStyle w:val="ListParagraph"/>
        <w:numPr>
          <w:ilvl w:val="0"/>
          <w:numId w:val="3"/>
        </w:numPr>
        <w:spacing w:line="360" w:lineRule="auto"/>
        <w:rPr>
          <w:rFonts w:cs="Arial"/>
        </w:rPr>
      </w:pPr>
      <w:r w:rsidRPr="00133B62">
        <w:rPr>
          <w:rFonts w:cs="Arial"/>
        </w:rPr>
        <w:t xml:space="preserve">Carroll, A.B. and Brown, J.A. (2018) </w:t>
      </w:r>
      <w:r w:rsidRPr="00133B62">
        <w:rPr>
          <w:rStyle w:val="Emphasis"/>
          <w:rFonts w:cs="Arial"/>
        </w:rPr>
        <w:t>Corporate Responsibility: The American Experience</w:t>
      </w:r>
      <w:r w:rsidRPr="00133B62">
        <w:rPr>
          <w:rFonts w:cs="Arial"/>
        </w:rPr>
        <w:t xml:space="preserve">. Cambridge: Cambridge University Press. Available at: Cambridge University Press </w:t>
      </w:r>
    </w:p>
    <w:p w14:paraId="78680D4D" w14:textId="77777777" w:rsidR="00133B62" w:rsidRPr="00133B62" w:rsidRDefault="00133B62" w:rsidP="00133B62">
      <w:pPr>
        <w:pStyle w:val="ListParagraph"/>
        <w:numPr>
          <w:ilvl w:val="0"/>
          <w:numId w:val="3"/>
        </w:numPr>
        <w:spacing w:line="360" w:lineRule="auto"/>
        <w:rPr>
          <w:rFonts w:cs="Arial"/>
        </w:rPr>
      </w:pPr>
      <w:r w:rsidRPr="00133B62">
        <w:rPr>
          <w:rFonts w:cs="Arial"/>
        </w:rPr>
        <w:t xml:space="preserve">Freeman, R.E. (1984) </w:t>
      </w:r>
      <w:r w:rsidRPr="00133B62">
        <w:rPr>
          <w:rStyle w:val="Emphasis"/>
          <w:rFonts w:cs="Arial"/>
        </w:rPr>
        <w:t>Strategic Management: A Stakeholder Approach</w:t>
      </w:r>
      <w:r w:rsidRPr="00133B62">
        <w:rPr>
          <w:rFonts w:cs="Arial"/>
        </w:rPr>
        <w:t xml:space="preserve">. Boston: Pitman. Available at: Google Books preview </w:t>
      </w:r>
    </w:p>
    <w:p w14:paraId="4AD32D4C" w14:textId="77777777" w:rsidR="00133B62" w:rsidRPr="00133B62" w:rsidRDefault="00133B62" w:rsidP="00133B62">
      <w:pPr>
        <w:pStyle w:val="ListParagraph"/>
        <w:numPr>
          <w:ilvl w:val="0"/>
          <w:numId w:val="3"/>
        </w:numPr>
        <w:spacing w:line="360" w:lineRule="auto"/>
        <w:rPr>
          <w:rFonts w:cs="Arial"/>
        </w:rPr>
      </w:pPr>
      <w:r w:rsidRPr="00133B62">
        <w:rPr>
          <w:rFonts w:cs="Arial"/>
        </w:rPr>
        <w:t xml:space="preserve">International Energy Agency (2025) </w:t>
      </w:r>
      <w:r w:rsidRPr="00133B62">
        <w:rPr>
          <w:rStyle w:val="Emphasis"/>
          <w:rFonts w:cs="Arial"/>
        </w:rPr>
        <w:t>Global Critical Minerals Outlook 2025</w:t>
      </w:r>
      <w:r w:rsidRPr="00133B62">
        <w:rPr>
          <w:rFonts w:cs="Arial"/>
        </w:rPr>
        <w:t xml:space="preserve">. Available at: </w:t>
      </w:r>
      <w:hyperlink r:id="rId14" w:tgtFrame="_blank" w:history="1">
        <w:r w:rsidRPr="00133B62">
          <w:rPr>
            <w:rStyle w:val="Hyperlink"/>
            <w:rFonts w:cs="Arial"/>
          </w:rPr>
          <w:t>International Energy Agency</w:t>
        </w:r>
      </w:hyperlink>
      <w:r w:rsidRPr="00133B62">
        <w:rPr>
          <w:rFonts w:cs="Arial"/>
        </w:rPr>
        <w:t xml:space="preserve"> </w:t>
      </w:r>
    </w:p>
    <w:p w14:paraId="227D8CDC" w14:textId="77777777" w:rsidR="00133B62" w:rsidRPr="00133B62" w:rsidRDefault="00133B62" w:rsidP="00133B62">
      <w:pPr>
        <w:pStyle w:val="ListParagraph"/>
        <w:numPr>
          <w:ilvl w:val="0"/>
          <w:numId w:val="3"/>
        </w:numPr>
        <w:spacing w:line="360" w:lineRule="auto"/>
        <w:rPr>
          <w:rFonts w:cs="Arial"/>
        </w:rPr>
      </w:pPr>
      <w:r w:rsidRPr="00133B62">
        <w:rPr>
          <w:rFonts w:cs="Arial"/>
        </w:rPr>
        <w:t xml:space="preserve">Kotler, P., Armstrong, G., Harris, L.C. and He, H. (2024) </w:t>
      </w:r>
      <w:r w:rsidRPr="00133B62">
        <w:rPr>
          <w:rStyle w:val="Emphasis"/>
          <w:rFonts w:cs="Arial"/>
        </w:rPr>
        <w:t>Principles of Marketing</w:t>
      </w:r>
      <w:r w:rsidRPr="00133B62">
        <w:rPr>
          <w:rFonts w:cs="Arial"/>
        </w:rPr>
        <w:t xml:space="preserve">. 19th </w:t>
      </w:r>
      <w:proofErr w:type="spellStart"/>
      <w:r w:rsidRPr="00133B62">
        <w:rPr>
          <w:rFonts w:cs="Arial"/>
        </w:rPr>
        <w:t>edn</w:t>
      </w:r>
      <w:proofErr w:type="spellEnd"/>
      <w:r w:rsidRPr="00133B62">
        <w:rPr>
          <w:rFonts w:cs="Arial"/>
        </w:rPr>
        <w:t xml:space="preserve">. Harlow: Pearson. Available at: </w:t>
      </w:r>
      <w:hyperlink r:id="rId15" w:tgtFrame="_blank" w:history="1">
        <w:r w:rsidRPr="00133B62">
          <w:rPr>
            <w:rStyle w:val="Hyperlink"/>
            <w:rFonts w:cs="Arial"/>
          </w:rPr>
          <w:t>Pearson – Principles of Marketing (19th edition)</w:t>
        </w:r>
      </w:hyperlink>
      <w:r w:rsidRPr="00133B62">
        <w:rPr>
          <w:rFonts w:cs="Arial"/>
        </w:rPr>
        <w:t xml:space="preserve"> </w:t>
      </w:r>
    </w:p>
    <w:p w14:paraId="45919C01" w14:textId="77777777" w:rsidR="00133B62" w:rsidRPr="00133B62" w:rsidRDefault="00133B62" w:rsidP="00133B62">
      <w:pPr>
        <w:pStyle w:val="ListParagraph"/>
        <w:numPr>
          <w:ilvl w:val="0"/>
          <w:numId w:val="3"/>
        </w:numPr>
        <w:spacing w:line="360" w:lineRule="auto"/>
        <w:rPr>
          <w:rFonts w:cs="Arial"/>
        </w:rPr>
      </w:pPr>
      <w:r w:rsidRPr="00133B62">
        <w:rPr>
          <w:rFonts w:cs="Arial"/>
        </w:rPr>
        <w:t xml:space="preserve">Porter, M.E. (1985) </w:t>
      </w:r>
      <w:r w:rsidRPr="00133B62">
        <w:rPr>
          <w:rStyle w:val="Emphasis"/>
          <w:rFonts w:cs="Arial"/>
        </w:rPr>
        <w:t>Competitive Advantage: Creating and Sustaining Superior Performance</w:t>
      </w:r>
      <w:r w:rsidRPr="00133B62">
        <w:rPr>
          <w:rFonts w:cs="Arial"/>
        </w:rPr>
        <w:t xml:space="preserve">. New York: Free Press. Available at: Google Books preview </w:t>
      </w:r>
    </w:p>
    <w:p w14:paraId="7E1AA229" w14:textId="77777777" w:rsidR="00133B62" w:rsidRPr="00133B62" w:rsidRDefault="00133B62" w:rsidP="00133B62">
      <w:pPr>
        <w:pStyle w:val="ListParagraph"/>
        <w:numPr>
          <w:ilvl w:val="0"/>
          <w:numId w:val="3"/>
        </w:numPr>
        <w:spacing w:line="360" w:lineRule="auto"/>
        <w:rPr>
          <w:rFonts w:cs="Arial"/>
        </w:rPr>
      </w:pPr>
      <w:r w:rsidRPr="00133B62">
        <w:rPr>
          <w:rFonts w:cs="Arial"/>
        </w:rPr>
        <w:t xml:space="preserve">Porter, M.E. and Kramer, M.R. (2011) ‘Creating Shared Value’, </w:t>
      </w:r>
      <w:r w:rsidRPr="00133B62">
        <w:rPr>
          <w:rStyle w:val="Emphasis"/>
          <w:rFonts w:cs="Arial"/>
        </w:rPr>
        <w:t>Harvard Business Review</w:t>
      </w:r>
      <w:r w:rsidRPr="00133B62">
        <w:rPr>
          <w:rFonts w:cs="Arial"/>
        </w:rPr>
        <w:t xml:space="preserve">, 89(1–2), pp. 62–77. Available at: </w:t>
      </w:r>
      <w:hyperlink r:id="rId16" w:tgtFrame="_blank" w:history="1">
        <w:r w:rsidRPr="00133B62">
          <w:rPr>
            <w:rStyle w:val="Hyperlink"/>
            <w:rFonts w:cs="Arial"/>
          </w:rPr>
          <w:t>Harvard Business Review – Creating Shared Value</w:t>
        </w:r>
      </w:hyperlink>
      <w:r w:rsidRPr="00133B62">
        <w:rPr>
          <w:rFonts w:cs="Arial"/>
        </w:rPr>
        <w:t xml:space="preserve"> </w:t>
      </w:r>
    </w:p>
    <w:p w14:paraId="5ECBE9E4" w14:textId="77777777" w:rsidR="00133B62" w:rsidRPr="00133B62" w:rsidRDefault="00133B62" w:rsidP="00133B62">
      <w:pPr>
        <w:pStyle w:val="ListParagraph"/>
        <w:numPr>
          <w:ilvl w:val="0"/>
          <w:numId w:val="3"/>
        </w:numPr>
        <w:spacing w:line="360" w:lineRule="auto"/>
        <w:rPr>
          <w:rFonts w:cs="Arial"/>
        </w:rPr>
      </w:pPr>
      <w:r w:rsidRPr="00133B62">
        <w:rPr>
          <w:rFonts w:cs="Arial"/>
        </w:rPr>
        <w:t xml:space="preserve">United Nations (2025) </w:t>
      </w:r>
      <w:r w:rsidRPr="00133B62">
        <w:rPr>
          <w:rStyle w:val="Emphasis"/>
          <w:rFonts w:cs="Arial"/>
        </w:rPr>
        <w:t>Sustainable Development Goal 12: Responsible Consumption and Production</w:t>
      </w:r>
      <w:r w:rsidRPr="00133B62">
        <w:rPr>
          <w:rFonts w:cs="Arial"/>
        </w:rPr>
        <w:t xml:space="preserve">. Available at: </w:t>
      </w:r>
      <w:hyperlink r:id="rId17" w:tgtFrame="_blank" w:history="1">
        <w:r w:rsidRPr="00133B62">
          <w:rPr>
            <w:rStyle w:val="Hyperlink"/>
            <w:rFonts w:cs="Arial"/>
          </w:rPr>
          <w:t>United Nations SDG 12</w:t>
        </w:r>
      </w:hyperlink>
      <w:r w:rsidRPr="00133B62">
        <w:rPr>
          <w:rFonts w:cs="Arial"/>
        </w:rPr>
        <w:t xml:space="preserve"> </w:t>
      </w:r>
    </w:p>
    <w:p w14:paraId="4FD8B85A" w14:textId="77777777" w:rsidR="00133B62" w:rsidRPr="00133B62" w:rsidRDefault="00133B62" w:rsidP="00133B62">
      <w:pPr>
        <w:pStyle w:val="ListParagraph"/>
        <w:numPr>
          <w:ilvl w:val="0"/>
          <w:numId w:val="3"/>
        </w:numPr>
        <w:spacing w:line="360" w:lineRule="auto"/>
        <w:rPr>
          <w:rFonts w:cs="Arial"/>
        </w:rPr>
      </w:pPr>
      <w:r w:rsidRPr="00133B62">
        <w:rPr>
          <w:rFonts w:cs="Arial"/>
        </w:rPr>
        <w:t xml:space="preserve">Vale (2025a) </w:t>
      </w:r>
      <w:r w:rsidRPr="00133B62">
        <w:rPr>
          <w:rStyle w:val="Emphasis"/>
          <w:rFonts w:cs="Arial"/>
        </w:rPr>
        <w:t>Annual Report 2025</w:t>
      </w:r>
      <w:r w:rsidRPr="00133B62">
        <w:rPr>
          <w:rFonts w:cs="Arial"/>
        </w:rPr>
        <w:t xml:space="preserve">. Available at: Vale Annual Reports </w:t>
      </w:r>
    </w:p>
    <w:p w14:paraId="48253D72" w14:textId="77777777" w:rsidR="00133B62" w:rsidRPr="00133B62" w:rsidRDefault="00133B62" w:rsidP="00133B62">
      <w:pPr>
        <w:pStyle w:val="ListParagraph"/>
        <w:numPr>
          <w:ilvl w:val="0"/>
          <w:numId w:val="3"/>
        </w:numPr>
        <w:spacing w:line="360" w:lineRule="auto"/>
        <w:rPr>
          <w:rFonts w:cs="Arial"/>
        </w:rPr>
      </w:pPr>
      <w:r w:rsidRPr="00133B62">
        <w:rPr>
          <w:rFonts w:cs="Arial"/>
        </w:rPr>
        <w:t xml:space="preserve">Vale (2025b) </w:t>
      </w:r>
      <w:r w:rsidRPr="00133B62">
        <w:rPr>
          <w:rStyle w:val="Emphasis"/>
          <w:rFonts w:cs="Arial"/>
        </w:rPr>
        <w:t>Sustainability</w:t>
      </w:r>
      <w:r w:rsidRPr="00133B62">
        <w:rPr>
          <w:rFonts w:cs="Arial"/>
        </w:rPr>
        <w:t xml:space="preserve">. Available at: </w:t>
      </w:r>
      <w:hyperlink r:id="rId18" w:tgtFrame="_blank" w:history="1">
        <w:r w:rsidRPr="00133B62">
          <w:rPr>
            <w:rStyle w:val="Hyperlink"/>
            <w:rFonts w:cs="Arial"/>
          </w:rPr>
          <w:t>Vale Sustainability</w:t>
        </w:r>
      </w:hyperlink>
      <w:r w:rsidRPr="00133B62">
        <w:rPr>
          <w:rFonts w:cs="Arial"/>
        </w:rPr>
        <w:t xml:space="preserve"> </w:t>
      </w:r>
    </w:p>
    <w:p w14:paraId="57B315B4" w14:textId="77777777" w:rsidR="00133B62" w:rsidRPr="00133B62" w:rsidRDefault="00133B62" w:rsidP="00133B62">
      <w:pPr>
        <w:pStyle w:val="ListParagraph"/>
        <w:numPr>
          <w:ilvl w:val="0"/>
          <w:numId w:val="3"/>
        </w:numPr>
        <w:spacing w:line="360" w:lineRule="auto"/>
        <w:rPr>
          <w:rFonts w:cs="Arial"/>
        </w:rPr>
      </w:pPr>
      <w:r w:rsidRPr="00133B62">
        <w:rPr>
          <w:rFonts w:cs="Arial"/>
        </w:rPr>
        <w:t xml:space="preserve">World Steel Association (2025) </w:t>
      </w:r>
      <w:r w:rsidRPr="00133B62">
        <w:rPr>
          <w:rStyle w:val="Emphasis"/>
          <w:rFonts w:cs="Arial"/>
        </w:rPr>
        <w:t>Sustainability Indicators Report 2025</w:t>
      </w:r>
      <w:r w:rsidRPr="00133B62">
        <w:rPr>
          <w:rFonts w:cs="Arial"/>
        </w:rPr>
        <w:t xml:space="preserve">. Available at: </w:t>
      </w:r>
      <w:hyperlink r:id="rId19" w:tgtFrame="_blank" w:history="1">
        <w:r w:rsidRPr="00133B62">
          <w:rPr>
            <w:rStyle w:val="Hyperlink"/>
            <w:rFonts w:cs="Arial"/>
          </w:rPr>
          <w:t>World Steel Association – Sustainability Indicators Report 2025</w:t>
        </w:r>
      </w:hyperlink>
      <w:r w:rsidRPr="00133B62">
        <w:rPr>
          <w:rFonts w:cs="Arial"/>
        </w:rPr>
        <w:t xml:space="preserve"> </w:t>
      </w:r>
    </w:p>
    <w:p w14:paraId="0C548BB0" w14:textId="77777777" w:rsidR="00133B62" w:rsidRPr="00133B62" w:rsidRDefault="00133B62" w:rsidP="00133B62">
      <w:pPr>
        <w:pStyle w:val="ListParagraph"/>
        <w:numPr>
          <w:ilvl w:val="0"/>
          <w:numId w:val="3"/>
        </w:numPr>
        <w:spacing w:line="360" w:lineRule="auto"/>
        <w:rPr>
          <w:rFonts w:cs="Arial"/>
          <w:lang w:eastAsia="en-GB"/>
        </w:rPr>
      </w:pPr>
      <w:r w:rsidRPr="00133B62">
        <w:rPr>
          <w:rFonts w:cs="Arial"/>
        </w:rPr>
        <w:t xml:space="preserve">OpenAI (2025) </w:t>
      </w:r>
      <w:r w:rsidRPr="00133B62">
        <w:rPr>
          <w:rStyle w:val="Emphasis"/>
          <w:rFonts w:cs="Arial"/>
        </w:rPr>
        <w:t>ChatGPT</w:t>
      </w:r>
      <w:r w:rsidRPr="00133B62">
        <w:rPr>
          <w:rFonts w:cs="Arial"/>
        </w:rPr>
        <w:t xml:space="preserve">. Available at: </w:t>
      </w:r>
      <w:hyperlink r:id="rId20" w:tgtFrame="_blank" w:history="1">
        <w:r w:rsidRPr="00133B62">
          <w:rPr>
            <w:rStyle w:val="Hyperlink"/>
            <w:rFonts w:cs="Arial"/>
          </w:rPr>
          <w:t>OpenAI ChatGPT</w:t>
        </w:r>
      </w:hyperlink>
    </w:p>
    <w:p w14:paraId="227F84A1" w14:textId="77777777" w:rsidR="00133B62" w:rsidRPr="00626E90" w:rsidRDefault="00133B62" w:rsidP="00626E90">
      <w:pPr>
        <w:pStyle w:val="pdq2pgselectionanchorcontainer"/>
        <w:spacing w:line="360" w:lineRule="auto"/>
        <w:jc w:val="both"/>
        <w:rPr>
          <w:rFonts w:ascii="Arial" w:hAnsi="Arial" w:cs="Arial"/>
        </w:rPr>
      </w:pPr>
    </w:p>
    <w:p w14:paraId="110FD5FB" w14:textId="77777777" w:rsidR="00C81043" w:rsidRPr="00C81043" w:rsidRDefault="00C81043" w:rsidP="00C81043"/>
    <w:sectPr w:rsidR="00C81043" w:rsidRPr="00C81043" w:rsidSect="00C81043">
      <w:footerReference w:type="even" r:id="rId21"/>
      <w:footerReference w:type="default" r:id="rId2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A9A1C5" w14:textId="77777777" w:rsidR="00420B1E" w:rsidRDefault="00420B1E" w:rsidP="00C81043">
      <w:r>
        <w:separator/>
      </w:r>
    </w:p>
  </w:endnote>
  <w:endnote w:type="continuationSeparator" w:id="0">
    <w:p w14:paraId="2D92DD57" w14:textId="77777777" w:rsidR="00420B1E" w:rsidRDefault="00420B1E" w:rsidP="00C810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22983591"/>
      <w:docPartObj>
        <w:docPartGallery w:val="Page Numbers (Bottom of Page)"/>
        <w:docPartUnique/>
      </w:docPartObj>
    </w:sdtPr>
    <w:sdtContent>
      <w:p w14:paraId="5DF8EEE4" w14:textId="77777777" w:rsidR="00C81043" w:rsidRDefault="00C81043" w:rsidP="00DC1D1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1F189A8" w14:textId="77777777" w:rsidR="00C81043" w:rsidRDefault="00C81043" w:rsidP="00C8104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5474773"/>
      <w:docPartObj>
        <w:docPartGallery w:val="Page Numbers (Bottom of Page)"/>
        <w:docPartUnique/>
      </w:docPartObj>
    </w:sdtPr>
    <w:sdtContent>
      <w:p w14:paraId="5B084E90" w14:textId="77777777" w:rsidR="00C81043" w:rsidRDefault="00C81043" w:rsidP="00DC1D1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8BADDED" w14:textId="77777777" w:rsidR="00C81043" w:rsidRDefault="00C81043" w:rsidP="00C8104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87E6E6" w14:textId="77777777" w:rsidR="00420B1E" w:rsidRDefault="00420B1E" w:rsidP="00C81043">
      <w:r>
        <w:separator/>
      </w:r>
    </w:p>
  </w:footnote>
  <w:footnote w:type="continuationSeparator" w:id="0">
    <w:p w14:paraId="670220CD" w14:textId="77777777" w:rsidR="00420B1E" w:rsidRDefault="00420B1E" w:rsidP="00C8104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D531CA"/>
    <w:multiLevelType w:val="hybridMultilevel"/>
    <w:tmpl w:val="84148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733E02"/>
    <w:multiLevelType w:val="hybridMultilevel"/>
    <w:tmpl w:val="D376F826"/>
    <w:lvl w:ilvl="0" w:tplc="08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2" w15:restartNumberingAfterBreak="0">
    <w:nsid w:val="70C75E75"/>
    <w:multiLevelType w:val="hybridMultilevel"/>
    <w:tmpl w:val="34841D96"/>
    <w:lvl w:ilvl="0" w:tplc="35648D4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4474996">
    <w:abstractNumId w:val="0"/>
  </w:num>
  <w:num w:numId="2" w16cid:durableId="611204937">
    <w:abstractNumId w:val="2"/>
  </w:num>
  <w:num w:numId="3" w16cid:durableId="4127746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1043"/>
    <w:rsid w:val="00021CF3"/>
    <w:rsid w:val="000727BA"/>
    <w:rsid w:val="000A37A6"/>
    <w:rsid w:val="000A715B"/>
    <w:rsid w:val="000C7AE2"/>
    <w:rsid w:val="000D16BF"/>
    <w:rsid w:val="00112F6D"/>
    <w:rsid w:val="00121AF1"/>
    <w:rsid w:val="00133B62"/>
    <w:rsid w:val="001C0060"/>
    <w:rsid w:val="002041FE"/>
    <w:rsid w:val="002C6EE3"/>
    <w:rsid w:val="002C7A83"/>
    <w:rsid w:val="00336F65"/>
    <w:rsid w:val="003804DD"/>
    <w:rsid w:val="00420B1E"/>
    <w:rsid w:val="004A0001"/>
    <w:rsid w:val="004C320B"/>
    <w:rsid w:val="00546B72"/>
    <w:rsid w:val="00554A0C"/>
    <w:rsid w:val="00554E3D"/>
    <w:rsid w:val="005A0785"/>
    <w:rsid w:val="005A0940"/>
    <w:rsid w:val="005E5FC3"/>
    <w:rsid w:val="005F5C92"/>
    <w:rsid w:val="00603974"/>
    <w:rsid w:val="00626E90"/>
    <w:rsid w:val="006E0BBD"/>
    <w:rsid w:val="006E45FE"/>
    <w:rsid w:val="00746B9B"/>
    <w:rsid w:val="007B3396"/>
    <w:rsid w:val="00892C08"/>
    <w:rsid w:val="008C367C"/>
    <w:rsid w:val="008C604B"/>
    <w:rsid w:val="00934BED"/>
    <w:rsid w:val="00984146"/>
    <w:rsid w:val="00A056AC"/>
    <w:rsid w:val="00A15637"/>
    <w:rsid w:val="00A577B6"/>
    <w:rsid w:val="00AA1BC3"/>
    <w:rsid w:val="00B27ECB"/>
    <w:rsid w:val="00BC2322"/>
    <w:rsid w:val="00BE2ED6"/>
    <w:rsid w:val="00BF292C"/>
    <w:rsid w:val="00C04320"/>
    <w:rsid w:val="00C758F3"/>
    <w:rsid w:val="00C81043"/>
    <w:rsid w:val="00D05438"/>
    <w:rsid w:val="00DE66A1"/>
    <w:rsid w:val="00E77AB5"/>
    <w:rsid w:val="00E84D35"/>
    <w:rsid w:val="00E87A87"/>
    <w:rsid w:val="00F3687D"/>
    <w:rsid w:val="00F61E06"/>
    <w:rsid w:val="00F74FD8"/>
    <w:rsid w:val="00F853E3"/>
    <w:rsid w:val="00FE3459"/>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F4870E"/>
  <w15:chartTrackingRefBased/>
  <w15:docId w15:val="{195D10F3-FCFE-E745-A350-D581A6C597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imes New Roman"/>
        <w:sz w:val="24"/>
        <w:szCs w:val="24"/>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2ED6"/>
    <w:pPr>
      <w:jc w:val="both"/>
    </w:pPr>
    <w:rPr>
      <w:lang w:val="en-GB"/>
    </w:rPr>
  </w:style>
  <w:style w:type="paragraph" w:styleId="Heading1">
    <w:name w:val="heading 1"/>
    <w:basedOn w:val="Normal"/>
    <w:next w:val="Normal"/>
    <w:link w:val="Heading1Char"/>
    <w:uiPriority w:val="9"/>
    <w:qFormat/>
    <w:rsid w:val="00603974"/>
    <w:pPr>
      <w:keepNext/>
      <w:keepLines/>
      <w:spacing w:before="400" w:after="120" w:line="276" w:lineRule="auto"/>
      <w:jc w:val="left"/>
      <w:outlineLvl w:val="0"/>
    </w:pPr>
    <w:rPr>
      <w:rFonts w:eastAsia="Arial" w:cs="Arial"/>
      <w:color w:val="4472C4" w:themeColor="accent1"/>
      <w:sz w:val="40"/>
      <w:szCs w:val="40"/>
      <w:lang w:eastAsia="en-GB"/>
    </w:rPr>
  </w:style>
  <w:style w:type="paragraph" w:styleId="Heading2">
    <w:name w:val="heading 2"/>
    <w:basedOn w:val="Normal"/>
    <w:next w:val="Normal"/>
    <w:link w:val="Heading2Char"/>
    <w:uiPriority w:val="9"/>
    <w:unhideWhenUsed/>
    <w:qFormat/>
    <w:rsid w:val="00603974"/>
    <w:pPr>
      <w:keepNext/>
      <w:keepLines/>
      <w:spacing w:before="360" w:after="80" w:line="276" w:lineRule="auto"/>
      <w:ind w:left="720" w:hanging="360"/>
      <w:jc w:val="left"/>
      <w:outlineLvl w:val="1"/>
    </w:pPr>
    <w:rPr>
      <w:rFonts w:eastAsia="Arial" w:cs="Arial"/>
      <w:b/>
      <w:bCs/>
      <w:color w:val="4472C4" w:themeColor="accent1"/>
      <w:sz w:val="34"/>
      <w:szCs w:val="34"/>
      <w:lang w:eastAsia="en-GB"/>
    </w:rPr>
  </w:style>
  <w:style w:type="paragraph" w:styleId="Heading3">
    <w:name w:val="heading 3"/>
    <w:basedOn w:val="Normal"/>
    <w:link w:val="Heading3Char"/>
    <w:uiPriority w:val="9"/>
    <w:qFormat/>
    <w:rsid w:val="00BE2ED6"/>
    <w:pPr>
      <w:spacing w:before="100" w:beforeAutospacing="1" w:after="100" w:afterAutospacing="1"/>
      <w:outlineLvl w:val="2"/>
    </w:pPr>
    <w:rPr>
      <w:rFonts w:eastAsia="Times New Roman"/>
      <w:bCs/>
      <w:szCs w:val="27"/>
      <w:lang w:val="en-IN"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3974"/>
    <w:rPr>
      <w:rFonts w:eastAsia="Arial" w:cs="Arial"/>
      <w:color w:val="4472C4" w:themeColor="accent1"/>
      <w:sz w:val="40"/>
      <w:szCs w:val="40"/>
      <w:lang w:val="en-GB" w:eastAsia="en-GB"/>
    </w:rPr>
  </w:style>
  <w:style w:type="character" w:customStyle="1" w:styleId="Heading2Char">
    <w:name w:val="Heading 2 Char"/>
    <w:basedOn w:val="DefaultParagraphFont"/>
    <w:link w:val="Heading2"/>
    <w:uiPriority w:val="9"/>
    <w:rsid w:val="00603974"/>
    <w:rPr>
      <w:rFonts w:eastAsia="Arial" w:cs="Arial"/>
      <w:b/>
      <w:bCs/>
      <w:color w:val="4472C4" w:themeColor="accent1"/>
      <w:sz w:val="34"/>
      <w:szCs w:val="34"/>
      <w:lang w:val="en-GB" w:eastAsia="en-GB"/>
    </w:rPr>
  </w:style>
  <w:style w:type="character" w:customStyle="1" w:styleId="Heading3Char">
    <w:name w:val="Heading 3 Char"/>
    <w:basedOn w:val="DefaultParagraphFont"/>
    <w:link w:val="Heading3"/>
    <w:uiPriority w:val="9"/>
    <w:rsid w:val="00BE2ED6"/>
    <w:rPr>
      <w:rFonts w:eastAsia="Times New Roman"/>
      <w:bCs/>
      <w:szCs w:val="27"/>
      <w:lang w:eastAsia="en-GB"/>
    </w:rPr>
  </w:style>
  <w:style w:type="paragraph" w:styleId="Footer">
    <w:name w:val="footer"/>
    <w:basedOn w:val="Normal"/>
    <w:link w:val="FooterChar"/>
    <w:uiPriority w:val="99"/>
    <w:unhideWhenUsed/>
    <w:rsid w:val="00C81043"/>
    <w:pPr>
      <w:tabs>
        <w:tab w:val="center" w:pos="4513"/>
        <w:tab w:val="right" w:pos="9026"/>
      </w:tabs>
    </w:pPr>
  </w:style>
  <w:style w:type="character" w:customStyle="1" w:styleId="FooterChar">
    <w:name w:val="Footer Char"/>
    <w:basedOn w:val="DefaultParagraphFont"/>
    <w:link w:val="Footer"/>
    <w:uiPriority w:val="99"/>
    <w:rsid w:val="00C81043"/>
    <w:rPr>
      <w:lang w:val="en-GB"/>
    </w:rPr>
  </w:style>
  <w:style w:type="character" w:styleId="PageNumber">
    <w:name w:val="page number"/>
    <w:basedOn w:val="DefaultParagraphFont"/>
    <w:uiPriority w:val="99"/>
    <w:semiHidden/>
    <w:unhideWhenUsed/>
    <w:rsid w:val="00C81043"/>
  </w:style>
  <w:style w:type="paragraph" w:styleId="Title">
    <w:name w:val="Title"/>
    <w:basedOn w:val="Normal"/>
    <w:next w:val="Normal"/>
    <w:link w:val="TitleChar"/>
    <w:uiPriority w:val="10"/>
    <w:qFormat/>
    <w:rsid w:val="00C81043"/>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1043"/>
    <w:rPr>
      <w:rFonts w:asciiTheme="majorHAnsi" w:eastAsiaTheme="majorEastAsia" w:hAnsiTheme="majorHAnsi" w:cstheme="majorBidi"/>
      <w:spacing w:val="-10"/>
      <w:kern w:val="28"/>
      <w:sz w:val="56"/>
      <w:szCs w:val="56"/>
      <w:lang w:val="en-GB"/>
    </w:rPr>
  </w:style>
  <w:style w:type="paragraph" w:styleId="NormalWeb">
    <w:name w:val="Normal (Web)"/>
    <w:basedOn w:val="Normal"/>
    <w:uiPriority w:val="99"/>
    <w:unhideWhenUsed/>
    <w:rsid w:val="00C81043"/>
    <w:pPr>
      <w:spacing w:before="100" w:beforeAutospacing="1" w:after="100" w:afterAutospacing="1"/>
      <w:jc w:val="left"/>
    </w:pPr>
    <w:rPr>
      <w:rFonts w:ascii="Times New Roman" w:eastAsia="Times New Roman" w:hAnsi="Times New Roman"/>
      <w:lang w:val="en-IN" w:eastAsia="en-GB"/>
    </w:rPr>
  </w:style>
  <w:style w:type="character" w:styleId="Strong">
    <w:name w:val="Strong"/>
    <w:basedOn w:val="DefaultParagraphFont"/>
    <w:uiPriority w:val="22"/>
    <w:qFormat/>
    <w:rsid w:val="00C81043"/>
    <w:rPr>
      <w:b/>
      <w:bCs/>
    </w:rPr>
  </w:style>
  <w:style w:type="paragraph" w:styleId="TOCHeading">
    <w:name w:val="TOC Heading"/>
    <w:basedOn w:val="Heading1"/>
    <w:next w:val="Normal"/>
    <w:uiPriority w:val="39"/>
    <w:unhideWhenUsed/>
    <w:qFormat/>
    <w:rsid w:val="00336F65"/>
    <w:pPr>
      <w:spacing w:before="480" w:after="0"/>
      <w:outlineLvl w:val="9"/>
    </w:pPr>
    <w:rPr>
      <w:rFonts w:asciiTheme="majorHAnsi" w:eastAsiaTheme="majorEastAsia" w:hAnsiTheme="majorHAnsi" w:cstheme="majorBidi"/>
      <w:b/>
      <w:bCs/>
      <w:color w:val="2F5496" w:themeColor="accent1" w:themeShade="BF"/>
      <w:sz w:val="28"/>
      <w:szCs w:val="28"/>
      <w:lang w:val="en-US" w:eastAsia="en-US"/>
    </w:rPr>
  </w:style>
  <w:style w:type="paragraph" w:styleId="TOC1">
    <w:name w:val="toc 1"/>
    <w:basedOn w:val="Normal"/>
    <w:next w:val="Normal"/>
    <w:autoRedefine/>
    <w:uiPriority w:val="39"/>
    <w:unhideWhenUsed/>
    <w:rsid w:val="00336F65"/>
    <w:pPr>
      <w:spacing w:before="120"/>
      <w:jc w:val="left"/>
    </w:pPr>
    <w:rPr>
      <w:rFonts w:asciiTheme="minorHAnsi" w:hAnsiTheme="minorHAnsi" w:cstheme="minorHAnsi"/>
      <w:b/>
      <w:bCs/>
      <w:i/>
      <w:iCs/>
    </w:rPr>
  </w:style>
  <w:style w:type="paragraph" w:styleId="TOC3">
    <w:name w:val="toc 3"/>
    <w:basedOn w:val="Normal"/>
    <w:next w:val="Normal"/>
    <w:autoRedefine/>
    <w:uiPriority w:val="39"/>
    <w:unhideWhenUsed/>
    <w:rsid w:val="00336F65"/>
    <w:pPr>
      <w:ind w:left="480"/>
      <w:jc w:val="left"/>
    </w:pPr>
    <w:rPr>
      <w:rFonts w:asciiTheme="minorHAnsi" w:hAnsiTheme="minorHAnsi" w:cstheme="minorHAnsi"/>
      <w:sz w:val="20"/>
      <w:szCs w:val="20"/>
    </w:rPr>
  </w:style>
  <w:style w:type="paragraph" w:styleId="TOC2">
    <w:name w:val="toc 2"/>
    <w:basedOn w:val="Normal"/>
    <w:next w:val="Normal"/>
    <w:autoRedefine/>
    <w:uiPriority w:val="39"/>
    <w:unhideWhenUsed/>
    <w:rsid w:val="00336F65"/>
    <w:pPr>
      <w:spacing w:before="120"/>
      <w:ind w:left="240"/>
      <w:jc w:val="left"/>
    </w:pPr>
    <w:rPr>
      <w:rFonts w:asciiTheme="minorHAnsi" w:hAnsiTheme="minorHAnsi" w:cstheme="minorHAnsi"/>
      <w:b/>
      <w:bCs/>
      <w:sz w:val="22"/>
      <w:szCs w:val="22"/>
    </w:rPr>
  </w:style>
  <w:style w:type="character" w:styleId="Hyperlink">
    <w:name w:val="Hyperlink"/>
    <w:basedOn w:val="DefaultParagraphFont"/>
    <w:uiPriority w:val="99"/>
    <w:unhideWhenUsed/>
    <w:rsid w:val="00336F65"/>
    <w:rPr>
      <w:color w:val="0563C1" w:themeColor="hyperlink"/>
      <w:u w:val="single"/>
    </w:rPr>
  </w:style>
  <w:style w:type="paragraph" w:styleId="TOC4">
    <w:name w:val="toc 4"/>
    <w:basedOn w:val="Normal"/>
    <w:next w:val="Normal"/>
    <w:autoRedefine/>
    <w:uiPriority w:val="39"/>
    <w:semiHidden/>
    <w:unhideWhenUsed/>
    <w:rsid w:val="00336F65"/>
    <w:pPr>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336F65"/>
    <w:pPr>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336F65"/>
    <w:pPr>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336F65"/>
    <w:pPr>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336F65"/>
    <w:pPr>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336F65"/>
    <w:pPr>
      <w:ind w:left="1920"/>
      <w:jc w:val="left"/>
    </w:pPr>
    <w:rPr>
      <w:rFonts w:asciiTheme="minorHAnsi" w:hAnsiTheme="minorHAnsi" w:cstheme="minorHAnsi"/>
      <w:sz w:val="20"/>
      <w:szCs w:val="20"/>
    </w:rPr>
  </w:style>
  <w:style w:type="paragraph" w:customStyle="1" w:styleId="pdq2pgselectionanchorcontainer">
    <w:name w:val="pdq2pg_selectionanchorcontainer"/>
    <w:basedOn w:val="Normal"/>
    <w:rsid w:val="004C320B"/>
    <w:pPr>
      <w:spacing w:before="100" w:beforeAutospacing="1" w:after="100" w:afterAutospacing="1"/>
      <w:jc w:val="left"/>
    </w:pPr>
    <w:rPr>
      <w:rFonts w:ascii="Times New Roman" w:eastAsia="Times New Roman" w:hAnsi="Times New Roman"/>
      <w:lang w:val="en-IN" w:eastAsia="en-GB"/>
    </w:rPr>
  </w:style>
  <w:style w:type="character" w:styleId="Emphasis">
    <w:name w:val="Emphasis"/>
    <w:basedOn w:val="DefaultParagraphFont"/>
    <w:uiPriority w:val="20"/>
    <w:qFormat/>
    <w:rsid w:val="00133B62"/>
    <w:rPr>
      <w:i/>
      <w:iCs/>
    </w:rPr>
  </w:style>
  <w:style w:type="paragraph" w:styleId="ListParagraph">
    <w:name w:val="List Paragraph"/>
    <w:basedOn w:val="Normal"/>
    <w:uiPriority w:val="34"/>
    <w:qFormat/>
    <w:rsid w:val="00133B62"/>
    <w:pPr>
      <w:ind w:left="720"/>
      <w:contextualSpacing/>
    </w:pPr>
  </w:style>
  <w:style w:type="paragraph" w:styleId="Caption">
    <w:name w:val="caption"/>
    <w:basedOn w:val="Normal"/>
    <w:next w:val="Normal"/>
    <w:uiPriority w:val="35"/>
    <w:unhideWhenUsed/>
    <w:qFormat/>
    <w:rsid w:val="005A0940"/>
    <w:pPr>
      <w:spacing w:after="200"/>
    </w:pPr>
    <w:rPr>
      <w:i/>
      <w:iCs/>
      <w:color w:val="44546A" w:themeColor="text2"/>
      <w:sz w:val="18"/>
      <w:szCs w:val="18"/>
    </w:rPr>
  </w:style>
  <w:style w:type="table" w:styleId="TableGrid">
    <w:name w:val="Table Grid"/>
    <w:basedOn w:val="TableNormal"/>
    <w:uiPriority w:val="39"/>
    <w:rsid w:val="00112F6D"/>
    <w:rPr>
      <w:rFonts w:eastAsia="Arial" w:cs="Arial"/>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215098">
      <w:bodyDiv w:val="1"/>
      <w:marLeft w:val="0"/>
      <w:marRight w:val="0"/>
      <w:marTop w:val="0"/>
      <w:marBottom w:val="0"/>
      <w:divBdr>
        <w:top w:val="none" w:sz="0" w:space="0" w:color="auto"/>
        <w:left w:val="none" w:sz="0" w:space="0" w:color="auto"/>
        <w:bottom w:val="none" w:sz="0" w:space="0" w:color="auto"/>
        <w:right w:val="none" w:sz="0" w:space="0" w:color="auto"/>
      </w:divBdr>
    </w:div>
    <w:div w:id="707923386">
      <w:bodyDiv w:val="1"/>
      <w:marLeft w:val="0"/>
      <w:marRight w:val="0"/>
      <w:marTop w:val="0"/>
      <w:marBottom w:val="0"/>
      <w:divBdr>
        <w:top w:val="none" w:sz="0" w:space="0" w:color="auto"/>
        <w:left w:val="none" w:sz="0" w:space="0" w:color="auto"/>
        <w:bottom w:val="none" w:sz="0" w:space="0" w:color="auto"/>
        <w:right w:val="none" w:sz="0" w:space="0" w:color="auto"/>
      </w:divBdr>
    </w:div>
    <w:div w:id="809135665">
      <w:bodyDiv w:val="1"/>
      <w:marLeft w:val="0"/>
      <w:marRight w:val="0"/>
      <w:marTop w:val="0"/>
      <w:marBottom w:val="0"/>
      <w:divBdr>
        <w:top w:val="none" w:sz="0" w:space="0" w:color="auto"/>
        <w:left w:val="none" w:sz="0" w:space="0" w:color="auto"/>
        <w:bottom w:val="none" w:sz="0" w:space="0" w:color="auto"/>
        <w:right w:val="none" w:sz="0" w:space="0" w:color="auto"/>
      </w:divBdr>
    </w:div>
    <w:div w:id="871572446">
      <w:bodyDiv w:val="1"/>
      <w:marLeft w:val="0"/>
      <w:marRight w:val="0"/>
      <w:marTop w:val="0"/>
      <w:marBottom w:val="0"/>
      <w:divBdr>
        <w:top w:val="none" w:sz="0" w:space="0" w:color="auto"/>
        <w:left w:val="none" w:sz="0" w:space="0" w:color="auto"/>
        <w:bottom w:val="none" w:sz="0" w:space="0" w:color="auto"/>
        <w:right w:val="none" w:sz="0" w:space="0" w:color="auto"/>
      </w:divBdr>
    </w:div>
    <w:div w:id="874276508">
      <w:bodyDiv w:val="1"/>
      <w:marLeft w:val="0"/>
      <w:marRight w:val="0"/>
      <w:marTop w:val="0"/>
      <w:marBottom w:val="0"/>
      <w:divBdr>
        <w:top w:val="none" w:sz="0" w:space="0" w:color="auto"/>
        <w:left w:val="none" w:sz="0" w:space="0" w:color="auto"/>
        <w:bottom w:val="none" w:sz="0" w:space="0" w:color="auto"/>
        <w:right w:val="none" w:sz="0" w:space="0" w:color="auto"/>
      </w:divBdr>
    </w:div>
    <w:div w:id="1538813556">
      <w:bodyDiv w:val="1"/>
      <w:marLeft w:val="0"/>
      <w:marRight w:val="0"/>
      <w:marTop w:val="0"/>
      <w:marBottom w:val="0"/>
      <w:divBdr>
        <w:top w:val="none" w:sz="0" w:space="0" w:color="auto"/>
        <w:left w:val="none" w:sz="0" w:space="0" w:color="auto"/>
        <w:bottom w:val="none" w:sz="0" w:space="0" w:color="auto"/>
        <w:right w:val="none" w:sz="0" w:space="0" w:color="auto"/>
      </w:divBdr>
    </w:div>
    <w:div w:id="1567573159">
      <w:bodyDiv w:val="1"/>
      <w:marLeft w:val="0"/>
      <w:marRight w:val="0"/>
      <w:marTop w:val="0"/>
      <w:marBottom w:val="0"/>
      <w:divBdr>
        <w:top w:val="none" w:sz="0" w:space="0" w:color="auto"/>
        <w:left w:val="none" w:sz="0" w:space="0" w:color="auto"/>
        <w:bottom w:val="none" w:sz="0" w:space="0" w:color="auto"/>
        <w:right w:val="none" w:sz="0" w:space="0" w:color="auto"/>
      </w:divBdr>
    </w:div>
    <w:div w:id="1741248511">
      <w:bodyDiv w:val="1"/>
      <w:marLeft w:val="0"/>
      <w:marRight w:val="0"/>
      <w:marTop w:val="0"/>
      <w:marBottom w:val="0"/>
      <w:divBdr>
        <w:top w:val="none" w:sz="0" w:space="0" w:color="auto"/>
        <w:left w:val="none" w:sz="0" w:space="0" w:color="auto"/>
        <w:bottom w:val="none" w:sz="0" w:space="0" w:color="auto"/>
        <w:right w:val="none" w:sz="0" w:space="0" w:color="auto"/>
      </w:divBdr>
    </w:div>
    <w:div w:id="1911577443">
      <w:bodyDiv w:val="1"/>
      <w:marLeft w:val="0"/>
      <w:marRight w:val="0"/>
      <w:marTop w:val="0"/>
      <w:marBottom w:val="0"/>
      <w:divBdr>
        <w:top w:val="none" w:sz="0" w:space="0" w:color="auto"/>
        <w:left w:val="none" w:sz="0" w:space="0" w:color="auto"/>
        <w:bottom w:val="none" w:sz="0" w:space="0" w:color="auto"/>
        <w:right w:val="none" w:sz="0" w:space="0" w:color="auto"/>
      </w:divBdr>
    </w:div>
    <w:div w:id="1925340309">
      <w:bodyDiv w:val="1"/>
      <w:marLeft w:val="0"/>
      <w:marRight w:val="0"/>
      <w:marTop w:val="0"/>
      <w:marBottom w:val="0"/>
      <w:divBdr>
        <w:top w:val="none" w:sz="0" w:space="0" w:color="auto"/>
        <w:left w:val="none" w:sz="0" w:space="0" w:color="auto"/>
        <w:bottom w:val="none" w:sz="0" w:space="0" w:color="auto"/>
        <w:right w:val="none" w:sz="0" w:space="0" w:color="auto"/>
      </w:divBdr>
      <w:divsChild>
        <w:div w:id="1809930553">
          <w:marLeft w:val="0"/>
          <w:marRight w:val="0"/>
          <w:marTop w:val="0"/>
          <w:marBottom w:val="0"/>
          <w:divBdr>
            <w:top w:val="none" w:sz="0" w:space="0" w:color="auto"/>
            <w:left w:val="none" w:sz="0" w:space="0" w:color="auto"/>
            <w:bottom w:val="none" w:sz="0" w:space="0" w:color="auto"/>
            <w:right w:val="none" w:sz="0" w:space="0" w:color="auto"/>
          </w:divBdr>
          <w:divsChild>
            <w:div w:id="1478886476">
              <w:marLeft w:val="0"/>
              <w:marRight w:val="0"/>
              <w:marTop w:val="0"/>
              <w:marBottom w:val="0"/>
              <w:divBdr>
                <w:top w:val="none" w:sz="0" w:space="0" w:color="auto"/>
                <w:left w:val="none" w:sz="0" w:space="0" w:color="auto"/>
                <w:bottom w:val="none" w:sz="0" w:space="0" w:color="auto"/>
                <w:right w:val="none" w:sz="0" w:space="0" w:color="auto"/>
              </w:divBdr>
              <w:divsChild>
                <w:div w:id="987855316">
                  <w:marLeft w:val="0"/>
                  <w:marRight w:val="0"/>
                  <w:marTop w:val="0"/>
                  <w:marBottom w:val="0"/>
                  <w:divBdr>
                    <w:top w:val="none" w:sz="0" w:space="0" w:color="auto"/>
                    <w:left w:val="none" w:sz="0" w:space="0" w:color="auto"/>
                    <w:bottom w:val="none" w:sz="0" w:space="0" w:color="auto"/>
                    <w:right w:val="none" w:sz="0" w:space="0" w:color="auto"/>
                  </w:divBdr>
                  <w:divsChild>
                    <w:div w:id="33162358">
                      <w:marLeft w:val="0"/>
                      <w:marRight w:val="0"/>
                      <w:marTop w:val="0"/>
                      <w:marBottom w:val="0"/>
                      <w:divBdr>
                        <w:top w:val="none" w:sz="0" w:space="0" w:color="auto"/>
                        <w:left w:val="none" w:sz="0" w:space="0" w:color="auto"/>
                        <w:bottom w:val="none" w:sz="0" w:space="0" w:color="auto"/>
                        <w:right w:val="none" w:sz="0" w:space="0" w:color="auto"/>
                      </w:divBdr>
                      <w:divsChild>
                        <w:div w:id="1710957597">
                          <w:marLeft w:val="0"/>
                          <w:marRight w:val="0"/>
                          <w:marTop w:val="0"/>
                          <w:marBottom w:val="0"/>
                          <w:divBdr>
                            <w:top w:val="none" w:sz="0" w:space="0" w:color="auto"/>
                            <w:left w:val="none" w:sz="0" w:space="0" w:color="auto"/>
                            <w:bottom w:val="none" w:sz="0" w:space="0" w:color="auto"/>
                            <w:right w:val="none" w:sz="0" w:space="0" w:color="auto"/>
                          </w:divBdr>
                          <w:divsChild>
                            <w:div w:id="1947151649">
                              <w:marLeft w:val="0"/>
                              <w:marRight w:val="0"/>
                              <w:marTop w:val="0"/>
                              <w:marBottom w:val="0"/>
                              <w:divBdr>
                                <w:top w:val="none" w:sz="0" w:space="0" w:color="auto"/>
                                <w:left w:val="none" w:sz="0" w:space="0" w:color="auto"/>
                                <w:bottom w:val="none" w:sz="0" w:space="0" w:color="auto"/>
                                <w:right w:val="none" w:sz="0" w:space="0" w:color="auto"/>
                              </w:divBdr>
                              <w:divsChild>
                                <w:div w:id="546768295">
                                  <w:marLeft w:val="0"/>
                                  <w:marRight w:val="0"/>
                                  <w:marTop w:val="0"/>
                                  <w:marBottom w:val="0"/>
                                  <w:divBdr>
                                    <w:top w:val="none" w:sz="0" w:space="0" w:color="auto"/>
                                    <w:left w:val="none" w:sz="0" w:space="0" w:color="auto"/>
                                    <w:bottom w:val="none" w:sz="0" w:space="0" w:color="auto"/>
                                    <w:right w:val="none" w:sz="0" w:space="0" w:color="auto"/>
                                  </w:divBdr>
                                  <w:divsChild>
                                    <w:div w:id="1816220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616351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vale.com/sustainability?utm_source=chatgpt.com"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sdgs.un.org/goals/goal12?utm_source=chatgpt.com" TargetMode="External"/><Relationship Id="rId2" Type="http://schemas.openxmlformats.org/officeDocument/2006/relationships/numbering" Target="numbering.xml"/><Relationship Id="rId16" Type="http://schemas.openxmlformats.org/officeDocument/2006/relationships/hyperlink" Target="https://hbr.org/2011/01/the-big-idea-creating-shared-value?utm_source=chatgpt.com" TargetMode="External"/><Relationship Id="rId20" Type="http://schemas.openxmlformats.org/officeDocument/2006/relationships/hyperlink" Target="https://openai.com/chatgpt?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pearson.com/en-us/subject-catalog/p/principles-ofmarketing/P200000009859?view=educator&amp;utm_source=chatgpt.com" TargetMode="External"/><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hyperlink" Target="https://worldsteel.org/wider-sustainability/sustainability-indicators/sustainability-indicators-report-2025/?utm_source=chatgpt.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ambridge.org/about-us/annual-report?utm_source=chatgpt.com"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57C57A-29DE-B548-9E11-FDC46FAF0E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309</TotalTime>
  <Pages>17</Pages>
  <Words>3853</Words>
  <Characters>21968</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Rajesh Jain</dc:creator>
  <cp:keywords/>
  <dc:description/>
  <cp:lastModifiedBy>kathan joshi</cp:lastModifiedBy>
  <cp:revision>11</cp:revision>
  <dcterms:created xsi:type="dcterms:W3CDTF">2026-07-15T17:36:00Z</dcterms:created>
  <dcterms:modified xsi:type="dcterms:W3CDTF">2026-07-23T09:48:00Z</dcterms:modified>
</cp:coreProperties>
</file>