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5E1D3" w14:textId="77777777" w:rsidR="002A64A5" w:rsidRDefault="002A64A5" w:rsidP="002A64A5">
      <w:pPr>
        <w:spacing w:after="100" w:afterAutospacing="1" w:line="240" w:lineRule="auto"/>
        <w:jc w:val="center"/>
        <w:textAlignment w:val="center"/>
        <w:outlineLvl w:val="0"/>
        <w:rPr>
          <w:rStyle w:val="Hyperlink"/>
          <w:rFonts w:ascii="Helvetica Neue" w:eastAsia="Times New Roman" w:hAnsi="Helvetica Neue" w:cs="Times New Roman"/>
          <w:color w:val="404040" w:themeColor="text1" w:themeTint="BF"/>
          <w:sz w:val="23"/>
          <w:szCs w:val="23"/>
          <w:shd w:val="clear" w:color="auto" w:fill="FBF7F5"/>
          <w:lang w:val="en-ID"/>
        </w:rPr>
      </w:pPr>
      <w:hyperlink r:id="rId9" w:history="1">
        <w:r>
          <w:rPr>
            <w:rStyle w:val="Hyperlink"/>
            <w:rFonts w:ascii="Times New Roman" w:eastAsia="Times New Roman" w:hAnsi="Times New Roman" w:cs="Times New Roman"/>
            <w:color w:val="404040" w:themeColor="text1" w:themeTint="BF"/>
            <w:kern w:val="36"/>
            <w:sz w:val="24"/>
            <w:szCs w:val="24"/>
            <w:shd w:val="clear" w:color="auto" w:fill="FBF7F5"/>
            <w:lang w:val="en-ID"/>
          </w:rPr>
          <w:t>From Patriarchs to Prophets: Reading and Reception (HPRS 7015)</w:t>
        </w:r>
      </w:hyperlink>
    </w:p>
    <w:p w14:paraId="7AB50768" w14:textId="77777777" w:rsidR="002A64A5" w:rsidRDefault="002A64A5" w:rsidP="002A64A5">
      <w:pPr>
        <w:spacing w:after="0" w:line="240" w:lineRule="auto"/>
        <w:rPr>
          <w:rFonts w:ascii="Times New Roman" w:hAnsi="Times New Roman"/>
          <w:sz w:val="24"/>
          <w:szCs w:val="24"/>
        </w:rPr>
      </w:pPr>
    </w:p>
    <w:p w14:paraId="0DEA23FC" w14:textId="77777777" w:rsidR="002A64A5" w:rsidRDefault="002A64A5" w:rsidP="002A64A5">
      <w:pPr>
        <w:shd w:val="clear" w:color="auto" w:fill="FFFFFF"/>
        <w:spacing w:after="0" w:line="240" w:lineRule="auto"/>
        <w:ind w:left="-360"/>
        <w:rPr>
          <w:rFonts w:ascii="Times New Roman" w:eastAsia="Times New Roman" w:hAnsi="Times New Roman" w:cstheme="minorHAnsi"/>
          <w:color w:val="404040" w:themeColor="text1" w:themeTint="BF"/>
          <w:kern w:val="36"/>
          <w:sz w:val="24"/>
          <w:szCs w:val="24"/>
          <w:lang w:val="en-ID"/>
        </w:rPr>
      </w:pPr>
    </w:p>
    <w:p w14:paraId="6A73301E" w14:textId="77777777" w:rsidR="002A64A5" w:rsidRDefault="002A64A5" w:rsidP="002A64A5">
      <w:pPr>
        <w:shd w:val="clear" w:color="auto" w:fill="FFFFFF"/>
        <w:spacing w:after="0" w:line="240" w:lineRule="auto"/>
        <w:jc w:val="center"/>
        <w:rPr>
          <w:rFonts w:ascii="Times New Roman" w:eastAsia="Times New Roman" w:hAnsi="Times New Roman" w:cstheme="minorHAnsi"/>
          <w:color w:val="404040" w:themeColor="text1" w:themeTint="BF"/>
          <w:kern w:val="36"/>
          <w:sz w:val="24"/>
          <w:szCs w:val="24"/>
          <w:lang w:val="en-ID"/>
        </w:rPr>
      </w:pPr>
      <w:r>
        <w:rPr>
          <w:rFonts w:ascii="Times New Roman" w:eastAsia="Times New Roman" w:hAnsi="Times New Roman" w:cstheme="minorHAnsi"/>
          <w:color w:val="404040" w:themeColor="text1" w:themeTint="BF"/>
          <w:kern w:val="36"/>
          <w:sz w:val="24"/>
          <w:szCs w:val="24"/>
          <w:lang w:val="en-ID"/>
        </w:rPr>
        <w:t>Assessment Two</w:t>
      </w:r>
    </w:p>
    <w:p w14:paraId="6009EA3B" w14:textId="77777777" w:rsidR="002A64A5" w:rsidRDefault="002A64A5" w:rsidP="002A64A5">
      <w:pPr>
        <w:shd w:val="clear" w:color="auto" w:fill="FFFFFF"/>
        <w:spacing w:after="0" w:line="240" w:lineRule="auto"/>
        <w:jc w:val="center"/>
        <w:rPr>
          <w:rFonts w:ascii="Times New Roman" w:eastAsia="Times New Roman" w:hAnsi="Times New Roman" w:cstheme="minorHAnsi"/>
          <w:color w:val="404040" w:themeColor="text1" w:themeTint="BF"/>
          <w:kern w:val="36"/>
          <w:sz w:val="24"/>
          <w:szCs w:val="24"/>
          <w:lang w:val="en-ID"/>
        </w:rPr>
      </w:pPr>
      <w:r>
        <w:rPr>
          <w:rFonts w:ascii="Times New Roman" w:eastAsia="Times New Roman" w:hAnsi="Times New Roman" w:cstheme="minorHAnsi"/>
          <w:color w:val="404040" w:themeColor="text1" w:themeTint="BF"/>
          <w:kern w:val="36"/>
          <w:sz w:val="24"/>
          <w:szCs w:val="24"/>
          <w:lang w:val="en-ID"/>
        </w:rPr>
        <w:t>10 December 2021</w:t>
      </w:r>
    </w:p>
    <w:p w14:paraId="776BB285"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p>
    <w:p w14:paraId="79AC9764"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p>
    <w:p w14:paraId="6D38D9ED"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r>
        <w:rPr>
          <w:rFonts w:ascii="Times New Roman" w:eastAsia="Times New Roman" w:hAnsi="Times New Roman" w:cstheme="minorHAnsi"/>
          <w:color w:val="404040" w:themeColor="text1" w:themeTint="BF"/>
          <w:kern w:val="36"/>
          <w:sz w:val="24"/>
          <w:szCs w:val="24"/>
          <w:lang w:val="en-ID"/>
        </w:rPr>
        <w:t xml:space="preserve">By </w:t>
      </w:r>
    </w:p>
    <w:p w14:paraId="390D4A04"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r>
        <w:rPr>
          <w:rFonts w:ascii="Times New Roman" w:eastAsia="Times New Roman" w:hAnsi="Times New Roman" w:cstheme="minorHAnsi"/>
          <w:color w:val="404040" w:themeColor="text1" w:themeTint="BF"/>
          <w:kern w:val="36"/>
          <w:sz w:val="24"/>
          <w:szCs w:val="24"/>
          <w:lang w:val="en-ID"/>
        </w:rPr>
        <w:t>Asher Tauran</w:t>
      </w:r>
    </w:p>
    <w:p w14:paraId="4DDD4B1A"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r>
        <w:rPr>
          <w:rFonts w:ascii="Times New Roman" w:eastAsia="Times New Roman" w:hAnsi="Times New Roman" w:cstheme="minorHAnsi"/>
          <w:color w:val="404040" w:themeColor="text1" w:themeTint="BF"/>
          <w:kern w:val="36"/>
          <w:sz w:val="24"/>
          <w:szCs w:val="24"/>
          <w:lang w:val="en-ID"/>
        </w:rPr>
        <w:t>Student number 1904355</w:t>
      </w:r>
    </w:p>
    <w:p w14:paraId="3D970182"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p>
    <w:p w14:paraId="6521A2A1" w14:textId="77777777" w:rsidR="002A64A5" w:rsidRDefault="002A64A5" w:rsidP="002A64A5">
      <w:pPr>
        <w:shd w:val="clear" w:color="auto" w:fill="FFFFFF"/>
        <w:spacing w:after="0" w:line="240" w:lineRule="auto"/>
        <w:ind w:left="-360"/>
        <w:jc w:val="center"/>
        <w:rPr>
          <w:rFonts w:ascii="Times New Roman" w:eastAsia="Times New Roman" w:hAnsi="Times New Roman" w:cstheme="minorHAnsi"/>
          <w:color w:val="404040" w:themeColor="text1" w:themeTint="BF"/>
          <w:kern w:val="36"/>
          <w:sz w:val="24"/>
          <w:szCs w:val="24"/>
          <w:lang w:val="en-ID"/>
        </w:rPr>
      </w:pPr>
    </w:p>
    <w:p w14:paraId="5668E27D" w14:textId="77777777" w:rsidR="002A64A5" w:rsidRDefault="002A64A5" w:rsidP="002A64A5">
      <w:pPr>
        <w:shd w:val="clear" w:color="auto" w:fill="FFFFFF"/>
        <w:tabs>
          <w:tab w:val="left" w:pos="5103"/>
        </w:tabs>
        <w:spacing w:after="0" w:line="240" w:lineRule="auto"/>
        <w:ind w:left="-360"/>
        <w:jc w:val="center"/>
        <w:rPr>
          <w:rFonts w:ascii="Times New Roman" w:eastAsia="Times New Roman" w:hAnsi="Times New Roman" w:cstheme="minorHAnsi"/>
          <w:color w:val="111111"/>
          <w:kern w:val="36"/>
          <w:sz w:val="24"/>
          <w:szCs w:val="24"/>
          <w:lang w:val="en-ID"/>
        </w:rPr>
      </w:pPr>
    </w:p>
    <w:p w14:paraId="10C5B3C0" w14:textId="77777777" w:rsidR="002A64A5" w:rsidRDefault="002A64A5" w:rsidP="002A64A5">
      <w:pPr>
        <w:jc w:val="center"/>
        <w:rPr>
          <w:rFonts w:cstheme="minorHAnsi"/>
        </w:rPr>
      </w:pPr>
      <w:r>
        <w:rPr>
          <w:rStyle w:val="normaltextrun"/>
          <w:rFonts w:cstheme="minorHAnsi"/>
          <w:color w:val="373A3C"/>
          <w:shd w:val="clear" w:color="auto" w:fill="FFFFFF"/>
        </w:rPr>
        <w:t>Characteristics and reception of Isaac and the evaluation and critique of material relating to the reception of the patriarchs as portrayed in culture</w:t>
      </w:r>
    </w:p>
    <w:p w14:paraId="0B8D742A" w14:textId="77777777" w:rsidR="002A64A5" w:rsidRDefault="002A64A5" w:rsidP="002A64A5"/>
    <w:p w14:paraId="4CAE3790" w14:textId="77777777" w:rsidR="002A64A5" w:rsidRDefault="002A64A5" w:rsidP="002A64A5"/>
    <w:p w14:paraId="52967404" w14:textId="77777777" w:rsidR="002A64A5" w:rsidRDefault="002A64A5" w:rsidP="002A64A5"/>
    <w:p w14:paraId="70ED9C16" w14:textId="77777777" w:rsidR="002A64A5" w:rsidRDefault="002A64A5" w:rsidP="002A64A5"/>
    <w:p w14:paraId="6689E1A4" w14:textId="77777777" w:rsidR="002A64A5" w:rsidRDefault="002A64A5" w:rsidP="002A64A5"/>
    <w:p w14:paraId="52A22EE9" w14:textId="77777777" w:rsidR="002A64A5" w:rsidRDefault="002A64A5" w:rsidP="002A64A5"/>
    <w:p w14:paraId="32EE94C9" w14:textId="77777777" w:rsidR="002A64A5" w:rsidRDefault="002A64A5" w:rsidP="002A64A5"/>
    <w:p w14:paraId="05CEAB54" w14:textId="77777777" w:rsidR="002A64A5" w:rsidRDefault="002A64A5" w:rsidP="002A64A5"/>
    <w:p w14:paraId="648F73DB" w14:textId="77777777" w:rsidR="002A64A5" w:rsidRDefault="002A64A5" w:rsidP="002A64A5"/>
    <w:p w14:paraId="6E5C7731" w14:textId="77777777" w:rsidR="002A64A5" w:rsidRDefault="002A64A5" w:rsidP="002A64A5"/>
    <w:p w14:paraId="6C557C73" w14:textId="77777777" w:rsidR="002A64A5" w:rsidRDefault="002A64A5" w:rsidP="002A64A5"/>
    <w:p w14:paraId="2694261D" w14:textId="77777777" w:rsidR="002A64A5" w:rsidRDefault="002A64A5" w:rsidP="002A64A5"/>
    <w:p w14:paraId="1C86F463" w14:textId="77777777" w:rsidR="002A64A5" w:rsidRDefault="002A64A5" w:rsidP="002A64A5"/>
    <w:p w14:paraId="005A493E" w14:textId="77777777" w:rsidR="002A64A5" w:rsidRDefault="002A64A5" w:rsidP="002A64A5"/>
    <w:p w14:paraId="22B889BF" w14:textId="77777777" w:rsidR="002A64A5" w:rsidRDefault="002A64A5" w:rsidP="002A64A5"/>
    <w:p w14:paraId="1C891D09" w14:textId="77777777" w:rsidR="002A64A5" w:rsidRDefault="002A64A5" w:rsidP="002A64A5"/>
    <w:p w14:paraId="532BB06B" w14:textId="77777777" w:rsidR="002A64A5" w:rsidRDefault="002A64A5" w:rsidP="002A64A5"/>
    <w:p w14:paraId="4E1BE405" w14:textId="77777777" w:rsidR="002A64A5" w:rsidRDefault="002A64A5" w:rsidP="002A64A5"/>
    <w:p w14:paraId="1F0763EB" w14:textId="77777777" w:rsidR="002A64A5" w:rsidRDefault="002A64A5" w:rsidP="002A64A5">
      <w:pPr>
        <w:rPr>
          <w:b/>
          <w:bCs/>
        </w:rPr>
      </w:pPr>
    </w:p>
    <w:p w14:paraId="7990E883" w14:textId="77777777" w:rsidR="002A64A5" w:rsidRDefault="002A64A5" w:rsidP="002A64A5">
      <w:pPr>
        <w:rPr>
          <w:b/>
          <w:bCs/>
        </w:rPr>
      </w:pPr>
      <w:r>
        <w:rPr>
          <w:b/>
          <w:bCs/>
        </w:rPr>
        <w:lastRenderedPageBreak/>
        <w:t>Introduction</w:t>
      </w:r>
    </w:p>
    <w:p w14:paraId="4734E7FE" w14:textId="77777777" w:rsidR="002A64A5" w:rsidRDefault="002A64A5" w:rsidP="002A64A5">
      <w:pPr>
        <w:rPr>
          <w:b/>
          <w:bCs/>
        </w:rPr>
      </w:pPr>
    </w:p>
    <w:p w14:paraId="53B4E599" w14:textId="77777777" w:rsidR="002A64A5" w:rsidRDefault="002A64A5" w:rsidP="002A64A5">
      <w:pPr>
        <w:spacing w:after="0" w:line="360" w:lineRule="auto"/>
        <w:ind w:firstLine="720"/>
        <w:jc w:val="both"/>
      </w:pPr>
      <w:r>
        <w:t xml:space="preserve">The focus of this paper is on the characteristics of the stories of the patriarchs as described in the Christian Bible and how these stories have been portrayed in several biblical commentaries. Recurrent in the narrations of the patriarchs are the divine promise (Abrahamic blessing), the patriarchal obedience and the sacrificial system. As we will see, in pursuit of the divine blessings, the patriarchs, the matriarchs and their offspring often put obedience to God, first, even at the expense of human ethics and moral. In doing so, many followers of the Christian faith have struggled in the past and are struggling even today to justify the actions of the patriarchs and their families as mentioned in the book of Genesis. The alleged impunity has resulted in many followers of the Christian faith to treat the patriarchic stories ambiguously. One could question whether the patriarchs are worthy of the sacrosanct respect they find in many church sermons or liturgies. Others on the other hand, including followers of the followers of Rabbanic traditions praise these immoral and unethical actions of the patriarchs exactly for the same reason, as a token of their unconditional obedience to God. Secondary sources on the other hand, offer alternative perspectives on the issue of obedience. These sources indicate that the immoral and unethical actions of the patriarchs are not necessarily condoned by God. In fact, the biblical sources suggest a ‘neutral’ God. These secondary sources often suggest that the stories of the patriarchs in fact hold an element of retribution or ‘karma’. In other words, the perpetrators of unethical and immoral behavior will eventually find (divine) reckoning for their transgressions. </w:t>
      </w:r>
    </w:p>
    <w:p w14:paraId="5DD8EEC1" w14:textId="77777777" w:rsidR="002A64A5" w:rsidRDefault="002A64A5" w:rsidP="002A64A5">
      <w:pPr>
        <w:spacing w:after="0" w:line="360" w:lineRule="auto"/>
        <w:ind w:firstLine="720"/>
        <w:jc w:val="both"/>
      </w:pPr>
      <w:r>
        <w:t xml:space="preserve">The first part of the paper as mentioned above is about biblical interpretation and focusses on the ways biblical texts are understood in commentaries and theological writings. The second part on the other hand deals with the reception history of the bible or how these stories of the patriarchs have influenced different public spheres throughout history. As these spheres are limitless, the paper tries to focus primarily on what impact the patriarchal text has had on the iconography (primarily paintings) during the Renaissance in Italy. </w:t>
      </w:r>
    </w:p>
    <w:p w14:paraId="664C4996" w14:textId="77777777" w:rsidR="002A64A5" w:rsidRDefault="002A64A5" w:rsidP="002A64A5">
      <w:pPr>
        <w:spacing w:line="360" w:lineRule="auto"/>
        <w:ind w:firstLine="720"/>
        <w:jc w:val="both"/>
      </w:pPr>
    </w:p>
    <w:p w14:paraId="17AFF9C7" w14:textId="77777777" w:rsidR="002A64A5" w:rsidRDefault="002A64A5" w:rsidP="002A64A5">
      <w:pPr>
        <w:spacing w:line="360" w:lineRule="auto"/>
        <w:jc w:val="both"/>
      </w:pPr>
    </w:p>
    <w:p w14:paraId="550E0B8D" w14:textId="77777777" w:rsidR="002A64A5" w:rsidRDefault="002A64A5" w:rsidP="002A64A5">
      <w:pPr>
        <w:spacing w:line="360" w:lineRule="auto"/>
        <w:jc w:val="both"/>
      </w:pPr>
    </w:p>
    <w:p w14:paraId="16DE0C46" w14:textId="77777777" w:rsidR="002A64A5" w:rsidRDefault="002A64A5" w:rsidP="002A64A5">
      <w:pPr>
        <w:spacing w:line="360" w:lineRule="auto"/>
        <w:jc w:val="both"/>
      </w:pPr>
    </w:p>
    <w:p w14:paraId="5F898A0E" w14:textId="77777777" w:rsidR="002A64A5" w:rsidRDefault="002A64A5" w:rsidP="002A64A5">
      <w:pPr>
        <w:spacing w:line="360" w:lineRule="auto"/>
        <w:jc w:val="both"/>
      </w:pPr>
    </w:p>
    <w:p w14:paraId="3A8236DE" w14:textId="77777777" w:rsidR="002A64A5" w:rsidRDefault="002A64A5" w:rsidP="002A64A5">
      <w:pPr>
        <w:spacing w:line="360" w:lineRule="auto"/>
        <w:jc w:val="both"/>
        <w:rPr>
          <w:b/>
          <w:bCs/>
        </w:rPr>
      </w:pPr>
      <w:r>
        <w:rPr>
          <w:b/>
          <w:bCs/>
        </w:rPr>
        <w:lastRenderedPageBreak/>
        <w:t>The biblical portrayal of Isaac in Genesis in relation to Abraham and Jacob</w:t>
      </w:r>
    </w:p>
    <w:p w14:paraId="307FBF30" w14:textId="77777777" w:rsidR="002A64A5" w:rsidRDefault="002A64A5" w:rsidP="002A64A5">
      <w:pPr>
        <w:spacing w:line="360" w:lineRule="auto"/>
        <w:jc w:val="both"/>
        <w:rPr>
          <w:b/>
          <w:bCs/>
        </w:rPr>
      </w:pPr>
    </w:p>
    <w:p w14:paraId="2FD6546D" w14:textId="77777777" w:rsidR="002A64A5" w:rsidRDefault="002A64A5" w:rsidP="002A64A5">
      <w:pPr>
        <w:spacing w:after="0" w:line="360" w:lineRule="auto"/>
        <w:ind w:firstLine="720"/>
        <w:jc w:val="both"/>
      </w:pPr>
      <w:r>
        <w:t>Although Isaac is part of the trio most prominent Patriarchs of the Hebrew and Christian Bible, the book of Isaac seems to be, in terms of chronology primarily transitional linking the more influential patriarchs, Abraham and Jacob. Nonetheless, the Isaac narrative is pivotal for the explicit divine blessing he received in Gen. 26:2-5 and Gen.26:24 and for the blessing he passed on to his son Jacob (Gen 27:27, 28:1-4). The patriarchal promise of divine blessing constitutes ‘the first words Gods says to Abraham in Gen. 12:1-3 and the last words that God says to Moses in Deut. 34:4 and it is found not only in Genesis but in all five books of the Pentateuch’.</w:t>
      </w:r>
      <w:r>
        <w:rPr>
          <w:rStyle w:val="FootnoteReference"/>
        </w:rPr>
        <w:footnoteReference w:id="1"/>
      </w:r>
      <w:r>
        <w:t xml:space="preserve"> Joel S. Baden, describes the patriarchal promise as consisting of two interdependent elements of progeny and land, and together with the obedience to God and the sacrificial system, form the backbone of the Pentateuchal narrative. Before Isaacs divine covenant (Gen. 26:2-5, 26:24) Abraham receives the patriarchal promise in Gen. 12:1-3, 13:14-17, 15:5,18-21 and 17: 4-19 and Jacob receives the divine covenant three times, Gen. 28:13, 35:11 and 46:3. Furthermore, Baden in his ‘The promise to the Patriarchs he extensively scrutinizes the validity of the sources of each of the divine promises and concludes there are several ways to interpret the source material and a clear consensus among biblical scholars regarding these sources remains elusive.</w:t>
      </w:r>
    </w:p>
    <w:p w14:paraId="4C71B815" w14:textId="77777777" w:rsidR="002A64A5" w:rsidRDefault="002A64A5" w:rsidP="002A64A5">
      <w:pPr>
        <w:spacing w:after="0" w:line="360" w:lineRule="auto"/>
        <w:ind w:firstLine="720"/>
        <w:jc w:val="both"/>
      </w:pPr>
      <w:r>
        <w:t>Apart from his mentioned divine blessing, most of the time Isaac is portrayed in the biblical sources as the passive patriarch, a kind of acted upon anti-hero.</w:t>
      </w:r>
      <w:r>
        <w:rPr>
          <w:rStyle w:val="FootnoteReference"/>
        </w:rPr>
        <w:footnoteReference w:id="2"/>
      </w:r>
      <w:r>
        <w:t xml:space="preserve"> Except for Chapter 26, where he is an active protagonist, Isaac’s role is like a supporting actor to the main character, his wife Rebekah in Gen.24:45-67, 27:1-46. Lieve Teugels’ analysis of the role of Isaac in Gen. 24 illustrates this characteristic by noticing the relative anonymity of Isaac in this verse.</w:t>
      </w:r>
      <w:r>
        <w:rPr>
          <w:rStyle w:val="FootnoteReference"/>
        </w:rPr>
        <w:footnoteReference w:id="3"/>
      </w:r>
      <w:r>
        <w:t xml:space="preserve"> As Teugels points out, the narrator of Genesis 24 suggests that the name of Rebekah’s future husband (Isaac) is unknown to her family. In other words, Isaac’s character development is extremely limited and his absence in action and speech during large parts of this chapter, is even more peculiar as it concerns his own marriage. In fact, even during the most significant verse related to Isaac, in which he is deceived by his wife Rebekah and his younger son Jacob, Gen. 27., Isaac is portrayed as a feeble, unpretentious, and inactive victim. In fact, qualitative and quantitative wise the biblical Isaac story is limited compared to the Abraham and Jacob stories, which may indicate according to scholars like M. Noth, E. Blum, J. Welhaussen and H. Gunkel that the Abraham and </w:t>
      </w:r>
      <w:r>
        <w:lastRenderedPageBreak/>
        <w:t>Jacob stories have been preceding and superseding each other in canonical importance and chronology over the years of canonization of the Hebrew and Christian Bible.</w:t>
      </w:r>
      <w:r>
        <w:rPr>
          <w:rStyle w:val="FootnoteReference"/>
        </w:rPr>
        <w:footnoteReference w:id="4"/>
      </w:r>
    </w:p>
    <w:p w14:paraId="41AFD957" w14:textId="77777777" w:rsidR="002A64A5" w:rsidRDefault="002A64A5" w:rsidP="002A64A5">
      <w:pPr>
        <w:spacing w:after="0" w:line="360" w:lineRule="auto"/>
        <w:ind w:firstLine="720"/>
        <w:jc w:val="both"/>
      </w:pPr>
      <w:r>
        <w:t>Contrary to this view of a meek and passive Isaac in the book of Genesis is David J. Zucker’s theory of a cooperative Isaac in the so-called ‘Rebekah’s Hoax’.</w:t>
      </w:r>
      <w:r>
        <w:rPr>
          <w:rStyle w:val="FootnoteReference"/>
        </w:rPr>
        <w:footnoteReference w:id="5"/>
      </w:r>
      <w:r>
        <w:t xml:space="preserve"> In his theory the deceiver (Jacob) is deceived by a well-planned and well-kept secret plot concocted by his mother </w:t>
      </w:r>
      <w:r>
        <w:rPr>
          <w:i/>
          <w:iCs/>
        </w:rPr>
        <w:t>and</w:t>
      </w:r>
      <w:r>
        <w:t xml:space="preserve"> father, Rebekah, </w:t>
      </w:r>
      <w:r>
        <w:rPr>
          <w:i/>
          <w:iCs/>
        </w:rPr>
        <w:t xml:space="preserve">and </w:t>
      </w:r>
      <w:r>
        <w:t xml:space="preserve">Isaac. The plot in Genesis was a logical follow up on Rebekah’s rare (for a matriarch) divine revelation in Gen. 25:23. Zucker’s theory is based primarily on the reaction of both Isaac and Rebekah in the aftermath of the plot. Both seem to agree on what was expected by their God and acted accordingly, no sign of any remorse or ill feelings. </w:t>
      </w:r>
    </w:p>
    <w:p w14:paraId="1231C509" w14:textId="77777777" w:rsidR="002A64A5" w:rsidRDefault="002A64A5" w:rsidP="002A64A5">
      <w:pPr>
        <w:spacing w:after="0" w:line="360" w:lineRule="auto"/>
        <w:ind w:firstLine="720"/>
        <w:jc w:val="both"/>
      </w:pPr>
      <w:r>
        <w:t xml:space="preserve">In many ways the stories of the patriarchs Abraham, Isaac and Jacob contain similar themes and follow similar patterns with only some variations from a literary-historical point of view. For example, all three patriarchs left the promised land and lived in foreign countries. Plagued by severe famine in the land, Abraham went to Egypt (Gen. 12:10), Isaac for the same reason settled in Gerar, in the land of the Philistines while Jacob settles at first in Shechem, the land of Canaan (Gen. 33:18-35) and later in Goshen, Egypt (Gen. 47:1-12), furthermore, the journey in the story of Isaac (25:19-26:33) is essentially a ‘copy’ of the two journeys in the story of Abraham (12-13) and (19:30-21). </w:t>
      </w:r>
      <w:r>
        <w:rPr>
          <w:rStyle w:val="FootnoteReference"/>
        </w:rPr>
        <w:footnoteReference w:id="6"/>
      </w:r>
      <w:r>
        <w:t xml:space="preserve"> Also, like Abraham in relation to his wife Sarah in Genesis 12:10-20, Isaac ‘repeats his father’s untruthfulness about his wife, publicly declaring her to be his sister (Gen. 26:7-11)’. </w:t>
      </w:r>
      <w:r>
        <w:rPr>
          <w:rStyle w:val="FootnoteReference"/>
        </w:rPr>
        <w:footnoteReference w:id="7"/>
      </w:r>
      <w:r>
        <w:t xml:space="preserve"> Likewise, the story of the Sarah’s failure to produce any children in Genesis 16:1-16, allowing for Abraham to compensate Sarah’s infertility with Hagar, Sarah’s slave, matches the periodic infertilities and compensations of Jacob’s wives Leah and her sister Rachel and their respective slaves Bilhah and Zilpah. </w:t>
      </w:r>
    </w:p>
    <w:p w14:paraId="1A60A95D" w14:textId="77777777" w:rsidR="002A64A5" w:rsidRDefault="002A64A5" w:rsidP="002A64A5">
      <w:pPr>
        <w:spacing w:line="360" w:lineRule="auto"/>
        <w:ind w:firstLine="720"/>
        <w:jc w:val="both"/>
      </w:pPr>
    </w:p>
    <w:p w14:paraId="094E0604" w14:textId="77777777" w:rsidR="002A64A5" w:rsidRDefault="002A64A5" w:rsidP="002A64A5">
      <w:pPr>
        <w:spacing w:line="360" w:lineRule="auto"/>
        <w:jc w:val="both"/>
        <w:rPr>
          <w:b/>
          <w:bCs/>
        </w:rPr>
      </w:pPr>
      <w:r>
        <w:rPr>
          <w:b/>
          <w:bCs/>
        </w:rPr>
        <w:t>The Patriarchs and today’s perception of ethics, values and moral</w:t>
      </w:r>
    </w:p>
    <w:p w14:paraId="114987E5" w14:textId="77777777" w:rsidR="002A64A5" w:rsidRDefault="002A64A5" w:rsidP="002A64A5">
      <w:pPr>
        <w:spacing w:after="0" w:line="360" w:lineRule="auto"/>
        <w:ind w:firstLine="720"/>
        <w:jc w:val="both"/>
      </w:pPr>
      <w:r>
        <w:t xml:space="preserve">The representation of the stories of the Patriarchs in Genesis is plainly embarrassing, if not outright shocking in terms of present day ethics and moral. As Michael Matthew puts it, ‘the support and participation of the patriarchs for unethical practices directly undermine the conception of these </w:t>
      </w:r>
      <w:r>
        <w:lastRenderedPageBreak/>
        <w:t>patriarchs as paragon of virtues and faith by later religious traditions’.</w:t>
      </w:r>
      <w:r>
        <w:rPr>
          <w:rStyle w:val="FootnoteReference"/>
        </w:rPr>
        <w:footnoteReference w:id="8"/>
      </w:r>
      <w:r>
        <w:t xml:space="preserve"> In the story of Isaac, because of Isaac’s low profile presence and the limited character development as a result thereof, much of the unethical practice should be attributed to the matriarch of the story, Rebekah. </w:t>
      </w:r>
    </w:p>
    <w:p w14:paraId="4CEF17C2" w14:textId="77777777" w:rsidR="002A64A5" w:rsidRDefault="002A64A5" w:rsidP="002A64A5">
      <w:pPr>
        <w:spacing w:after="0" w:line="360" w:lineRule="auto"/>
        <w:ind w:firstLine="720"/>
        <w:jc w:val="both"/>
      </w:pPr>
      <w:r>
        <w:t>In the preceding story Abraham, the moral values and beliefs of the patriarch and matriarch were already seriously doubted. When Abraham fulfilled his wife Sarah’s wish to cast off his first-born son Ishmael and his slave mother Hagar (21:8-19), the reader of the story can only be in disbelief. But the preparedness of Abraham to commit a gruesome act of infanticide by preparing to slay his son Isaac on God’s command (22:1-19), makes any reader doubt not only the moral values of Abraham, but also the authenticity of God’s command.  Like Sarah’s role in the expulsion of Hagar and Ishmael, so too did Rebekah treat her son Esau. By denying Essau the blessing that was ‘stolen’ by Jacob minutes earlier and by stressing the blessing’s, irrevocability Isaac purposely or even shrewdly chose to side with Rebekah by obeying God’s will (Gen. 25:23). The fact that Isaac was unable (or unwilling) to undo his blessings given to Jacob in favor of Esau (Gen. 27:38-39) suggests that David J. Zucker’s analysis as described above could hold some truth. If so, then Isaacs ‘acting’ is even more cunning than the alleged initial scheming of Isaac’s wife Rebekah and both Isaac’s and Rebekah’s actions are outright morally repulsive in the world we live today (Gen. 27). In the third patriarch story of Genesis, Jacob’s way of interacting with his children was in comparison to his father Isaac and grandfather Abraham no less disturbing in terms of ethics and moral. When his daughter Dinah was raped by Shechem, the son of Hamor, the ruler of the area where Jacob set camp in the surroundings of the city Shechem, Jacob merely reprimanded his sons for pillaging and murdering the entire male population of the city. His concern were the consequences of these deceitful actions rather than the immorality of the act of revenge or the cruelty of the act itself (Gen. 34).</w:t>
      </w:r>
    </w:p>
    <w:p w14:paraId="0B6F56D4" w14:textId="77777777" w:rsidR="002A64A5" w:rsidRDefault="002A64A5" w:rsidP="002A64A5">
      <w:pPr>
        <w:spacing w:after="0" w:line="360" w:lineRule="auto"/>
        <w:ind w:firstLine="720"/>
        <w:jc w:val="both"/>
      </w:pPr>
      <w:r>
        <w:t xml:space="preserve">In today’s world, the Patriarchs repugnant deeds speaks volumes and yet all their horrific practices were covered with the cloak of charity by the God of the Patriarchs, or so it seems. As Nicolas King SJ notes, ‘the Patriarchs were following God’s command and their acts were seen as absolute obedience in the Book of Genesis </w:t>
      </w:r>
      <w:r>
        <w:rPr>
          <w:rFonts w:cstheme="minorHAnsi"/>
        </w:rPr>
        <w:t>and in the Rabbanic traditions, yet for moderns led by Kant and Kierkegaard, we shudder at these stories’.</w:t>
      </w:r>
      <w:r>
        <w:rPr>
          <w:rStyle w:val="FootnoteReference"/>
          <w:rFonts w:cstheme="minorHAnsi"/>
        </w:rPr>
        <w:footnoteReference w:id="9"/>
      </w:r>
      <w:r>
        <w:rPr>
          <w:rFonts w:cstheme="minorHAnsi"/>
        </w:rPr>
        <w:t xml:space="preserve">  </w:t>
      </w:r>
      <w:r>
        <w:rPr>
          <w:rFonts w:cstheme="minorHAnsi"/>
          <w:color w:val="000000"/>
          <w:shd w:val="clear" w:color="auto" w:fill="FFFFFF"/>
        </w:rPr>
        <w:t>Or as Michael Mathew states, ‘Interestingly, despite the problematic character of these preceding events in the patriarchal narratives, and its obvious conflicts with mosaic legislation, we do not see a divine thunderbolt or anger directed against these ethical misdemeanors. Rather, Yahweh is often represented as blessing these characters and appearing to tacitly support’.</w:t>
      </w:r>
      <w:r>
        <w:rPr>
          <w:rStyle w:val="FootnoteReference"/>
          <w:rFonts w:cstheme="minorHAnsi"/>
          <w:color w:val="000000"/>
          <w:shd w:val="clear" w:color="auto" w:fill="FFFFFF"/>
        </w:rPr>
        <w:footnoteReference w:id="10"/>
      </w:r>
      <w:r>
        <w:rPr>
          <w:rFonts w:cstheme="minorHAnsi"/>
        </w:rPr>
        <w:t xml:space="preserve"> It seems therefore,  </w:t>
      </w:r>
      <w:r>
        <w:rPr>
          <w:rFonts w:cstheme="minorHAnsi"/>
        </w:rPr>
        <w:lastRenderedPageBreak/>
        <w:t xml:space="preserve">that in Genesis the ultimate human virtue is dictated by the level of obedience to God and that the reward lies in His divine blessing. In Gen. 22: 15-18 for example, Abraham is blessed for ‘passing God’s test’ of obedience, in Gen. 25:21-23 and Gen </w:t>
      </w:r>
      <w:r>
        <w:t xml:space="preserve">26:2-5, 24, Isaac and Rebekah are blessed and there is no prospect of divine sanction in the story of Isaac as he followed the will of the Lord. In fact, in </w:t>
      </w:r>
      <w:r>
        <w:rPr>
          <w:rFonts w:cstheme="minorHAnsi"/>
        </w:rPr>
        <w:t>Gen.28:12-15 Jacob is absolved of his deceitfulness by the Lord who appeared in his dream. Arguably both Rebekah and Jacob followed God’s will (Gen. 25:23) and consequently are being rewarded for it with the blessing of God. So too in Gen.</w:t>
      </w:r>
      <w:r>
        <w:t xml:space="preserve"> 35:9-11, which leaves no doubt about the perception that as long the patriarchs obeyed God, they would be able to count on God’s mercy.</w:t>
      </w:r>
    </w:p>
    <w:p w14:paraId="4962C554" w14:textId="77777777" w:rsidR="002A64A5" w:rsidRDefault="002A64A5" w:rsidP="002A64A5">
      <w:pPr>
        <w:spacing w:after="0" w:line="360" w:lineRule="auto"/>
        <w:ind w:firstLine="720"/>
        <w:jc w:val="both"/>
      </w:pPr>
      <w:r>
        <w:t>Above examples are just a few of many moral and ethical transgressions in the Book of Genesis, including Sarah’s blatant lie to God, Tamar’s deception of her father-in-law, Jacob’s children deceiving the Shechemites, Sarah’s mistreatment of Hagar, Laban’s exploitation of Jacob, Josephs brothers selling him into slavery, numerous instances of polycoity. But is it fair to judge the patriarchs by the ethics and moral standards of the modern period?  Secondary sources often point out that nothing is what it appears to be, when it comes to the issue of moral and ethics in the story of the patriarchs. For example, ‘the offering of the first-born son to God was not strange in Jewish tradition. (Exod. 22:29), yet in practice people were not asked to do so; they had to sacrifice an animal instead (Exod. 34:40: ‘you will save/redeem [with an animal sacrifice] all your first-born sons”), and so it happened.</w:t>
      </w:r>
      <w:r>
        <w:rPr>
          <w:rStyle w:val="FootnoteReference"/>
        </w:rPr>
        <w:footnoteReference w:id="11"/>
      </w:r>
      <w:r>
        <w:t xml:space="preserve"> Secondary sources often allow the reader to understand the different perspectives of the stories of the patriarchs, especially when the underlying customs of the Jewish people of the time of the narration are explained. Also, the role of the narrator of the stories of the Patriarchs should not be discounted. The narrator of the patriarchal stories usually does not explicitly pass judgement, but through his lens the reader can discern his or her values. What the reader cannot discern however, is the narrator’s familiarity of the customs and traditions he or she narrates about. The narrator may assume that these customs are known to his or her audience. As such it is with caution that the reader should pass judgement to the stories of the patriarch. </w:t>
      </w:r>
    </w:p>
    <w:p w14:paraId="6D38F7D6" w14:textId="77777777" w:rsidR="002A64A5" w:rsidRDefault="002A64A5" w:rsidP="002A64A5">
      <w:pPr>
        <w:spacing w:line="360" w:lineRule="auto"/>
        <w:jc w:val="both"/>
      </w:pPr>
    </w:p>
    <w:p w14:paraId="3D88C228" w14:textId="77777777" w:rsidR="002A64A5" w:rsidRDefault="002A64A5" w:rsidP="002A64A5">
      <w:pPr>
        <w:spacing w:line="360" w:lineRule="auto"/>
        <w:jc w:val="both"/>
        <w:rPr>
          <w:b/>
          <w:bCs/>
        </w:rPr>
      </w:pPr>
      <w:r>
        <w:rPr>
          <w:b/>
          <w:bCs/>
        </w:rPr>
        <w:t>The Patriarchs and how they have shaped subsequent historical periods?</w:t>
      </w:r>
    </w:p>
    <w:p w14:paraId="428D4449" w14:textId="77777777" w:rsidR="002A64A5" w:rsidRDefault="002A64A5" w:rsidP="002A64A5">
      <w:pPr>
        <w:spacing w:after="0" w:line="360" w:lineRule="auto"/>
        <w:ind w:firstLine="720"/>
        <w:jc w:val="both"/>
      </w:pPr>
      <w:r>
        <w:t xml:space="preserve">The previous paragraphs have focused on biblical sources and the way the patriarchal narratives are to be understood in commentaries and theological writing. This paragraph on the on the hand will focus primarily on the reception history of these narratives and what impact they have had in different spheres.  Biblical stories have influenced a wide range of public ‘spheres’ throughout history. For example </w:t>
      </w:r>
      <w:r>
        <w:lastRenderedPageBreak/>
        <w:t xml:space="preserve">in music, biblical inspired songs (excluding Christmas songs), in the seventies like ‘let it be’ of the Beatles (1973) or Boney M’s ‘By the rivers of Babylon’ (1978) or movies inspired by biblical stories like ‘Ben Hur’ (1959) and ‘Barabas’ (1961) and books inspired by biblical conspiracy theories like ‘Holy Blood and the Holy Grail’ (1982). It is simply impossible to list the endless amount of ‘public spheres’or ‘era’s’ and define them under one banner. Therefore, I will limit the area of this paper’s interest to iconography during the Renaissance in Italy and the influence the patriarchal narratives had on this specific field and era. Religious iconography refers to visual images of personages, events and objects in the bible and having it narrowed down to the patriarchs and Italy roughly between 1350 and 1600, the focus will be on specific artefacts that will allow for better in-depth analysis. </w:t>
      </w:r>
    </w:p>
    <w:p w14:paraId="4081707F" w14:textId="77777777" w:rsidR="002A64A5" w:rsidRDefault="002A64A5" w:rsidP="002A64A5">
      <w:pPr>
        <w:spacing w:after="0" w:line="360" w:lineRule="auto"/>
        <w:ind w:firstLine="720"/>
        <w:jc w:val="both"/>
      </w:pPr>
      <w:r>
        <w:t>During the Renaissance, the Roman Catholic Church was very much involved in politics and as such, it had strong influence over the Papal States and Rome. The pope was as much a spiritual leader as well as a political and military one. The clergy’s extravaganza of those days, lay not only at the core of the protestant reformation movement, but the clergy’s excessive spending also spurred the commissioning of master pieces of master artists in painting, sculpture, architecture and music. The influence of the church became highly visible during this period. Finding biblical themes in the artefacts produced, was more rule than the exception and Renaissance Iconography as a result flourished. In combination with the revived interest in the classical period (Hellenism), in the biblical sphere, the study of the Septuagint and the Pentateuch gained traction juxtaposing the widely used ‘Vulgate’. Humanism became the buzzword and in arts this resulted in affinity in visual perfection. Science inspired arts, as we can see in the way how, for example Leonardo da Vinci used his knowledge and skills in anatomy to reproduce them sketches and paintings.</w:t>
      </w:r>
    </w:p>
    <w:p w14:paraId="40C59905" w14:textId="77777777" w:rsidR="002A64A5" w:rsidRDefault="002A64A5" w:rsidP="002A64A5">
      <w:pPr>
        <w:spacing w:after="0" w:line="360" w:lineRule="auto"/>
        <w:ind w:firstLine="720"/>
        <w:jc w:val="both"/>
      </w:pPr>
      <w:r>
        <w:t xml:space="preserve">In other word, paintings and sculpture were often commissioned by the Church and noblemen during the Italian Renaissance (Rinascimento). As a result, often, the themes requested were not surprisingly of biblical origin. </w:t>
      </w:r>
      <w:r>
        <w:rPr>
          <w:i/>
          <w:iCs/>
        </w:rPr>
        <w:t>The sacrifice of Isaac</w:t>
      </w:r>
      <w:r>
        <w:t xml:space="preserve"> (1603) by Caravaggio for example was commissioned by Cardinal Maffeo Barberini, who went on to become Pope Urban VIII.  The story of the patriarchs was often depicted by artists of the highest caliber, like Leonardo da Vinci, Botticelli, Raffael, Michelangelo and several others. The artist’s emphasis was on anatomical perfection and realism in bodily emotions and expressions. Giovanni Benedetto Castiglione painted various works covering the patriarchal stories like </w:t>
      </w:r>
      <w:r>
        <w:rPr>
          <w:i/>
          <w:iCs/>
        </w:rPr>
        <w:t xml:space="preserve">Jacob leading Flocks of Laban </w:t>
      </w:r>
      <w:r>
        <w:t xml:space="preserve">(c.a. 1632), Journey of Rebecca (c.a. 1637) and </w:t>
      </w:r>
      <w:r>
        <w:rPr>
          <w:i/>
          <w:iCs/>
        </w:rPr>
        <w:t>Abraham Journeying to the land of Canaan</w:t>
      </w:r>
      <w:r>
        <w:t xml:space="preserve"> and </w:t>
      </w:r>
      <w:r>
        <w:rPr>
          <w:i/>
          <w:iCs/>
        </w:rPr>
        <w:t>the sacrifice of Isaac</w:t>
      </w:r>
      <w:r>
        <w:t xml:space="preserve"> by Andrea del Sarto (1527).</w:t>
      </w:r>
    </w:p>
    <w:p w14:paraId="778C2955" w14:textId="77777777" w:rsidR="002A64A5" w:rsidRDefault="002A64A5" w:rsidP="002A64A5">
      <w:pPr>
        <w:spacing w:after="0" w:line="360" w:lineRule="auto"/>
        <w:ind w:firstLine="720"/>
        <w:jc w:val="both"/>
      </w:pPr>
    </w:p>
    <w:p w14:paraId="571A9DE2" w14:textId="77777777" w:rsidR="002A64A5" w:rsidRDefault="002A64A5" w:rsidP="002A64A5">
      <w:pPr>
        <w:spacing w:after="0" w:line="360" w:lineRule="auto"/>
        <w:jc w:val="both"/>
      </w:pPr>
    </w:p>
    <w:p w14:paraId="3327D89E" w14:textId="77777777" w:rsidR="002A64A5" w:rsidRDefault="002A64A5" w:rsidP="002A64A5">
      <w:pPr>
        <w:spacing w:after="0" w:line="360" w:lineRule="auto"/>
        <w:jc w:val="both"/>
        <w:rPr>
          <w:b/>
          <w:bCs/>
        </w:rPr>
      </w:pPr>
      <w:r w:rsidRPr="007C07DF">
        <w:rPr>
          <w:b/>
          <w:bCs/>
        </w:rPr>
        <w:lastRenderedPageBreak/>
        <w:t>Conclusion</w:t>
      </w:r>
    </w:p>
    <w:p w14:paraId="1AAE065C" w14:textId="77777777" w:rsidR="002A64A5" w:rsidRDefault="002A64A5" w:rsidP="002A64A5">
      <w:pPr>
        <w:spacing w:after="0" w:line="360" w:lineRule="auto"/>
        <w:jc w:val="both"/>
        <w:rPr>
          <w:b/>
          <w:bCs/>
        </w:rPr>
      </w:pPr>
    </w:p>
    <w:p w14:paraId="2136AC8C" w14:textId="77777777" w:rsidR="002A64A5" w:rsidRPr="007C07DF" w:rsidRDefault="002A64A5" w:rsidP="002A64A5">
      <w:pPr>
        <w:spacing w:after="0" w:line="360" w:lineRule="auto"/>
        <w:jc w:val="both"/>
      </w:pPr>
      <w:r>
        <w:rPr>
          <w:b/>
          <w:bCs/>
        </w:rPr>
        <w:tab/>
      </w:r>
      <w:r w:rsidRPr="007C07DF">
        <w:t xml:space="preserve">This paper has tried to show how the patriarch stories have been understood </w:t>
      </w:r>
      <w:r>
        <w:t xml:space="preserve">as a primary source and </w:t>
      </w:r>
      <w:r w:rsidRPr="007C07DF">
        <w:t>in commentaries and theological writing</w:t>
      </w:r>
      <w:r>
        <w:t xml:space="preserve">. For some the actions of the patriarchs was and still is difficult to reconcile with their values and their sense of moral and proper ethics.  For others the, the patriarchs did what was expected of them; obeying the commands of their God, which was an act of loyalty and good judgement. To pass judgement based on the reception of the patriarchal stories without the proper knowledge of the contemporary customs, however, should be avoided. Even more so, the role of the narrator should not be underestimated in the reception of the patriarch stories. Nonetheless, God’s blessing at the expense of lies and deceit, regardless of secondary sources putting the stories in context, may still be hard to accept. For those, the retribution or ‘karma’ as part of the patriarchal narratives may offer some relief. The paper has tried to show both sides of this debate and it is up to the reader to take it up from there.  The second part of the paper has shown that patriarchal stories have strongly influenced the iconography during Italy’s Renaissance. Especially, the numerous paintings are testimony of this fact and as such this period as part of the reception history of the Bible to be of great value.  </w:t>
      </w:r>
    </w:p>
    <w:p w14:paraId="49864862" w14:textId="77777777" w:rsidR="002A64A5" w:rsidRDefault="002A64A5" w:rsidP="002A64A5">
      <w:pPr>
        <w:spacing w:line="259" w:lineRule="auto"/>
      </w:pPr>
      <w:r>
        <w:br w:type="page"/>
      </w:r>
    </w:p>
    <w:p w14:paraId="3F93A30E" w14:textId="77777777" w:rsidR="002A64A5" w:rsidRPr="008F29DB" w:rsidRDefault="002A64A5" w:rsidP="002A64A5">
      <w:pPr>
        <w:spacing w:after="0" w:line="360" w:lineRule="auto"/>
        <w:jc w:val="both"/>
        <w:rPr>
          <w:b/>
          <w:bCs/>
        </w:rPr>
      </w:pPr>
      <w:r w:rsidRPr="008F29DB">
        <w:rPr>
          <w:b/>
          <w:bCs/>
        </w:rPr>
        <w:lastRenderedPageBreak/>
        <w:t>Bibliography</w:t>
      </w:r>
    </w:p>
    <w:p w14:paraId="1DE3268E" w14:textId="77777777" w:rsidR="002A64A5" w:rsidRPr="008F29DB" w:rsidRDefault="002A64A5" w:rsidP="002A64A5">
      <w:pPr>
        <w:spacing w:after="0" w:line="360" w:lineRule="auto"/>
        <w:ind w:firstLine="851"/>
        <w:jc w:val="both"/>
      </w:pPr>
    </w:p>
    <w:p w14:paraId="2E4AE097" w14:textId="77777777" w:rsidR="002A64A5" w:rsidRPr="008F29DB" w:rsidRDefault="002A64A5" w:rsidP="002A64A5">
      <w:pPr>
        <w:spacing w:after="0" w:line="360" w:lineRule="auto"/>
        <w:ind w:firstLine="851"/>
        <w:jc w:val="both"/>
      </w:pPr>
    </w:p>
    <w:p w14:paraId="0996D3E1" w14:textId="77777777" w:rsidR="002A64A5" w:rsidRPr="008E3B8B" w:rsidRDefault="002A64A5" w:rsidP="002A64A5">
      <w:pPr>
        <w:spacing w:after="0" w:line="360" w:lineRule="auto"/>
      </w:pPr>
      <w:r w:rsidRPr="008E3B8B">
        <w:t xml:space="preserve">Baden Joel S. </w:t>
      </w:r>
      <w:r w:rsidRPr="008E3B8B">
        <w:rPr>
          <w:i/>
          <w:iCs/>
        </w:rPr>
        <w:t>The promise to the Patriarchs, Oxford Scholarship Online</w:t>
      </w:r>
      <w:r w:rsidRPr="008E3B8B">
        <w:t>, 2013.</w:t>
      </w:r>
    </w:p>
    <w:p w14:paraId="7A4B1C1A" w14:textId="77777777" w:rsidR="002A64A5" w:rsidRPr="008E3B8B" w:rsidRDefault="002A64A5" w:rsidP="002A64A5">
      <w:pPr>
        <w:spacing w:after="0" w:line="360" w:lineRule="auto"/>
      </w:pPr>
    </w:p>
    <w:p w14:paraId="2E820895" w14:textId="77777777" w:rsidR="002A64A5" w:rsidRPr="008E3B8B" w:rsidRDefault="002A64A5" w:rsidP="002A64A5">
      <w:pPr>
        <w:spacing w:after="0" w:line="360" w:lineRule="auto"/>
        <w:ind w:left="142" w:hanging="142"/>
      </w:pPr>
      <w:r w:rsidRPr="008E3B8B">
        <w:t>Brodie Thomas L., Genesis as Dialogue: A Literary, Historical and Theological Commentary, Oxford Scholarship Online, Facing Death (Chaps. 22-23), 1-14.</w:t>
      </w:r>
    </w:p>
    <w:p w14:paraId="4D900EC6" w14:textId="77777777" w:rsidR="002A64A5" w:rsidRPr="008E3B8B" w:rsidRDefault="002A64A5" w:rsidP="002A64A5">
      <w:pPr>
        <w:spacing w:after="0" w:line="360" w:lineRule="auto"/>
        <w:ind w:left="142" w:hanging="142"/>
      </w:pPr>
    </w:p>
    <w:p w14:paraId="2A93A92F" w14:textId="77777777" w:rsidR="002A64A5" w:rsidRPr="008E3B8B" w:rsidRDefault="002A64A5" w:rsidP="002A64A5">
      <w:pPr>
        <w:spacing w:after="0" w:line="360" w:lineRule="auto"/>
        <w:ind w:left="567" w:hanging="567"/>
        <w:jc w:val="both"/>
      </w:pPr>
      <w:r w:rsidRPr="008F29DB">
        <w:t xml:space="preserve">Brooks, John Hedley, ‘Samuel Wilberforce, Thomas Huxley, and Genesis,’ in </w:t>
      </w:r>
      <w:r w:rsidRPr="008F29DB">
        <w:rPr>
          <w:i/>
          <w:iCs/>
        </w:rPr>
        <w:t xml:space="preserve">The Oxford Handbook of the Reception History of the Bible, </w:t>
      </w:r>
      <w:r w:rsidRPr="008F29DB">
        <w:t>Michael Lieb, Emma Mason, Jonathan Roberts and Christopher Rowland, Eds., Oxford: Oxford University Press, 2018, 1-15.</w:t>
      </w:r>
    </w:p>
    <w:p w14:paraId="7DCE2F16" w14:textId="77777777" w:rsidR="002A64A5" w:rsidRPr="008E3B8B" w:rsidRDefault="002A64A5" w:rsidP="002A64A5">
      <w:pPr>
        <w:spacing w:after="0" w:line="360" w:lineRule="auto"/>
        <w:ind w:left="142" w:hanging="142"/>
      </w:pPr>
    </w:p>
    <w:p w14:paraId="69F155FA" w14:textId="77777777" w:rsidR="002A64A5" w:rsidRPr="008E3B8B" w:rsidRDefault="002A64A5" w:rsidP="002A64A5">
      <w:pPr>
        <w:spacing w:after="0" w:line="360" w:lineRule="auto"/>
      </w:pPr>
      <w:r w:rsidRPr="008E3B8B">
        <w:t xml:space="preserve">King SJ Nicholas, Jesus, who do you think you are? 1. Abraham, Isaac and Jacob, </w:t>
      </w:r>
      <w:r w:rsidRPr="008E3B8B">
        <w:rPr>
          <w:i/>
          <w:iCs/>
        </w:rPr>
        <w:t>Thinking Faith,</w:t>
      </w:r>
      <w:r w:rsidRPr="008E3B8B">
        <w:t xml:space="preserve"> 2014, </w:t>
      </w:r>
    </w:p>
    <w:p w14:paraId="6A7C42BE" w14:textId="77777777" w:rsidR="002A64A5" w:rsidRPr="008E3B8B" w:rsidRDefault="002A64A5" w:rsidP="002A64A5">
      <w:pPr>
        <w:spacing w:after="0" w:line="360" w:lineRule="auto"/>
        <w:ind w:left="142"/>
      </w:pPr>
      <w:hyperlink r:id="rId10" w:history="1">
        <w:r w:rsidRPr="008E3B8B">
          <w:rPr>
            <w:color w:val="0000FF"/>
            <w:u w:val="single"/>
          </w:rPr>
          <w:t>https://www.thinkingfaith.org/articles/jesus-who-do-you-think-you-are-1-abraham-isaac-and-jacob</w:t>
        </w:r>
      </w:hyperlink>
      <w:r w:rsidRPr="008E3B8B">
        <w:t xml:space="preserve"> </w:t>
      </w:r>
    </w:p>
    <w:p w14:paraId="3C195495" w14:textId="77777777" w:rsidR="002A64A5" w:rsidRPr="008E3B8B" w:rsidRDefault="002A64A5" w:rsidP="002A64A5">
      <w:pPr>
        <w:spacing w:after="0" w:line="360" w:lineRule="auto"/>
        <w:ind w:left="142"/>
      </w:pPr>
    </w:p>
    <w:p w14:paraId="32CE9EA3" w14:textId="77777777" w:rsidR="002A64A5" w:rsidRPr="008E3B8B" w:rsidRDefault="002A64A5" w:rsidP="002A64A5">
      <w:pPr>
        <w:spacing w:after="0" w:line="360" w:lineRule="auto"/>
        <w:ind w:left="142" w:hanging="142"/>
      </w:pPr>
      <w:r w:rsidRPr="008E3B8B">
        <w:t>Mathew Michael, Patriarchal ethics and narrative representation: Ethics, values and morality of the biblical narrator in the Jacob’s story, Stellenbosch Theological Journal, 2(1), (2016), 1-13.</w:t>
      </w:r>
    </w:p>
    <w:p w14:paraId="3BA8AA22" w14:textId="77777777" w:rsidR="002A64A5" w:rsidRPr="008E3B8B" w:rsidRDefault="002A64A5" w:rsidP="002A64A5">
      <w:pPr>
        <w:spacing w:after="0" w:line="360" w:lineRule="auto"/>
        <w:ind w:left="142" w:hanging="142"/>
      </w:pPr>
    </w:p>
    <w:p w14:paraId="5093A8CD" w14:textId="77777777" w:rsidR="002A64A5" w:rsidRPr="008E3B8B" w:rsidRDefault="002A64A5" w:rsidP="002A64A5">
      <w:pPr>
        <w:spacing w:after="0" w:line="360" w:lineRule="auto"/>
        <w:ind w:left="567" w:hanging="567"/>
      </w:pPr>
      <w:r w:rsidRPr="008E3B8B">
        <w:t xml:space="preserve">Roberts Jonathan, ‘Introduction’, in </w:t>
      </w:r>
      <w:r w:rsidRPr="008E3B8B">
        <w:rPr>
          <w:i/>
          <w:iCs/>
        </w:rPr>
        <w:t xml:space="preserve">The Oxford Handbook of the Reception History of the Bible, </w:t>
      </w:r>
      <w:r w:rsidRPr="008E3B8B">
        <w:t>Michael Lieb, Emma Mason, Jonathan Roberts and Christopher Rowland, Eds., Oxford: Oxford University Press, 2011.</w:t>
      </w:r>
    </w:p>
    <w:p w14:paraId="4BBFA121" w14:textId="77777777" w:rsidR="002A64A5" w:rsidRPr="008E3B8B" w:rsidRDefault="002A64A5" w:rsidP="002A64A5">
      <w:pPr>
        <w:spacing w:after="0" w:line="360" w:lineRule="auto"/>
        <w:ind w:left="142" w:hanging="142"/>
      </w:pPr>
    </w:p>
    <w:p w14:paraId="119554F8" w14:textId="77777777" w:rsidR="002A64A5" w:rsidRPr="008E3B8B" w:rsidRDefault="002A64A5" w:rsidP="002A64A5">
      <w:pPr>
        <w:spacing w:after="0" w:line="360" w:lineRule="auto"/>
        <w:ind w:left="142" w:hanging="142"/>
      </w:pPr>
      <w:r w:rsidRPr="008E3B8B">
        <w:t xml:space="preserve">Teugels Lieve, ‘A strong women who can find?’ A study of Characterization in Genesis 24, with some perspectives on the general presentation of Isaac, </w:t>
      </w:r>
      <w:r w:rsidRPr="008E3B8B">
        <w:rPr>
          <w:i/>
          <w:iCs/>
        </w:rPr>
        <w:t>Journal for the Study of the Old Testament, 63</w:t>
      </w:r>
      <w:r w:rsidRPr="008E3B8B">
        <w:t>, (1994), 89-104</w:t>
      </w:r>
    </w:p>
    <w:p w14:paraId="28E969BD" w14:textId="77777777" w:rsidR="002A64A5" w:rsidRPr="008E3B8B" w:rsidRDefault="002A64A5" w:rsidP="002A64A5">
      <w:pPr>
        <w:spacing w:after="0" w:line="360" w:lineRule="auto"/>
      </w:pPr>
    </w:p>
    <w:p w14:paraId="1D8A419E" w14:textId="77777777" w:rsidR="002A64A5" w:rsidRPr="008E3B8B" w:rsidRDefault="002A64A5" w:rsidP="002A64A5">
      <w:pPr>
        <w:spacing w:after="0" w:line="360" w:lineRule="auto"/>
        <w:rPr>
          <w:rFonts w:cstheme="minorHAnsi"/>
        </w:rPr>
      </w:pPr>
    </w:p>
    <w:p w14:paraId="5C040896" w14:textId="77777777" w:rsidR="002A64A5" w:rsidRPr="008E3B8B" w:rsidRDefault="002A64A5" w:rsidP="002A64A5">
      <w:pPr>
        <w:spacing w:after="0" w:line="360" w:lineRule="auto"/>
      </w:pPr>
      <w:r w:rsidRPr="008E3B8B">
        <w:t xml:space="preserve">Zucker David J., ‘The Deceiver Deceived: Rereading Genesis 27’ </w:t>
      </w:r>
      <w:r w:rsidRPr="008E3B8B">
        <w:rPr>
          <w:i/>
          <w:iCs/>
        </w:rPr>
        <w:t xml:space="preserve">Jewish Bible Quarterly, </w:t>
      </w:r>
      <w:r w:rsidRPr="008E3B8B">
        <w:t>39(1), (2011), 46-58.</w:t>
      </w:r>
    </w:p>
    <w:p w14:paraId="21CA598E" w14:textId="77777777" w:rsidR="002A64A5" w:rsidRPr="008E3B8B" w:rsidRDefault="002A64A5" w:rsidP="002A64A5">
      <w:pPr>
        <w:spacing w:after="0" w:line="360" w:lineRule="auto"/>
        <w:jc w:val="both"/>
        <w:rPr>
          <w:rFonts w:cstheme="minorHAnsi"/>
        </w:rPr>
      </w:pPr>
    </w:p>
    <w:p w14:paraId="5D5DDDC7" w14:textId="77777777" w:rsidR="008F5CDA" w:rsidRDefault="002A64A5"/>
    <w:sectPr w:rsidR="008F5C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3221D" w14:textId="77777777" w:rsidR="002A64A5" w:rsidRDefault="002A64A5" w:rsidP="002A64A5">
      <w:pPr>
        <w:spacing w:after="0" w:line="240" w:lineRule="auto"/>
      </w:pPr>
      <w:r>
        <w:separator/>
      </w:r>
    </w:p>
  </w:endnote>
  <w:endnote w:type="continuationSeparator" w:id="0">
    <w:p w14:paraId="63CEF7D0" w14:textId="77777777" w:rsidR="002A64A5" w:rsidRDefault="002A64A5" w:rsidP="002A6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D8A5A" w14:textId="77777777" w:rsidR="002A64A5" w:rsidRDefault="002A64A5" w:rsidP="002A64A5">
      <w:pPr>
        <w:spacing w:after="0" w:line="240" w:lineRule="auto"/>
      </w:pPr>
      <w:r>
        <w:separator/>
      </w:r>
    </w:p>
  </w:footnote>
  <w:footnote w:type="continuationSeparator" w:id="0">
    <w:p w14:paraId="0CB21F25" w14:textId="77777777" w:rsidR="002A64A5" w:rsidRDefault="002A64A5" w:rsidP="002A64A5">
      <w:pPr>
        <w:spacing w:after="0" w:line="240" w:lineRule="auto"/>
      </w:pPr>
      <w:r>
        <w:continuationSeparator/>
      </w:r>
    </w:p>
  </w:footnote>
  <w:footnote w:id="1">
    <w:p w14:paraId="6ADA681D" w14:textId="77777777" w:rsidR="002A64A5" w:rsidRDefault="002A64A5" w:rsidP="002A64A5">
      <w:pPr>
        <w:pStyle w:val="FootnoteText"/>
      </w:pPr>
      <w:r>
        <w:rPr>
          <w:rStyle w:val="FootnoteReference"/>
        </w:rPr>
        <w:footnoteRef/>
      </w:r>
      <w:r>
        <w:t xml:space="preserve"> Joel S. Baden. </w:t>
      </w:r>
      <w:r w:rsidRPr="00CA0782">
        <w:rPr>
          <w:i/>
          <w:iCs/>
        </w:rPr>
        <w:t>The promise to the Patriarchs, Oxford Scholarship Online</w:t>
      </w:r>
      <w:r>
        <w:t>, 2013, p.1</w:t>
      </w:r>
    </w:p>
  </w:footnote>
  <w:footnote w:id="2">
    <w:p w14:paraId="57D8FDF8" w14:textId="77777777" w:rsidR="002A64A5" w:rsidRDefault="002A64A5" w:rsidP="002A64A5">
      <w:pPr>
        <w:pStyle w:val="FootnoteText"/>
        <w:ind w:left="142" w:hanging="142"/>
      </w:pPr>
      <w:r>
        <w:rPr>
          <w:rStyle w:val="FootnoteReference"/>
        </w:rPr>
        <w:footnoteRef/>
      </w:r>
      <w:r>
        <w:t xml:space="preserve"> Lieve Teugels, ‘A strong women who can find?’ A study of Characterization in Genesis 24, with some perspectives on the general presentation of Isaac</w:t>
      </w:r>
    </w:p>
  </w:footnote>
  <w:footnote w:id="3">
    <w:p w14:paraId="3A94006A" w14:textId="77777777" w:rsidR="002A64A5" w:rsidRDefault="002A64A5" w:rsidP="002A64A5">
      <w:pPr>
        <w:pStyle w:val="FootnoteText"/>
      </w:pPr>
      <w:r>
        <w:rPr>
          <w:rStyle w:val="FootnoteReference"/>
        </w:rPr>
        <w:footnoteRef/>
      </w:r>
      <w:r>
        <w:t xml:space="preserve"> Ibid., p.99</w:t>
      </w:r>
    </w:p>
  </w:footnote>
  <w:footnote w:id="4">
    <w:p w14:paraId="5AE0BCDF" w14:textId="77777777" w:rsidR="002A64A5" w:rsidRDefault="002A64A5" w:rsidP="002A64A5">
      <w:pPr>
        <w:pStyle w:val="FootnoteText"/>
      </w:pPr>
      <w:r>
        <w:rPr>
          <w:rStyle w:val="FootnoteReference"/>
        </w:rPr>
        <w:footnoteRef/>
      </w:r>
      <w:r>
        <w:t xml:space="preserve"> Quoted in Lieve Teugels, p.101</w:t>
      </w:r>
    </w:p>
  </w:footnote>
  <w:footnote w:id="5">
    <w:p w14:paraId="7ABA9318" w14:textId="77777777" w:rsidR="002A64A5" w:rsidRDefault="002A64A5" w:rsidP="002A64A5">
      <w:pPr>
        <w:pStyle w:val="FootnoteText"/>
      </w:pPr>
      <w:r>
        <w:rPr>
          <w:rStyle w:val="FootnoteReference"/>
        </w:rPr>
        <w:footnoteRef/>
      </w:r>
      <w:r>
        <w:t xml:space="preserve"> David J. Zucker, ‘The Deceiver Deceived: Rereading Genesis 27’ Jewish Bible Quarterly, 39(1), (2011), p.46.</w:t>
      </w:r>
    </w:p>
  </w:footnote>
  <w:footnote w:id="6">
    <w:p w14:paraId="62AA08FC" w14:textId="77777777" w:rsidR="002A64A5" w:rsidRDefault="002A64A5" w:rsidP="002A64A5">
      <w:pPr>
        <w:pStyle w:val="FootnoteText"/>
        <w:ind w:left="142" w:hanging="142"/>
      </w:pPr>
      <w:r>
        <w:rPr>
          <w:rStyle w:val="FootnoteReference"/>
        </w:rPr>
        <w:footnoteRef/>
      </w:r>
      <w:r>
        <w:t xml:space="preserve"> Thomas L. Brodie, Genesis as Dialogue: A Literary, Historical and Theological Commentary, Facing Death (Chaps. 22-23)</w:t>
      </w:r>
    </w:p>
  </w:footnote>
  <w:footnote w:id="7">
    <w:p w14:paraId="3027A2C2" w14:textId="77777777" w:rsidR="002A64A5" w:rsidRDefault="002A64A5" w:rsidP="002A64A5">
      <w:pPr>
        <w:pStyle w:val="FootnoteText"/>
      </w:pPr>
      <w:r>
        <w:rPr>
          <w:rStyle w:val="FootnoteReference"/>
        </w:rPr>
        <w:footnoteRef/>
      </w:r>
      <w:r>
        <w:t xml:space="preserve"> Nicholas King SJ, Jesus, who do you think you are? 1. Abraham, Isaac and Jacob,</w:t>
      </w:r>
      <w:r w:rsidRPr="001A0E88">
        <w:t xml:space="preserve"> </w:t>
      </w:r>
      <w:r w:rsidRPr="001A0E88">
        <w:rPr>
          <w:i/>
          <w:iCs/>
        </w:rPr>
        <w:t>Thinking Faith,</w:t>
      </w:r>
      <w:r>
        <w:t xml:space="preserve"> 2014, </w:t>
      </w:r>
    </w:p>
    <w:p w14:paraId="7B9BC5F0" w14:textId="77777777" w:rsidR="002A64A5" w:rsidRPr="001A0E88" w:rsidRDefault="002A64A5" w:rsidP="002A64A5">
      <w:pPr>
        <w:pStyle w:val="FootnoteText"/>
        <w:ind w:left="142"/>
      </w:pPr>
      <w:hyperlink r:id="rId1" w:history="1">
        <w:r w:rsidRPr="00F43981">
          <w:rPr>
            <w:rStyle w:val="Hyperlink"/>
          </w:rPr>
          <w:t>https://www.thinkingfaith.org/articles/jesus-who-do-you-think-you-are-1-abraham-isaac-and-jacob</w:t>
        </w:r>
      </w:hyperlink>
      <w:r>
        <w:t xml:space="preserve"> </w:t>
      </w:r>
    </w:p>
  </w:footnote>
  <w:footnote w:id="8">
    <w:p w14:paraId="220583BF" w14:textId="77777777" w:rsidR="002A64A5" w:rsidRDefault="002A64A5" w:rsidP="002A64A5">
      <w:pPr>
        <w:pStyle w:val="FootnoteText"/>
        <w:ind w:left="142" w:hanging="142"/>
      </w:pPr>
      <w:r>
        <w:rPr>
          <w:rStyle w:val="FootnoteReference"/>
        </w:rPr>
        <w:footnoteRef/>
      </w:r>
      <w:r>
        <w:t xml:space="preserve"> Michael Mathew, Patriarchal ethics and narrative representation: Ethics, values and morality of the biblical narrator in the Jacob’s story, Stellenbosch Theological Journal, 2(1), (2016), 1-13, p.1.</w:t>
      </w:r>
    </w:p>
  </w:footnote>
  <w:footnote w:id="9">
    <w:p w14:paraId="489BFE18" w14:textId="77777777" w:rsidR="002A64A5" w:rsidRDefault="002A64A5" w:rsidP="002A64A5">
      <w:pPr>
        <w:pStyle w:val="FootnoteText"/>
      </w:pPr>
      <w:r>
        <w:rPr>
          <w:rStyle w:val="FootnoteReference"/>
        </w:rPr>
        <w:footnoteRef/>
      </w:r>
      <w:r>
        <w:t xml:space="preserve"> Nicolas King SJ, p.1.</w:t>
      </w:r>
    </w:p>
  </w:footnote>
  <w:footnote w:id="10">
    <w:p w14:paraId="236FB20B" w14:textId="77777777" w:rsidR="002A64A5" w:rsidRDefault="002A64A5" w:rsidP="002A64A5">
      <w:pPr>
        <w:pStyle w:val="FootnoteText"/>
      </w:pPr>
      <w:r>
        <w:rPr>
          <w:rStyle w:val="FootnoteReference"/>
        </w:rPr>
        <w:footnoteRef/>
      </w:r>
      <w:r>
        <w:t xml:space="preserve"> Michael Matthew, p.1.</w:t>
      </w:r>
    </w:p>
  </w:footnote>
  <w:footnote w:id="11">
    <w:p w14:paraId="0F0E02E0" w14:textId="77777777" w:rsidR="002A64A5" w:rsidRDefault="002A64A5" w:rsidP="002A64A5">
      <w:pPr>
        <w:pStyle w:val="FootnoteText"/>
      </w:pPr>
      <w:r>
        <w:rPr>
          <w:rStyle w:val="FootnoteReference"/>
        </w:rPr>
        <w:footnoteRef/>
      </w:r>
      <w:r>
        <w:t xml:space="preserve"> Thomas L. Brodie, p.5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4A5"/>
    <w:rsid w:val="002A64A5"/>
    <w:rsid w:val="00562F3B"/>
    <w:rsid w:val="00B405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CCF08"/>
  <w15:chartTrackingRefBased/>
  <w15:docId w15:val="{C4D39BF7-81E3-4BE2-8E0B-DC8D6BA45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4A5"/>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64A5"/>
    <w:rPr>
      <w:color w:val="0000FF"/>
      <w:u w:val="single"/>
    </w:rPr>
  </w:style>
  <w:style w:type="paragraph" w:styleId="FootnoteText">
    <w:name w:val="footnote text"/>
    <w:basedOn w:val="Normal"/>
    <w:link w:val="FootnoteTextChar"/>
    <w:uiPriority w:val="99"/>
    <w:semiHidden/>
    <w:unhideWhenUsed/>
    <w:rsid w:val="002A64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64A5"/>
    <w:rPr>
      <w:sz w:val="20"/>
      <w:szCs w:val="20"/>
    </w:rPr>
  </w:style>
  <w:style w:type="character" w:styleId="FootnoteReference">
    <w:name w:val="footnote reference"/>
    <w:basedOn w:val="DefaultParagraphFont"/>
    <w:uiPriority w:val="99"/>
    <w:semiHidden/>
    <w:unhideWhenUsed/>
    <w:rsid w:val="002A64A5"/>
    <w:rPr>
      <w:vertAlign w:val="superscript"/>
    </w:rPr>
  </w:style>
  <w:style w:type="character" w:customStyle="1" w:styleId="normaltextrun">
    <w:name w:val="normaltextrun"/>
    <w:basedOn w:val="DefaultParagraphFont"/>
    <w:rsid w:val="002A64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thinkingfaith.org/articles/jesus-who-do-you-think-you-are-1-abraham-isaac-and-jacob" TargetMode="External"/><Relationship Id="rId4" Type="http://schemas.openxmlformats.org/officeDocument/2006/relationships/styles" Target="styles.xml"/><Relationship Id="rId9" Type="http://schemas.openxmlformats.org/officeDocument/2006/relationships/hyperlink" Target="https://moodle.uwtsd.ac.uk/course/view.php?id=3095"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hinkingfaith.org/articles/jesus-who-do-you-think-you-are-1-abraham-isaac-and-jac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880a193314b6e76fdbc149d03f44f333">
  <xsd:schema xmlns:xsd="http://www.w3.org/2001/XMLSchema" xmlns:xs="http://www.w3.org/2001/XMLSchema" xmlns:p="http://schemas.microsoft.com/office/2006/metadata/properties" xmlns:ns3="9d0d5cce-d4dc-4043-8325-c992d2f588cd" targetNamespace="http://schemas.microsoft.com/office/2006/metadata/properties" ma:root="true" ma:fieldsID="aa26962a8e28090c52a225edb1f0f8a8"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CFBF49-5F6C-431A-AF72-7D6D7A1B76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09AFC4-4657-4594-9D03-D2C7CEF95C5D}">
  <ds:schemaRefs>
    <ds:schemaRef ds:uri="http://schemas.microsoft.com/sharepoint/v3/contenttype/forms"/>
  </ds:schemaRefs>
</ds:datastoreItem>
</file>

<file path=customXml/itemProps3.xml><?xml version="1.0" encoding="utf-8"?>
<ds:datastoreItem xmlns:ds="http://schemas.openxmlformats.org/officeDocument/2006/customXml" ds:itemID="{5B33BA0D-7A02-40B1-A293-DD12498F776A}">
  <ds:schemaRefs>
    <ds:schemaRef ds:uri="9d0d5cce-d4dc-4043-8325-c992d2f588cd"/>
    <ds:schemaRef ds:uri="http://purl.org/dc/terms/"/>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2922</Words>
  <Characters>16661</Characters>
  <Application>Microsoft Office Word</Application>
  <DocSecurity>0</DocSecurity>
  <Lines>138</Lines>
  <Paragraphs>39</Paragraphs>
  <ScaleCrop>false</ScaleCrop>
  <Company/>
  <LinksUpToDate>false</LinksUpToDate>
  <CharactersWithSpaces>19544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 Tauran</dc:creator>
  <cp:keywords/>
  <dc:description/>
  <cp:lastModifiedBy>Asher Tauran</cp:lastModifiedBy>
  <cp:revision>1</cp:revision>
  <dcterms:created xsi:type="dcterms:W3CDTF">2021-12-10T23:51:00Z</dcterms:created>
  <dcterms:modified xsi:type="dcterms:W3CDTF">2021-12-10T23:52:00Z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