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themeColor="background1"/>
  <w:body>
    <w:p w14:paraId="19EC4677" w14:textId="77777777" w:rsidR="00A03A11" w:rsidRDefault="00A03A11" w:rsidP="00A03A11">
      <w:pPr>
        <w:jc w:val="center"/>
        <w:rPr>
          <w:b/>
          <w:sz w:val="48"/>
          <w:u w:val="single"/>
        </w:rPr>
      </w:pPr>
      <w:bookmarkStart w:id="0" w:name="_GoBack"/>
      <w:bookmarkEnd w:id="0"/>
      <w:r>
        <w:rPr>
          <w:b/>
          <w:sz w:val="48"/>
          <w:u w:val="single"/>
        </w:rPr>
        <w:t xml:space="preserve">West meets East </w:t>
      </w:r>
    </w:p>
    <w:p w14:paraId="185806BE" w14:textId="77777777" w:rsidR="00252063" w:rsidRDefault="00A03A11" w:rsidP="00A03A11">
      <w:pPr>
        <w:jc w:val="center"/>
        <w:rPr>
          <w:b/>
          <w:sz w:val="48"/>
          <w:u w:val="single"/>
        </w:rPr>
      </w:pPr>
      <w:r>
        <w:rPr>
          <w:b/>
          <w:sz w:val="48"/>
          <w:u w:val="single"/>
        </w:rPr>
        <w:t>The Indo - Roman trade agreement</w:t>
      </w:r>
    </w:p>
    <w:p w14:paraId="5CBBCB98" w14:textId="2B7E6EBF" w:rsidR="00EC484C" w:rsidRDefault="00EC484C" w:rsidP="00A03A11">
      <w:pPr>
        <w:rPr>
          <w:sz w:val="36"/>
        </w:rPr>
      </w:pPr>
    </w:p>
    <w:p w14:paraId="3353CC2B" w14:textId="77777777" w:rsidR="000D51BE" w:rsidRDefault="000D51BE" w:rsidP="00A03A11">
      <w:pPr>
        <w:rPr>
          <w:sz w:val="36"/>
        </w:rPr>
      </w:pPr>
    </w:p>
    <w:p w14:paraId="30CC685C" w14:textId="77777777" w:rsidR="000D51BE" w:rsidRDefault="000D51BE" w:rsidP="00A03A11">
      <w:pPr>
        <w:rPr>
          <w:sz w:val="36"/>
        </w:rPr>
      </w:pPr>
    </w:p>
    <w:p w14:paraId="15120E8A" w14:textId="3E1F5876" w:rsidR="00C90061" w:rsidRDefault="00C90061" w:rsidP="00A03A11">
      <w:pPr>
        <w:rPr>
          <w:sz w:val="36"/>
        </w:rPr>
      </w:pPr>
      <w:r>
        <w:rPr>
          <w:sz w:val="36"/>
        </w:rPr>
        <w:t xml:space="preserve">In these works I will be evaluating  the notion that Rome’s Trade with India wrought far more ruin to her economy than it did boons </w:t>
      </w:r>
      <w:r w:rsidR="00B6744A">
        <w:rPr>
          <w:sz w:val="36"/>
        </w:rPr>
        <w:t>and that whilst Rome was making huge losses on these trades she carried on non</w:t>
      </w:r>
      <w:r w:rsidR="000D51BE">
        <w:rPr>
          <w:sz w:val="36"/>
        </w:rPr>
        <w:t>e</w:t>
      </w:r>
      <w:r w:rsidR="00B6744A">
        <w:rPr>
          <w:sz w:val="36"/>
        </w:rPr>
        <w:t xml:space="preserve"> the less due to the high demand Rome and her people held for the goods coming in from India</w:t>
      </w:r>
      <w:r>
        <w:rPr>
          <w:sz w:val="36"/>
        </w:rPr>
        <w:t>.</w:t>
      </w:r>
      <w:r w:rsidR="00A84079">
        <w:rPr>
          <w:sz w:val="36"/>
        </w:rPr>
        <w:t xml:space="preserve"> I will be paying particular attention to Rome’s maritime trade with India.</w:t>
      </w:r>
    </w:p>
    <w:p w14:paraId="78265874" w14:textId="77777777" w:rsidR="00FA3FA0" w:rsidRDefault="00FA3FA0" w:rsidP="00A03A11">
      <w:pPr>
        <w:rPr>
          <w:sz w:val="36"/>
        </w:rPr>
      </w:pPr>
    </w:p>
    <w:p w14:paraId="436CA308" w14:textId="4128E1F4" w:rsidR="00FA3FA0" w:rsidRDefault="00FA3FA0" w:rsidP="00FA3FA0">
      <w:pPr>
        <w:rPr>
          <w:i/>
          <w:sz w:val="36"/>
        </w:rPr>
      </w:pPr>
      <w:r>
        <w:rPr>
          <w:sz w:val="36"/>
        </w:rPr>
        <w:t xml:space="preserve">There are several ancient sources that have been frequently relied upon by modern scholarship. The two contemporary sources most relevant to this study seem to be the </w:t>
      </w:r>
      <w:r>
        <w:rPr>
          <w:i/>
          <w:sz w:val="36"/>
        </w:rPr>
        <w:t xml:space="preserve">Periplus Maris Erythraei </w:t>
      </w:r>
      <w:r>
        <w:rPr>
          <w:sz w:val="36"/>
        </w:rPr>
        <w:t>written between AD40-70</w:t>
      </w:r>
      <w:r>
        <w:rPr>
          <w:rStyle w:val="FootnoteReference"/>
          <w:sz w:val="36"/>
        </w:rPr>
        <w:footnoteReference w:id="1"/>
      </w:r>
      <w:r>
        <w:rPr>
          <w:i/>
          <w:sz w:val="36"/>
        </w:rPr>
        <w:t>,</w:t>
      </w:r>
      <w:r>
        <w:rPr>
          <w:sz w:val="36"/>
        </w:rPr>
        <w:t xml:space="preserve"> described by Ball as</w:t>
      </w:r>
      <w:r>
        <w:rPr>
          <w:i/>
          <w:sz w:val="36"/>
        </w:rPr>
        <w:t xml:space="preserve"> “an anonymous maritime manual and navigational aid”</w:t>
      </w:r>
      <w:r>
        <w:rPr>
          <w:rStyle w:val="FootnoteReference"/>
          <w:i/>
          <w:sz w:val="36"/>
        </w:rPr>
        <w:footnoteReference w:id="2"/>
      </w:r>
      <w:r>
        <w:rPr>
          <w:sz w:val="36"/>
        </w:rPr>
        <w:t xml:space="preserve">, and Pliny the Elder's </w:t>
      </w:r>
      <w:r>
        <w:rPr>
          <w:i/>
          <w:sz w:val="36"/>
        </w:rPr>
        <w:t>Natural History Volume VI</w:t>
      </w:r>
      <w:r>
        <w:rPr>
          <w:sz w:val="36"/>
        </w:rPr>
        <w:t xml:space="preserve">, which deals with Rome's interaction with India and the surrounding areas. Gurukkal describes the </w:t>
      </w:r>
      <w:r>
        <w:rPr>
          <w:i/>
          <w:sz w:val="36"/>
        </w:rPr>
        <w:t>Natural History</w:t>
      </w:r>
      <w:r>
        <w:rPr>
          <w:sz w:val="36"/>
        </w:rPr>
        <w:t xml:space="preserve"> as </w:t>
      </w:r>
      <w:r w:rsidR="001625C3">
        <w:rPr>
          <w:sz w:val="36"/>
        </w:rPr>
        <w:t>providing</w:t>
      </w:r>
      <w:r>
        <w:rPr>
          <w:sz w:val="36"/>
        </w:rPr>
        <w:t xml:space="preserve"> “</w:t>
      </w:r>
      <w:r w:rsidRPr="00E322CA">
        <w:rPr>
          <w:i/>
          <w:sz w:val="36"/>
        </w:rPr>
        <w:t xml:space="preserve">invaluable facts, relatively accurate and up-to-date, about the ports, marts, and merchandise of India’s south-western </w:t>
      </w:r>
      <w:r w:rsidRPr="00E322CA">
        <w:rPr>
          <w:i/>
          <w:sz w:val="36"/>
        </w:rPr>
        <w:lastRenderedPageBreak/>
        <w:t>and south-eastern coasts in the age of Roman Empire till the reign of Flavian</w:t>
      </w:r>
      <w:r>
        <w:rPr>
          <w:i/>
          <w:sz w:val="36"/>
        </w:rPr>
        <w:t>”.</w:t>
      </w:r>
      <w:r>
        <w:rPr>
          <w:rStyle w:val="FootnoteReference"/>
          <w:i/>
          <w:sz w:val="36"/>
        </w:rPr>
        <w:footnoteReference w:id="3"/>
      </w:r>
    </w:p>
    <w:p w14:paraId="6F876ECF" w14:textId="77777777" w:rsidR="00FA3FA0" w:rsidRDefault="00FA3FA0" w:rsidP="00A84079">
      <w:pPr>
        <w:rPr>
          <w:sz w:val="36"/>
        </w:rPr>
      </w:pPr>
    </w:p>
    <w:p w14:paraId="4D533F72" w14:textId="77777777" w:rsidR="00A84079" w:rsidRDefault="00B6744A" w:rsidP="00A84079">
      <w:pPr>
        <w:rPr>
          <w:sz w:val="36"/>
        </w:rPr>
      </w:pPr>
      <w:r>
        <w:rPr>
          <w:sz w:val="36"/>
        </w:rPr>
        <w:t>One might begin to accesses this notion by first identifying what costs and concerns are associated with Maritime trade</w:t>
      </w:r>
      <w:r w:rsidR="00A84079">
        <w:rPr>
          <w:sz w:val="36"/>
        </w:rPr>
        <w:t xml:space="preserve"> in general. W</w:t>
      </w:r>
      <w:r w:rsidR="00A84079" w:rsidRPr="00A84079">
        <w:rPr>
          <w:sz w:val="36"/>
        </w:rPr>
        <w:t xml:space="preserve">hen considering </w:t>
      </w:r>
      <w:r w:rsidR="00A84079">
        <w:rPr>
          <w:sz w:val="36"/>
        </w:rPr>
        <w:t>how an Ancient Roman seafarer, either state sponsored or free lancing, would have approach a trade deal with a nation such as India</w:t>
      </w:r>
      <w:r w:rsidR="00A84079" w:rsidRPr="00A84079">
        <w:rPr>
          <w:sz w:val="36"/>
        </w:rPr>
        <w:t xml:space="preserve"> </w:t>
      </w:r>
      <w:r w:rsidR="00A84079">
        <w:rPr>
          <w:sz w:val="36"/>
        </w:rPr>
        <w:t>one may assume they w</w:t>
      </w:r>
      <w:r w:rsidR="00A84079" w:rsidRPr="00A84079">
        <w:rPr>
          <w:sz w:val="36"/>
        </w:rPr>
        <w:t xml:space="preserve">ould have to consider a </w:t>
      </w:r>
      <w:r w:rsidR="00A84079">
        <w:rPr>
          <w:sz w:val="36"/>
        </w:rPr>
        <w:t xml:space="preserve">number of factors. </w:t>
      </w:r>
    </w:p>
    <w:p w14:paraId="00CD0718" w14:textId="444DBFA8" w:rsidR="00553769" w:rsidRDefault="00A84079" w:rsidP="00553769">
      <w:pPr>
        <w:rPr>
          <w:sz w:val="36"/>
        </w:rPr>
      </w:pPr>
      <w:r>
        <w:rPr>
          <w:sz w:val="36"/>
        </w:rPr>
        <w:t>Transportation costs</w:t>
      </w:r>
      <w:r>
        <w:rPr>
          <w:rStyle w:val="FootnoteReference"/>
          <w:sz w:val="36"/>
        </w:rPr>
        <w:footnoteReference w:id="4"/>
      </w:r>
      <w:r>
        <w:rPr>
          <w:sz w:val="36"/>
        </w:rPr>
        <w:t xml:space="preserve"> including expenses associated with shipbuilding, ship repair and maintenance</w:t>
      </w:r>
      <w:r>
        <w:rPr>
          <w:rStyle w:val="FootnoteReference"/>
          <w:sz w:val="36"/>
        </w:rPr>
        <w:footnoteReference w:id="5"/>
      </w:r>
      <w:r w:rsidR="000D51BE">
        <w:rPr>
          <w:sz w:val="36"/>
        </w:rPr>
        <w:t xml:space="preserve"> were paramount</w:t>
      </w:r>
      <w:r>
        <w:rPr>
          <w:sz w:val="36"/>
        </w:rPr>
        <w:t>. Evidence from Wadi Gawasis, Berenice and Myos Hormos indicate high costs of ship maintenance</w:t>
      </w:r>
      <w:r>
        <w:rPr>
          <w:rStyle w:val="FootnoteReference"/>
          <w:sz w:val="36"/>
        </w:rPr>
        <w:footnoteReference w:id="6"/>
      </w:r>
      <w:r>
        <w:rPr>
          <w:sz w:val="36"/>
        </w:rPr>
        <w:t xml:space="preserve">. Sidebotham emphasises that </w:t>
      </w:r>
      <w:r>
        <w:rPr>
          <w:i/>
          <w:sz w:val="36"/>
        </w:rPr>
        <w:t xml:space="preserve">“transport costs at sea varied... Based in part </w:t>
      </w:r>
      <w:r w:rsidR="00553769">
        <w:rPr>
          <w:i/>
          <w:sz w:val="36"/>
        </w:rPr>
        <w:t>upon the size of the vessel, it</w:t>
      </w:r>
      <w:r>
        <w:rPr>
          <w:i/>
          <w:sz w:val="36"/>
        </w:rPr>
        <w:t xml:space="preserve">s cargo and </w:t>
      </w:r>
      <w:r w:rsidR="00553769">
        <w:rPr>
          <w:i/>
          <w:sz w:val="36"/>
        </w:rPr>
        <w:t>its</w:t>
      </w:r>
      <w:r>
        <w:rPr>
          <w:i/>
          <w:sz w:val="36"/>
        </w:rPr>
        <w:t xml:space="preserve"> destination.”</w:t>
      </w:r>
      <w:r>
        <w:rPr>
          <w:rStyle w:val="FootnoteReference"/>
          <w:i/>
          <w:sz w:val="36"/>
        </w:rPr>
        <w:footnoteReference w:id="7"/>
      </w:r>
      <w:r>
        <w:rPr>
          <w:sz w:val="36"/>
        </w:rPr>
        <w:t xml:space="preserve">. </w:t>
      </w:r>
      <w:r w:rsidR="00553769">
        <w:rPr>
          <w:sz w:val="36"/>
        </w:rPr>
        <w:t>The costs of ship maintenance was also impacted by t</w:t>
      </w:r>
      <w:r w:rsidR="00553769" w:rsidRPr="00553769">
        <w:rPr>
          <w:sz w:val="36"/>
        </w:rPr>
        <w:t>he season in which they were trading, and how that would affect the capability and costs of travel (monsoons in India)</w:t>
      </w:r>
      <w:r w:rsidR="00553769">
        <w:rPr>
          <w:rStyle w:val="FootnoteReference"/>
          <w:sz w:val="36"/>
        </w:rPr>
        <w:footnoteReference w:id="8"/>
      </w:r>
      <w:r w:rsidR="00553769" w:rsidRPr="00553769">
        <w:rPr>
          <w:sz w:val="36"/>
        </w:rPr>
        <w:t xml:space="preserve"> and how such weather would damage the ships</w:t>
      </w:r>
      <w:r w:rsidR="00553769">
        <w:rPr>
          <w:rStyle w:val="FootnoteReference"/>
          <w:sz w:val="36"/>
        </w:rPr>
        <w:footnoteReference w:id="9"/>
      </w:r>
      <w:r w:rsidR="00553769">
        <w:rPr>
          <w:sz w:val="36"/>
        </w:rPr>
        <w:t>.</w:t>
      </w:r>
    </w:p>
    <w:p w14:paraId="7DBFAEAA" w14:textId="77777777" w:rsidR="001625C3" w:rsidRDefault="001625C3" w:rsidP="00553769">
      <w:pPr>
        <w:rPr>
          <w:sz w:val="36"/>
        </w:rPr>
      </w:pPr>
    </w:p>
    <w:p w14:paraId="40CF0E41" w14:textId="7173A905" w:rsidR="001625C3" w:rsidRPr="00553769" w:rsidRDefault="001625C3" w:rsidP="001625C3">
      <w:pPr>
        <w:rPr>
          <w:sz w:val="36"/>
        </w:rPr>
      </w:pPr>
      <w:r>
        <w:rPr>
          <w:sz w:val="36"/>
        </w:rPr>
        <w:t xml:space="preserve">Security was also a major concern due to </w:t>
      </w:r>
      <w:r w:rsidRPr="00B0779B">
        <w:rPr>
          <w:sz w:val="36"/>
        </w:rPr>
        <w:t xml:space="preserve">piracy. </w:t>
      </w:r>
      <w:r>
        <w:rPr>
          <w:sz w:val="36"/>
        </w:rPr>
        <w:t>I</w:t>
      </w:r>
      <w:r w:rsidRPr="00B0779B">
        <w:rPr>
          <w:sz w:val="36"/>
        </w:rPr>
        <w:t xml:space="preserve">n times of warfare, when trade by land was not possible, the Roman </w:t>
      </w:r>
      <w:r w:rsidRPr="00B0779B">
        <w:rPr>
          <w:sz w:val="36"/>
        </w:rPr>
        <w:lastRenderedPageBreak/>
        <w:t>Empire put protection in place for its trading vessels.</w:t>
      </w:r>
      <w:r>
        <w:rPr>
          <w:rStyle w:val="FootnoteReference"/>
          <w:sz w:val="36"/>
        </w:rPr>
        <w:footnoteReference w:id="10"/>
      </w:r>
      <w:r w:rsidRPr="00B0779B">
        <w:rPr>
          <w:sz w:val="36"/>
        </w:rPr>
        <w:t xml:space="preserve"> For example, Augustus made arrangements for the protection of the sea routes from the Nabataeans and the Himyars.</w:t>
      </w:r>
      <w:r>
        <w:rPr>
          <w:rStyle w:val="FootnoteReference"/>
          <w:sz w:val="36"/>
        </w:rPr>
        <w:footnoteReference w:id="11"/>
      </w:r>
      <w:r w:rsidRPr="00B0779B">
        <w:rPr>
          <w:sz w:val="36"/>
        </w:rPr>
        <w:t xml:space="preserve"> Rome was clearly aware of the importance of protecting its traders, and we’re very proactive at fighting piracy.</w:t>
      </w:r>
      <w:r>
        <w:rPr>
          <w:rStyle w:val="FootnoteReference"/>
          <w:sz w:val="36"/>
        </w:rPr>
        <w:footnoteReference w:id="12"/>
      </w:r>
      <w:r>
        <w:rPr>
          <w:sz w:val="36"/>
        </w:rPr>
        <w:t xml:space="preserve"> This affected h</w:t>
      </w:r>
      <w:r w:rsidRPr="00553769">
        <w:rPr>
          <w:sz w:val="36"/>
        </w:rPr>
        <w:t>ow many stops the ship would make along the way, as more stops increased the possibility of loss of products from a variety of dangers and so become more expensive</w:t>
      </w:r>
      <w:r>
        <w:rPr>
          <w:rStyle w:val="FootnoteReference"/>
          <w:sz w:val="36"/>
        </w:rPr>
        <w:footnoteReference w:id="13"/>
      </w:r>
      <w:r>
        <w:rPr>
          <w:sz w:val="36"/>
        </w:rPr>
        <w:t>.</w:t>
      </w:r>
    </w:p>
    <w:p w14:paraId="62629C4B" w14:textId="77777777" w:rsidR="001625C3" w:rsidRDefault="001625C3" w:rsidP="001625C3">
      <w:pPr>
        <w:rPr>
          <w:sz w:val="36"/>
        </w:rPr>
      </w:pPr>
    </w:p>
    <w:p w14:paraId="7C12CA6D" w14:textId="77777777" w:rsidR="001625C3" w:rsidRDefault="001625C3" w:rsidP="001625C3">
      <w:pPr>
        <w:rPr>
          <w:sz w:val="36"/>
        </w:rPr>
      </w:pPr>
      <w:r>
        <w:rPr>
          <w:sz w:val="36"/>
        </w:rPr>
        <w:t>Another consideration was the t</w:t>
      </w:r>
      <w:r w:rsidRPr="00B0779B">
        <w:rPr>
          <w:sz w:val="36"/>
        </w:rPr>
        <w:t>ax/levies</w:t>
      </w:r>
      <w:r>
        <w:rPr>
          <w:rStyle w:val="FootnoteReference"/>
          <w:sz w:val="36"/>
        </w:rPr>
        <w:footnoteReference w:id="14"/>
      </w:r>
      <w:r w:rsidRPr="00B0779B">
        <w:rPr>
          <w:sz w:val="36"/>
        </w:rPr>
        <w:t xml:space="preserve"> up to 25% of cargo's value</w:t>
      </w:r>
      <w:r>
        <w:rPr>
          <w:rStyle w:val="FootnoteReference"/>
          <w:sz w:val="36"/>
        </w:rPr>
        <w:footnoteReference w:id="15"/>
      </w:r>
      <w:r w:rsidRPr="00B0779B">
        <w:rPr>
          <w:sz w:val="36"/>
        </w:rPr>
        <w:t>. Rome was only able to afford the expenditure of the Indian Trade by levying heavy import taxes on luxury items of up to 25%</w:t>
      </w:r>
      <w:r>
        <w:rPr>
          <w:rStyle w:val="FootnoteReference"/>
          <w:sz w:val="36"/>
        </w:rPr>
        <w:footnoteReference w:id="16"/>
      </w:r>
      <w:r w:rsidRPr="00B0779B">
        <w:rPr>
          <w:sz w:val="36"/>
        </w:rPr>
        <w:t>. These taxes were all transmitted to Rome,</w:t>
      </w:r>
      <w:r>
        <w:rPr>
          <w:rStyle w:val="FootnoteReference"/>
          <w:sz w:val="36"/>
        </w:rPr>
        <w:footnoteReference w:id="17"/>
      </w:r>
      <w:r w:rsidRPr="00B0779B">
        <w:rPr>
          <w:sz w:val="36"/>
        </w:rPr>
        <w:t xml:space="preserve"> where they were put back into the </w:t>
      </w:r>
      <w:r w:rsidRPr="00B0779B">
        <w:rPr>
          <w:i/>
          <w:sz w:val="36"/>
        </w:rPr>
        <w:t>aerarium</w:t>
      </w:r>
      <w:r w:rsidRPr="00B0779B">
        <w:rPr>
          <w:sz w:val="36"/>
        </w:rPr>
        <w:t xml:space="preserve"> or “public chest” until the reforms of Tiberius decreed that all Customs Revenue be paid into the </w:t>
      </w:r>
      <w:r w:rsidRPr="00B0779B">
        <w:rPr>
          <w:i/>
          <w:sz w:val="36"/>
        </w:rPr>
        <w:t>fiscus</w:t>
      </w:r>
      <w:r w:rsidRPr="00B0779B">
        <w:rPr>
          <w:sz w:val="36"/>
        </w:rPr>
        <w:t xml:space="preserve"> or “imperial treasury”.</w:t>
      </w:r>
      <w:r>
        <w:rPr>
          <w:rStyle w:val="FootnoteReference"/>
          <w:sz w:val="36"/>
        </w:rPr>
        <w:footnoteReference w:id="18"/>
      </w:r>
      <w:r w:rsidRPr="00B0779B">
        <w:rPr>
          <w:sz w:val="36"/>
        </w:rPr>
        <w:t xml:space="preserve"> A significant example of the cost of these taxes comes from the Muziris Papyrus, which tells of a ship called the </w:t>
      </w:r>
      <w:r w:rsidRPr="00B0779B">
        <w:rPr>
          <w:i/>
          <w:sz w:val="36"/>
        </w:rPr>
        <w:t>Hermapollon</w:t>
      </w:r>
      <w:r w:rsidRPr="00B0779B">
        <w:rPr>
          <w:sz w:val="36"/>
        </w:rPr>
        <w:t>, which was required to pay over 1.7 million sesterces of import taxes.</w:t>
      </w:r>
      <w:r>
        <w:rPr>
          <w:rStyle w:val="FootnoteReference"/>
          <w:sz w:val="36"/>
        </w:rPr>
        <w:footnoteReference w:id="19"/>
      </w:r>
    </w:p>
    <w:p w14:paraId="77ECA7FD" w14:textId="77777777" w:rsidR="001625C3" w:rsidRDefault="001625C3" w:rsidP="001625C3">
      <w:pPr>
        <w:rPr>
          <w:sz w:val="36"/>
        </w:rPr>
      </w:pPr>
      <w:r>
        <w:rPr>
          <w:sz w:val="36"/>
        </w:rPr>
        <w:t>I</w:t>
      </w:r>
      <w:r w:rsidRPr="00B0779B">
        <w:rPr>
          <w:sz w:val="36"/>
        </w:rPr>
        <w:t xml:space="preserve">t has been argued that these taxes were the only reason that Rome as a nation had any economic interest in trade with </w:t>
      </w:r>
      <w:r w:rsidRPr="00B0779B">
        <w:rPr>
          <w:sz w:val="36"/>
        </w:rPr>
        <w:lastRenderedPageBreak/>
        <w:t>India,</w:t>
      </w:r>
      <w:r>
        <w:rPr>
          <w:rStyle w:val="FootnoteReference"/>
          <w:sz w:val="36"/>
        </w:rPr>
        <w:footnoteReference w:id="20"/>
      </w:r>
      <w:r w:rsidRPr="00B0779B">
        <w:rPr>
          <w:sz w:val="36"/>
        </w:rPr>
        <w:t xml:space="preserve"> as they did not seem overly concerned by the apparent drain on their resources that this trade demanded.</w:t>
      </w:r>
      <w:r>
        <w:rPr>
          <w:rStyle w:val="FootnoteReference"/>
          <w:sz w:val="36"/>
        </w:rPr>
        <w:footnoteReference w:id="21"/>
      </w:r>
      <w:r w:rsidRPr="00B0779B">
        <w:rPr>
          <w:sz w:val="36"/>
        </w:rPr>
        <w:t xml:space="preserve"> Young suggests that the Roman interest in this tax revenue</w:t>
      </w:r>
      <w:r w:rsidRPr="00B0779B">
        <w:rPr>
          <w:i/>
          <w:sz w:val="36"/>
        </w:rPr>
        <w:t xml:space="preserve"> “was the only significant reason to account for the construction of facilities and the provision of protection to the traders involved in the commerce</w:t>
      </w:r>
      <w:r w:rsidRPr="00B0779B">
        <w:rPr>
          <w:sz w:val="36"/>
        </w:rPr>
        <w:t>”</w:t>
      </w:r>
      <w:r>
        <w:rPr>
          <w:rStyle w:val="FootnoteReference"/>
          <w:sz w:val="36"/>
        </w:rPr>
        <w:footnoteReference w:id="22"/>
      </w:r>
    </w:p>
    <w:p w14:paraId="3615C107" w14:textId="77777777" w:rsidR="00553769" w:rsidRDefault="00553769" w:rsidP="004A08ED">
      <w:pPr>
        <w:rPr>
          <w:sz w:val="36"/>
        </w:rPr>
      </w:pPr>
    </w:p>
    <w:p w14:paraId="579C779C" w14:textId="3F6D37C7" w:rsidR="006258EB" w:rsidRDefault="001625C3" w:rsidP="004A08ED">
      <w:pPr>
        <w:rPr>
          <w:sz w:val="36"/>
        </w:rPr>
      </w:pPr>
      <w:r>
        <w:rPr>
          <w:sz w:val="36"/>
        </w:rPr>
        <w:t xml:space="preserve">Additionally, one could argue that the most primary concern for a trader of the time would be what is actually in demand by potential customers and which goods could be traded in exchange. </w:t>
      </w:r>
      <w:r w:rsidR="00A84079">
        <w:rPr>
          <w:sz w:val="36"/>
        </w:rPr>
        <w:t>When looking in particular at Rome’s</w:t>
      </w:r>
      <w:r w:rsidR="00F95997">
        <w:rPr>
          <w:sz w:val="36"/>
        </w:rPr>
        <w:t xml:space="preserve"> trade with India</w:t>
      </w:r>
      <w:r>
        <w:rPr>
          <w:sz w:val="36"/>
        </w:rPr>
        <w:t>,</w:t>
      </w:r>
      <w:r w:rsidR="004A08ED">
        <w:rPr>
          <w:sz w:val="36"/>
        </w:rPr>
        <w:t xml:space="preserve"> to begin with Rome was able to produce enough of her own goods to satisfy the trade deals with India but as Rome and her people got more and more</w:t>
      </w:r>
      <w:r w:rsidR="006258EB">
        <w:rPr>
          <w:sz w:val="36"/>
        </w:rPr>
        <w:t xml:space="preserve"> of a taste for the Indian trade goods</w:t>
      </w:r>
      <w:r w:rsidR="00F95997">
        <w:rPr>
          <w:sz w:val="36"/>
        </w:rPr>
        <w:t xml:space="preserve"> </w:t>
      </w:r>
      <w:r w:rsidR="006258EB">
        <w:rPr>
          <w:sz w:val="36"/>
        </w:rPr>
        <w:t>l</w:t>
      </w:r>
      <w:r w:rsidR="004A08ED" w:rsidRPr="00102B74">
        <w:rPr>
          <w:sz w:val="36"/>
        </w:rPr>
        <w:t>arger and larger ships were being built, requisitioned and called in from other parts of the empire in order to fill out the trade quotas from Rome to India</w:t>
      </w:r>
      <w:r w:rsidR="004A08ED">
        <w:rPr>
          <w:sz w:val="36"/>
        </w:rPr>
        <w:t xml:space="preserve"> and vice versa</w:t>
      </w:r>
      <w:r w:rsidR="004A08ED" w:rsidRPr="00102B74">
        <w:rPr>
          <w:sz w:val="36"/>
        </w:rPr>
        <w:t>.</w:t>
      </w:r>
      <w:r w:rsidR="004A08ED">
        <w:rPr>
          <w:rStyle w:val="FootnoteReference"/>
          <w:sz w:val="36"/>
        </w:rPr>
        <w:footnoteReference w:id="23"/>
      </w:r>
      <w:r w:rsidR="006258EB">
        <w:rPr>
          <w:sz w:val="36"/>
        </w:rPr>
        <w:t xml:space="preserve"> </w:t>
      </w:r>
    </w:p>
    <w:p w14:paraId="6D20C3E1" w14:textId="77777777" w:rsidR="004A08ED" w:rsidRPr="00F13DAD" w:rsidRDefault="004A08ED" w:rsidP="004A08ED">
      <w:pPr>
        <w:rPr>
          <w:color w:val="FF0000"/>
          <w:sz w:val="36"/>
        </w:rPr>
      </w:pPr>
      <w:r>
        <w:rPr>
          <w:sz w:val="36"/>
        </w:rPr>
        <w:t>What Rome was exporting to India and indeed many other civilisations it deemed below its own station would often follow t</w:t>
      </w:r>
      <w:r w:rsidRPr="00102B74">
        <w:rPr>
          <w:sz w:val="36"/>
        </w:rPr>
        <w:t xml:space="preserve">he </w:t>
      </w:r>
      <w:r>
        <w:rPr>
          <w:sz w:val="36"/>
        </w:rPr>
        <w:t>philosophy</w:t>
      </w:r>
      <w:r w:rsidRPr="00102B74">
        <w:rPr>
          <w:sz w:val="36"/>
        </w:rPr>
        <w:t xml:space="preserve"> </w:t>
      </w:r>
      <w:r>
        <w:rPr>
          <w:sz w:val="36"/>
        </w:rPr>
        <w:t xml:space="preserve">of placing </w:t>
      </w:r>
      <w:r w:rsidRPr="00102B74">
        <w:rPr>
          <w:sz w:val="36"/>
        </w:rPr>
        <w:t xml:space="preserve">quantity </w:t>
      </w:r>
      <w:r>
        <w:rPr>
          <w:sz w:val="36"/>
        </w:rPr>
        <w:t xml:space="preserve">hand and foot over quality and even the variety of these massed produced goods left a lot to be desired as it seems that any goods of </w:t>
      </w:r>
      <w:r>
        <w:rPr>
          <w:sz w:val="36"/>
        </w:rPr>
        <w:lastRenderedPageBreak/>
        <w:t>particular quality or value were kept within Rome for her own markets</w:t>
      </w:r>
      <w:r w:rsidRPr="00102B74">
        <w:rPr>
          <w:sz w:val="36"/>
        </w:rPr>
        <w:t>.</w:t>
      </w:r>
      <w:r>
        <w:rPr>
          <w:rStyle w:val="FootnoteReference"/>
          <w:sz w:val="36"/>
        </w:rPr>
        <w:footnoteReference w:id="24"/>
      </w:r>
      <w:r>
        <w:rPr>
          <w:sz w:val="36"/>
        </w:rPr>
        <w:t xml:space="preserve"> </w:t>
      </w:r>
    </w:p>
    <w:p w14:paraId="1D078068" w14:textId="77777777" w:rsidR="004A08ED" w:rsidRDefault="004A08ED" w:rsidP="004A08ED">
      <w:pPr>
        <w:rPr>
          <w:i/>
          <w:sz w:val="36"/>
        </w:rPr>
      </w:pPr>
      <w:r>
        <w:rPr>
          <w:sz w:val="36"/>
        </w:rPr>
        <w:t xml:space="preserve">Warmington sums it up as </w:t>
      </w:r>
      <w:r w:rsidRPr="00811D45">
        <w:rPr>
          <w:i/>
          <w:sz w:val="36"/>
        </w:rPr>
        <w:t>‘</w:t>
      </w:r>
      <w:r>
        <w:rPr>
          <w:i/>
          <w:sz w:val="36"/>
        </w:rPr>
        <w:t>’T</w:t>
      </w:r>
      <w:r w:rsidRPr="00811D45">
        <w:rPr>
          <w:i/>
          <w:sz w:val="36"/>
        </w:rPr>
        <w:t>he general quality of Rome’s exports was weight and bulk rather than large variety and there was a tendency to sell inferior goods to people of slight culture’’</w:t>
      </w:r>
      <w:r>
        <w:rPr>
          <w:rStyle w:val="FootnoteReference"/>
          <w:i/>
          <w:sz w:val="36"/>
        </w:rPr>
        <w:footnoteReference w:id="25"/>
      </w:r>
    </w:p>
    <w:p w14:paraId="716115CB" w14:textId="2ED196CF" w:rsidR="00553769" w:rsidRDefault="00553769" w:rsidP="00553769">
      <w:pPr>
        <w:rPr>
          <w:sz w:val="36"/>
        </w:rPr>
      </w:pPr>
      <w:r>
        <w:rPr>
          <w:sz w:val="36"/>
        </w:rPr>
        <w:t xml:space="preserve">Rome exported many different items to make up for the goods they imported. </w:t>
      </w:r>
      <w:r w:rsidRPr="00B0779B">
        <w:rPr>
          <w:sz w:val="36"/>
        </w:rPr>
        <w:t>Warmington and Miller both provide an exhaustive list of the many imports and exports carried along the Indian Trade Routes</w:t>
      </w:r>
      <w:r>
        <w:rPr>
          <w:rStyle w:val="FootnoteReference"/>
          <w:sz w:val="36"/>
        </w:rPr>
        <w:footnoteReference w:id="26"/>
      </w:r>
      <w:r w:rsidRPr="00B0779B">
        <w:rPr>
          <w:sz w:val="36"/>
        </w:rPr>
        <w:t xml:space="preserve">. According to the </w:t>
      </w:r>
      <w:r w:rsidRPr="00B0779B">
        <w:rPr>
          <w:i/>
          <w:sz w:val="36"/>
        </w:rPr>
        <w:t>Periplus</w:t>
      </w:r>
      <w:r w:rsidRPr="00B0779B">
        <w:rPr>
          <w:sz w:val="36"/>
        </w:rPr>
        <w:t>, Rome was exporting to India Mediterranean red coral (</w:t>
      </w:r>
      <w:r w:rsidRPr="00B0779B">
        <w:rPr>
          <w:i/>
          <w:sz w:val="36"/>
        </w:rPr>
        <w:t>Corallium Rubrum)</w:t>
      </w:r>
      <w:r w:rsidRPr="00B0779B">
        <w:rPr>
          <w:sz w:val="36"/>
        </w:rPr>
        <w:t xml:space="preserve"> in huge quantities ,</w:t>
      </w:r>
      <w:r>
        <w:rPr>
          <w:rStyle w:val="FootnoteReference"/>
          <w:sz w:val="36"/>
        </w:rPr>
        <w:footnoteReference w:id="27"/>
      </w:r>
      <w:r w:rsidRPr="00B0779B">
        <w:rPr>
          <w:sz w:val="36"/>
        </w:rPr>
        <w:t xml:space="preserve"> so much so that Pliny records that the supply within Roman </w:t>
      </w:r>
      <w:r w:rsidR="001625C3" w:rsidRPr="00B0779B">
        <w:rPr>
          <w:sz w:val="36"/>
        </w:rPr>
        <w:t>Territories</w:t>
      </w:r>
      <w:r w:rsidRPr="00B0779B">
        <w:rPr>
          <w:sz w:val="36"/>
        </w:rPr>
        <w:t xml:space="preserve"> was becoming exhausted in his time.</w:t>
      </w:r>
      <w:r>
        <w:rPr>
          <w:rStyle w:val="FootnoteReference"/>
          <w:sz w:val="36"/>
        </w:rPr>
        <w:footnoteReference w:id="28"/>
      </w:r>
      <w:r w:rsidRPr="00B0779B">
        <w:rPr>
          <w:sz w:val="36"/>
        </w:rPr>
        <w:t xml:space="preserve"> The shortage became so dire that Pliny notes the Gaulish tribes were unable to </w:t>
      </w:r>
      <w:r w:rsidR="001625C3" w:rsidRPr="00B0779B">
        <w:rPr>
          <w:sz w:val="36"/>
        </w:rPr>
        <w:t>acquire</w:t>
      </w:r>
      <w:r w:rsidRPr="00B0779B">
        <w:rPr>
          <w:sz w:val="36"/>
        </w:rPr>
        <w:t xml:space="preserve"> the red coral from Rome via trade in order to adorn their shields, swords and helmets with it, as had been their custom for generations.</w:t>
      </w:r>
      <w:r>
        <w:rPr>
          <w:rStyle w:val="FootnoteReference"/>
          <w:sz w:val="36"/>
        </w:rPr>
        <w:footnoteReference w:id="29"/>
      </w:r>
      <w:r w:rsidRPr="00B0779B">
        <w:rPr>
          <w:sz w:val="36"/>
        </w:rPr>
        <w:t xml:space="preserve"> </w:t>
      </w:r>
      <w:r w:rsidRPr="00A90D66">
        <w:rPr>
          <w:sz w:val="36"/>
        </w:rPr>
        <w:t>The coral was mainly traded for pearls, which were considered to be of a similar value by the Brahmans,</w:t>
      </w:r>
      <w:r>
        <w:rPr>
          <w:rStyle w:val="FootnoteReference"/>
          <w:sz w:val="36"/>
        </w:rPr>
        <w:footnoteReference w:id="30"/>
      </w:r>
      <w:r w:rsidRPr="00A90D66">
        <w:rPr>
          <w:sz w:val="36"/>
        </w:rPr>
        <w:t xml:space="preserve"> as coral was considered to be sacred.</w:t>
      </w:r>
      <w:r>
        <w:rPr>
          <w:rStyle w:val="FootnoteReference"/>
          <w:sz w:val="36"/>
        </w:rPr>
        <w:footnoteReference w:id="31"/>
      </w:r>
    </w:p>
    <w:p w14:paraId="7E904720" w14:textId="473EBCF8" w:rsidR="00553769" w:rsidRDefault="00553769" w:rsidP="004A08ED">
      <w:pPr>
        <w:rPr>
          <w:sz w:val="36"/>
        </w:rPr>
      </w:pPr>
      <w:r w:rsidRPr="00A90D66">
        <w:rPr>
          <w:sz w:val="36"/>
        </w:rPr>
        <w:t>Another major export from Rome were plant products, including flax clothing, linen, papyrus</w:t>
      </w:r>
      <w:r>
        <w:rPr>
          <w:rStyle w:val="FootnoteReference"/>
          <w:sz w:val="36"/>
        </w:rPr>
        <w:footnoteReference w:id="32"/>
      </w:r>
      <w:r w:rsidRPr="00A90D66">
        <w:rPr>
          <w:sz w:val="36"/>
        </w:rPr>
        <w:t xml:space="preserve"> and storax, which was </w:t>
      </w:r>
      <w:r w:rsidRPr="00A90D66">
        <w:rPr>
          <w:sz w:val="36"/>
        </w:rPr>
        <w:lastRenderedPageBreak/>
        <w:t>used in medicine.</w:t>
      </w:r>
      <w:r>
        <w:rPr>
          <w:rStyle w:val="FootnoteReference"/>
          <w:sz w:val="36"/>
        </w:rPr>
        <w:footnoteReference w:id="33"/>
      </w:r>
      <w:r w:rsidRPr="00A90D66">
        <w:rPr>
          <w:sz w:val="36"/>
        </w:rPr>
        <w:t xml:space="preserve"> However, Rome’s major export was in wine</w:t>
      </w:r>
      <w:r>
        <w:rPr>
          <w:rStyle w:val="FootnoteReference"/>
          <w:sz w:val="36"/>
        </w:rPr>
        <w:footnoteReference w:id="34"/>
      </w:r>
      <w:r w:rsidRPr="00A90D66">
        <w:rPr>
          <w:sz w:val="36"/>
        </w:rPr>
        <w:t>, as it also served a secondary purpose as part of the ships’ ballast.</w:t>
      </w:r>
      <w:r>
        <w:rPr>
          <w:rStyle w:val="FootnoteReference"/>
          <w:sz w:val="36"/>
        </w:rPr>
        <w:footnoteReference w:id="35"/>
      </w:r>
      <w:r w:rsidRPr="00A90D66">
        <w:rPr>
          <w:sz w:val="36"/>
        </w:rPr>
        <w:t xml:space="preserve"> Lead, copper and tin were also minor exports from Rome, as India's native coinage at the time was mainly produced from these metals.</w:t>
      </w:r>
      <w:r>
        <w:rPr>
          <w:rStyle w:val="FootnoteReference"/>
          <w:sz w:val="36"/>
        </w:rPr>
        <w:footnoteReference w:id="36"/>
      </w:r>
      <w:r w:rsidRPr="00A90D66">
        <w:rPr>
          <w:sz w:val="36"/>
        </w:rPr>
        <w:t xml:space="preserve"> Warmington places great importance in the exportation of glass from the Roman Empire, as numerous examples of glass products from the provinces controlled by Rome, such as Alexandria, Tyre and Sidon</w:t>
      </w:r>
      <w:r>
        <w:rPr>
          <w:rStyle w:val="FootnoteReference"/>
          <w:sz w:val="36"/>
        </w:rPr>
        <w:footnoteReference w:id="37"/>
      </w:r>
      <w:r w:rsidRPr="00A90D66">
        <w:rPr>
          <w:sz w:val="36"/>
        </w:rPr>
        <w:t xml:space="preserve"> have been found across the Indian subcontinent, as well as in China and other places in the Far East.</w:t>
      </w:r>
      <w:r>
        <w:rPr>
          <w:rStyle w:val="FootnoteReference"/>
          <w:sz w:val="36"/>
        </w:rPr>
        <w:footnoteReference w:id="38"/>
      </w:r>
    </w:p>
    <w:p w14:paraId="7CD66071" w14:textId="77777777" w:rsidR="00553769" w:rsidRDefault="00553769" w:rsidP="00553769">
      <w:pPr>
        <w:rPr>
          <w:sz w:val="36"/>
        </w:rPr>
      </w:pPr>
      <w:r>
        <w:rPr>
          <w:sz w:val="36"/>
        </w:rPr>
        <w:t>Rome went on to</w:t>
      </w:r>
      <w:r w:rsidRPr="00102B74">
        <w:rPr>
          <w:sz w:val="36"/>
        </w:rPr>
        <w:t xml:space="preserve"> request</w:t>
      </w:r>
      <w:r>
        <w:rPr>
          <w:sz w:val="36"/>
        </w:rPr>
        <w:t xml:space="preserve"> </w:t>
      </w:r>
      <w:r w:rsidRPr="00102B74">
        <w:rPr>
          <w:sz w:val="36"/>
        </w:rPr>
        <w:t xml:space="preserve">huge sums of goods from </w:t>
      </w:r>
      <w:r>
        <w:rPr>
          <w:sz w:val="36"/>
        </w:rPr>
        <w:t>India and in exchange for these goods India</w:t>
      </w:r>
      <w:r w:rsidRPr="00102B74">
        <w:rPr>
          <w:sz w:val="36"/>
        </w:rPr>
        <w:t xml:space="preserve"> was requesting from </w:t>
      </w:r>
      <w:r>
        <w:rPr>
          <w:sz w:val="36"/>
        </w:rPr>
        <w:t xml:space="preserve">Rome increased amounts of commercial goods. Rome </w:t>
      </w:r>
      <w:r w:rsidRPr="00102B74">
        <w:rPr>
          <w:sz w:val="36"/>
        </w:rPr>
        <w:t>had to send massive amounts of cargo on these larger trade vessels to Indian ports</w:t>
      </w:r>
      <w:r>
        <w:rPr>
          <w:sz w:val="36"/>
        </w:rPr>
        <w:t>.</w:t>
      </w:r>
    </w:p>
    <w:p w14:paraId="4CE461EA" w14:textId="77777777" w:rsidR="00553769" w:rsidRDefault="00553769" w:rsidP="004A08ED">
      <w:pPr>
        <w:rPr>
          <w:sz w:val="36"/>
        </w:rPr>
      </w:pPr>
    </w:p>
    <w:p w14:paraId="43D5DE63" w14:textId="77777777" w:rsidR="004A08ED" w:rsidRDefault="004A08ED" w:rsidP="004A08ED">
      <w:pPr>
        <w:rPr>
          <w:sz w:val="36"/>
        </w:rPr>
      </w:pPr>
      <w:r>
        <w:rPr>
          <w:sz w:val="36"/>
        </w:rPr>
        <w:t>I</w:t>
      </w:r>
      <w:r w:rsidRPr="00102B74">
        <w:rPr>
          <w:sz w:val="36"/>
        </w:rPr>
        <w:t xml:space="preserve">n order to match the value of the Indian goods coming into the empire via sea routes, </w:t>
      </w:r>
      <w:r>
        <w:rPr>
          <w:sz w:val="36"/>
        </w:rPr>
        <w:t>s</w:t>
      </w:r>
      <w:r w:rsidRPr="00102B74">
        <w:rPr>
          <w:sz w:val="36"/>
        </w:rPr>
        <w:t>hips leaving for In</w:t>
      </w:r>
      <w:r>
        <w:rPr>
          <w:sz w:val="36"/>
        </w:rPr>
        <w:t>dia would be much heavier with R</w:t>
      </w:r>
      <w:r w:rsidRPr="00102B74">
        <w:rPr>
          <w:sz w:val="36"/>
        </w:rPr>
        <w:t xml:space="preserve">oman goods and would indeed be over-encumbered by these goods and yet despite </w:t>
      </w:r>
      <w:r>
        <w:rPr>
          <w:sz w:val="36"/>
        </w:rPr>
        <w:t>thi</w:t>
      </w:r>
      <w:r w:rsidRPr="00102B74">
        <w:rPr>
          <w:sz w:val="36"/>
        </w:rPr>
        <w:t xml:space="preserve">s, Rome was not breaking even with the trade of goods alone. Monetary tribute had to be sent </w:t>
      </w:r>
      <w:r>
        <w:rPr>
          <w:sz w:val="36"/>
        </w:rPr>
        <w:t xml:space="preserve">on the ships </w:t>
      </w:r>
      <w:r w:rsidRPr="00102B74">
        <w:rPr>
          <w:sz w:val="36"/>
        </w:rPr>
        <w:t xml:space="preserve">as well as the trade goods in order for Rome to pay off the cost incurred by importing valuables from India (as the goods made in Rome destined </w:t>
      </w:r>
      <w:r w:rsidRPr="00102B74">
        <w:rPr>
          <w:sz w:val="36"/>
        </w:rPr>
        <w:lastRenderedPageBreak/>
        <w:t>for Ind</w:t>
      </w:r>
      <w:r>
        <w:rPr>
          <w:sz w:val="36"/>
        </w:rPr>
        <w:t>ia did not match the value of the cargo Rome</w:t>
      </w:r>
      <w:r w:rsidRPr="00102B74">
        <w:rPr>
          <w:sz w:val="36"/>
        </w:rPr>
        <w:t xml:space="preserve"> wanted to import from India)</w:t>
      </w:r>
      <w:r>
        <w:rPr>
          <w:rStyle w:val="FootnoteReference"/>
          <w:sz w:val="36"/>
        </w:rPr>
        <w:footnoteReference w:id="39"/>
      </w:r>
      <w:r w:rsidRPr="00102B74">
        <w:rPr>
          <w:sz w:val="36"/>
        </w:rPr>
        <w:t xml:space="preserve">, valuables that Rome was prepared to </w:t>
      </w:r>
      <w:r>
        <w:rPr>
          <w:sz w:val="36"/>
        </w:rPr>
        <w:t xml:space="preserve">run itself into the ground for. </w:t>
      </w:r>
      <w:r>
        <w:rPr>
          <w:rStyle w:val="FootnoteReference"/>
          <w:sz w:val="36"/>
        </w:rPr>
        <w:footnoteReference w:id="40"/>
      </w:r>
    </w:p>
    <w:p w14:paraId="3581E583" w14:textId="01404C46" w:rsidR="00553769" w:rsidRPr="000548F1" w:rsidRDefault="00553769" w:rsidP="00553769">
      <w:pPr>
        <w:rPr>
          <w:sz w:val="36"/>
        </w:rPr>
      </w:pPr>
      <w:r w:rsidRPr="00553769">
        <w:rPr>
          <w:sz w:val="36"/>
        </w:rPr>
        <w:t>Rome's desire for Indian goods covered a wide variety of goods, from luxury items such as pearls</w:t>
      </w:r>
      <w:r>
        <w:rPr>
          <w:rStyle w:val="FootnoteReference"/>
          <w:sz w:val="36"/>
        </w:rPr>
        <w:footnoteReference w:id="41"/>
      </w:r>
      <w:r w:rsidRPr="00553769">
        <w:rPr>
          <w:sz w:val="36"/>
        </w:rPr>
        <w:t xml:space="preserve"> and precious gems</w:t>
      </w:r>
      <w:r>
        <w:rPr>
          <w:rStyle w:val="FootnoteReference"/>
          <w:sz w:val="36"/>
        </w:rPr>
        <w:footnoteReference w:id="42"/>
      </w:r>
      <w:r w:rsidRPr="00553769">
        <w:rPr>
          <w:sz w:val="36"/>
        </w:rPr>
        <w:t>, to more commonplace goods such as cotton</w:t>
      </w:r>
      <w:r>
        <w:rPr>
          <w:rStyle w:val="FootnoteReference"/>
          <w:sz w:val="36"/>
        </w:rPr>
        <w:footnoteReference w:id="43"/>
      </w:r>
      <w:r w:rsidRPr="00553769">
        <w:rPr>
          <w:sz w:val="36"/>
        </w:rPr>
        <w:t xml:space="preserve"> and black pepper.</w:t>
      </w:r>
      <w:r>
        <w:rPr>
          <w:rStyle w:val="FootnoteReference"/>
          <w:sz w:val="36"/>
        </w:rPr>
        <w:footnoteReference w:id="44"/>
      </w:r>
      <w:r w:rsidRPr="00553769">
        <w:rPr>
          <w:sz w:val="36"/>
        </w:rPr>
        <w:t xml:space="preserve"> There was also great demand for exotic animals for Roman circus shows, including lions, rhinoceroses, elephants, tigers and serpents.</w:t>
      </w:r>
      <w:r>
        <w:rPr>
          <w:rStyle w:val="FootnoteReference"/>
          <w:sz w:val="36"/>
        </w:rPr>
        <w:footnoteReference w:id="45"/>
      </w:r>
      <w:r w:rsidRPr="00553769">
        <w:rPr>
          <w:sz w:val="36"/>
        </w:rPr>
        <w:t>Parrots were very popular,</w:t>
      </w:r>
      <w:r>
        <w:rPr>
          <w:rStyle w:val="FootnoteReference"/>
          <w:sz w:val="36"/>
        </w:rPr>
        <w:footnoteReference w:id="46"/>
      </w:r>
      <w:r w:rsidRPr="00553769">
        <w:rPr>
          <w:sz w:val="36"/>
        </w:rPr>
        <w:t xml:space="preserve"> likely as household pets for the elite of Rome's society who wanted to show off their wealth. Animal products such as tortoise shell and rhinoceros horn were also highly prizes.</w:t>
      </w:r>
      <w:r>
        <w:rPr>
          <w:rStyle w:val="FootnoteReference"/>
          <w:sz w:val="36"/>
        </w:rPr>
        <w:footnoteReference w:id="47"/>
      </w:r>
    </w:p>
    <w:p w14:paraId="534E9679" w14:textId="177EBEE7" w:rsidR="00553769" w:rsidRDefault="00553769" w:rsidP="00553769">
      <w:pPr>
        <w:rPr>
          <w:sz w:val="36"/>
        </w:rPr>
      </w:pPr>
      <w:r w:rsidRPr="00553769">
        <w:rPr>
          <w:sz w:val="36"/>
        </w:rPr>
        <w:t xml:space="preserve">Later, Rome desired to import more of these goods from India. Unfortunately, Rome could not meet the increased demand for Roman exports that India wanted in return for the Indian trade goods and so alongside the exchange of </w:t>
      </w:r>
      <w:r w:rsidR="001625C3">
        <w:rPr>
          <w:sz w:val="36"/>
        </w:rPr>
        <w:t>commercial goods</w:t>
      </w:r>
      <w:r w:rsidRPr="00553769">
        <w:rPr>
          <w:sz w:val="36"/>
        </w:rPr>
        <w:t xml:space="preserve">, Rome also had to </w:t>
      </w:r>
      <w:r w:rsidRPr="00553769">
        <w:rPr>
          <w:sz w:val="36"/>
          <w:szCs w:val="36"/>
        </w:rPr>
        <w:t>pay any remaining costs with coin to pay for the increased</w:t>
      </w:r>
      <w:r w:rsidRPr="00553769">
        <w:rPr>
          <w:sz w:val="36"/>
        </w:rPr>
        <w:t xml:space="preserve"> sums of Indian goods</w:t>
      </w:r>
      <w:r w:rsidR="001625C3">
        <w:rPr>
          <w:sz w:val="36"/>
        </w:rPr>
        <w:t xml:space="preserve"> it was importing</w:t>
      </w:r>
      <w:r>
        <w:rPr>
          <w:rStyle w:val="FootnoteReference"/>
          <w:sz w:val="36"/>
        </w:rPr>
        <w:footnoteReference w:id="48"/>
      </w:r>
      <w:r w:rsidRPr="00553769">
        <w:rPr>
          <w:sz w:val="36"/>
        </w:rPr>
        <w:t>. Pliny Natural History Book VI records an annual loss of no less than 55 million sesterces on trade with India alone over the previous ten years</w:t>
      </w:r>
      <w:r w:rsidR="000C5C8B">
        <w:rPr>
          <w:sz w:val="36"/>
        </w:rPr>
        <w:t xml:space="preserve"> before his works</w:t>
      </w:r>
      <w:r w:rsidRPr="00553769">
        <w:rPr>
          <w:sz w:val="36"/>
        </w:rPr>
        <w:t>.</w:t>
      </w:r>
      <w:r>
        <w:rPr>
          <w:rStyle w:val="FootnoteReference"/>
          <w:sz w:val="36"/>
        </w:rPr>
        <w:footnoteReference w:id="49"/>
      </w:r>
      <w:r w:rsidRPr="00553769">
        <w:rPr>
          <w:sz w:val="36"/>
        </w:rPr>
        <w:t xml:space="preserve"> </w:t>
      </w:r>
      <w:r w:rsidRPr="00553769">
        <w:rPr>
          <w:sz w:val="36"/>
        </w:rPr>
        <w:lastRenderedPageBreak/>
        <w:t>Chandra tells us that Tiberius attempted to curb this great drain on Rome's treasury, but was without success.</w:t>
      </w:r>
      <w:r>
        <w:rPr>
          <w:rStyle w:val="FootnoteReference"/>
          <w:sz w:val="36"/>
        </w:rPr>
        <w:footnoteReference w:id="50"/>
      </w:r>
    </w:p>
    <w:p w14:paraId="22F3E48E" w14:textId="77777777" w:rsidR="00553769" w:rsidRDefault="00553769" w:rsidP="00553769">
      <w:pPr>
        <w:rPr>
          <w:sz w:val="36"/>
        </w:rPr>
      </w:pPr>
    </w:p>
    <w:p w14:paraId="5D44DAD1" w14:textId="7F98C614" w:rsidR="00553769" w:rsidRDefault="00553769" w:rsidP="004A08ED">
      <w:pPr>
        <w:rPr>
          <w:sz w:val="36"/>
        </w:rPr>
      </w:pPr>
      <w:r w:rsidRPr="00553769">
        <w:rPr>
          <w:sz w:val="36"/>
        </w:rPr>
        <w:t>Rome wanted increased sums of Indian goods so this meant more or larger transport ships,</w:t>
      </w:r>
      <w:r>
        <w:rPr>
          <w:rStyle w:val="FootnoteReference"/>
          <w:sz w:val="36"/>
        </w:rPr>
        <w:footnoteReference w:id="51"/>
      </w:r>
      <w:r w:rsidRPr="00553769">
        <w:rPr>
          <w:sz w:val="36"/>
        </w:rPr>
        <w:t xml:space="preserve"> more security ships</w:t>
      </w:r>
      <w:r>
        <w:rPr>
          <w:rStyle w:val="FootnoteReference"/>
          <w:sz w:val="36"/>
        </w:rPr>
        <w:footnoteReference w:id="52"/>
      </w:r>
      <w:r w:rsidRPr="00553769">
        <w:rPr>
          <w:sz w:val="36"/>
        </w:rPr>
        <w:t>, higher maintenance costs for said ships</w:t>
      </w:r>
      <w:r>
        <w:rPr>
          <w:rStyle w:val="FootnoteReference"/>
          <w:sz w:val="36"/>
        </w:rPr>
        <w:footnoteReference w:id="53"/>
      </w:r>
      <w:r w:rsidRPr="00553769">
        <w:rPr>
          <w:sz w:val="36"/>
        </w:rPr>
        <w:t>, labour costs would increase with larger sums of goods, all of these costs would be expended again to pay for the trade routes across land</w:t>
      </w:r>
      <w:r>
        <w:rPr>
          <w:rStyle w:val="FootnoteReference"/>
          <w:sz w:val="36"/>
        </w:rPr>
        <w:footnoteReference w:id="54"/>
      </w:r>
      <w:r w:rsidRPr="00553769">
        <w:rPr>
          <w:sz w:val="36"/>
        </w:rPr>
        <w:t>, higher loans from banks and higher interest rates (30% in some cases)</w:t>
      </w:r>
      <w:r>
        <w:rPr>
          <w:rStyle w:val="FootnoteReference"/>
          <w:sz w:val="36"/>
        </w:rPr>
        <w:footnoteReference w:id="55"/>
      </w:r>
      <w:r w:rsidRPr="00553769">
        <w:rPr>
          <w:sz w:val="36"/>
        </w:rPr>
        <w:t xml:space="preserve"> on said loans due to the added risk of increasingly larger trade ventures would surely have effected not only the state but everyone else in a cascade effect. </w:t>
      </w:r>
      <w:r>
        <w:rPr>
          <w:sz w:val="36"/>
        </w:rPr>
        <w:t xml:space="preserve"> </w:t>
      </w:r>
    </w:p>
    <w:p w14:paraId="0193D5A9" w14:textId="77777777" w:rsidR="00553769" w:rsidRDefault="00553769" w:rsidP="004A08ED">
      <w:pPr>
        <w:rPr>
          <w:sz w:val="36"/>
        </w:rPr>
      </w:pPr>
    </w:p>
    <w:p w14:paraId="314C3641" w14:textId="746E73A4" w:rsidR="00553769" w:rsidRPr="00102B74" w:rsidRDefault="00553769" w:rsidP="00553769">
      <w:pPr>
        <w:rPr>
          <w:sz w:val="36"/>
        </w:rPr>
      </w:pPr>
      <w:r w:rsidRPr="00102B74">
        <w:rPr>
          <w:sz w:val="36"/>
        </w:rPr>
        <w:t xml:space="preserve">Rome was consuming far more commercial goods than she was producing. The goods that she did produce were not valued highly by </w:t>
      </w:r>
      <w:r w:rsidR="000C5C8B">
        <w:rPr>
          <w:sz w:val="36"/>
        </w:rPr>
        <w:t xml:space="preserve">many far eastern </w:t>
      </w:r>
      <w:r w:rsidRPr="00102B74">
        <w:rPr>
          <w:sz w:val="36"/>
        </w:rPr>
        <w:t>nation states such as China and India and as such Rome was having to pay with coin that which the worth of the trade goods alone could not cover</w:t>
      </w:r>
      <w:r>
        <w:rPr>
          <w:sz w:val="36"/>
        </w:rPr>
        <w:t>.</w:t>
      </w:r>
      <w:r>
        <w:rPr>
          <w:rStyle w:val="FootnoteReference"/>
          <w:sz w:val="36"/>
        </w:rPr>
        <w:footnoteReference w:id="56"/>
      </w:r>
    </w:p>
    <w:p w14:paraId="53CA3394" w14:textId="77777777" w:rsidR="00553769" w:rsidRPr="00102B74" w:rsidRDefault="00553769" w:rsidP="00553769">
      <w:pPr>
        <w:rPr>
          <w:sz w:val="36"/>
        </w:rPr>
      </w:pPr>
      <w:r>
        <w:rPr>
          <w:sz w:val="36"/>
        </w:rPr>
        <w:t>“The</w:t>
      </w:r>
      <w:r w:rsidRPr="00102B74">
        <w:rPr>
          <w:sz w:val="36"/>
        </w:rPr>
        <w:t xml:space="preserve"> result of this was the draining away from the Empire of precious metals in the form of coined money without any adequate return."</w:t>
      </w:r>
      <w:r>
        <w:rPr>
          <w:rStyle w:val="FootnoteReference"/>
          <w:sz w:val="36"/>
        </w:rPr>
        <w:footnoteReference w:id="57"/>
      </w:r>
    </w:p>
    <w:p w14:paraId="0F29980D" w14:textId="5D475294" w:rsidR="00553769" w:rsidRDefault="00553769" w:rsidP="00553769">
      <w:pPr>
        <w:rPr>
          <w:sz w:val="36"/>
        </w:rPr>
      </w:pPr>
      <w:r>
        <w:rPr>
          <w:sz w:val="36"/>
        </w:rPr>
        <w:lastRenderedPageBreak/>
        <w:t>R</w:t>
      </w:r>
      <w:r w:rsidRPr="00102B74">
        <w:rPr>
          <w:sz w:val="36"/>
        </w:rPr>
        <w:t>ome was slowly bankrupting itself.</w:t>
      </w:r>
      <w:r>
        <w:rPr>
          <w:sz w:val="36"/>
        </w:rPr>
        <w:t xml:space="preserve"> </w:t>
      </w:r>
      <w:r w:rsidR="000C5C8B">
        <w:rPr>
          <w:sz w:val="36"/>
        </w:rPr>
        <w:t>As mentioned above, o</w:t>
      </w:r>
      <w:r>
        <w:rPr>
          <w:sz w:val="36"/>
        </w:rPr>
        <w:t>n average 55 million sesterces a year was being sent to India alone so that Rome could have its commodities. Other countries such as Arabia and Seres were also draining large sums of coinage from Rome and when combined with that of India the cost exceeded 100,000,000 sesterces every year.</w:t>
      </w:r>
      <w:r>
        <w:rPr>
          <w:rStyle w:val="FootnoteReference"/>
          <w:sz w:val="36"/>
        </w:rPr>
        <w:footnoteReference w:id="58"/>
      </w:r>
    </w:p>
    <w:p w14:paraId="49BAD1AF" w14:textId="77777777" w:rsidR="00553769" w:rsidRDefault="00553769" w:rsidP="00553769">
      <w:pPr>
        <w:rPr>
          <w:sz w:val="36"/>
        </w:rPr>
      </w:pPr>
      <w:r>
        <w:rPr>
          <w:sz w:val="36"/>
        </w:rPr>
        <w:t>Despite this truly gargantuan wealth of coin flowing out of Rome’s treasury it is noted on multiple accounts that Rome seemed largely to not be “unduly concerned” about these tremendous costs.</w:t>
      </w:r>
      <w:r>
        <w:rPr>
          <w:rStyle w:val="FootnoteReference"/>
          <w:sz w:val="36"/>
        </w:rPr>
        <w:footnoteReference w:id="59"/>
      </w:r>
    </w:p>
    <w:p w14:paraId="39DA35A2" w14:textId="77777777" w:rsidR="00092495" w:rsidRPr="00092495" w:rsidRDefault="00092495" w:rsidP="00092495">
      <w:pPr>
        <w:pStyle w:val="ListParagraph"/>
        <w:rPr>
          <w:sz w:val="36"/>
        </w:rPr>
      </w:pPr>
    </w:p>
    <w:p w14:paraId="2F51D08F" w14:textId="77777777" w:rsidR="00553769" w:rsidRDefault="00092495" w:rsidP="00553769">
      <w:pPr>
        <w:rPr>
          <w:sz w:val="36"/>
        </w:rPr>
      </w:pPr>
      <w:r w:rsidRPr="00553769">
        <w:rPr>
          <w:sz w:val="36"/>
        </w:rPr>
        <w:t>Trade with India eventually ceased due to the value of roman Silver coinage plummeting. This was due to a number of factors:</w:t>
      </w:r>
    </w:p>
    <w:p w14:paraId="4F966DE0" w14:textId="1437D880" w:rsidR="00092495" w:rsidRDefault="00553769" w:rsidP="00553769">
      <w:pPr>
        <w:rPr>
          <w:sz w:val="36"/>
        </w:rPr>
      </w:pPr>
      <w:r w:rsidRPr="00553769">
        <w:rPr>
          <w:sz w:val="36"/>
        </w:rPr>
        <w:t xml:space="preserve">Rostovtzeff </w:t>
      </w:r>
      <w:r>
        <w:rPr>
          <w:sz w:val="36"/>
        </w:rPr>
        <w:t>suggests that this was</w:t>
      </w:r>
      <w:r w:rsidR="000C5C8B">
        <w:rPr>
          <w:sz w:val="36"/>
        </w:rPr>
        <w:t xml:space="preserve"> </w:t>
      </w:r>
      <w:r w:rsidR="00092495" w:rsidRPr="00553769">
        <w:rPr>
          <w:i/>
          <w:sz w:val="36"/>
        </w:rPr>
        <w:t>‘’Largely due to the depreciation of currency’’</w:t>
      </w:r>
      <w:r w:rsidR="001179B6">
        <w:rPr>
          <w:rStyle w:val="FootnoteReference"/>
          <w:sz w:val="36"/>
        </w:rPr>
        <w:footnoteReference w:id="60"/>
      </w:r>
      <w:r w:rsidR="001179B6">
        <w:rPr>
          <w:sz w:val="36"/>
        </w:rPr>
        <w:t>.</w:t>
      </w:r>
      <w:r w:rsidR="00092495">
        <w:rPr>
          <w:sz w:val="36"/>
        </w:rPr>
        <w:t xml:space="preserve">  The percentage of silver in the coins began to drop due to the hoarding of ’good silver’ by profiteers</w:t>
      </w:r>
      <w:r w:rsidR="001179B6">
        <w:rPr>
          <w:sz w:val="36"/>
        </w:rPr>
        <w:t xml:space="preserve"> meaning coin for coin the currency was worth less</w:t>
      </w:r>
      <w:r>
        <w:rPr>
          <w:sz w:val="36"/>
        </w:rPr>
        <w:t xml:space="preserve">. </w:t>
      </w:r>
    </w:p>
    <w:p w14:paraId="59020CBF" w14:textId="24B6355E" w:rsidR="00A0125C" w:rsidRDefault="00553769" w:rsidP="00553769">
      <w:pPr>
        <w:rPr>
          <w:sz w:val="36"/>
        </w:rPr>
      </w:pPr>
      <w:r>
        <w:rPr>
          <w:sz w:val="36"/>
        </w:rPr>
        <w:t xml:space="preserve">Another possible reason for the loss of trade with India was </w:t>
      </w:r>
      <w:r w:rsidR="001179B6" w:rsidRPr="00553769">
        <w:rPr>
          <w:i/>
          <w:sz w:val="36"/>
        </w:rPr>
        <w:t>‘’the decay of initiative on the part of businessmen’’</w:t>
      </w:r>
      <w:r w:rsidR="001179B6">
        <w:rPr>
          <w:rStyle w:val="FootnoteReference"/>
          <w:sz w:val="36"/>
        </w:rPr>
        <w:footnoteReference w:id="61"/>
      </w:r>
      <w:r w:rsidR="001179B6">
        <w:rPr>
          <w:sz w:val="36"/>
        </w:rPr>
        <w:t>. Tra</w:t>
      </w:r>
      <w:r w:rsidR="008B6AC9">
        <w:rPr>
          <w:sz w:val="36"/>
        </w:rPr>
        <w:t xml:space="preserve">de could be a dangerous financial venture for a businessman </w:t>
      </w:r>
      <w:r w:rsidR="001179B6">
        <w:rPr>
          <w:sz w:val="36"/>
        </w:rPr>
        <w:t>and the increasing risk of raiders from such peoples as the Blem</w:t>
      </w:r>
      <w:r w:rsidR="008B6AC9">
        <w:rPr>
          <w:sz w:val="36"/>
        </w:rPr>
        <w:t xml:space="preserve">myes and even the Goths were becoming a more prevalent </w:t>
      </w:r>
      <w:r w:rsidR="001179B6">
        <w:rPr>
          <w:sz w:val="36"/>
        </w:rPr>
        <w:t xml:space="preserve">threat in the </w:t>
      </w:r>
      <w:r w:rsidR="008B6AC9">
        <w:rPr>
          <w:sz w:val="36"/>
        </w:rPr>
        <w:t>Mediterranean</w:t>
      </w:r>
      <w:r w:rsidR="001179B6">
        <w:rPr>
          <w:sz w:val="36"/>
        </w:rPr>
        <w:t xml:space="preserve"> as they were known to take to the Mediterranean sea in raiding vessels and conduct </w:t>
      </w:r>
      <w:r w:rsidR="001179B6">
        <w:rPr>
          <w:sz w:val="36"/>
        </w:rPr>
        <w:lastRenderedPageBreak/>
        <w:t>raids on the coastal cities</w:t>
      </w:r>
      <w:r w:rsidR="000B555E">
        <w:rPr>
          <w:sz w:val="36"/>
        </w:rPr>
        <w:t xml:space="preserve"> including settlements in Asia Minor.</w:t>
      </w:r>
      <w:r w:rsidR="000B555E" w:rsidRPr="000B555E">
        <w:rPr>
          <w:rStyle w:val="FootnoteReference"/>
          <w:sz w:val="36"/>
        </w:rPr>
        <w:t xml:space="preserve"> </w:t>
      </w:r>
      <w:r w:rsidR="000B555E">
        <w:rPr>
          <w:rStyle w:val="FootnoteReference"/>
          <w:sz w:val="36"/>
        </w:rPr>
        <w:footnoteReference w:id="62"/>
      </w:r>
      <w:r w:rsidR="000B555E">
        <w:rPr>
          <w:sz w:val="36"/>
        </w:rPr>
        <w:t xml:space="preserve"> T</w:t>
      </w:r>
      <w:r w:rsidR="008B6AC9">
        <w:rPr>
          <w:sz w:val="36"/>
        </w:rPr>
        <w:t>hese cities were</w:t>
      </w:r>
      <w:r w:rsidR="001179B6">
        <w:rPr>
          <w:sz w:val="36"/>
        </w:rPr>
        <w:t xml:space="preserve"> along the routes of </w:t>
      </w:r>
      <w:r w:rsidR="008B6AC9">
        <w:rPr>
          <w:sz w:val="36"/>
        </w:rPr>
        <w:t xml:space="preserve">trade </w:t>
      </w:r>
      <w:r w:rsidR="001179B6">
        <w:rPr>
          <w:sz w:val="36"/>
        </w:rPr>
        <w:t>vessels</w:t>
      </w:r>
      <w:r w:rsidR="00EB26EC">
        <w:rPr>
          <w:sz w:val="36"/>
        </w:rPr>
        <w:t xml:space="preserve"> belonging to R</w:t>
      </w:r>
      <w:r w:rsidR="008B6AC9">
        <w:rPr>
          <w:sz w:val="36"/>
        </w:rPr>
        <w:t>ome</w:t>
      </w:r>
      <w:r>
        <w:rPr>
          <w:sz w:val="36"/>
        </w:rPr>
        <w:t>.</w:t>
      </w:r>
    </w:p>
    <w:p w14:paraId="05DBFA1A" w14:textId="77777777" w:rsidR="00F90548" w:rsidRDefault="00F90548" w:rsidP="005D3027">
      <w:pPr>
        <w:rPr>
          <w:sz w:val="36"/>
        </w:rPr>
      </w:pPr>
    </w:p>
    <w:p w14:paraId="631669B8" w14:textId="2F1BB1D0" w:rsidR="00F90548" w:rsidRDefault="000C5C8B" w:rsidP="005D3027">
      <w:pPr>
        <w:rPr>
          <w:sz w:val="36"/>
        </w:rPr>
      </w:pPr>
      <w:r>
        <w:rPr>
          <w:sz w:val="36"/>
        </w:rPr>
        <w:t>The final conclusion to be drawn here is that although Rome’s trade with India was vital and her people sought after the India goods dearly, the trade simply wasn’t sustainable. Rome was rupturing silver from its treasury in order to pay for these trade deals and in the end it could no longer be maintained  as the worth of Rome’s trade goods alone could not carry the cost of the Indian merchandise. The extent of which resulted in a mass devaluing of silver in Rome to the point that India trade was stopped altogether to allow Rome to replenish its reserves on</w:t>
      </w:r>
      <w:r w:rsidR="00387C0F">
        <w:rPr>
          <w:sz w:val="36"/>
        </w:rPr>
        <w:t>c</w:t>
      </w:r>
      <w:r>
        <w:rPr>
          <w:sz w:val="36"/>
        </w:rPr>
        <w:t>e more proving as a bottom line that Rome’s trade with India was definitively bad for Rome’s economy but likely very popular with it people.</w:t>
      </w:r>
    </w:p>
    <w:p w14:paraId="6DE2B379" w14:textId="77777777" w:rsidR="00F90548" w:rsidRDefault="00F90548" w:rsidP="005D3027">
      <w:pPr>
        <w:rPr>
          <w:sz w:val="36"/>
        </w:rPr>
      </w:pPr>
    </w:p>
    <w:p w14:paraId="2D0C1DEC" w14:textId="77777777" w:rsidR="00F90548" w:rsidRDefault="00F90548" w:rsidP="005D3027">
      <w:pPr>
        <w:rPr>
          <w:sz w:val="36"/>
        </w:rPr>
      </w:pPr>
    </w:p>
    <w:p w14:paraId="44E4AF0A" w14:textId="77777777" w:rsidR="00F90548" w:rsidRDefault="00F90548" w:rsidP="005D3027">
      <w:pPr>
        <w:rPr>
          <w:sz w:val="36"/>
        </w:rPr>
      </w:pPr>
    </w:p>
    <w:p w14:paraId="141BF757" w14:textId="77777777" w:rsidR="00F90548" w:rsidRDefault="00F90548" w:rsidP="005D3027">
      <w:pPr>
        <w:rPr>
          <w:sz w:val="36"/>
        </w:rPr>
      </w:pPr>
    </w:p>
    <w:p w14:paraId="0FEC7CE1" w14:textId="77777777" w:rsidR="00F90548" w:rsidRDefault="00F90548" w:rsidP="005D3027">
      <w:pPr>
        <w:rPr>
          <w:sz w:val="36"/>
        </w:rPr>
      </w:pPr>
    </w:p>
    <w:p w14:paraId="7E7F8705" w14:textId="77777777" w:rsidR="00F90548" w:rsidRDefault="00F90548" w:rsidP="005D3027">
      <w:pPr>
        <w:rPr>
          <w:sz w:val="36"/>
        </w:rPr>
      </w:pPr>
    </w:p>
    <w:p w14:paraId="542E5BBB" w14:textId="77777777" w:rsidR="00A14C45" w:rsidRDefault="00A14C45" w:rsidP="005D3027">
      <w:pPr>
        <w:rPr>
          <w:sz w:val="36"/>
        </w:rPr>
      </w:pPr>
    </w:p>
    <w:p w14:paraId="3D796D15" w14:textId="77777777" w:rsidR="000C5C8B" w:rsidRDefault="000C5C8B" w:rsidP="005D3027">
      <w:pPr>
        <w:rPr>
          <w:sz w:val="36"/>
        </w:rPr>
      </w:pPr>
    </w:p>
    <w:p w14:paraId="7D6BCF5C" w14:textId="77777777" w:rsidR="005D3027" w:rsidRDefault="005D3027" w:rsidP="00371F3A">
      <w:pPr>
        <w:jc w:val="center"/>
        <w:rPr>
          <w:b/>
          <w:sz w:val="36"/>
          <w:u w:val="single"/>
        </w:rPr>
      </w:pPr>
      <w:r w:rsidRPr="005D3027">
        <w:rPr>
          <w:b/>
          <w:sz w:val="36"/>
          <w:u w:val="single"/>
        </w:rPr>
        <w:lastRenderedPageBreak/>
        <w:t>Bibliography</w:t>
      </w:r>
    </w:p>
    <w:p w14:paraId="7D837088" w14:textId="77777777" w:rsidR="002509BA" w:rsidRPr="002509BA" w:rsidRDefault="002509BA" w:rsidP="002509BA">
      <w:pPr>
        <w:rPr>
          <w:sz w:val="36"/>
          <w:szCs w:val="36"/>
        </w:rPr>
      </w:pPr>
      <w:r w:rsidRPr="002509BA">
        <w:rPr>
          <w:sz w:val="36"/>
          <w:szCs w:val="36"/>
        </w:rPr>
        <w:t>•</w:t>
      </w:r>
      <w:r w:rsidRPr="002509BA">
        <w:rPr>
          <w:sz w:val="36"/>
          <w:szCs w:val="36"/>
        </w:rPr>
        <w:tab/>
        <w:t>Ball, W. 2016. Rome in the East: The Transformation of an Empire. London: Routledge</w:t>
      </w:r>
    </w:p>
    <w:p w14:paraId="368107CB" w14:textId="77777777" w:rsidR="002509BA" w:rsidRPr="002509BA" w:rsidRDefault="002509BA" w:rsidP="002509BA">
      <w:pPr>
        <w:rPr>
          <w:sz w:val="36"/>
          <w:szCs w:val="36"/>
        </w:rPr>
      </w:pPr>
      <w:r w:rsidRPr="002509BA">
        <w:rPr>
          <w:sz w:val="36"/>
          <w:szCs w:val="36"/>
        </w:rPr>
        <w:t>•</w:t>
      </w:r>
      <w:r w:rsidRPr="002509BA">
        <w:rPr>
          <w:sz w:val="36"/>
          <w:szCs w:val="36"/>
        </w:rPr>
        <w:tab/>
        <w:t>Casson, L. 1989. The Periplus Maris Erythraei: Text with Introduction, Translation and Commentary. Princeton: Princeton University Press</w:t>
      </w:r>
    </w:p>
    <w:p w14:paraId="0F14D04A" w14:textId="77777777" w:rsidR="002509BA" w:rsidRPr="002509BA" w:rsidRDefault="002509BA" w:rsidP="002509BA">
      <w:pPr>
        <w:rPr>
          <w:sz w:val="36"/>
          <w:szCs w:val="36"/>
        </w:rPr>
      </w:pPr>
      <w:r w:rsidRPr="002509BA">
        <w:rPr>
          <w:sz w:val="36"/>
          <w:szCs w:val="36"/>
        </w:rPr>
        <w:t>•</w:t>
      </w:r>
      <w:r w:rsidRPr="002509BA">
        <w:rPr>
          <w:sz w:val="36"/>
          <w:szCs w:val="36"/>
        </w:rPr>
        <w:tab/>
        <w:t>Chakravarti, R. 2017. 'Hinterland and Foreland of the Port of Muziris'. In Matthew, K.S. (ed.) Imperial Rome, Indian Ocean Regions and Muziris: New Perspectives on Maritime Trade. London: Routledge</w:t>
      </w:r>
    </w:p>
    <w:p w14:paraId="2C875CAF" w14:textId="77777777" w:rsidR="002509BA" w:rsidRPr="002509BA" w:rsidRDefault="002509BA" w:rsidP="002509BA">
      <w:pPr>
        <w:rPr>
          <w:sz w:val="36"/>
          <w:szCs w:val="36"/>
        </w:rPr>
      </w:pPr>
      <w:r w:rsidRPr="002509BA">
        <w:rPr>
          <w:sz w:val="36"/>
          <w:szCs w:val="36"/>
        </w:rPr>
        <w:t>•</w:t>
      </w:r>
      <w:r w:rsidRPr="002509BA">
        <w:rPr>
          <w:sz w:val="36"/>
          <w:szCs w:val="36"/>
        </w:rPr>
        <w:tab/>
        <w:t>Chandra, M. 1977. Trade and Trade Routes in Ancient India. New Delhi: Abhinav Publications</w:t>
      </w:r>
    </w:p>
    <w:p w14:paraId="5FFB6915" w14:textId="77777777" w:rsidR="002509BA" w:rsidRPr="002509BA" w:rsidRDefault="002509BA" w:rsidP="002509BA">
      <w:pPr>
        <w:rPr>
          <w:sz w:val="36"/>
          <w:szCs w:val="36"/>
        </w:rPr>
      </w:pPr>
      <w:r w:rsidRPr="002509BA">
        <w:rPr>
          <w:sz w:val="36"/>
          <w:szCs w:val="36"/>
        </w:rPr>
        <w:t>•</w:t>
      </w:r>
      <w:r w:rsidRPr="002509BA">
        <w:rPr>
          <w:sz w:val="36"/>
          <w:szCs w:val="36"/>
        </w:rPr>
        <w:tab/>
        <w:t>Gurukkal, R. 2016. Rethinking Classical Indo-Roman Trade: Political Economy of Eastern Mediterranean Exchange Relations. Oxford: Oxford University Press</w:t>
      </w:r>
    </w:p>
    <w:p w14:paraId="4AFB3DB8" w14:textId="77777777" w:rsidR="002509BA" w:rsidRPr="002509BA" w:rsidRDefault="002509BA" w:rsidP="002509BA">
      <w:pPr>
        <w:rPr>
          <w:sz w:val="36"/>
          <w:szCs w:val="36"/>
        </w:rPr>
      </w:pPr>
      <w:r w:rsidRPr="002509BA">
        <w:rPr>
          <w:sz w:val="36"/>
          <w:szCs w:val="36"/>
        </w:rPr>
        <w:t>•</w:t>
      </w:r>
      <w:r w:rsidRPr="002509BA">
        <w:rPr>
          <w:sz w:val="36"/>
          <w:szCs w:val="36"/>
        </w:rPr>
        <w:tab/>
        <w:t>Majumdar, S.B. 2017. 'Money Matters'. In Matthew, K.S. (ed.) Imperial Rome, Indian Ocean Regions and Muziris: New Perspectives on Maritime Trade. London: Routledge</w:t>
      </w:r>
    </w:p>
    <w:p w14:paraId="237B95AF" w14:textId="77777777" w:rsidR="002509BA" w:rsidRPr="002509BA" w:rsidRDefault="002509BA" w:rsidP="002509BA">
      <w:pPr>
        <w:rPr>
          <w:sz w:val="36"/>
          <w:szCs w:val="36"/>
        </w:rPr>
      </w:pPr>
      <w:r w:rsidRPr="002509BA">
        <w:rPr>
          <w:sz w:val="36"/>
          <w:szCs w:val="36"/>
        </w:rPr>
        <w:t>•</w:t>
      </w:r>
      <w:r w:rsidRPr="002509BA">
        <w:rPr>
          <w:sz w:val="36"/>
          <w:szCs w:val="36"/>
        </w:rPr>
        <w:tab/>
        <w:t>Miller, J.I. 1969. The Spice Trade of the Roman Empire: 29BC to AD641. Oxford: Clarendon Press</w:t>
      </w:r>
    </w:p>
    <w:p w14:paraId="572A2C3F" w14:textId="77777777" w:rsidR="002509BA" w:rsidRPr="002509BA" w:rsidRDefault="002509BA" w:rsidP="002509BA">
      <w:pPr>
        <w:rPr>
          <w:sz w:val="36"/>
          <w:szCs w:val="36"/>
        </w:rPr>
      </w:pPr>
      <w:r w:rsidRPr="002509BA">
        <w:rPr>
          <w:sz w:val="36"/>
          <w:szCs w:val="36"/>
        </w:rPr>
        <w:t>•</w:t>
      </w:r>
      <w:r w:rsidRPr="002509BA">
        <w:rPr>
          <w:sz w:val="36"/>
          <w:szCs w:val="36"/>
        </w:rPr>
        <w:tab/>
        <w:t>Pliny the Elder, Natural History Vol VI. W.H.S. Jones (trans.). 2014. Cambridge MA: Harvard University Press</w:t>
      </w:r>
    </w:p>
    <w:p w14:paraId="07F04648" w14:textId="77777777" w:rsidR="002509BA" w:rsidRPr="002509BA" w:rsidRDefault="002509BA" w:rsidP="002509BA">
      <w:pPr>
        <w:rPr>
          <w:sz w:val="36"/>
          <w:szCs w:val="36"/>
        </w:rPr>
      </w:pPr>
      <w:r w:rsidRPr="002509BA">
        <w:rPr>
          <w:sz w:val="36"/>
          <w:szCs w:val="36"/>
        </w:rPr>
        <w:t>•</w:t>
      </w:r>
      <w:r w:rsidRPr="002509BA">
        <w:rPr>
          <w:sz w:val="36"/>
          <w:szCs w:val="36"/>
        </w:rPr>
        <w:tab/>
        <w:t>Rostovtzeff, M. 1957. The Social and Economic History of the Roman Empire: Volume 1. Oxford: Clarendon Press</w:t>
      </w:r>
    </w:p>
    <w:p w14:paraId="27C4E005" w14:textId="77777777" w:rsidR="002509BA" w:rsidRPr="002509BA" w:rsidRDefault="002509BA" w:rsidP="002509BA">
      <w:pPr>
        <w:rPr>
          <w:sz w:val="36"/>
          <w:szCs w:val="36"/>
        </w:rPr>
      </w:pPr>
      <w:r w:rsidRPr="002509BA">
        <w:rPr>
          <w:sz w:val="36"/>
          <w:szCs w:val="36"/>
        </w:rPr>
        <w:lastRenderedPageBreak/>
        <w:t>•</w:t>
      </w:r>
      <w:r w:rsidRPr="002509BA">
        <w:rPr>
          <w:sz w:val="36"/>
          <w:szCs w:val="36"/>
        </w:rPr>
        <w:tab/>
        <w:t>Sidebotham, S.E. 2011. Berenice and the Ancient Maritime Spice Route. California: University of California Press</w:t>
      </w:r>
    </w:p>
    <w:p w14:paraId="46D2EB92" w14:textId="77777777" w:rsidR="002509BA" w:rsidRPr="002509BA" w:rsidRDefault="002509BA" w:rsidP="002509BA">
      <w:pPr>
        <w:rPr>
          <w:sz w:val="36"/>
          <w:szCs w:val="36"/>
        </w:rPr>
      </w:pPr>
      <w:r w:rsidRPr="002509BA">
        <w:rPr>
          <w:sz w:val="36"/>
          <w:szCs w:val="36"/>
        </w:rPr>
        <w:t>•</w:t>
      </w:r>
      <w:r w:rsidRPr="002509BA">
        <w:rPr>
          <w:sz w:val="36"/>
          <w:szCs w:val="36"/>
        </w:rPr>
        <w:tab/>
        <w:t>Speidel, M.A. 2017. 'Wars, Trades and Treaties'. In Matthew, K.S. (ed.) Imperial Rome, Indian Ocean Regions and Muziris: New Perspectives on Maritime Trade. London: Routledge</w:t>
      </w:r>
    </w:p>
    <w:p w14:paraId="24A40C05" w14:textId="77777777" w:rsidR="002509BA" w:rsidRPr="002509BA" w:rsidRDefault="002509BA" w:rsidP="002509BA">
      <w:pPr>
        <w:rPr>
          <w:sz w:val="36"/>
          <w:szCs w:val="36"/>
        </w:rPr>
      </w:pPr>
      <w:r w:rsidRPr="002509BA">
        <w:rPr>
          <w:sz w:val="36"/>
          <w:szCs w:val="36"/>
        </w:rPr>
        <w:t>•</w:t>
      </w:r>
      <w:r w:rsidRPr="002509BA">
        <w:rPr>
          <w:sz w:val="36"/>
          <w:szCs w:val="36"/>
        </w:rPr>
        <w:tab/>
        <w:t>Warmington, E.H. 2014. The Commerce Between the Roman Empire and India. Cambridge: Cambridge University Press</w:t>
      </w:r>
    </w:p>
    <w:p w14:paraId="3D0F27EC" w14:textId="446DD656" w:rsidR="00C71801" w:rsidRPr="00C71801" w:rsidRDefault="002509BA" w:rsidP="005D3027">
      <w:pPr>
        <w:rPr>
          <w:sz w:val="36"/>
          <w:szCs w:val="36"/>
        </w:rPr>
      </w:pPr>
      <w:r w:rsidRPr="002509BA">
        <w:rPr>
          <w:sz w:val="36"/>
          <w:szCs w:val="36"/>
        </w:rPr>
        <w:t>•</w:t>
      </w:r>
      <w:r w:rsidRPr="002509BA">
        <w:rPr>
          <w:sz w:val="36"/>
          <w:szCs w:val="36"/>
        </w:rPr>
        <w:tab/>
        <w:t>Young, G.K. 2001. Rome’s Eastern Trade: International Commerce and Imperial Policy, 31BC-AD305. London: Routledge</w:t>
      </w:r>
    </w:p>
    <w:sectPr w:rsidR="00C71801" w:rsidRPr="00C71801">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535B5F2" w14:textId="77777777" w:rsidR="00A40675" w:rsidRDefault="00A40675" w:rsidP="00A03A11">
      <w:pPr>
        <w:spacing w:after="0" w:line="240" w:lineRule="auto"/>
      </w:pPr>
      <w:r>
        <w:separator/>
      </w:r>
    </w:p>
  </w:endnote>
  <w:endnote w:type="continuationSeparator" w:id="0">
    <w:p w14:paraId="1A447B87" w14:textId="77777777" w:rsidR="00A40675" w:rsidRDefault="00A40675" w:rsidP="00A03A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0160788" w14:textId="77777777" w:rsidR="003100E1" w:rsidRDefault="003100E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0B4B76" w14:textId="77777777" w:rsidR="003100E1" w:rsidRDefault="003100E1">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03F8D40" w14:textId="77777777" w:rsidR="003100E1" w:rsidRDefault="003100E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2101A0C" w14:textId="77777777" w:rsidR="00A40675" w:rsidRDefault="00A40675" w:rsidP="00A03A11">
      <w:pPr>
        <w:spacing w:after="0" w:line="240" w:lineRule="auto"/>
      </w:pPr>
      <w:r>
        <w:separator/>
      </w:r>
    </w:p>
  </w:footnote>
  <w:footnote w:type="continuationSeparator" w:id="0">
    <w:p w14:paraId="65487E08" w14:textId="77777777" w:rsidR="00A40675" w:rsidRDefault="00A40675" w:rsidP="00A03A11">
      <w:pPr>
        <w:spacing w:after="0" w:line="240" w:lineRule="auto"/>
      </w:pPr>
      <w:r>
        <w:continuationSeparator/>
      </w:r>
    </w:p>
  </w:footnote>
  <w:footnote w:id="1">
    <w:p w14:paraId="39B73B0E" w14:textId="77777777" w:rsidR="00FA3FA0" w:rsidRDefault="00FA3FA0" w:rsidP="00FA3FA0">
      <w:pPr>
        <w:pStyle w:val="FootnoteText"/>
      </w:pPr>
      <w:r>
        <w:rPr>
          <w:rStyle w:val="FootnoteReference"/>
        </w:rPr>
        <w:footnoteRef/>
      </w:r>
      <w:r>
        <w:t xml:space="preserve"> Cassom 1989: 7</w:t>
      </w:r>
    </w:p>
  </w:footnote>
  <w:footnote w:id="2">
    <w:p w14:paraId="4561570F" w14:textId="77777777" w:rsidR="00FA3FA0" w:rsidRDefault="00FA3FA0" w:rsidP="00FA3FA0">
      <w:pPr>
        <w:pStyle w:val="FootnoteText"/>
      </w:pPr>
      <w:r>
        <w:rPr>
          <w:rStyle w:val="FootnoteReference"/>
        </w:rPr>
        <w:footnoteRef/>
      </w:r>
      <w:r>
        <w:t xml:space="preserve"> Ball 2016: 141</w:t>
      </w:r>
    </w:p>
  </w:footnote>
  <w:footnote w:id="3">
    <w:p w14:paraId="4255C586" w14:textId="77777777" w:rsidR="00FA3FA0" w:rsidRDefault="00FA3FA0" w:rsidP="00FA3FA0">
      <w:pPr>
        <w:pStyle w:val="FootnoteText"/>
      </w:pPr>
      <w:r>
        <w:rPr>
          <w:rStyle w:val="FootnoteReference"/>
        </w:rPr>
        <w:footnoteRef/>
      </w:r>
      <w:r>
        <w:t xml:space="preserve"> Gurukkal 2016: 64</w:t>
      </w:r>
    </w:p>
  </w:footnote>
  <w:footnote w:id="4">
    <w:p w14:paraId="110B2A3F" w14:textId="77777777" w:rsidR="00A84079" w:rsidRDefault="00A84079" w:rsidP="00A84079">
      <w:pPr>
        <w:pStyle w:val="FootnoteText"/>
      </w:pPr>
      <w:r>
        <w:rPr>
          <w:rStyle w:val="FootnoteReference"/>
        </w:rPr>
        <w:footnoteRef/>
      </w:r>
      <w:r>
        <w:t xml:space="preserve"> Sidebotham 2011:212-6</w:t>
      </w:r>
    </w:p>
  </w:footnote>
  <w:footnote w:id="5">
    <w:p w14:paraId="7460774B" w14:textId="77777777" w:rsidR="00A84079" w:rsidRDefault="00A84079" w:rsidP="00A84079">
      <w:pPr>
        <w:pStyle w:val="FootnoteText"/>
      </w:pPr>
      <w:r>
        <w:rPr>
          <w:rStyle w:val="FootnoteReference"/>
        </w:rPr>
        <w:footnoteRef/>
      </w:r>
      <w:r>
        <w:t xml:space="preserve"> Sidebotham 2011: 213; Warmington 2014: 310</w:t>
      </w:r>
    </w:p>
  </w:footnote>
  <w:footnote w:id="6">
    <w:p w14:paraId="33CD723B" w14:textId="77777777" w:rsidR="00A84079" w:rsidRDefault="00A84079" w:rsidP="00A84079">
      <w:pPr>
        <w:pStyle w:val="FootnoteText"/>
      </w:pPr>
      <w:r>
        <w:rPr>
          <w:rStyle w:val="FootnoteReference"/>
        </w:rPr>
        <w:footnoteRef/>
      </w:r>
      <w:r>
        <w:t xml:space="preserve"> Sidebotham 2011: 213</w:t>
      </w:r>
    </w:p>
  </w:footnote>
  <w:footnote w:id="7">
    <w:p w14:paraId="6BA4102E" w14:textId="77777777" w:rsidR="00A84079" w:rsidRDefault="00A84079" w:rsidP="00A84079">
      <w:pPr>
        <w:pStyle w:val="FootnoteText"/>
      </w:pPr>
      <w:r>
        <w:rPr>
          <w:rStyle w:val="FootnoteReference"/>
        </w:rPr>
        <w:footnoteRef/>
      </w:r>
      <w:r>
        <w:t xml:space="preserve"> Sidebotham 2011: 213</w:t>
      </w:r>
    </w:p>
  </w:footnote>
  <w:footnote w:id="8">
    <w:p w14:paraId="5495D266" w14:textId="77777777" w:rsidR="00553769" w:rsidRDefault="00553769" w:rsidP="00553769">
      <w:pPr>
        <w:pStyle w:val="FootnoteText"/>
      </w:pPr>
      <w:r>
        <w:rPr>
          <w:rStyle w:val="FootnoteReference"/>
        </w:rPr>
        <w:footnoteRef/>
      </w:r>
      <w:r>
        <w:t xml:space="preserve"> Sidebotham 2011: 213</w:t>
      </w:r>
    </w:p>
  </w:footnote>
  <w:footnote w:id="9">
    <w:p w14:paraId="12B5731E" w14:textId="77777777" w:rsidR="00553769" w:rsidRDefault="00553769" w:rsidP="00553769">
      <w:pPr>
        <w:pStyle w:val="FootnoteText"/>
      </w:pPr>
      <w:r>
        <w:rPr>
          <w:rStyle w:val="FootnoteReference"/>
        </w:rPr>
        <w:footnoteRef/>
      </w:r>
      <w:r>
        <w:t xml:space="preserve"> Sidebotham 2011: 213</w:t>
      </w:r>
    </w:p>
  </w:footnote>
  <w:footnote w:id="10">
    <w:p w14:paraId="4CF5806F" w14:textId="77777777" w:rsidR="001625C3" w:rsidRDefault="001625C3" w:rsidP="001625C3">
      <w:pPr>
        <w:pStyle w:val="FootnoteText"/>
      </w:pPr>
      <w:r>
        <w:rPr>
          <w:rStyle w:val="FootnoteReference"/>
        </w:rPr>
        <w:footnoteRef/>
      </w:r>
      <w:r>
        <w:t xml:space="preserve"> Chandra 1977: 110</w:t>
      </w:r>
    </w:p>
  </w:footnote>
  <w:footnote w:id="11">
    <w:p w14:paraId="014CEEFB" w14:textId="77777777" w:rsidR="001625C3" w:rsidRDefault="001625C3" w:rsidP="001625C3">
      <w:pPr>
        <w:pStyle w:val="FootnoteText"/>
      </w:pPr>
      <w:r>
        <w:rPr>
          <w:rStyle w:val="FootnoteReference"/>
        </w:rPr>
        <w:footnoteRef/>
      </w:r>
      <w:r>
        <w:t xml:space="preserve"> Chandra 1977: 110; Speidel 2017: 101-2</w:t>
      </w:r>
    </w:p>
  </w:footnote>
  <w:footnote w:id="12">
    <w:p w14:paraId="7F78BFB0" w14:textId="77777777" w:rsidR="001625C3" w:rsidRDefault="001625C3" w:rsidP="001625C3">
      <w:pPr>
        <w:pStyle w:val="FootnoteText"/>
      </w:pPr>
      <w:r>
        <w:rPr>
          <w:rStyle w:val="FootnoteReference"/>
        </w:rPr>
        <w:footnoteRef/>
      </w:r>
      <w:r>
        <w:t xml:space="preserve"> Speidel 2017: 102; Plin. Nat. 6.26.22</w:t>
      </w:r>
    </w:p>
  </w:footnote>
  <w:footnote w:id="13">
    <w:p w14:paraId="565EBF18" w14:textId="77777777" w:rsidR="001625C3" w:rsidRDefault="001625C3" w:rsidP="001625C3">
      <w:pPr>
        <w:pStyle w:val="FootnoteText"/>
      </w:pPr>
      <w:r>
        <w:rPr>
          <w:rStyle w:val="FootnoteReference"/>
        </w:rPr>
        <w:footnoteRef/>
      </w:r>
      <w:r>
        <w:t xml:space="preserve"> Sidebotham 2011: 213</w:t>
      </w:r>
    </w:p>
  </w:footnote>
  <w:footnote w:id="14">
    <w:p w14:paraId="0BD5E05A" w14:textId="77777777" w:rsidR="001625C3" w:rsidRDefault="001625C3" w:rsidP="001625C3">
      <w:pPr>
        <w:pStyle w:val="FootnoteText"/>
      </w:pPr>
      <w:r>
        <w:rPr>
          <w:rStyle w:val="FootnoteReference"/>
        </w:rPr>
        <w:footnoteRef/>
      </w:r>
      <w:r>
        <w:t xml:space="preserve"> Young 2001: 204, 209</w:t>
      </w:r>
    </w:p>
  </w:footnote>
  <w:footnote w:id="15">
    <w:p w14:paraId="270C8E00" w14:textId="77777777" w:rsidR="001625C3" w:rsidRDefault="001625C3" w:rsidP="001625C3">
      <w:pPr>
        <w:pStyle w:val="FootnoteText"/>
      </w:pPr>
      <w:r>
        <w:rPr>
          <w:rStyle w:val="FootnoteReference"/>
        </w:rPr>
        <w:footnoteRef/>
      </w:r>
      <w:r>
        <w:t xml:space="preserve"> Speidel 2017: 102; Majumdar 2017: 416; Miller 1969: 226</w:t>
      </w:r>
    </w:p>
  </w:footnote>
  <w:footnote w:id="16">
    <w:p w14:paraId="27B05D69" w14:textId="77777777" w:rsidR="001625C3" w:rsidRDefault="001625C3" w:rsidP="001625C3">
      <w:pPr>
        <w:pStyle w:val="FootnoteText"/>
      </w:pPr>
      <w:r>
        <w:rPr>
          <w:rStyle w:val="FootnoteReference"/>
        </w:rPr>
        <w:footnoteRef/>
      </w:r>
      <w:r>
        <w:t xml:space="preserve"> Speidel 2017: 102; Majumdar 2017: 416; Miller 1969: 226</w:t>
      </w:r>
    </w:p>
  </w:footnote>
  <w:footnote w:id="17">
    <w:p w14:paraId="33FC3C98" w14:textId="77777777" w:rsidR="001625C3" w:rsidRDefault="001625C3" w:rsidP="001625C3">
      <w:pPr>
        <w:pStyle w:val="FootnoteText"/>
      </w:pPr>
      <w:r>
        <w:rPr>
          <w:rStyle w:val="FootnoteReference"/>
        </w:rPr>
        <w:footnoteRef/>
      </w:r>
      <w:r>
        <w:t xml:space="preserve"> Miller 1969: 227</w:t>
      </w:r>
    </w:p>
  </w:footnote>
  <w:footnote w:id="18">
    <w:p w14:paraId="6EAD5694" w14:textId="77777777" w:rsidR="001625C3" w:rsidRDefault="001625C3" w:rsidP="001625C3">
      <w:pPr>
        <w:pStyle w:val="FootnoteText"/>
      </w:pPr>
      <w:r>
        <w:rPr>
          <w:rStyle w:val="FootnoteReference"/>
        </w:rPr>
        <w:footnoteRef/>
      </w:r>
      <w:r>
        <w:t xml:space="preserve"> Miller 1969: 226</w:t>
      </w:r>
    </w:p>
  </w:footnote>
  <w:footnote w:id="19">
    <w:p w14:paraId="0ADF50EC" w14:textId="77777777" w:rsidR="001625C3" w:rsidRDefault="001625C3" w:rsidP="001625C3">
      <w:pPr>
        <w:pStyle w:val="FootnoteText"/>
      </w:pPr>
      <w:r>
        <w:rPr>
          <w:rStyle w:val="FootnoteReference"/>
        </w:rPr>
        <w:footnoteRef/>
      </w:r>
      <w:r>
        <w:t xml:space="preserve"> Speidel 2017: 104; Majumdar 2017: 416</w:t>
      </w:r>
    </w:p>
  </w:footnote>
  <w:footnote w:id="20">
    <w:p w14:paraId="3430299A" w14:textId="77777777" w:rsidR="001625C3" w:rsidRDefault="001625C3" w:rsidP="001625C3">
      <w:pPr>
        <w:pStyle w:val="FootnoteText"/>
      </w:pPr>
      <w:r>
        <w:rPr>
          <w:rStyle w:val="FootnoteReference"/>
        </w:rPr>
        <w:footnoteRef/>
      </w:r>
      <w:r>
        <w:t xml:space="preserve"> Young 2001: 201</w:t>
      </w:r>
    </w:p>
  </w:footnote>
  <w:footnote w:id="21">
    <w:p w14:paraId="36B8D7CE" w14:textId="77777777" w:rsidR="001625C3" w:rsidRDefault="001625C3" w:rsidP="001625C3">
      <w:pPr>
        <w:pStyle w:val="FootnoteText"/>
      </w:pPr>
      <w:r>
        <w:rPr>
          <w:rStyle w:val="FootnoteReference"/>
        </w:rPr>
        <w:footnoteRef/>
      </w:r>
      <w:r>
        <w:t xml:space="preserve"> Young 2011: 211</w:t>
      </w:r>
    </w:p>
  </w:footnote>
  <w:footnote w:id="22">
    <w:p w14:paraId="6C3BD206" w14:textId="77777777" w:rsidR="001625C3" w:rsidRDefault="001625C3" w:rsidP="001625C3">
      <w:pPr>
        <w:pStyle w:val="FootnoteText"/>
      </w:pPr>
      <w:r>
        <w:rPr>
          <w:rStyle w:val="FootnoteReference"/>
        </w:rPr>
        <w:footnoteRef/>
      </w:r>
      <w:r>
        <w:t xml:space="preserve"> Young 2011: 207</w:t>
      </w:r>
    </w:p>
  </w:footnote>
  <w:footnote w:id="23">
    <w:p w14:paraId="7EC1562D" w14:textId="77777777" w:rsidR="004A08ED" w:rsidRDefault="004A08ED" w:rsidP="004A08ED">
      <w:pPr>
        <w:pStyle w:val="FootnoteText"/>
      </w:pPr>
      <w:r>
        <w:rPr>
          <w:rStyle w:val="FootnoteReference"/>
        </w:rPr>
        <w:footnoteRef/>
      </w:r>
      <w:r>
        <w:t xml:space="preserve"> Warmington 2014: 273</w:t>
      </w:r>
    </w:p>
  </w:footnote>
  <w:footnote w:id="24">
    <w:p w14:paraId="5A13F0DC" w14:textId="77777777" w:rsidR="004A08ED" w:rsidRDefault="004A08ED" w:rsidP="004A08ED">
      <w:pPr>
        <w:pStyle w:val="FootnoteText"/>
      </w:pPr>
      <w:r>
        <w:rPr>
          <w:rStyle w:val="FootnoteReference"/>
        </w:rPr>
        <w:footnoteRef/>
      </w:r>
      <w:r>
        <w:t xml:space="preserve"> Warmington 2014: 273</w:t>
      </w:r>
    </w:p>
  </w:footnote>
  <w:footnote w:id="25">
    <w:p w14:paraId="4A0C1325" w14:textId="77777777" w:rsidR="004A08ED" w:rsidRDefault="004A08ED" w:rsidP="004A08ED">
      <w:pPr>
        <w:pStyle w:val="FootnoteText"/>
      </w:pPr>
      <w:r>
        <w:rPr>
          <w:rStyle w:val="FootnoteReference"/>
        </w:rPr>
        <w:footnoteRef/>
      </w:r>
      <w:r>
        <w:t xml:space="preserve"> Warmington 2014:273</w:t>
      </w:r>
    </w:p>
  </w:footnote>
  <w:footnote w:id="26">
    <w:p w14:paraId="48BEC3F2" w14:textId="77777777" w:rsidR="00553769" w:rsidRDefault="00553769" w:rsidP="00553769">
      <w:pPr>
        <w:pStyle w:val="FootnoteText"/>
      </w:pPr>
      <w:r>
        <w:rPr>
          <w:rStyle w:val="FootnoteReference"/>
        </w:rPr>
        <w:footnoteRef/>
      </w:r>
      <w:r>
        <w:t xml:space="preserve"> Warmington 2014: 261-273; Miller 1969: 203-215</w:t>
      </w:r>
    </w:p>
  </w:footnote>
  <w:footnote w:id="27">
    <w:p w14:paraId="596FFAF9" w14:textId="77777777" w:rsidR="00553769" w:rsidRDefault="00553769" w:rsidP="00553769">
      <w:pPr>
        <w:pStyle w:val="FootnoteText"/>
      </w:pPr>
      <w:r>
        <w:rPr>
          <w:rStyle w:val="FootnoteReference"/>
        </w:rPr>
        <w:footnoteRef/>
      </w:r>
      <w:r>
        <w:t xml:space="preserve"> Warmington 2014: 263; Miller 1969: 209</w:t>
      </w:r>
    </w:p>
  </w:footnote>
  <w:footnote w:id="28">
    <w:p w14:paraId="37FBF70D" w14:textId="77777777" w:rsidR="00553769" w:rsidRDefault="00553769" w:rsidP="00553769">
      <w:pPr>
        <w:pStyle w:val="FootnoteText"/>
      </w:pPr>
      <w:r>
        <w:rPr>
          <w:rStyle w:val="FootnoteReference"/>
        </w:rPr>
        <w:footnoteRef/>
      </w:r>
      <w:r>
        <w:t xml:space="preserve"> Warmington 2014: 263; Plin. Nat. 32.11.5</w:t>
      </w:r>
    </w:p>
  </w:footnote>
  <w:footnote w:id="29">
    <w:p w14:paraId="58418A55" w14:textId="77777777" w:rsidR="00553769" w:rsidRDefault="00553769" w:rsidP="00553769">
      <w:pPr>
        <w:pStyle w:val="FootnoteText"/>
      </w:pPr>
      <w:r>
        <w:rPr>
          <w:rStyle w:val="FootnoteReference"/>
        </w:rPr>
        <w:footnoteRef/>
      </w:r>
      <w:r>
        <w:t xml:space="preserve"> Warmington 2014: 263; Plin. Nat. 32.11.5</w:t>
      </w:r>
    </w:p>
  </w:footnote>
  <w:footnote w:id="30">
    <w:p w14:paraId="6564CC33" w14:textId="77777777" w:rsidR="00553769" w:rsidRPr="0064659E" w:rsidRDefault="00553769" w:rsidP="00553769">
      <w:pPr>
        <w:pStyle w:val="FootnoteText"/>
      </w:pPr>
      <w:r>
        <w:rPr>
          <w:rStyle w:val="FootnoteReference"/>
        </w:rPr>
        <w:footnoteRef/>
      </w:r>
      <w:r>
        <w:t xml:space="preserve"> Miller 1969: 209; </w:t>
      </w:r>
      <w:r>
        <w:rPr>
          <w:i/>
        </w:rPr>
        <w:t>PME</w:t>
      </w:r>
      <w:r>
        <w:t xml:space="preserve"> 39; Plin. Nat. 32.11.4-5</w:t>
      </w:r>
    </w:p>
  </w:footnote>
  <w:footnote w:id="31">
    <w:p w14:paraId="66FA9AE4" w14:textId="77777777" w:rsidR="00553769" w:rsidRDefault="00553769" w:rsidP="00553769">
      <w:pPr>
        <w:pStyle w:val="FootnoteText"/>
      </w:pPr>
      <w:r>
        <w:rPr>
          <w:rStyle w:val="FootnoteReference"/>
        </w:rPr>
        <w:footnoteRef/>
      </w:r>
      <w:r>
        <w:t xml:space="preserve"> Warmington 2014: 263</w:t>
      </w:r>
    </w:p>
  </w:footnote>
  <w:footnote w:id="32">
    <w:p w14:paraId="3714F8EA" w14:textId="77777777" w:rsidR="00553769" w:rsidRDefault="00553769" w:rsidP="00553769">
      <w:pPr>
        <w:pStyle w:val="FootnoteText"/>
      </w:pPr>
      <w:r>
        <w:rPr>
          <w:rStyle w:val="FootnoteReference"/>
        </w:rPr>
        <w:footnoteRef/>
      </w:r>
      <w:r>
        <w:t xml:space="preserve"> Warmington 2014: 264-5; Miller 1969: 212, 214</w:t>
      </w:r>
    </w:p>
  </w:footnote>
  <w:footnote w:id="33">
    <w:p w14:paraId="3A9E0BEA" w14:textId="77777777" w:rsidR="00553769" w:rsidRPr="0064659E" w:rsidRDefault="00553769" w:rsidP="00553769">
      <w:pPr>
        <w:pStyle w:val="FootnoteText"/>
      </w:pPr>
      <w:r>
        <w:rPr>
          <w:rStyle w:val="FootnoteReference"/>
        </w:rPr>
        <w:footnoteRef/>
      </w:r>
      <w:r>
        <w:t xml:space="preserve"> Warmington 2014: 265-6; </w:t>
      </w:r>
      <w:r>
        <w:rPr>
          <w:i/>
        </w:rPr>
        <w:t xml:space="preserve">PME </w:t>
      </w:r>
      <w:r>
        <w:t>39</w:t>
      </w:r>
    </w:p>
  </w:footnote>
  <w:footnote w:id="34">
    <w:p w14:paraId="5C3BE0DB" w14:textId="77777777" w:rsidR="00553769" w:rsidRDefault="00553769" w:rsidP="00553769">
      <w:pPr>
        <w:pStyle w:val="FootnoteText"/>
      </w:pPr>
      <w:r>
        <w:rPr>
          <w:rStyle w:val="FootnoteReference"/>
        </w:rPr>
        <w:footnoteRef/>
      </w:r>
      <w:r>
        <w:t xml:space="preserve"> Chandra 1977: 127</w:t>
      </w:r>
    </w:p>
  </w:footnote>
  <w:footnote w:id="35">
    <w:p w14:paraId="002E0B07" w14:textId="77777777" w:rsidR="00553769" w:rsidRDefault="00553769" w:rsidP="00553769">
      <w:pPr>
        <w:pStyle w:val="FootnoteText"/>
      </w:pPr>
      <w:r>
        <w:rPr>
          <w:rStyle w:val="FootnoteReference"/>
        </w:rPr>
        <w:footnoteRef/>
      </w:r>
      <w:r>
        <w:t xml:space="preserve"> Warmington 2014: 265</w:t>
      </w:r>
    </w:p>
  </w:footnote>
  <w:footnote w:id="36">
    <w:p w14:paraId="0169BA61" w14:textId="77777777" w:rsidR="00553769" w:rsidRDefault="00553769" w:rsidP="00553769">
      <w:pPr>
        <w:pStyle w:val="FootnoteText"/>
      </w:pPr>
      <w:r>
        <w:rPr>
          <w:rStyle w:val="FootnoteReference"/>
        </w:rPr>
        <w:footnoteRef/>
      </w:r>
      <w:r>
        <w:t xml:space="preserve"> Warmington 2014: 267-8</w:t>
      </w:r>
    </w:p>
  </w:footnote>
  <w:footnote w:id="37">
    <w:p w14:paraId="501FBC82" w14:textId="77777777" w:rsidR="00553769" w:rsidRDefault="00553769" w:rsidP="00553769">
      <w:pPr>
        <w:pStyle w:val="FootnoteText"/>
      </w:pPr>
      <w:r>
        <w:rPr>
          <w:rStyle w:val="FootnoteReference"/>
        </w:rPr>
        <w:footnoteRef/>
      </w:r>
      <w:r>
        <w:t xml:space="preserve"> Warmington 2014: 271</w:t>
      </w:r>
    </w:p>
  </w:footnote>
  <w:footnote w:id="38">
    <w:p w14:paraId="6C8FA1F3" w14:textId="77777777" w:rsidR="00553769" w:rsidRDefault="00553769" w:rsidP="00553769">
      <w:pPr>
        <w:pStyle w:val="FootnoteText"/>
      </w:pPr>
      <w:r>
        <w:rPr>
          <w:rStyle w:val="FootnoteReference"/>
        </w:rPr>
        <w:footnoteRef/>
      </w:r>
      <w:r>
        <w:t xml:space="preserve"> Ball 2016: 145</w:t>
      </w:r>
    </w:p>
  </w:footnote>
  <w:footnote w:id="39">
    <w:p w14:paraId="4C474982" w14:textId="77777777" w:rsidR="004A08ED" w:rsidRDefault="004A08ED" w:rsidP="004A08ED">
      <w:pPr>
        <w:pStyle w:val="FootnoteText"/>
      </w:pPr>
      <w:r>
        <w:rPr>
          <w:rStyle w:val="FootnoteReference"/>
        </w:rPr>
        <w:footnoteRef/>
      </w:r>
      <w:r>
        <w:t xml:space="preserve"> Warmington 2014: 273</w:t>
      </w:r>
    </w:p>
  </w:footnote>
  <w:footnote w:id="40">
    <w:p w14:paraId="65DBDC9C" w14:textId="77777777" w:rsidR="004A08ED" w:rsidRDefault="004A08ED" w:rsidP="004A08ED">
      <w:pPr>
        <w:pStyle w:val="FootnoteText"/>
      </w:pPr>
      <w:r>
        <w:rPr>
          <w:rStyle w:val="FootnoteReference"/>
        </w:rPr>
        <w:footnoteRef/>
      </w:r>
      <w:r>
        <w:t xml:space="preserve"> Young 2001: 203-4</w:t>
      </w:r>
    </w:p>
  </w:footnote>
  <w:footnote w:id="41">
    <w:p w14:paraId="08EF8F87" w14:textId="77777777" w:rsidR="00553769" w:rsidRDefault="00553769" w:rsidP="00553769">
      <w:pPr>
        <w:pStyle w:val="FootnoteText"/>
      </w:pPr>
      <w:r>
        <w:rPr>
          <w:rStyle w:val="FootnoteReference"/>
        </w:rPr>
        <w:footnoteRef/>
      </w:r>
      <w:r>
        <w:t xml:space="preserve"> Chandra 1977: 125</w:t>
      </w:r>
    </w:p>
  </w:footnote>
  <w:footnote w:id="42">
    <w:p w14:paraId="6961F346" w14:textId="77777777" w:rsidR="00553769" w:rsidRDefault="00553769" w:rsidP="00553769">
      <w:pPr>
        <w:pStyle w:val="FootnoteText"/>
      </w:pPr>
      <w:r>
        <w:rPr>
          <w:rStyle w:val="FootnoteReference"/>
        </w:rPr>
        <w:footnoteRef/>
      </w:r>
      <w:r>
        <w:t xml:space="preserve"> Warmington 2014: 269</w:t>
      </w:r>
    </w:p>
  </w:footnote>
  <w:footnote w:id="43">
    <w:p w14:paraId="6DBEBE56" w14:textId="77777777" w:rsidR="00553769" w:rsidRDefault="00553769" w:rsidP="00553769">
      <w:pPr>
        <w:pStyle w:val="FootnoteText"/>
      </w:pPr>
      <w:r>
        <w:rPr>
          <w:rStyle w:val="FootnoteReference"/>
        </w:rPr>
        <w:footnoteRef/>
      </w:r>
      <w:r>
        <w:t xml:space="preserve"> Chandra 1977: 126 </w:t>
      </w:r>
    </w:p>
  </w:footnote>
  <w:footnote w:id="44">
    <w:p w14:paraId="4998D763" w14:textId="77777777" w:rsidR="00553769" w:rsidRDefault="00553769" w:rsidP="00553769">
      <w:pPr>
        <w:pStyle w:val="FootnoteText"/>
      </w:pPr>
      <w:r>
        <w:rPr>
          <w:rStyle w:val="FootnoteReference"/>
        </w:rPr>
        <w:footnoteRef/>
      </w:r>
      <w:r>
        <w:t xml:space="preserve"> Chandra 1977: 117, 121</w:t>
      </w:r>
    </w:p>
  </w:footnote>
  <w:footnote w:id="45">
    <w:p w14:paraId="078BCB68" w14:textId="77777777" w:rsidR="00553769" w:rsidRDefault="00553769" w:rsidP="00553769">
      <w:pPr>
        <w:pStyle w:val="FootnoteText"/>
      </w:pPr>
      <w:r>
        <w:rPr>
          <w:rStyle w:val="FootnoteReference"/>
        </w:rPr>
        <w:footnoteRef/>
      </w:r>
      <w:r>
        <w:t xml:space="preserve"> Chandra 1977: 111</w:t>
      </w:r>
    </w:p>
  </w:footnote>
  <w:footnote w:id="46">
    <w:p w14:paraId="1907117A" w14:textId="77777777" w:rsidR="00553769" w:rsidRDefault="00553769" w:rsidP="00553769">
      <w:pPr>
        <w:pStyle w:val="FootnoteText"/>
      </w:pPr>
      <w:r>
        <w:rPr>
          <w:rStyle w:val="FootnoteReference"/>
        </w:rPr>
        <w:footnoteRef/>
      </w:r>
      <w:r>
        <w:t xml:space="preserve"> Chandra 1977: 111</w:t>
      </w:r>
    </w:p>
  </w:footnote>
  <w:footnote w:id="47">
    <w:p w14:paraId="3F362DBE" w14:textId="77777777" w:rsidR="00553769" w:rsidRPr="00E85200" w:rsidRDefault="00553769" w:rsidP="00553769">
      <w:pPr>
        <w:pStyle w:val="FootnoteText"/>
      </w:pPr>
      <w:r>
        <w:rPr>
          <w:rStyle w:val="FootnoteReference"/>
        </w:rPr>
        <w:footnoteRef/>
      </w:r>
      <w:r>
        <w:t xml:space="preserve"> </w:t>
      </w:r>
      <w:r>
        <w:rPr>
          <w:i/>
        </w:rPr>
        <w:t xml:space="preserve">PME </w:t>
      </w:r>
      <w:r>
        <w:t>6; Chandra 1977: 111</w:t>
      </w:r>
    </w:p>
  </w:footnote>
  <w:footnote w:id="48">
    <w:p w14:paraId="1C85A340" w14:textId="77777777" w:rsidR="00553769" w:rsidRDefault="00553769" w:rsidP="00553769">
      <w:pPr>
        <w:pStyle w:val="FootnoteText"/>
      </w:pPr>
      <w:r>
        <w:rPr>
          <w:rStyle w:val="FootnoteReference"/>
        </w:rPr>
        <w:footnoteRef/>
      </w:r>
      <w:r>
        <w:t xml:space="preserve"> Rostovtzeff 1957: 67 ; Warmington 2014: 274; Chandra 1977: 111</w:t>
      </w:r>
    </w:p>
  </w:footnote>
  <w:footnote w:id="49">
    <w:p w14:paraId="4DD47DD4" w14:textId="77777777" w:rsidR="00553769" w:rsidRDefault="00553769" w:rsidP="00553769">
      <w:pPr>
        <w:pStyle w:val="FootnoteText"/>
      </w:pPr>
      <w:r>
        <w:rPr>
          <w:rStyle w:val="FootnoteReference"/>
        </w:rPr>
        <w:footnoteRef/>
      </w:r>
      <w:r>
        <w:t xml:space="preserve"> Miller 1969: 227-8</w:t>
      </w:r>
    </w:p>
  </w:footnote>
  <w:footnote w:id="50">
    <w:p w14:paraId="6BEC14F7" w14:textId="77777777" w:rsidR="00553769" w:rsidRDefault="00553769" w:rsidP="00553769">
      <w:pPr>
        <w:pStyle w:val="FootnoteText"/>
      </w:pPr>
      <w:r>
        <w:rPr>
          <w:rStyle w:val="FootnoteReference"/>
        </w:rPr>
        <w:footnoteRef/>
      </w:r>
      <w:r>
        <w:t xml:space="preserve"> Chandra 1977: 111-2</w:t>
      </w:r>
    </w:p>
  </w:footnote>
  <w:footnote w:id="51">
    <w:p w14:paraId="3B6D8A93" w14:textId="77777777" w:rsidR="00553769" w:rsidRDefault="00553769" w:rsidP="00553769">
      <w:pPr>
        <w:pStyle w:val="FootnoteText"/>
      </w:pPr>
      <w:r>
        <w:rPr>
          <w:rStyle w:val="FootnoteReference"/>
        </w:rPr>
        <w:footnoteRef/>
      </w:r>
      <w:r>
        <w:t xml:space="preserve"> Chandra 1977: 120</w:t>
      </w:r>
    </w:p>
  </w:footnote>
  <w:footnote w:id="52">
    <w:p w14:paraId="7469FFCB" w14:textId="77777777" w:rsidR="00553769" w:rsidRDefault="00553769" w:rsidP="00553769">
      <w:pPr>
        <w:pStyle w:val="FootnoteText"/>
      </w:pPr>
      <w:r>
        <w:rPr>
          <w:rStyle w:val="FootnoteReference"/>
        </w:rPr>
        <w:footnoteRef/>
      </w:r>
      <w:r>
        <w:t xml:space="preserve"> Warmington 2014:310-11</w:t>
      </w:r>
    </w:p>
  </w:footnote>
  <w:footnote w:id="53">
    <w:p w14:paraId="2186F925" w14:textId="77777777" w:rsidR="00553769" w:rsidRDefault="00553769" w:rsidP="00553769">
      <w:pPr>
        <w:pStyle w:val="FootnoteText"/>
      </w:pPr>
      <w:r>
        <w:rPr>
          <w:rStyle w:val="FootnoteReference"/>
        </w:rPr>
        <w:footnoteRef/>
      </w:r>
      <w:r>
        <w:t xml:space="preserve"> Sidebotham 2011: 213</w:t>
      </w:r>
    </w:p>
  </w:footnote>
  <w:footnote w:id="54">
    <w:p w14:paraId="5210D795" w14:textId="77777777" w:rsidR="00553769" w:rsidRDefault="00553769" w:rsidP="00553769">
      <w:pPr>
        <w:pStyle w:val="FootnoteText"/>
      </w:pPr>
      <w:r>
        <w:rPr>
          <w:rStyle w:val="FootnoteReference"/>
        </w:rPr>
        <w:footnoteRef/>
      </w:r>
      <w:r>
        <w:t xml:space="preserve"> Sidebotham 2011: 213 - 214</w:t>
      </w:r>
    </w:p>
  </w:footnote>
  <w:footnote w:id="55">
    <w:p w14:paraId="6B2B527B" w14:textId="77777777" w:rsidR="00553769" w:rsidRDefault="00553769" w:rsidP="00553769">
      <w:pPr>
        <w:pStyle w:val="FootnoteText"/>
      </w:pPr>
      <w:r>
        <w:rPr>
          <w:rStyle w:val="FootnoteReference"/>
        </w:rPr>
        <w:footnoteRef/>
      </w:r>
      <w:r>
        <w:t xml:space="preserve"> Sidebotham 2011: 216</w:t>
      </w:r>
    </w:p>
  </w:footnote>
  <w:footnote w:id="56">
    <w:p w14:paraId="1F0B11CD" w14:textId="77777777" w:rsidR="00553769" w:rsidRDefault="00553769" w:rsidP="00553769">
      <w:pPr>
        <w:pStyle w:val="FootnoteText"/>
      </w:pPr>
      <w:r>
        <w:rPr>
          <w:rStyle w:val="FootnoteReference"/>
        </w:rPr>
        <w:footnoteRef/>
      </w:r>
      <w:r>
        <w:t xml:space="preserve"> Young 2001: 203</w:t>
      </w:r>
    </w:p>
  </w:footnote>
  <w:footnote w:id="57">
    <w:p w14:paraId="06B6962E" w14:textId="77777777" w:rsidR="00553769" w:rsidRDefault="00553769" w:rsidP="00553769">
      <w:pPr>
        <w:pStyle w:val="FootnoteText"/>
      </w:pPr>
      <w:r>
        <w:rPr>
          <w:rStyle w:val="FootnoteReference"/>
        </w:rPr>
        <w:footnoteRef/>
      </w:r>
      <w:r>
        <w:t xml:space="preserve"> Warmington 2014:273</w:t>
      </w:r>
    </w:p>
  </w:footnote>
  <w:footnote w:id="58">
    <w:p w14:paraId="25AC18BC" w14:textId="77777777" w:rsidR="00553769" w:rsidRDefault="00553769" w:rsidP="00553769">
      <w:pPr>
        <w:pStyle w:val="FootnoteText"/>
      </w:pPr>
      <w:r>
        <w:rPr>
          <w:rStyle w:val="FootnoteReference"/>
        </w:rPr>
        <w:footnoteRef/>
      </w:r>
      <w:r>
        <w:t xml:space="preserve"> Warmington 2014:274</w:t>
      </w:r>
    </w:p>
  </w:footnote>
  <w:footnote w:id="59">
    <w:p w14:paraId="563DBCB6" w14:textId="77777777" w:rsidR="00553769" w:rsidRDefault="00553769" w:rsidP="00553769">
      <w:pPr>
        <w:pStyle w:val="FootnoteText"/>
      </w:pPr>
      <w:r>
        <w:rPr>
          <w:rStyle w:val="FootnoteReference"/>
        </w:rPr>
        <w:footnoteRef/>
      </w:r>
      <w:r>
        <w:t xml:space="preserve"> Young 2001: 203, 21</w:t>
      </w:r>
    </w:p>
  </w:footnote>
  <w:footnote w:id="60">
    <w:p w14:paraId="289C136D" w14:textId="77777777" w:rsidR="001179B6" w:rsidRDefault="001179B6">
      <w:pPr>
        <w:pStyle w:val="FootnoteText"/>
      </w:pPr>
      <w:r>
        <w:rPr>
          <w:rStyle w:val="FootnoteReference"/>
        </w:rPr>
        <w:footnoteRef/>
      </w:r>
      <w:r>
        <w:t xml:space="preserve"> Rostovtzeff 1957: 473</w:t>
      </w:r>
    </w:p>
  </w:footnote>
  <w:footnote w:id="61">
    <w:p w14:paraId="06A1F2A0" w14:textId="77777777" w:rsidR="001179B6" w:rsidRDefault="001179B6">
      <w:pPr>
        <w:pStyle w:val="FootnoteText"/>
      </w:pPr>
      <w:r>
        <w:rPr>
          <w:rStyle w:val="FootnoteReference"/>
        </w:rPr>
        <w:footnoteRef/>
      </w:r>
      <w:r>
        <w:t xml:space="preserve"> Rostovtzeff 1957: 473</w:t>
      </w:r>
    </w:p>
  </w:footnote>
  <w:footnote w:id="62">
    <w:p w14:paraId="4E17C26D" w14:textId="77777777" w:rsidR="000B555E" w:rsidRDefault="000B555E" w:rsidP="000B555E">
      <w:pPr>
        <w:pStyle w:val="FootnoteText"/>
      </w:pPr>
      <w:r>
        <w:rPr>
          <w:rStyle w:val="FootnoteReference"/>
        </w:rPr>
        <w:footnoteRef/>
      </w:r>
      <w:r>
        <w:t xml:space="preserve"> Rostovtzeff 1957: 474</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2689119" w14:textId="77777777" w:rsidR="003100E1" w:rsidRDefault="003100E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25EB46A" w14:textId="77777777" w:rsidR="00A03A11" w:rsidRDefault="00A03A11">
    <w:pPr>
      <w:pStyle w:val="Header"/>
    </w:pPr>
    <w:r>
      <w:t>Daniel Robert Fairfield</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DD528A8" w14:textId="77777777" w:rsidR="003100E1" w:rsidRDefault="003100E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5541F3"/>
    <w:multiLevelType w:val="hybridMultilevel"/>
    <w:tmpl w:val="79B203B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DCA1596"/>
    <w:multiLevelType w:val="hybridMultilevel"/>
    <w:tmpl w:val="C6402C20"/>
    <w:lvl w:ilvl="0" w:tplc="04090019">
      <w:start w:val="1"/>
      <w:numFmt w:val="lowerLetter"/>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03A11"/>
    <w:rsid w:val="00014600"/>
    <w:rsid w:val="00016CDD"/>
    <w:rsid w:val="0004765C"/>
    <w:rsid w:val="000548F1"/>
    <w:rsid w:val="000601DC"/>
    <w:rsid w:val="00063731"/>
    <w:rsid w:val="00072F41"/>
    <w:rsid w:val="00077C50"/>
    <w:rsid w:val="00092495"/>
    <w:rsid w:val="000969B1"/>
    <w:rsid w:val="000B0039"/>
    <w:rsid w:val="000B555E"/>
    <w:rsid w:val="000C5C8B"/>
    <w:rsid w:val="000D51BE"/>
    <w:rsid w:val="000F03BB"/>
    <w:rsid w:val="00102B74"/>
    <w:rsid w:val="001179B6"/>
    <w:rsid w:val="00122449"/>
    <w:rsid w:val="001249D4"/>
    <w:rsid w:val="00147A73"/>
    <w:rsid w:val="00150FB6"/>
    <w:rsid w:val="001625C3"/>
    <w:rsid w:val="00165888"/>
    <w:rsid w:val="00167924"/>
    <w:rsid w:val="00167B85"/>
    <w:rsid w:val="001A61F2"/>
    <w:rsid w:val="001B00CC"/>
    <w:rsid w:val="001D299F"/>
    <w:rsid w:val="001D581F"/>
    <w:rsid w:val="001E18F4"/>
    <w:rsid w:val="001E6AA8"/>
    <w:rsid w:val="00201DF4"/>
    <w:rsid w:val="00222A26"/>
    <w:rsid w:val="00230086"/>
    <w:rsid w:val="00231C6D"/>
    <w:rsid w:val="00241324"/>
    <w:rsid w:val="002509BA"/>
    <w:rsid w:val="00272C12"/>
    <w:rsid w:val="002966EE"/>
    <w:rsid w:val="002A0551"/>
    <w:rsid w:val="002B17D6"/>
    <w:rsid w:val="002D3A85"/>
    <w:rsid w:val="003100E1"/>
    <w:rsid w:val="003648F6"/>
    <w:rsid w:val="00371F3A"/>
    <w:rsid w:val="0038348C"/>
    <w:rsid w:val="00387C0F"/>
    <w:rsid w:val="0039653F"/>
    <w:rsid w:val="003A5139"/>
    <w:rsid w:val="003C2FCF"/>
    <w:rsid w:val="003C6A27"/>
    <w:rsid w:val="003D47BF"/>
    <w:rsid w:val="003E6AA1"/>
    <w:rsid w:val="0042160A"/>
    <w:rsid w:val="004246B9"/>
    <w:rsid w:val="00424DB0"/>
    <w:rsid w:val="00451E2C"/>
    <w:rsid w:val="00452227"/>
    <w:rsid w:val="00473516"/>
    <w:rsid w:val="00480999"/>
    <w:rsid w:val="004A08ED"/>
    <w:rsid w:val="004C1773"/>
    <w:rsid w:val="004C7712"/>
    <w:rsid w:val="004F6CB8"/>
    <w:rsid w:val="00511A8A"/>
    <w:rsid w:val="00524419"/>
    <w:rsid w:val="00545902"/>
    <w:rsid w:val="00553769"/>
    <w:rsid w:val="00553B44"/>
    <w:rsid w:val="00564CDC"/>
    <w:rsid w:val="00565771"/>
    <w:rsid w:val="00581C5F"/>
    <w:rsid w:val="00590C12"/>
    <w:rsid w:val="005D1F0A"/>
    <w:rsid w:val="005D3027"/>
    <w:rsid w:val="005E1CE5"/>
    <w:rsid w:val="005F5A36"/>
    <w:rsid w:val="006033B0"/>
    <w:rsid w:val="006255C7"/>
    <w:rsid w:val="006258EB"/>
    <w:rsid w:val="0062675E"/>
    <w:rsid w:val="0064659E"/>
    <w:rsid w:val="00656EE6"/>
    <w:rsid w:val="00662F21"/>
    <w:rsid w:val="0067181E"/>
    <w:rsid w:val="0067485B"/>
    <w:rsid w:val="00683A7C"/>
    <w:rsid w:val="00683EFD"/>
    <w:rsid w:val="00686C84"/>
    <w:rsid w:val="00687CAA"/>
    <w:rsid w:val="006E26B7"/>
    <w:rsid w:val="006F7357"/>
    <w:rsid w:val="00704312"/>
    <w:rsid w:val="007123C4"/>
    <w:rsid w:val="007127DE"/>
    <w:rsid w:val="007431D5"/>
    <w:rsid w:val="00744FF4"/>
    <w:rsid w:val="00746840"/>
    <w:rsid w:val="0076569E"/>
    <w:rsid w:val="00766BC6"/>
    <w:rsid w:val="00772C02"/>
    <w:rsid w:val="007856EE"/>
    <w:rsid w:val="00795DBE"/>
    <w:rsid w:val="007B0E90"/>
    <w:rsid w:val="007B593D"/>
    <w:rsid w:val="007B5DDB"/>
    <w:rsid w:val="007D4D64"/>
    <w:rsid w:val="00811D45"/>
    <w:rsid w:val="00825FF9"/>
    <w:rsid w:val="008535D3"/>
    <w:rsid w:val="00857DF3"/>
    <w:rsid w:val="008651C1"/>
    <w:rsid w:val="00890A2D"/>
    <w:rsid w:val="00892377"/>
    <w:rsid w:val="008973ED"/>
    <w:rsid w:val="008B6AC9"/>
    <w:rsid w:val="008D3D71"/>
    <w:rsid w:val="008E0DE7"/>
    <w:rsid w:val="008F1FEF"/>
    <w:rsid w:val="00902183"/>
    <w:rsid w:val="009074EC"/>
    <w:rsid w:val="0091049B"/>
    <w:rsid w:val="009304CC"/>
    <w:rsid w:val="009558FA"/>
    <w:rsid w:val="00956F8F"/>
    <w:rsid w:val="00957F95"/>
    <w:rsid w:val="00970EC2"/>
    <w:rsid w:val="00971676"/>
    <w:rsid w:val="00976DE6"/>
    <w:rsid w:val="009A703C"/>
    <w:rsid w:val="009C37D4"/>
    <w:rsid w:val="009C4B63"/>
    <w:rsid w:val="009C6936"/>
    <w:rsid w:val="00A0125C"/>
    <w:rsid w:val="00A03A11"/>
    <w:rsid w:val="00A06B62"/>
    <w:rsid w:val="00A14C45"/>
    <w:rsid w:val="00A40675"/>
    <w:rsid w:val="00A4112D"/>
    <w:rsid w:val="00A47EED"/>
    <w:rsid w:val="00A65F68"/>
    <w:rsid w:val="00A84079"/>
    <w:rsid w:val="00A90D66"/>
    <w:rsid w:val="00AA0A2E"/>
    <w:rsid w:val="00AA3151"/>
    <w:rsid w:val="00AF0D24"/>
    <w:rsid w:val="00B0779B"/>
    <w:rsid w:val="00B5483B"/>
    <w:rsid w:val="00B6744A"/>
    <w:rsid w:val="00B81B1F"/>
    <w:rsid w:val="00B8380E"/>
    <w:rsid w:val="00B92963"/>
    <w:rsid w:val="00BA6E95"/>
    <w:rsid w:val="00BB1D5C"/>
    <w:rsid w:val="00BB324F"/>
    <w:rsid w:val="00BB6597"/>
    <w:rsid w:val="00BC42BC"/>
    <w:rsid w:val="00BF1D61"/>
    <w:rsid w:val="00C1451E"/>
    <w:rsid w:val="00C15FE7"/>
    <w:rsid w:val="00C460B7"/>
    <w:rsid w:val="00C542A6"/>
    <w:rsid w:val="00C56760"/>
    <w:rsid w:val="00C57894"/>
    <w:rsid w:val="00C7033D"/>
    <w:rsid w:val="00C71801"/>
    <w:rsid w:val="00C7778D"/>
    <w:rsid w:val="00C90061"/>
    <w:rsid w:val="00C915E1"/>
    <w:rsid w:val="00C92737"/>
    <w:rsid w:val="00C96D94"/>
    <w:rsid w:val="00CD0EDB"/>
    <w:rsid w:val="00CE01CB"/>
    <w:rsid w:val="00CE5A9A"/>
    <w:rsid w:val="00D111A9"/>
    <w:rsid w:val="00D127A5"/>
    <w:rsid w:val="00D16305"/>
    <w:rsid w:val="00D27FC0"/>
    <w:rsid w:val="00D362AE"/>
    <w:rsid w:val="00D40677"/>
    <w:rsid w:val="00D436B8"/>
    <w:rsid w:val="00D512E2"/>
    <w:rsid w:val="00D56672"/>
    <w:rsid w:val="00D65AD8"/>
    <w:rsid w:val="00D8688D"/>
    <w:rsid w:val="00D93346"/>
    <w:rsid w:val="00E06960"/>
    <w:rsid w:val="00E16A5E"/>
    <w:rsid w:val="00E276F8"/>
    <w:rsid w:val="00E322CA"/>
    <w:rsid w:val="00E55FC6"/>
    <w:rsid w:val="00E721ED"/>
    <w:rsid w:val="00E85200"/>
    <w:rsid w:val="00E90AC8"/>
    <w:rsid w:val="00E93673"/>
    <w:rsid w:val="00E94300"/>
    <w:rsid w:val="00E94AB1"/>
    <w:rsid w:val="00E97DE1"/>
    <w:rsid w:val="00EB26EC"/>
    <w:rsid w:val="00EC484C"/>
    <w:rsid w:val="00EE69C5"/>
    <w:rsid w:val="00F13C83"/>
    <w:rsid w:val="00F13DAD"/>
    <w:rsid w:val="00F32EAD"/>
    <w:rsid w:val="00F440E9"/>
    <w:rsid w:val="00F46980"/>
    <w:rsid w:val="00F60467"/>
    <w:rsid w:val="00F6177D"/>
    <w:rsid w:val="00F65A22"/>
    <w:rsid w:val="00F90097"/>
    <w:rsid w:val="00F90548"/>
    <w:rsid w:val="00F928FF"/>
    <w:rsid w:val="00F95997"/>
    <w:rsid w:val="00FA3FA0"/>
    <w:rsid w:val="00FB3EEE"/>
    <w:rsid w:val="00FC7D6A"/>
    <w:rsid w:val="00FD2DA4"/>
    <w:rsid w:val="00FE1C64"/>
    <w:rsid w:val="00FF2F03"/>
    <w:rsid w:val="00FF54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140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3A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3A11"/>
  </w:style>
  <w:style w:type="paragraph" w:styleId="Footer">
    <w:name w:val="footer"/>
    <w:basedOn w:val="Normal"/>
    <w:link w:val="FooterChar"/>
    <w:uiPriority w:val="99"/>
    <w:unhideWhenUsed/>
    <w:rsid w:val="00A03A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A11"/>
  </w:style>
  <w:style w:type="paragraph" w:styleId="ListParagraph">
    <w:name w:val="List Paragraph"/>
    <w:basedOn w:val="Normal"/>
    <w:uiPriority w:val="34"/>
    <w:qFormat/>
    <w:rsid w:val="00A03A11"/>
    <w:pPr>
      <w:ind w:left="720"/>
      <w:contextualSpacing/>
    </w:pPr>
  </w:style>
  <w:style w:type="paragraph" w:styleId="FootnoteText">
    <w:name w:val="footnote text"/>
    <w:basedOn w:val="Normal"/>
    <w:link w:val="FootnoteTextChar"/>
    <w:uiPriority w:val="99"/>
    <w:semiHidden/>
    <w:unhideWhenUsed/>
    <w:rsid w:val="00A03A1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03A11"/>
    <w:rPr>
      <w:sz w:val="20"/>
      <w:szCs w:val="20"/>
    </w:rPr>
  </w:style>
  <w:style w:type="character" w:styleId="FootnoteReference">
    <w:name w:val="footnote reference"/>
    <w:basedOn w:val="DefaultParagraphFont"/>
    <w:uiPriority w:val="99"/>
    <w:semiHidden/>
    <w:unhideWhenUsed/>
    <w:rsid w:val="00A03A11"/>
    <w:rPr>
      <w:vertAlign w:val="superscript"/>
    </w:rPr>
  </w:style>
  <w:style w:type="character" w:styleId="CommentReference">
    <w:name w:val="annotation reference"/>
    <w:basedOn w:val="DefaultParagraphFont"/>
    <w:uiPriority w:val="99"/>
    <w:semiHidden/>
    <w:unhideWhenUsed/>
    <w:rsid w:val="00072F41"/>
    <w:rPr>
      <w:sz w:val="16"/>
      <w:szCs w:val="16"/>
    </w:rPr>
  </w:style>
  <w:style w:type="paragraph" w:styleId="CommentText">
    <w:name w:val="annotation text"/>
    <w:basedOn w:val="Normal"/>
    <w:link w:val="CommentTextChar"/>
    <w:uiPriority w:val="99"/>
    <w:semiHidden/>
    <w:unhideWhenUsed/>
    <w:rsid w:val="00072F41"/>
    <w:pPr>
      <w:spacing w:line="240" w:lineRule="auto"/>
    </w:pPr>
    <w:rPr>
      <w:sz w:val="20"/>
      <w:szCs w:val="20"/>
    </w:rPr>
  </w:style>
  <w:style w:type="character" w:customStyle="1" w:styleId="CommentTextChar">
    <w:name w:val="Comment Text Char"/>
    <w:basedOn w:val="DefaultParagraphFont"/>
    <w:link w:val="CommentText"/>
    <w:uiPriority w:val="99"/>
    <w:semiHidden/>
    <w:rsid w:val="00072F41"/>
    <w:rPr>
      <w:sz w:val="20"/>
      <w:szCs w:val="20"/>
    </w:rPr>
  </w:style>
  <w:style w:type="paragraph" w:styleId="CommentSubject">
    <w:name w:val="annotation subject"/>
    <w:basedOn w:val="CommentText"/>
    <w:next w:val="CommentText"/>
    <w:link w:val="CommentSubjectChar"/>
    <w:uiPriority w:val="99"/>
    <w:semiHidden/>
    <w:unhideWhenUsed/>
    <w:rsid w:val="00072F41"/>
    <w:rPr>
      <w:b/>
      <w:bCs/>
    </w:rPr>
  </w:style>
  <w:style w:type="character" w:customStyle="1" w:styleId="CommentSubjectChar">
    <w:name w:val="Comment Subject Char"/>
    <w:basedOn w:val="CommentTextChar"/>
    <w:link w:val="CommentSubject"/>
    <w:uiPriority w:val="99"/>
    <w:semiHidden/>
    <w:rsid w:val="00072F41"/>
    <w:rPr>
      <w:b/>
      <w:bCs/>
      <w:sz w:val="20"/>
      <w:szCs w:val="20"/>
    </w:rPr>
  </w:style>
  <w:style w:type="paragraph" w:styleId="BalloonText">
    <w:name w:val="Balloon Text"/>
    <w:basedOn w:val="Normal"/>
    <w:link w:val="BalloonTextChar"/>
    <w:uiPriority w:val="99"/>
    <w:semiHidden/>
    <w:unhideWhenUsed/>
    <w:rsid w:val="00072F41"/>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072F41"/>
    <w:rPr>
      <w:rFonts w:ascii="Arial" w:hAnsi="Arial" w:cs="Arial"/>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3A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3A11"/>
  </w:style>
  <w:style w:type="paragraph" w:styleId="Footer">
    <w:name w:val="footer"/>
    <w:basedOn w:val="Normal"/>
    <w:link w:val="FooterChar"/>
    <w:uiPriority w:val="99"/>
    <w:unhideWhenUsed/>
    <w:rsid w:val="00A03A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A11"/>
  </w:style>
  <w:style w:type="paragraph" w:styleId="ListParagraph">
    <w:name w:val="List Paragraph"/>
    <w:basedOn w:val="Normal"/>
    <w:uiPriority w:val="34"/>
    <w:qFormat/>
    <w:rsid w:val="00A03A11"/>
    <w:pPr>
      <w:ind w:left="720"/>
      <w:contextualSpacing/>
    </w:pPr>
  </w:style>
  <w:style w:type="paragraph" w:styleId="FootnoteText">
    <w:name w:val="footnote text"/>
    <w:basedOn w:val="Normal"/>
    <w:link w:val="FootnoteTextChar"/>
    <w:uiPriority w:val="99"/>
    <w:semiHidden/>
    <w:unhideWhenUsed/>
    <w:rsid w:val="00A03A1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03A11"/>
    <w:rPr>
      <w:sz w:val="20"/>
      <w:szCs w:val="20"/>
    </w:rPr>
  </w:style>
  <w:style w:type="character" w:styleId="FootnoteReference">
    <w:name w:val="footnote reference"/>
    <w:basedOn w:val="DefaultParagraphFont"/>
    <w:uiPriority w:val="99"/>
    <w:semiHidden/>
    <w:unhideWhenUsed/>
    <w:rsid w:val="00A03A11"/>
    <w:rPr>
      <w:vertAlign w:val="superscript"/>
    </w:rPr>
  </w:style>
  <w:style w:type="character" w:styleId="CommentReference">
    <w:name w:val="annotation reference"/>
    <w:basedOn w:val="DefaultParagraphFont"/>
    <w:uiPriority w:val="99"/>
    <w:semiHidden/>
    <w:unhideWhenUsed/>
    <w:rsid w:val="00072F41"/>
    <w:rPr>
      <w:sz w:val="16"/>
      <w:szCs w:val="16"/>
    </w:rPr>
  </w:style>
  <w:style w:type="paragraph" w:styleId="CommentText">
    <w:name w:val="annotation text"/>
    <w:basedOn w:val="Normal"/>
    <w:link w:val="CommentTextChar"/>
    <w:uiPriority w:val="99"/>
    <w:semiHidden/>
    <w:unhideWhenUsed/>
    <w:rsid w:val="00072F41"/>
    <w:pPr>
      <w:spacing w:line="240" w:lineRule="auto"/>
    </w:pPr>
    <w:rPr>
      <w:sz w:val="20"/>
      <w:szCs w:val="20"/>
    </w:rPr>
  </w:style>
  <w:style w:type="character" w:customStyle="1" w:styleId="CommentTextChar">
    <w:name w:val="Comment Text Char"/>
    <w:basedOn w:val="DefaultParagraphFont"/>
    <w:link w:val="CommentText"/>
    <w:uiPriority w:val="99"/>
    <w:semiHidden/>
    <w:rsid w:val="00072F41"/>
    <w:rPr>
      <w:sz w:val="20"/>
      <w:szCs w:val="20"/>
    </w:rPr>
  </w:style>
  <w:style w:type="paragraph" w:styleId="CommentSubject">
    <w:name w:val="annotation subject"/>
    <w:basedOn w:val="CommentText"/>
    <w:next w:val="CommentText"/>
    <w:link w:val="CommentSubjectChar"/>
    <w:uiPriority w:val="99"/>
    <w:semiHidden/>
    <w:unhideWhenUsed/>
    <w:rsid w:val="00072F41"/>
    <w:rPr>
      <w:b/>
      <w:bCs/>
    </w:rPr>
  </w:style>
  <w:style w:type="character" w:customStyle="1" w:styleId="CommentSubjectChar">
    <w:name w:val="Comment Subject Char"/>
    <w:basedOn w:val="CommentTextChar"/>
    <w:link w:val="CommentSubject"/>
    <w:uiPriority w:val="99"/>
    <w:semiHidden/>
    <w:rsid w:val="00072F41"/>
    <w:rPr>
      <w:b/>
      <w:bCs/>
      <w:sz w:val="20"/>
      <w:szCs w:val="20"/>
    </w:rPr>
  </w:style>
  <w:style w:type="paragraph" w:styleId="BalloonText">
    <w:name w:val="Balloon Text"/>
    <w:basedOn w:val="Normal"/>
    <w:link w:val="BalloonTextChar"/>
    <w:uiPriority w:val="99"/>
    <w:semiHidden/>
    <w:unhideWhenUsed/>
    <w:rsid w:val="00072F41"/>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072F41"/>
    <w:rPr>
      <w:rFonts w:ascii="Arial" w:hAnsi="Arial" w:cs="Arial"/>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4199BE-C47F-4AD7-A236-1ADAE4DE2C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TotalTime>
  <Pages>12</Pages>
  <Words>1960</Words>
  <Characters>11178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13112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dc:creator>
  <cp:lastModifiedBy>Irish</cp:lastModifiedBy>
  <cp:revision>104</cp:revision>
  <dcterms:created xsi:type="dcterms:W3CDTF">2017-12-19T18:39:00Z</dcterms:created>
  <dcterms:modified xsi:type="dcterms:W3CDTF">2017-12-19T23:59:00Z</dcterms:modified>
</cp:coreProperties>
</file>