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27CFF4" w14:textId="2C707539" w:rsidR="00890C6B" w:rsidRDefault="00013B74" w:rsidP="00890C6B">
      <w:bookmarkStart w:id="0" w:name="_GoBack"/>
      <w:bookmarkEnd w:id="0"/>
      <w:r>
        <w:rPr>
          <w:noProof/>
        </w:rPr>
        <w:drawing>
          <wp:inline distT="0" distB="0" distL="0" distR="0" wp14:anchorId="0CF7CD42" wp14:editId="5DEEC7B6">
            <wp:extent cx="2295525" cy="914400"/>
            <wp:effectExtent l="0" t="0" r="9525"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525"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 xml:space="preserve">LEVEL </w:t>
      </w:r>
      <w:r>
        <w:rPr>
          <w:color w:val="FF0000"/>
        </w:rPr>
        <w:t>4</w:t>
      </w:r>
      <w:r w:rsidRPr="00EB1F41">
        <w:rPr>
          <w:color w:val="FF0000"/>
        </w:rPr>
        <w:t xml:space="preserve">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Default="00890C6B" w:rsidP="00890C6B">
      <w:pPr>
        <w:pStyle w:val="Modcode"/>
        <w:jc w:val="left"/>
      </w:pPr>
      <w:r>
        <w:t xml:space="preserve">SEMESTER </w:t>
      </w:r>
      <w:r>
        <w:rPr>
          <w:color w:val="FF0000"/>
        </w:rPr>
        <w:t>1</w:t>
      </w:r>
      <w:r>
        <w:t xml:space="preserve">                                                                        </w:t>
      </w:r>
    </w:p>
    <w:p w14:paraId="6CEF4B81" w14:textId="77777777" w:rsidR="00890C6B" w:rsidRDefault="00890C6B" w:rsidP="00890C6B">
      <w:pPr>
        <w:pStyle w:val="Modcode"/>
        <w:jc w:val="left"/>
      </w:pPr>
    </w:p>
    <w:p w14:paraId="33308EE6" w14:textId="77777777" w:rsidR="00890C6B" w:rsidRPr="007E3A8E" w:rsidRDefault="00890C6B" w:rsidP="00890C6B">
      <w:pPr>
        <w:pStyle w:val="Modcode"/>
        <w:jc w:val="left"/>
      </w:pPr>
    </w:p>
    <w:p w14:paraId="68E6CAEB" w14:textId="77777777" w:rsidR="00890C6B" w:rsidRPr="00F5223E" w:rsidRDefault="00890C6B" w:rsidP="00257FB4">
      <w:pPr>
        <w:pStyle w:val="Modcode"/>
        <w:ind w:left="1440" w:firstLine="720"/>
        <w:jc w:val="left"/>
        <w:rPr>
          <w:sz w:val="36"/>
          <w:szCs w:val="36"/>
        </w:rPr>
      </w:pPr>
      <w:r w:rsidRPr="00F5223E">
        <w:rPr>
          <w:sz w:val="36"/>
          <w:szCs w:val="36"/>
        </w:rPr>
        <w:t xml:space="preserve">MODULE CODE: </w:t>
      </w:r>
      <w:r w:rsidRPr="00F5223E">
        <w:rPr>
          <w:color w:val="FF0000"/>
          <w:sz w:val="36"/>
          <w:szCs w:val="36"/>
        </w:rPr>
        <w:t>sshs4076</w:t>
      </w:r>
    </w:p>
    <w:p w14:paraId="79039081" w14:textId="1AFCBB20" w:rsidR="00890C6B" w:rsidRPr="00F5223E" w:rsidRDefault="00257FB4" w:rsidP="00257FB4">
      <w:pPr>
        <w:pStyle w:val="Modname"/>
        <w:ind w:left="1440" w:firstLine="720"/>
        <w:jc w:val="left"/>
        <w:rPr>
          <w:color w:val="FF0000"/>
          <w:sz w:val="36"/>
          <w:szCs w:val="36"/>
        </w:rPr>
      </w:pPr>
      <w:r>
        <w:rPr>
          <w:color w:val="FF0000"/>
          <w:sz w:val="36"/>
          <w:szCs w:val="36"/>
        </w:rPr>
        <w:t xml:space="preserve">  </w:t>
      </w:r>
      <w:r w:rsidR="00890C6B" w:rsidRPr="00F5223E">
        <w:rPr>
          <w:color w:val="FF0000"/>
          <w:sz w:val="36"/>
          <w:szCs w:val="36"/>
        </w:rPr>
        <w:t>THE GREAT OUTDOORS</w:t>
      </w:r>
    </w:p>
    <w:p w14:paraId="18CB9DBA" w14:textId="77777777" w:rsidR="00890C6B" w:rsidRDefault="00890C6B" w:rsidP="00890C6B">
      <w:pPr>
        <w:pStyle w:val="Time"/>
        <w:rPr>
          <w:sz w:val="36"/>
          <w:szCs w:val="36"/>
        </w:rPr>
      </w:pPr>
    </w:p>
    <w:p w14:paraId="566E9B98" w14:textId="77777777" w:rsidR="00890C6B" w:rsidRPr="00F5223E" w:rsidRDefault="00890C6B" w:rsidP="00890C6B">
      <w:pPr>
        <w:pStyle w:val="Time"/>
        <w:rPr>
          <w:color w:val="FF0000"/>
          <w:sz w:val="36"/>
          <w:szCs w:val="36"/>
        </w:rPr>
      </w:pPr>
      <w:r w:rsidRPr="00F5223E">
        <w:rPr>
          <w:sz w:val="36"/>
          <w:szCs w:val="36"/>
        </w:rPr>
        <w:t xml:space="preserve">aSSESSMENT TYPE: </w:t>
      </w:r>
      <w:r w:rsidRPr="00F5223E">
        <w:rPr>
          <w:color w:val="FF0000"/>
          <w:sz w:val="36"/>
          <w:szCs w:val="36"/>
        </w:rPr>
        <w:t xml:space="preserve">essay  </w:t>
      </w:r>
    </w:p>
    <w:p w14:paraId="6C540ACE" w14:textId="77777777" w:rsidR="00890C6B" w:rsidRPr="00F5223E" w:rsidRDefault="00890C6B" w:rsidP="00890C6B">
      <w:pPr>
        <w:pStyle w:val="Answer"/>
        <w:rPr>
          <w:color w:val="FF0000"/>
          <w:sz w:val="36"/>
          <w:szCs w:val="36"/>
        </w:rPr>
      </w:pPr>
      <w:r w:rsidRPr="00F5223E">
        <w:rPr>
          <w:color w:val="FF0000"/>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F5223E" w:rsidRDefault="00890C6B" w:rsidP="00890C6B">
      <w:pPr>
        <w:pStyle w:val="BodyText"/>
        <w:rPr>
          <w:b/>
          <w:sz w:val="36"/>
          <w:szCs w:val="36"/>
          <w:u w:val="single"/>
        </w:rPr>
      </w:pPr>
      <w:r w:rsidRPr="00F5223E">
        <w:rPr>
          <w:b/>
          <w:sz w:val="36"/>
          <w:szCs w:val="36"/>
        </w:rPr>
        <w:t xml:space="preserve">COMPONENT WEIGHTING: </w:t>
      </w:r>
      <w:r w:rsidRPr="00F5223E">
        <w:rPr>
          <w:b/>
          <w:color w:val="FF0000"/>
          <w:sz w:val="36"/>
          <w:szCs w:val="36"/>
          <w:u w:val="single"/>
        </w:rPr>
        <w:t>50</w:t>
      </w:r>
      <w:r w:rsidRPr="00F5223E">
        <w:rPr>
          <w:b/>
          <w:sz w:val="36"/>
          <w:szCs w:val="36"/>
          <w:u w:val="single"/>
        </w:rPr>
        <w:t xml:space="preserve"> </w:t>
      </w:r>
      <w:r w:rsidRPr="00F5223E">
        <w:rPr>
          <w:b/>
          <w:sz w:val="36"/>
          <w:szCs w:val="36"/>
        </w:rPr>
        <w:t>%</w:t>
      </w:r>
    </w:p>
    <w:p w14:paraId="31285C3A" w14:textId="77777777" w:rsidR="00890C6B" w:rsidRPr="00F5223E" w:rsidRDefault="00890C6B" w:rsidP="00890C6B">
      <w:pPr>
        <w:pStyle w:val="BodyText"/>
        <w:rPr>
          <w:sz w:val="36"/>
          <w:szCs w:val="36"/>
        </w:rPr>
      </w:pPr>
    </w:p>
    <w:p w14:paraId="7466F46F" w14:textId="77777777" w:rsidR="00890C6B" w:rsidRPr="00F5223E" w:rsidRDefault="00890C6B" w:rsidP="00890C6B">
      <w:pPr>
        <w:pStyle w:val="BodyText"/>
        <w:rPr>
          <w:b/>
          <w:sz w:val="36"/>
          <w:szCs w:val="36"/>
          <w:u w:val="single"/>
        </w:rPr>
      </w:pPr>
      <w:r w:rsidRPr="00F5223E">
        <w:rPr>
          <w:b/>
          <w:sz w:val="36"/>
          <w:szCs w:val="36"/>
        </w:rPr>
        <w:t xml:space="preserve">WORD COUNT: </w:t>
      </w:r>
      <w:r w:rsidRPr="00F5223E">
        <w:rPr>
          <w:b/>
          <w:color w:val="FF0000"/>
          <w:sz w:val="36"/>
          <w:szCs w:val="36"/>
          <w:u w:val="single"/>
        </w:rPr>
        <w:t xml:space="preserve">1500 </w:t>
      </w:r>
      <w:r w:rsidRPr="00F5223E">
        <w:rPr>
          <w:b/>
          <w:sz w:val="36"/>
          <w:szCs w:val="36"/>
        </w:rPr>
        <w:t>WORDS</w:t>
      </w:r>
      <w:r w:rsidRPr="00F5223E">
        <w:rPr>
          <w:b/>
          <w:sz w:val="36"/>
          <w:szCs w:val="36"/>
          <w:u w:val="single"/>
        </w:rPr>
        <w:t xml:space="preserve"> </w:t>
      </w:r>
    </w:p>
    <w:p w14:paraId="2CBC3E96" w14:textId="77777777" w:rsidR="00890C6B" w:rsidRPr="00F5223E" w:rsidRDefault="00890C6B" w:rsidP="00890C6B">
      <w:pPr>
        <w:pStyle w:val="BodyText"/>
        <w:rPr>
          <w:b/>
          <w:sz w:val="36"/>
          <w:szCs w:val="36"/>
          <w:u w:val="single"/>
        </w:rPr>
      </w:pPr>
    </w:p>
    <w:p w14:paraId="4CB9C87F" w14:textId="77777777" w:rsidR="00890C6B" w:rsidRPr="00F5223E" w:rsidRDefault="00890C6B" w:rsidP="00890C6B">
      <w:pPr>
        <w:pStyle w:val="BodyText"/>
        <w:rPr>
          <w:b/>
          <w:color w:val="FF0000"/>
          <w:sz w:val="36"/>
          <w:szCs w:val="36"/>
          <w:u w:val="single"/>
        </w:rPr>
      </w:pPr>
      <w:r w:rsidRPr="00F5223E">
        <w:rPr>
          <w:b/>
          <w:sz w:val="36"/>
          <w:szCs w:val="36"/>
        </w:rPr>
        <w:t xml:space="preserve">MODULE TUTOR: </w:t>
      </w:r>
      <w:r w:rsidRPr="00F5223E">
        <w:rPr>
          <w:b/>
          <w:color w:val="FF0000"/>
          <w:sz w:val="36"/>
          <w:szCs w:val="36"/>
          <w:u w:val="single"/>
        </w:rPr>
        <w:t>A.WILLIAMS</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F5223E">
        <w:rPr>
          <w:b/>
          <w:color w:val="FF0000"/>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2B6206CB"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CF1DB7">
        <w:rPr>
          <w:b w:val="0"/>
          <w:bCs w:val="0"/>
          <w:sz w:val="36"/>
          <w:szCs w:val="36"/>
        </w:rPr>
        <w:t>By 3 pm on Friday 24 November 2017</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777777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ABF7FE7" w:rsidR="00CE2F77" w:rsidRDefault="00CE2F77" w:rsidP="006D39C6">
      <w:pPr>
        <w:pStyle w:val="Subtitle"/>
        <w:jc w:val="left"/>
        <w:rPr>
          <w:b/>
          <w:bCs/>
          <w:sz w:val="24"/>
          <w:szCs w:val="24"/>
          <w:u w:val="none"/>
        </w:rPr>
      </w:pPr>
      <w:r>
        <w:rPr>
          <w:b/>
          <w:bCs/>
          <w:sz w:val="24"/>
          <w:szCs w:val="24"/>
          <w:u w:val="none"/>
        </w:rPr>
        <w:t xml:space="preserve">                            Submission date: </w:t>
      </w:r>
      <w:r w:rsidR="00CF1DB7">
        <w:rPr>
          <w:b/>
          <w:bCs/>
          <w:sz w:val="24"/>
          <w:szCs w:val="24"/>
          <w:u w:val="none"/>
        </w:rPr>
        <w:t>By 3 pm on Friday 24 November 2017</w:t>
      </w:r>
    </w:p>
    <w:p w14:paraId="6AB3CB0B" w14:textId="77777777" w:rsidR="00EE138C" w:rsidRDefault="00EE138C" w:rsidP="006D39C6">
      <w:pPr>
        <w:pStyle w:val="Subtitle"/>
        <w:jc w:val="left"/>
        <w:rPr>
          <w:b/>
          <w:bCs/>
          <w:sz w:val="24"/>
          <w:szCs w:val="24"/>
          <w:u w:val="none"/>
        </w:rPr>
      </w:pPr>
    </w:p>
    <w:p w14:paraId="0E81426F" w14:textId="7777777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Pr="00E02EA9">
        <w:rPr>
          <w:sz w:val="24"/>
          <w:szCs w:val="24"/>
          <w:u w:val="none"/>
        </w:rPr>
        <w:t>education? (1500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77777777" w:rsidR="00EE138C" w:rsidRPr="008D4E60" w:rsidRDefault="00EE138C" w:rsidP="008D4E60">
            <w:pPr>
              <w:pStyle w:val="Subtitle"/>
              <w:tabs>
                <w:tab w:val="left" w:pos="5850"/>
              </w:tabs>
              <w:jc w:val="left"/>
              <w:rPr>
                <w:rFonts w:eastAsia="Times New Roman"/>
                <w:u w:val="none"/>
                <w:lang w:eastAsia="en-US"/>
              </w:rPr>
            </w:pP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77777777" w:rsidR="00EE138C" w:rsidRPr="008D4E60" w:rsidRDefault="00EE138C" w:rsidP="008D4E60">
            <w:pPr>
              <w:pStyle w:val="Subtitle"/>
              <w:tabs>
                <w:tab w:val="left" w:pos="5850"/>
              </w:tabs>
              <w:jc w:val="left"/>
              <w:rPr>
                <w:rFonts w:eastAsia="Times New Roman"/>
                <w:u w:val="none"/>
                <w:lang w:eastAsia="en-US"/>
              </w:rPr>
            </w:pP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77777777" w:rsidR="00EE138C" w:rsidRPr="008D4E60" w:rsidRDefault="00EE138C" w:rsidP="008D4E60">
            <w:pPr>
              <w:pStyle w:val="Subtitle"/>
              <w:tabs>
                <w:tab w:val="left" w:pos="5850"/>
              </w:tabs>
              <w:jc w:val="left"/>
              <w:rPr>
                <w:rFonts w:eastAsia="Times New Roman"/>
                <w:u w:val="none"/>
                <w:lang w:eastAsia="en-US"/>
              </w:rPr>
            </w:pP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77777777" w:rsidR="00890C6B" w:rsidRPr="009574BA" w:rsidRDefault="00890C6B" w:rsidP="00DE783D">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77777777" w:rsidR="00890C6B" w:rsidRPr="00313008" w:rsidRDefault="00890C6B" w:rsidP="006D39C6">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lastRenderedPageBreak/>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77777777" w:rsidR="00EE138C" w:rsidRDefault="00EE138C">
      <w:pPr>
        <w:rPr>
          <w:sz w:val="24"/>
          <w:szCs w:val="24"/>
        </w:rPr>
      </w:pPr>
    </w:p>
    <w:p w14:paraId="18C1227D" w14:textId="77777777" w:rsidR="002573E9" w:rsidRDefault="002573E9">
      <w:pPr>
        <w:rPr>
          <w:sz w:val="24"/>
          <w:szCs w:val="24"/>
        </w:rPr>
      </w:pPr>
    </w:p>
    <w:p w14:paraId="4454CE35" w14:textId="77777777" w:rsidR="002573E9" w:rsidRDefault="002573E9">
      <w:pPr>
        <w:rPr>
          <w:sz w:val="24"/>
          <w:szCs w:val="24"/>
        </w:rPr>
      </w:pPr>
    </w:p>
    <w:p w14:paraId="7EE70A63" w14:textId="18179AFD" w:rsidR="002573E9" w:rsidRDefault="002573E9" w:rsidP="002573E9">
      <w:pPr>
        <w:rPr>
          <w:sz w:val="28"/>
          <w:szCs w:val="28"/>
        </w:rPr>
      </w:pPr>
      <w:r w:rsidRPr="002573E9">
        <w:rPr>
          <w:sz w:val="28"/>
          <w:szCs w:val="28"/>
        </w:rPr>
        <w:t>How important is environmental learning to outdoor adventure education?</w:t>
      </w:r>
    </w:p>
    <w:p w14:paraId="5CA19873" w14:textId="77777777" w:rsidR="002573E9" w:rsidRPr="002573E9" w:rsidRDefault="002573E9" w:rsidP="002573E9">
      <w:pPr>
        <w:rPr>
          <w:sz w:val="28"/>
          <w:szCs w:val="28"/>
        </w:rPr>
      </w:pPr>
    </w:p>
    <w:p w14:paraId="275F8E9F" w14:textId="77777777" w:rsidR="002573E9" w:rsidRPr="0084377E" w:rsidRDefault="002573E9" w:rsidP="002573E9">
      <w:pPr>
        <w:spacing w:line="360" w:lineRule="auto"/>
        <w:rPr>
          <w:sz w:val="24"/>
          <w:szCs w:val="24"/>
        </w:rPr>
      </w:pPr>
      <w:r w:rsidRPr="0084377E">
        <w:rPr>
          <w:sz w:val="24"/>
          <w:szCs w:val="24"/>
        </w:rPr>
        <w:t>This essay will discuss the importance and the effect of environmental learning in outdoor adventure. This will include discussions on how students seeing and being in the outdoor environment around them can have an effect on their way of viewing the world and the inhabitants they share it with. As well as this, it will look into how using environmental learning can help students develop personally. This includes interpersonal skills, life skills and moral views of Earth and the people and creatures that inhabit it. It will also include research on how respecting and understanding nature and the risks and dangers within it, can help develop students personal skills in outdoor activities by knowing what to avoid when carrying out tasks and journeys.</w:t>
      </w:r>
    </w:p>
    <w:p w14:paraId="49BB698E" w14:textId="77777777" w:rsidR="002573E9" w:rsidRDefault="002573E9" w:rsidP="002573E9">
      <w:pPr>
        <w:spacing w:line="360" w:lineRule="auto"/>
        <w:rPr>
          <w:sz w:val="24"/>
          <w:szCs w:val="24"/>
        </w:rPr>
      </w:pPr>
    </w:p>
    <w:p w14:paraId="17EF378A" w14:textId="77777777" w:rsidR="002573E9" w:rsidRPr="0084377E" w:rsidRDefault="002573E9" w:rsidP="002573E9">
      <w:pPr>
        <w:spacing w:line="360" w:lineRule="auto"/>
        <w:rPr>
          <w:sz w:val="24"/>
          <w:szCs w:val="24"/>
        </w:rPr>
      </w:pPr>
      <w:r w:rsidRPr="0084377E">
        <w:rPr>
          <w:sz w:val="24"/>
          <w:szCs w:val="24"/>
        </w:rPr>
        <w:t xml:space="preserve">(Falk, 2005) supports the idea that environmental learning is an approach to education that incorporates the way that humans interact with and affect the natural world around them by using and being in the environment they are using. </w:t>
      </w:r>
    </w:p>
    <w:p w14:paraId="35CD5184" w14:textId="77777777" w:rsidR="002573E9" w:rsidRDefault="002573E9" w:rsidP="002573E9">
      <w:pPr>
        <w:spacing w:line="360" w:lineRule="auto"/>
        <w:rPr>
          <w:sz w:val="24"/>
          <w:szCs w:val="24"/>
        </w:rPr>
      </w:pPr>
    </w:p>
    <w:p w14:paraId="4F327170" w14:textId="77777777" w:rsidR="002573E9" w:rsidRPr="0084377E" w:rsidRDefault="002573E9" w:rsidP="002573E9">
      <w:pPr>
        <w:spacing w:line="360" w:lineRule="auto"/>
        <w:rPr>
          <w:sz w:val="24"/>
          <w:szCs w:val="24"/>
        </w:rPr>
      </w:pPr>
      <w:r w:rsidRPr="0084377E">
        <w:rPr>
          <w:sz w:val="24"/>
          <w:szCs w:val="24"/>
        </w:rPr>
        <w:t>Some of the earliest perceived benefits of the outdoors to education were seen by (Mortlock, 1984) supporting that recreation and training through outdoor education encourages active learning through a person’s direct experience within a framework of safety and a broad learning outcome. This active learning and sense of adventure can be achieved in a variety of rural, urban and remote environments using all senses.</w:t>
      </w:r>
    </w:p>
    <w:p w14:paraId="20BD0222" w14:textId="77777777" w:rsidR="002573E9" w:rsidRDefault="002573E9" w:rsidP="002573E9">
      <w:pPr>
        <w:spacing w:line="360" w:lineRule="auto"/>
        <w:rPr>
          <w:sz w:val="24"/>
          <w:szCs w:val="24"/>
        </w:rPr>
      </w:pPr>
    </w:p>
    <w:p w14:paraId="5D36BA64" w14:textId="60AF455F" w:rsidR="002573E9" w:rsidRPr="0084377E" w:rsidRDefault="002573E9" w:rsidP="002573E9">
      <w:pPr>
        <w:spacing w:line="360" w:lineRule="auto"/>
        <w:rPr>
          <w:sz w:val="24"/>
          <w:szCs w:val="24"/>
        </w:rPr>
      </w:pPr>
      <w:r w:rsidRPr="0084377E">
        <w:rPr>
          <w:sz w:val="24"/>
          <w:szCs w:val="24"/>
        </w:rPr>
        <w:t>Britain has a long tradition within the field of outdoor education; this includes the scouts, guides and Duke of Edinburgh Awards. Supports that it promotes developmental learning outcomes such as exploration and reflection through adventure. Within outdoor education, adults and young people can gain a varying range of experiences with an environmental focus using land and water adventure activities. These activities use learning methods such as team building, leadership and problem solving, which is supported by (Ampuero et al., 2013)</w:t>
      </w:r>
    </w:p>
    <w:p w14:paraId="0E078947" w14:textId="77777777" w:rsidR="002573E9" w:rsidRDefault="002573E9" w:rsidP="002573E9">
      <w:pPr>
        <w:spacing w:line="360" w:lineRule="auto"/>
        <w:rPr>
          <w:sz w:val="24"/>
          <w:szCs w:val="24"/>
        </w:rPr>
      </w:pPr>
    </w:p>
    <w:p w14:paraId="17996CF7" w14:textId="77777777" w:rsidR="002573E9" w:rsidRPr="0084377E" w:rsidRDefault="002573E9" w:rsidP="002573E9">
      <w:pPr>
        <w:spacing w:line="360" w:lineRule="auto"/>
        <w:rPr>
          <w:sz w:val="24"/>
          <w:szCs w:val="24"/>
        </w:rPr>
      </w:pPr>
      <w:r w:rsidRPr="0084377E">
        <w:rPr>
          <w:sz w:val="24"/>
          <w:szCs w:val="24"/>
        </w:rPr>
        <w:t xml:space="preserve">(Nicol &amp; Higgins, 1998) suggest that in the earlier stages of outdoor education, the outdoor environment was almost seen as a tool to outdoor educators that could be used to teach students. However, (Higgins and Loynes, 1997) provoke the idea that outdoor educators should incorporate an understanding of the environment they are using as a </w:t>
      </w:r>
      <w:r w:rsidRPr="0084377E">
        <w:rPr>
          <w:sz w:val="24"/>
          <w:szCs w:val="24"/>
        </w:rPr>
        <w:lastRenderedPageBreak/>
        <w:t xml:space="preserve">resource into their teaching. This resource that is the environment can also help students understand and respect the dangers that nature brings. (Mullins, 2013) helps support the idea that students can respect nature more when they are immersed in it. This would help students trying to develop different personal skills in outdoor adventure activities as they have knowledge of their environment and what ricks to look out for and avoid. </w:t>
      </w:r>
    </w:p>
    <w:p w14:paraId="522A21BD" w14:textId="77777777" w:rsidR="002573E9" w:rsidRDefault="002573E9" w:rsidP="002573E9">
      <w:pPr>
        <w:spacing w:line="360" w:lineRule="auto"/>
        <w:rPr>
          <w:sz w:val="24"/>
          <w:szCs w:val="24"/>
        </w:rPr>
      </w:pPr>
    </w:p>
    <w:p w14:paraId="73F60303" w14:textId="7A4C1736" w:rsidR="002573E9" w:rsidRPr="0084377E" w:rsidRDefault="002573E9" w:rsidP="002573E9">
      <w:pPr>
        <w:spacing w:line="360" w:lineRule="auto"/>
        <w:rPr>
          <w:sz w:val="24"/>
          <w:szCs w:val="24"/>
        </w:rPr>
      </w:pPr>
      <w:r w:rsidRPr="0084377E">
        <w:rPr>
          <w:sz w:val="24"/>
          <w:szCs w:val="24"/>
        </w:rPr>
        <w:t xml:space="preserve">Brymer and Davids, 2013, supports the theory that one of the reasons environmental learning can help children and students is to give them a bigger understanding of the world they live in and the other things that share this world with them. By giving students learning experiences about the effect they have on the world whilst in the outdoor environment, they can see, smell, listen and feel what you are teaching them about, giving them a fuller learning experience. This is because they are not just listening to someone talk, but they are seeing and feeling the evidence for themselves. This form of learning can give them the sense that they are teaching themselves which can inspire students to want to learn for themselves as they have a better understanding and enjoy the process more. This is supported by </w:t>
      </w:r>
      <w:r w:rsidRPr="00EB0903">
        <w:rPr>
          <w:bCs/>
          <w:sz w:val="24"/>
          <w:szCs w:val="24"/>
        </w:rPr>
        <w:t>(Nicolopoulou, 1993)</w:t>
      </w:r>
      <w:r w:rsidR="00EB0903">
        <w:rPr>
          <w:sz w:val="24"/>
          <w:szCs w:val="24"/>
        </w:rPr>
        <w:t xml:space="preserve"> </w:t>
      </w:r>
      <w:r w:rsidRPr="0084377E">
        <w:rPr>
          <w:sz w:val="24"/>
          <w:szCs w:val="24"/>
        </w:rPr>
        <w:t>who believes that a child learns through their environment which in turn develops their cognitive abilities.</w:t>
      </w:r>
    </w:p>
    <w:p w14:paraId="355D2B4C" w14:textId="77777777" w:rsidR="002573E9" w:rsidRDefault="002573E9" w:rsidP="002573E9">
      <w:pPr>
        <w:spacing w:line="360" w:lineRule="auto"/>
        <w:rPr>
          <w:sz w:val="24"/>
          <w:szCs w:val="24"/>
        </w:rPr>
      </w:pPr>
    </w:p>
    <w:p w14:paraId="3FDE8EA3" w14:textId="77777777" w:rsidR="002573E9" w:rsidRPr="0084377E" w:rsidRDefault="002573E9" w:rsidP="002573E9">
      <w:pPr>
        <w:spacing w:line="360" w:lineRule="auto"/>
        <w:rPr>
          <w:sz w:val="24"/>
          <w:szCs w:val="24"/>
        </w:rPr>
      </w:pPr>
      <w:r w:rsidRPr="0084377E">
        <w:rPr>
          <w:sz w:val="24"/>
          <w:szCs w:val="24"/>
        </w:rPr>
        <w:t xml:space="preserve">Environmental learning does not always have to be through a structured lesson plan either. I personally believe that it is important for children and students to explore nature in their own time. Exploration by themselves or with friends provokes a sense of adventure that you cannot always achieve in the classroom. By running round a forest, beach or any other outdoor environment; getting their hands dirty and seeing new sites and creatures. Children and students can start to question how the ecological dynamics of the location they explore functions. By having this understanding that there are other eco systems and circles of life in the world around them, it can help them see that they are not the most important thing that it is living, thus helps their personal development and growth this is supported by (Goralink and Nelson, 2015). This can give students a new outlook on their own life and their peers, as they recognise that all actions have an effect on something else, which can inspire empathy within students. This can be linked to outdoor adventure and educators. It is important that when students are being taught activities using nature, they have respect for how they are using it and the effect they might have on it. For example, by if an outdoor educator is teaching bush craft to a group of students, they should emphasise not to kill living plants, because by doing so, they can </w:t>
      </w:r>
      <w:r w:rsidRPr="0084377E">
        <w:rPr>
          <w:sz w:val="24"/>
          <w:szCs w:val="24"/>
        </w:rPr>
        <w:lastRenderedPageBreak/>
        <w:t xml:space="preserve">effect smaller ecosystems in the environment they are using and even make it more difficult to use the location in the future. </w:t>
      </w:r>
    </w:p>
    <w:p w14:paraId="5252E211" w14:textId="77777777" w:rsidR="002573E9" w:rsidRDefault="002573E9" w:rsidP="002573E9">
      <w:pPr>
        <w:spacing w:line="360" w:lineRule="auto"/>
        <w:rPr>
          <w:sz w:val="24"/>
          <w:szCs w:val="24"/>
        </w:rPr>
      </w:pPr>
    </w:p>
    <w:p w14:paraId="50B78FC0" w14:textId="2D128FF8" w:rsidR="002573E9" w:rsidRDefault="002573E9" w:rsidP="002573E9">
      <w:pPr>
        <w:spacing w:line="360" w:lineRule="auto"/>
        <w:rPr>
          <w:sz w:val="24"/>
          <w:szCs w:val="24"/>
        </w:rPr>
      </w:pPr>
      <w:r w:rsidRPr="0084377E">
        <w:rPr>
          <w:sz w:val="24"/>
          <w:szCs w:val="24"/>
        </w:rPr>
        <w:t xml:space="preserve">Environmental education may also help to teach students about the bigger issues affecting nature and the environment today. (Sandell and </w:t>
      </w:r>
      <w:r w:rsidRPr="0084377E">
        <w:rPr>
          <w:sz w:val="24"/>
          <w:szCs w:val="24"/>
          <w:lang w:val="en"/>
        </w:rPr>
        <w:t>Ö</w:t>
      </w:r>
      <w:r w:rsidRPr="0084377E">
        <w:rPr>
          <w:sz w:val="24"/>
          <w:szCs w:val="24"/>
        </w:rPr>
        <w:t>hman, 2013) suggest that there is a direct link with someone having outdoor experiences and environmentalism especially including a link between people who have had an outdoor education experience and the knowledge they have of the environment and their attitude towards it. This supports the idea that studying in the outdoors can have a lasting effect on a student’s world perspective and maybe the way they live their personal life in the future.</w:t>
      </w:r>
    </w:p>
    <w:p w14:paraId="3C29E10E" w14:textId="77777777" w:rsidR="002573E9" w:rsidRDefault="002573E9" w:rsidP="002573E9">
      <w:pPr>
        <w:spacing w:line="360" w:lineRule="auto"/>
        <w:rPr>
          <w:sz w:val="24"/>
          <w:szCs w:val="24"/>
        </w:rPr>
      </w:pPr>
    </w:p>
    <w:p w14:paraId="68945E4A" w14:textId="77777777" w:rsidR="002573E9" w:rsidRPr="0084377E" w:rsidRDefault="002573E9" w:rsidP="002573E9">
      <w:pPr>
        <w:spacing w:line="360" w:lineRule="auto"/>
        <w:rPr>
          <w:sz w:val="24"/>
          <w:szCs w:val="24"/>
        </w:rPr>
      </w:pPr>
      <w:r w:rsidRPr="0084377E">
        <w:rPr>
          <w:sz w:val="24"/>
          <w:szCs w:val="24"/>
        </w:rPr>
        <w:t xml:space="preserve">However, refereing back to (Higgins and Loynes, 1997) Range and Scope of Outdoor Education, environmental education, although important, environmental learning should not necessarily be the main focus of outdoor education, as outdoor activities and personal and social development should also be a point of focus when teaching. Nonetheless, environmental education could be interwoven into personal and social development, as by learning with and around nature during outdoor activities, students are learning lifelong interpersonal skills such as, empathy, teamwork and communication. </w:t>
      </w:r>
    </w:p>
    <w:p w14:paraId="2DABA643" w14:textId="77777777" w:rsidR="002573E9" w:rsidRDefault="002573E9" w:rsidP="002573E9">
      <w:pPr>
        <w:spacing w:line="360" w:lineRule="auto"/>
        <w:rPr>
          <w:sz w:val="24"/>
          <w:szCs w:val="24"/>
        </w:rPr>
      </w:pPr>
    </w:p>
    <w:p w14:paraId="1EF21CB8" w14:textId="77777777" w:rsidR="002573E9" w:rsidRPr="0084377E" w:rsidRDefault="002573E9" w:rsidP="002573E9">
      <w:pPr>
        <w:spacing w:line="360" w:lineRule="auto"/>
        <w:rPr>
          <w:sz w:val="24"/>
          <w:szCs w:val="24"/>
        </w:rPr>
      </w:pPr>
      <w:r w:rsidRPr="0084377E">
        <w:rPr>
          <w:sz w:val="24"/>
          <w:szCs w:val="24"/>
        </w:rPr>
        <w:t xml:space="preserve">In conclusion, environmental learning seems to be important to outdoor adventure education in quite a big way. As well as being used as a space for learning to take place, the environment should also be understood by participants. What they are using for activities should be known and explored in order to provide a better understanding on how humans affect the environment by using it as a resource. It is also important in aiding educators to provide students with an immersive learning experience that allows them to development socially and morally by using all of their senses to discover various types of wildlife and mini ecosystems in order to expand their acceptance on what is happening in the world around them and how they can change in their own lives with small but effective actions. I believe it is important that outdoor adventure education does include environmental learning as students and educators need to understand the most sustainable and environmentally friendly way to carry out outdoor pursuits and activities. This is because next generations should be able to experience the same endeavours, as well as preserving the natural wildlife and habitats that share the places participants use for fun and education. I also believe that by respecting the environment around them, </w:t>
      </w:r>
      <w:r w:rsidRPr="0084377E">
        <w:rPr>
          <w:sz w:val="24"/>
          <w:szCs w:val="24"/>
        </w:rPr>
        <w:lastRenderedPageBreak/>
        <w:t>students can develop better skills in the activities they take part in, in the outdoors. I think this because they will have a better knowledge on how ecological systems work and how to use this to their advantage.</w:t>
      </w:r>
    </w:p>
    <w:p w14:paraId="49447E88" w14:textId="77777777" w:rsidR="002573E9" w:rsidRPr="0084377E" w:rsidRDefault="002573E9" w:rsidP="002573E9">
      <w:pPr>
        <w:spacing w:line="360" w:lineRule="auto"/>
        <w:rPr>
          <w:sz w:val="24"/>
          <w:szCs w:val="24"/>
        </w:rPr>
      </w:pPr>
    </w:p>
    <w:p w14:paraId="63B71061" w14:textId="77777777" w:rsidR="002573E9" w:rsidRPr="0084377E" w:rsidRDefault="002573E9" w:rsidP="002573E9">
      <w:pPr>
        <w:spacing w:line="360" w:lineRule="auto"/>
        <w:rPr>
          <w:sz w:val="24"/>
          <w:szCs w:val="24"/>
        </w:rPr>
      </w:pPr>
    </w:p>
    <w:p w14:paraId="00FC4570" w14:textId="77777777" w:rsidR="002573E9" w:rsidRPr="002573E9" w:rsidRDefault="002573E9" w:rsidP="002573E9">
      <w:pPr>
        <w:spacing w:line="360" w:lineRule="auto"/>
        <w:rPr>
          <w:sz w:val="28"/>
          <w:szCs w:val="28"/>
        </w:rPr>
      </w:pPr>
    </w:p>
    <w:p w14:paraId="69009840" w14:textId="77777777" w:rsidR="002573E9" w:rsidRPr="002573E9" w:rsidRDefault="002573E9" w:rsidP="002573E9">
      <w:pPr>
        <w:spacing w:line="360" w:lineRule="auto"/>
        <w:rPr>
          <w:sz w:val="28"/>
          <w:szCs w:val="28"/>
        </w:rPr>
      </w:pPr>
      <w:r w:rsidRPr="002573E9">
        <w:rPr>
          <w:sz w:val="28"/>
          <w:szCs w:val="28"/>
        </w:rPr>
        <w:t>Bibliography</w:t>
      </w:r>
    </w:p>
    <w:p w14:paraId="56DDC2CA" w14:textId="77777777" w:rsidR="002573E9" w:rsidRPr="0084377E" w:rsidRDefault="002573E9" w:rsidP="002573E9">
      <w:pPr>
        <w:spacing w:line="360" w:lineRule="auto"/>
        <w:rPr>
          <w:sz w:val="24"/>
          <w:szCs w:val="24"/>
          <w:lang w:val="en"/>
        </w:rPr>
      </w:pPr>
      <w:r w:rsidRPr="0084377E">
        <w:rPr>
          <w:sz w:val="24"/>
          <w:szCs w:val="24"/>
          <w:lang w:val="en"/>
        </w:rPr>
        <w:t xml:space="preserve">Ampuero, D., Miranda, C., Delgado, L., Goyen, S. and Weaver, S. (2013). Empathy and critical thinking: primary students solving local environmental problems through outdoor learning. </w:t>
      </w:r>
      <w:r w:rsidRPr="0084377E">
        <w:rPr>
          <w:i/>
          <w:iCs/>
          <w:sz w:val="24"/>
          <w:szCs w:val="24"/>
          <w:lang w:val="en"/>
        </w:rPr>
        <w:t>Journal of Adventure Education and Outdoor Learning</w:t>
      </w:r>
      <w:r w:rsidRPr="0084377E">
        <w:rPr>
          <w:sz w:val="24"/>
          <w:szCs w:val="24"/>
          <w:lang w:val="en"/>
        </w:rPr>
        <w:t>, (online) 15(1), pp.64-78. Available at: http://www.tandfonline.com.ezproxy.uwtsd.ac.uk/doi/abs/10.1080/14729679.2013.848817 (Accessed 21 Nov. 2017).</w:t>
      </w:r>
    </w:p>
    <w:p w14:paraId="3F054912" w14:textId="77777777" w:rsidR="002573E9" w:rsidRDefault="002573E9" w:rsidP="002573E9">
      <w:pPr>
        <w:spacing w:line="360" w:lineRule="auto"/>
        <w:rPr>
          <w:sz w:val="24"/>
          <w:szCs w:val="24"/>
          <w:lang w:val="en"/>
        </w:rPr>
      </w:pPr>
    </w:p>
    <w:p w14:paraId="1486A823" w14:textId="77777777" w:rsidR="002573E9" w:rsidRPr="0084377E" w:rsidRDefault="002573E9" w:rsidP="002573E9">
      <w:pPr>
        <w:spacing w:line="360" w:lineRule="auto"/>
        <w:rPr>
          <w:sz w:val="24"/>
          <w:szCs w:val="24"/>
          <w:lang w:val="en"/>
        </w:rPr>
      </w:pPr>
      <w:r w:rsidRPr="0084377E">
        <w:rPr>
          <w:sz w:val="24"/>
          <w:szCs w:val="24"/>
          <w:lang w:val="en"/>
        </w:rPr>
        <w:t xml:space="preserve">Brymer, E. and Davids, K. (2013). Experiential learning as a constraint-led process: an ecological dynamics perspective. </w:t>
      </w:r>
      <w:r w:rsidRPr="0084377E">
        <w:rPr>
          <w:i/>
          <w:iCs/>
          <w:sz w:val="24"/>
          <w:szCs w:val="24"/>
          <w:lang w:val="en"/>
        </w:rPr>
        <w:t>Journal of Adventure Education and Outdoor Learning</w:t>
      </w:r>
      <w:r w:rsidRPr="0084377E">
        <w:rPr>
          <w:sz w:val="24"/>
          <w:szCs w:val="24"/>
          <w:lang w:val="en"/>
        </w:rPr>
        <w:t>, (online) 14(2), pp.103-117. Available at: http://www.tandfonline.com.ezproxy.uwtsd.ac.uk/doi/full/10.1080/14729679.2013.789353?scroll=top&amp;needAccess=true (Accessed 21 Nov. 2017).</w:t>
      </w:r>
    </w:p>
    <w:p w14:paraId="48D0FF2C" w14:textId="77777777" w:rsidR="002573E9" w:rsidRDefault="002573E9" w:rsidP="002573E9">
      <w:pPr>
        <w:spacing w:line="360" w:lineRule="auto"/>
        <w:rPr>
          <w:sz w:val="24"/>
          <w:szCs w:val="24"/>
          <w:lang w:val="en"/>
        </w:rPr>
      </w:pPr>
    </w:p>
    <w:p w14:paraId="0CECF7A5" w14:textId="77777777" w:rsidR="002573E9" w:rsidRPr="0084377E" w:rsidRDefault="002573E9" w:rsidP="002573E9">
      <w:pPr>
        <w:spacing w:line="360" w:lineRule="auto"/>
        <w:rPr>
          <w:sz w:val="24"/>
          <w:szCs w:val="24"/>
          <w:lang w:val="en"/>
        </w:rPr>
      </w:pPr>
      <w:r w:rsidRPr="0084377E">
        <w:rPr>
          <w:sz w:val="24"/>
          <w:szCs w:val="24"/>
          <w:lang w:val="en"/>
        </w:rPr>
        <w:t>Falk, J. (2005). Free</w:t>
      </w:r>
      <w:r w:rsidRPr="0084377E">
        <w:rPr>
          <w:rFonts w:ascii="Cambria Math" w:hAnsi="Cambria Math" w:cs="Cambria Math"/>
          <w:sz w:val="24"/>
          <w:szCs w:val="24"/>
          <w:lang w:val="en"/>
        </w:rPr>
        <w:t>‐</w:t>
      </w:r>
      <w:r w:rsidRPr="0084377E">
        <w:rPr>
          <w:sz w:val="24"/>
          <w:szCs w:val="24"/>
          <w:lang w:val="en"/>
        </w:rPr>
        <w:t xml:space="preserve">choice environmental learning: framing the discussion. </w:t>
      </w:r>
      <w:r w:rsidRPr="0084377E">
        <w:rPr>
          <w:i/>
          <w:iCs/>
          <w:sz w:val="24"/>
          <w:szCs w:val="24"/>
          <w:lang w:val="en"/>
        </w:rPr>
        <w:t>Environmental Education Research</w:t>
      </w:r>
      <w:r w:rsidRPr="0084377E">
        <w:rPr>
          <w:sz w:val="24"/>
          <w:szCs w:val="24"/>
          <w:lang w:val="en"/>
        </w:rPr>
        <w:t>, (online) 11(3), pp.265-280. Available at: http://www.tandfonline.com/doi/full/10.1080/13504620500081129?scroll=top&amp;needAccess=true (Accessed 20 Nov. 2017).</w:t>
      </w:r>
    </w:p>
    <w:p w14:paraId="14DA0757" w14:textId="77777777" w:rsidR="002573E9" w:rsidRDefault="002573E9" w:rsidP="002573E9">
      <w:pPr>
        <w:spacing w:line="360" w:lineRule="auto"/>
        <w:rPr>
          <w:sz w:val="24"/>
          <w:szCs w:val="24"/>
          <w:lang w:val="en"/>
        </w:rPr>
      </w:pPr>
    </w:p>
    <w:p w14:paraId="79E53FDE" w14:textId="77777777" w:rsidR="002573E9" w:rsidRPr="0084377E" w:rsidRDefault="002573E9" w:rsidP="002573E9">
      <w:pPr>
        <w:spacing w:line="360" w:lineRule="auto"/>
        <w:rPr>
          <w:sz w:val="24"/>
          <w:szCs w:val="24"/>
          <w:lang w:val="en"/>
        </w:rPr>
      </w:pPr>
      <w:r w:rsidRPr="0084377E">
        <w:rPr>
          <w:sz w:val="24"/>
          <w:szCs w:val="24"/>
          <w:lang w:val="en"/>
        </w:rPr>
        <w:t xml:space="preserve">Goralnik, L. and Nelson, M. (2015). Field philosophy: environmental learning and moral development in Isle Royale National Park. </w:t>
      </w:r>
      <w:r w:rsidRPr="0084377E">
        <w:rPr>
          <w:i/>
          <w:iCs/>
          <w:sz w:val="24"/>
          <w:szCs w:val="24"/>
          <w:lang w:val="en"/>
        </w:rPr>
        <w:t>Environmental Education Research</w:t>
      </w:r>
      <w:r w:rsidRPr="0084377E">
        <w:rPr>
          <w:sz w:val="24"/>
          <w:szCs w:val="24"/>
          <w:lang w:val="en"/>
        </w:rPr>
        <w:t>, (online) 23(5), pp.687-707. Available at: http://www.tandfonline.com.ezproxy.uwtsd.ac.uk/doi/full/10.1080/13504622.2015.1074661?scroll=top&amp;needAccess=true (Accessed 22 Nov. 2017).</w:t>
      </w:r>
    </w:p>
    <w:p w14:paraId="0B584B9B" w14:textId="77777777" w:rsidR="002573E9" w:rsidRDefault="002573E9" w:rsidP="002573E9">
      <w:pPr>
        <w:spacing w:line="360" w:lineRule="auto"/>
        <w:rPr>
          <w:sz w:val="24"/>
          <w:szCs w:val="24"/>
          <w:lang w:val="en"/>
        </w:rPr>
      </w:pPr>
    </w:p>
    <w:p w14:paraId="6AD01A10" w14:textId="77777777" w:rsidR="002573E9" w:rsidRPr="0084377E" w:rsidRDefault="002573E9" w:rsidP="002573E9">
      <w:pPr>
        <w:spacing w:line="360" w:lineRule="auto"/>
        <w:rPr>
          <w:sz w:val="24"/>
          <w:szCs w:val="24"/>
          <w:lang w:val="en"/>
        </w:rPr>
      </w:pPr>
      <w:r w:rsidRPr="0084377E">
        <w:rPr>
          <w:sz w:val="24"/>
          <w:szCs w:val="24"/>
          <w:lang w:val="en"/>
        </w:rPr>
        <w:t xml:space="preserve">Higgins, P. and Loynes, C. (1997). Towards consensus on the nature of outdoor education. </w:t>
      </w:r>
      <w:r w:rsidRPr="0084377E">
        <w:rPr>
          <w:i/>
          <w:sz w:val="24"/>
          <w:szCs w:val="24"/>
          <w:lang w:val="en"/>
        </w:rPr>
        <w:t>Journal of Outdoor Education and Outdoor Leadership, 13</w:t>
      </w:r>
      <w:r w:rsidRPr="0084377E">
        <w:rPr>
          <w:sz w:val="24"/>
          <w:szCs w:val="24"/>
          <w:lang w:val="en"/>
        </w:rPr>
        <w:t>(4), 2-3.</w:t>
      </w:r>
    </w:p>
    <w:p w14:paraId="55593939" w14:textId="77777777" w:rsidR="002573E9" w:rsidRDefault="002573E9" w:rsidP="002573E9">
      <w:pPr>
        <w:spacing w:line="360" w:lineRule="auto"/>
        <w:rPr>
          <w:sz w:val="24"/>
          <w:szCs w:val="24"/>
          <w:lang w:val="en"/>
        </w:rPr>
      </w:pPr>
    </w:p>
    <w:p w14:paraId="4C84BFBD" w14:textId="77777777" w:rsidR="002573E9" w:rsidRPr="0084377E" w:rsidRDefault="002573E9" w:rsidP="002573E9">
      <w:pPr>
        <w:spacing w:line="360" w:lineRule="auto"/>
        <w:rPr>
          <w:sz w:val="24"/>
          <w:szCs w:val="24"/>
          <w:lang w:val="en"/>
        </w:rPr>
      </w:pPr>
      <w:r w:rsidRPr="0084377E">
        <w:rPr>
          <w:sz w:val="24"/>
          <w:szCs w:val="24"/>
          <w:lang w:val="en"/>
        </w:rPr>
        <w:lastRenderedPageBreak/>
        <w:t xml:space="preserve">Mortlock, C. (1984). </w:t>
      </w:r>
      <w:r w:rsidRPr="0084377E">
        <w:rPr>
          <w:i/>
          <w:sz w:val="24"/>
          <w:szCs w:val="24"/>
          <w:lang w:val="en"/>
        </w:rPr>
        <w:t>The adventure alternative.</w:t>
      </w:r>
      <w:r w:rsidRPr="0084377E">
        <w:rPr>
          <w:sz w:val="24"/>
          <w:szCs w:val="24"/>
          <w:lang w:val="en"/>
        </w:rPr>
        <w:t xml:space="preserve"> Cumbria: Cicerone Press.</w:t>
      </w:r>
    </w:p>
    <w:p w14:paraId="5AF51739" w14:textId="77777777" w:rsidR="002573E9" w:rsidRDefault="002573E9" w:rsidP="002573E9">
      <w:pPr>
        <w:spacing w:line="360" w:lineRule="auto"/>
        <w:rPr>
          <w:sz w:val="24"/>
          <w:szCs w:val="24"/>
          <w:lang w:val="en"/>
        </w:rPr>
      </w:pPr>
    </w:p>
    <w:p w14:paraId="1BBC8D1B" w14:textId="77777777" w:rsidR="002573E9" w:rsidRPr="0084377E" w:rsidRDefault="002573E9" w:rsidP="002573E9">
      <w:pPr>
        <w:spacing w:line="360" w:lineRule="auto"/>
        <w:rPr>
          <w:sz w:val="24"/>
          <w:szCs w:val="24"/>
          <w:lang w:val="en"/>
        </w:rPr>
      </w:pPr>
      <w:r w:rsidRPr="0084377E">
        <w:rPr>
          <w:sz w:val="24"/>
          <w:szCs w:val="24"/>
          <w:lang w:val="en"/>
        </w:rPr>
        <w:t xml:space="preserve">Mullins, P. (2013). A Socio-environmental Case for Skill in Outdoor Adventure. </w:t>
      </w:r>
      <w:r w:rsidRPr="0084377E">
        <w:rPr>
          <w:i/>
          <w:iCs/>
          <w:sz w:val="24"/>
          <w:szCs w:val="24"/>
          <w:lang w:val="en"/>
        </w:rPr>
        <w:t>Journal of Experiential Education</w:t>
      </w:r>
      <w:r w:rsidRPr="0084377E">
        <w:rPr>
          <w:sz w:val="24"/>
          <w:szCs w:val="24"/>
          <w:lang w:val="en"/>
        </w:rPr>
        <w:t>, (online) 37(2), pp.129-143. Available at: http://web.a.ebscohost.com.ezproxy.uwtsd.ac.uk/ehost/pdfviewer/pdfviewer?vid=1&amp;sid=852d58cf-0827-460e-a9c8-63f1df3147a4%40sessionmgr4006 (Accessed 22 Nov. 2017).</w:t>
      </w:r>
    </w:p>
    <w:p w14:paraId="0788C58B" w14:textId="77777777" w:rsidR="002573E9" w:rsidRDefault="002573E9" w:rsidP="002573E9">
      <w:pPr>
        <w:spacing w:line="360" w:lineRule="auto"/>
        <w:rPr>
          <w:sz w:val="24"/>
          <w:szCs w:val="24"/>
          <w:lang w:val="en"/>
        </w:rPr>
      </w:pPr>
    </w:p>
    <w:p w14:paraId="250F2530" w14:textId="77777777" w:rsidR="002573E9" w:rsidRDefault="002573E9" w:rsidP="002573E9">
      <w:pPr>
        <w:spacing w:line="360" w:lineRule="auto"/>
        <w:rPr>
          <w:sz w:val="24"/>
          <w:szCs w:val="24"/>
          <w:lang w:val="en"/>
        </w:rPr>
      </w:pPr>
    </w:p>
    <w:p w14:paraId="2B7DF750" w14:textId="77777777" w:rsidR="002573E9" w:rsidRPr="0084377E" w:rsidRDefault="002573E9" w:rsidP="002573E9">
      <w:pPr>
        <w:spacing w:line="360" w:lineRule="auto"/>
        <w:rPr>
          <w:sz w:val="24"/>
          <w:szCs w:val="24"/>
          <w:lang w:val="en"/>
        </w:rPr>
      </w:pPr>
      <w:r w:rsidRPr="0084377E">
        <w:rPr>
          <w:sz w:val="24"/>
          <w:szCs w:val="24"/>
          <w:lang w:val="en"/>
        </w:rPr>
        <w:t xml:space="preserve">Nicol, R and Higgins, P. (1998), </w:t>
      </w:r>
      <w:r w:rsidRPr="0084377E">
        <w:rPr>
          <w:i/>
          <w:sz w:val="24"/>
          <w:szCs w:val="24"/>
          <w:lang w:val="en"/>
        </w:rPr>
        <w:t xml:space="preserve">Perspectives on the philosophy and practice of outdoor education in Scotland. </w:t>
      </w:r>
      <w:r w:rsidRPr="0084377E">
        <w:rPr>
          <w:sz w:val="24"/>
          <w:szCs w:val="24"/>
          <w:lang w:val="en"/>
        </w:rPr>
        <w:t>Paper presented at an international conference, Umea, Sweden, August 1998.</w:t>
      </w:r>
    </w:p>
    <w:p w14:paraId="7AA96C16" w14:textId="77777777" w:rsidR="00EB0903" w:rsidRDefault="00EB0903" w:rsidP="002573E9">
      <w:pPr>
        <w:spacing w:line="360" w:lineRule="auto"/>
        <w:rPr>
          <w:bCs/>
          <w:sz w:val="24"/>
          <w:szCs w:val="24"/>
        </w:rPr>
      </w:pPr>
    </w:p>
    <w:p w14:paraId="5112650C" w14:textId="20164E93" w:rsidR="002573E9" w:rsidRPr="00EB0903" w:rsidRDefault="00EB0903" w:rsidP="002573E9">
      <w:pPr>
        <w:spacing w:line="360" w:lineRule="auto"/>
        <w:rPr>
          <w:sz w:val="24"/>
          <w:szCs w:val="24"/>
          <w:lang w:val="en"/>
        </w:rPr>
      </w:pPr>
      <w:r w:rsidRPr="00EB0903">
        <w:rPr>
          <w:bCs/>
          <w:sz w:val="24"/>
          <w:szCs w:val="24"/>
        </w:rPr>
        <w:t xml:space="preserve">Nicolopoulou, A. (1993). Play, Cognitive Development, and the Social World: Piaget, Vygotsky, and Beyond. Human Development, 36(1), 1-23. </w:t>
      </w:r>
      <w:hyperlink r:id="rId9" w:tgtFrame="_blank" w:history="1">
        <w:r w:rsidRPr="00EB0903">
          <w:rPr>
            <w:rStyle w:val="Hyperlink"/>
            <w:bCs/>
            <w:color w:val="auto"/>
            <w:sz w:val="24"/>
            <w:szCs w:val="24"/>
            <w:u w:val="none"/>
          </w:rPr>
          <w:t>http://dx.doi.org/10.1159/000277285</w:t>
        </w:r>
      </w:hyperlink>
    </w:p>
    <w:p w14:paraId="50A48546" w14:textId="77777777" w:rsidR="00EB0903" w:rsidRDefault="00EB0903" w:rsidP="002573E9">
      <w:pPr>
        <w:spacing w:line="360" w:lineRule="auto"/>
        <w:rPr>
          <w:sz w:val="24"/>
          <w:szCs w:val="24"/>
          <w:lang w:val="en"/>
        </w:rPr>
      </w:pPr>
    </w:p>
    <w:p w14:paraId="1A857BE0" w14:textId="77777777" w:rsidR="002573E9" w:rsidRPr="0084377E" w:rsidRDefault="002573E9" w:rsidP="002573E9">
      <w:pPr>
        <w:spacing w:line="360" w:lineRule="auto"/>
        <w:rPr>
          <w:sz w:val="24"/>
          <w:szCs w:val="24"/>
          <w:lang w:val="en"/>
        </w:rPr>
      </w:pPr>
      <w:r w:rsidRPr="0084377E">
        <w:rPr>
          <w:sz w:val="24"/>
          <w:szCs w:val="24"/>
          <w:lang w:val="en"/>
        </w:rPr>
        <w:t xml:space="preserve">Sandell, K. and Öhman, J. (2013). An educational tool for outdoor education and environmental concern. </w:t>
      </w:r>
      <w:r w:rsidRPr="0084377E">
        <w:rPr>
          <w:i/>
          <w:iCs/>
          <w:sz w:val="24"/>
          <w:szCs w:val="24"/>
          <w:lang w:val="en"/>
        </w:rPr>
        <w:t>Journal of Adventure Education &amp; Outdoor Learning</w:t>
      </w:r>
      <w:r w:rsidRPr="0084377E">
        <w:rPr>
          <w:sz w:val="24"/>
          <w:szCs w:val="24"/>
          <w:lang w:val="en"/>
        </w:rPr>
        <w:t>, (online) 13(1), pp.36-55. Available at: http://www.tandfonline.com.ezproxy.uwtsd.ac.uk/doi/full/10.1080/14729679.2012.675146?scroll=top&amp;needAccess=true (Accessed 20 Nov. 2017).</w:t>
      </w:r>
    </w:p>
    <w:p w14:paraId="0DEE029D" w14:textId="77777777" w:rsidR="002573E9" w:rsidRPr="0084377E" w:rsidRDefault="002573E9" w:rsidP="002573E9">
      <w:pPr>
        <w:rPr>
          <w:sz w:val="24"/>
          <w:szCs w:val="24"/>
        </w:rPr>
      </w:pPr>
    </w:p>
    <w:p w14:paraId="487ABADD" w14:textId="77777777" w:rsidR="002573E9" w:rsidRPr="004C33B2" w:rsidRDefault="002573E9">
      <w:pPr>
        <w:rPr>
          <w:sz w:val="24"/>
          <w:szCs w:val="24"/>
        </w:rPr>
      </w:pPr>
    </w:p>
    <w:sectPr w:rsidR="002573E9" w:rsidRPr="004C33B2" w:rsidSect="006D39C6">
      <w:footerReference w:type="default" r:id="rId10"/>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56239B" w14:textId="77777777" w:rsidR="00C70BB6" w:rsidRDefault="00C70BB6" w:rsidP="002573E9">
      <w:r>
        <w:separator/>
      </w:r>
    </w:p>
  </w:endnote>
  <w:endnote w:type="continuationSeparator" w:id="0">
    <w:p w14:paraId="1C752ABD" w14:textId="77777777" w:rsidR="00C70BB6" w:rsidRDefault="00C70BB6" w:rsidP="002573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MS Mincho"/>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5D0417" w14:textId="77777777" w:rsidR="002573E9" w:rsidRDefault="002573E9">
    <w:pPr>
      <w:pStyle w:val="Footer"/>
      <w:jc w:val="center"/>
    </w:pPr>
    <w:r>
      <w:fldChar w:fldCharType="begin"/>
    </w:r>
    <w:r>
      <w:instrText xml:space="preserve"> PAGE   \* MERGEFORMAT </w:instrText>
    </w:r>
    <w:r>
      <w:fldChar w:fldCharType="separate"/>
    </w:r>
    <w:r w:rsidR="00013B74">
      <w:rPr>
        <w:noProof/>
      </w:rPr>
      <w:t>1</w:t>
    </w:r>
    <w:r>
      <w:rPr>
        <w:noProof/>
      </w:rPr>
      <w:fldChar w:fldCharType="end"/>
    </w:r>
  </w:p>
  <w:p w14:paraId="302E14BD" w14:textId="77777777" w:rsidR="002573E9" w:rsidRDefault="002573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DCA9DA" w14:textId="77777777" w:rsidR="00C70BB6" w:rsidRDefault="00C70BB6" w:rsidP="002573E9">
      <w:r>
        <w:separator/>
      </w:r>
    </w:p>
  </w:footnote>
  <w:footnote w:type="continuationSeparator" w:id="0">
    <w:p w14:paraId="4B147309" w14:textId="77777777" w:rsidR="00C70BB6" w:rsidRDefault="00C70BB6" w:rsidP="002573E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9C6"/>
    <w:rsid w:val="00013B74"/>
    <w:rsid w:val="000649B4"/>
    <w:rsid w:val="0006594F"/>
    <w:rsid w:val="000809A8"/>
    <w:rsid w:val="000B50AB"/>
    <w:rsid w:val="000B78EC"/>
    <w:rsid w:val="0012200B"/>
    <w:rsid w:val="001A145D"/>
    <w:rsid w:val="001B2E5B"/>
    <w:rsid w:val="001C1FF3"/>
    <w:rsid w:val="001E603E"/>
    <w:rsid w:val="002573E9"/>
    <w:rsid w:val="00257FB4"/>
    <w:rsid w:val="002C703C"/>
    <w:rsid w:val="002D3DEB"/>
    <w:rsid w:val="002E0D8B"/>
    <w:rsid w:val="002F7797"/>
    <w:rsid w:val="00313008"/>
    <w:rsid w:val="003610D3"/>
    <w:rsid w:val="003E28EA"/>
    <w:rsid w:val="00446C33"/>
    <w:rsid w:val="004C33B2"/>
    <w:rsid w:val="004D3415"/>
    <w:rsid w:val="005148B6"/>
    <w:rsid w:val="005261F6"/>
    <w:rsid w:val="00594026"/>
    <w:rsid w:val="005B0A69"/>
    <w:rsid w:val="006B7180"/>
    <w:rsid w:val="006D39C6"/>
    <w:rsid w:val="006F7E01"/>
    <w:rsid w:val="007167C9"/>
    <w:rsid w:val="007263DD"/>
    <w:rsid w:val="007A2699"/>
    <w:rsid w:val="007D038B"/>
    <w:rsid w:val="007F37DC"/>
    <w:rsid w:val="00864DF4"/>
    <w:rsid w:val="00890C6B"/>
    <w:rsid w:val="00891F8F"/>
    <w:rsid w:val="008D4E60"/>
    <w:rsid w:val="008E0F5D"/>
    <w:rsid w:val="008F1DF0"/>
    <w:rsid w:val="00905F06"/>
    <w:rsid w:val="00952485"/>
    <w:rsid w:val="009574BA"/>
    <w:rsid w:val="00A12C5A"/>
    <w:rsid w:val="00A27457"/>
    <w:rsid w:val="00A45DD2"/>
    <w:rsid w:val="00AB6316"/>
    <w:rsid w:val="00B23398"/>
    <w:rsid w:val="00B9658D"/>
    <w:rsid w:val="00C174EB"/>
    <w:rsid w:val="00C70BB6"/>
    <w:rsid w:val="00C806E5"/>
    <w:rsid w:val="00C905FC"/>
    <w:rsid w:val="00CE2F77"/>
    <w:rsid w:val="00CF1DB7"/>
    <w:rsid w:val="00D6396E"/>
    <w:rsid w:val="00DB29C9"/>
    <w:rsid w:val="00DE783D"/>
    <w:rsid w:val="00E02EA9"/>
    <w:rsid w:val="00EB0903"/>
    <w:rsid w:val="00EE138C"/>
    <w:rsid w:val="00EE613F"/>
    <w:rsid w:val="00F14257"/>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76D49A5D-505C-4017-9A0F-C0315090C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Header">
    <w:name w:val="header"/>
    <w:basedOn w:val="Normal"/>
    <w:link w:val="HeaderChar"/>
    <w:uiPriority w:val="99"/>
    <w:unhideWhenUsed/>
    <w:rsid w:val="002573E9"/>
    <w:pPr>
      <w:tabs>
        <w:tab w:val="center" w:pos="4513"/>
        <w:tab w:val="right" w:pos="9026"/>
      </w:tabs>
    </w:pPr>
  </w:style>
  <w:style w:type="character" w:customStyle="1" w:styleId="HeaderChar">
    <w:name w:val="Header Char"/>
    <w:link w:val="Header"/>
    <w:uiPriority w:val="99"/>
    <w:rsid w:val="002573E9"/>
    <w:rPr>
      <w:rFonts w:ascii="Times New Roman" w:hAnsi="Times New Roman"/>
    </w:rPr>
  </w:style>
  <w:style w:type="paragraph" w:styleId="Footer">
    <w:name w:val="footer"/>
    <w:basedOn w:val="Normal"/>
    <w:link w:val="FooterChar"/>
    <w:uiPriority w:val="99"/>
    <w:unhideWhenUsed/>
    <w:rsid w:val="002573E9"/>
    <w:pPr>
      <w:tabs>
        <w:tab w:val="center" w:pos="4513"/>
        <w:tab w:val="right" w:pos="9026"/>
      </w:tabs>
    </w:pPr>
  </w:style>
  <w:style w:type="character" w:customStyle="1" w:styleId="FooterChar">
    <w:name w:val="Footer Char"/>
    <w:link w:val="Footer"/>
    <w:uiPriority w:val="99"/>
    <w:rsid w:val="002573E9"/>
    <w:rPr>
      <w:rFonts w:ascii="Times New Roman" w:hAnsi="Times New Roman"/>
    </w:rPr>
  </w:style>
  <w:style w:type="character" w:styleId="Hyperlink">
    <w:name w:val="Hyperlink"/>
    <w:uiPriority w:val="99"/>
    <w:unhideWhenUsed/>
    <w:rsid w:val="00EB09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dx.doi.org/10.1159/000277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5EE71A-00F2-4C87-8430-999FA41C7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14041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University of Wales Trinity Saint David</cp:lastModifiedBy>
  <cp:revision>2</cp:revision>
  <cp:lastPrinted>2013-07-01T10:37:00Z</cp:lastPrinted>
  <dcterms:created xsi:type="dcterms:W3CDTF">2017-11-24T14:59:00Z</dcterms:created>
  <dcterms:modified xsi:type="dcterms:W3CDTF">2017-11-24T14:59:00Z</dcterms:modified>
</cp:coreProperties>
</file>