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5668F3EB">
      <w:pPr>
        <w:pStyle w:val="style0"/>
        <w:rPr/>
      </w:pPr>
      <w:r>
        <w:rPr>
          <w:noProof/>
        </w:rPr>
        <mc:AlternateContent>
          <mc:Choice Requires="wps">
            <w:drawing>
              <wp:anchor distT="0" distB="0" distL="0" distR="0" simplePos="false" relativeHeight="2" behindDoc="true" locked="false" layoutInCell="true" allowOverlap="true">
                <wp:simplePos x="0" y="0"/>
                <wp:positionH relativeFrom="column">
                  <wp:posOffset>514350</wp:posOffset>
                </wp:positionH>
                <wp:positionV relativeFrom="paragraph">
                  <wp:posOffset>888365</wp:posOffset>
                </wp:positionV>
                <wp:extent cx="4819650" cy="482600"/>
                <wp:effectExtent l="0" t="0" r="19050" b="12700"/>
                <wp:wrapNone/>
                <wp:docPr id="1026" name="Rectangle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819650" cy="482600"/>
                        </a:xfrm>
                        <a:prstGeom prst="rect"/>
                        <a:gradFill flip="none" rotWithShape="true">
                          <a:gsLst>
                            <a:gs pos="0">
                              <a:srgbClr val="d1d1d1"/>
                            </a:gs>
                            <a:gs pos="50000">
                              <a:srgbClr val="c7c7c7"/>
                            </a:gs>
                            <a:gs pos="100000">
                              <a:srgbClr val="c0c0c0"/>
                            </a:gs>
                          </a:gsLst>
                          <a:lin ang="5400000" scaled="false"/>
                        </a:gradFill>
                        <a:ln cmpd="sng" cap="flat" w="6350">
                          <a:solidFill>
                            <a:srgbClr val="a5a5a5"/>
                          </a:solidFill>
                          <a:prstDash val="solid"/>
                          <a:miter/>
                          <a:headEnd/>
                          <a:tailEnd/>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ect id="1026" stroked="t" style="position:absolute;margin-left:40.5pt;margin-top:69.95pt;width:379.5pt;height:38.0pt;z-index:-2147483645;mso-position-horizontal-relative:text;mso-position-vertical-relative:text;mso-width-percent:0;mso-height-percent:0;mso-width-relative:margin;mso-height-relative:margin;mso-wrap-distance-left:0.0pt;mso-wrap-distance-right:0.0pt;visibility:visible;">
                <v:stroke joinstyle="miter" color="#a5a5a5" weight="0.5pt"/>
                <v:fill color2="silver" rotate="true" method="any" color="#d1d1d1" focus="100%" type="gradient" colors="0f #d1d1d1;32768f #c7c7c7;1 silver;">
                  <o:fill v:ext="view" type="gradientUnscaled"/>
                </v:fill>
              </v:rect>
            </w:pict>
          </mc:Fallback>
        </mc:AlternateContent>
      </w:r>
      <w:r>
        <w:rPr>
          <w:noProof/>
        </w:rPr>
        <w:drawing>
          <wp:inline distL="0" distT="0" distB="0" distR="0">
            <wp:extent cx="1911526" cy="799465"/>
            <wp:effectExtent l="0" t="0" r="0" b="635"/>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911526" cy="799465"/>
                    </a:xfrm>
                    <a:prstGeom prst="rect"/>
                  </pic:spPr>
                </pic:pic>
              </a:graphicData>
            </a:graphic>
          </wp:inline>
        </w:drawing>
      </w:r>
    </w:p>
    <w:p w14:paraId="40489273">
      <w:pPr>
        <w:pStyle w:val="style0"/>
        <w:ind w:left="1440"/>
        <w:rPr>
          <w:b/>
          <w:bCs/>
          <w:sz w:val="32"/>
          <w:szCs w:val="32"/>
        </w:rPr>
      </w:pPr>
      <w:r>
        <w:rPr>
          <w:b/>
          <w:bCs/>
          <w:sz w:val="32"/>
          <w:szCs w:val="32"/>
        </w:rPr>
        <w:t>LEVEL 7 ASSESSMENT SPECIFICATION</w:t>
      </w:r>
    </w:p>
    <w:tbl>
      <w:tblPr>
        <w:tblStyle w:val="style4100"/>
        <w:tblpPr w:leftFromText="180" w:rightFromText="180" w:topFromText="0" w:bottomFromText="0" w:vertAnchor="page" w:horzAnchor="margin" w:tblpXSpec="left" w:tblpY="4451"/>
        <w:tblW w:w="0" w:type="auto"/>
        <w:tblLook w:val="04A0" w:firstRow="1" w:lastRow="0" w:firstColumn="1" w:lastColumn="0" w:noHBand="0" w:noVBand="1"/>
      </w:tblPr>
      <w:tblGrid>
        <w:gridCol w:w="1860"/>
        <w:gridCol w:w="2648"/>
        <w:gridCol w:w="1780"/>
        <w:gridCol w:w="2728"/>
      </w:tblGrid>
      <w:tr w14:paraId="034693AF">
        <w:trPr/>
        <w:tc>
          <w:tcPr>
            <w:tcW w:w="1860" w:type="dxa"/>
            <w:tcBorders/>
          </w:tcPr>
          <w:p w14:paraId="1CA21A12">
            <w:pPr>
              <w:pStyle w:val="style0"/>
              <w:rPr>
                <w:b w:val="false"/>
                <w:bCs w:val="false"/>
                <w:sz w:val="22"/>
                <w:szCs w:val="20"/>
              </w:rPr>
            </w:pPr>
            <w:r>
              <w:rPr>
                <w:sz w:val="22"/>
                <w:szCs w:val="20"/>
              </w:rPr>
              <w:t>Student name:</w:t>
            </w:r>
          </w:p>
        </w:tc>
        <w:tc>
          <w:tcPr>
            <w:tcW w:w="2648" w:type="dxa"/>
            <w:tcBorders/>
          </w:tcPr>
          <w:p w14:paraId="11CED805">
            <w:pPr>
              <w:pStyle w:val="style0"/>
              <w:rPr>
                <w:b w:val="false"/>
                <w:bCs w:val="false"/>
                <w:sz w:val="22"/>
                <w:szCs w:val="20"/>
              </w:rPr>
            </w:pPr>
            <w:r>
              <w:rPr>
                <w:sz w:val="22"/>
                <w:szCs w:val="20"/>
              </w:rPr>
              <w:t>Shohag Hossain</w:t>
            </w:r>
          </w:p>
        </w:tc>
        <w:tc>
          <w:tcPr>
            <w:tcW w:w="1780" w:type="dxa"/>
            <w:tcBorders/>
          </w:tcPr>
          <w:p w14:paraId="4741E320">
            <w:pPr>
              <w:pStyle w:val="style0"/>
              <w:rPr>
                <w:b w:val="false"/>
                <w:bCs w:val="false"/>
                <w:sz w:val="22"/>
                <w:szCs w:val="20"/>
              </w:rPr>
            </w:pPr>
            <w:r>
              <w:rPr>
                <w:sz w:val="22"/>
                <w:szCs w:val="20"/>
              </w:rPr>
              <w:t>Student number:</w:t>
            </w:r>
          </w:p>
        </w:tc>
        <w:tc>
          <w:tcPr>
            <w:tcW w:w="2728" w:type="dxa"/>
            <w:tcBorders/>
          </w:tcPr>
          <w:p w14:paraId="45B31C04">
            <w:pPr>
              <w:pStyle w:val="style0"/>
              <w:rPr>
                <w:b w:val="false"/>
                <w:bCs w:val="false"/>
                <w:sz w:val="22"/>
                <w:szCs w:val="20"/>
              </w:rPr>
            </w:pPr>
            <w:r>
              <w:rPr>
                <w:sz w:val="22"/>
                <w:szCs w:val="20"/>
              </w:rPr>
              <w:t>2522419</w:t>
            </w:r>
          </w:p>
        </w:tc>
      </w:tr>
      <w:tr w14:paraId="629D77A3">
        <w:tblPrEx/>
        <w:trPr/>
        <w:tc>
          <w:tcPr>
            <w:tcW w:w="1860" w:type="dxa"/>
            <w:tcBorders/>
          </w:tcPr>
          <w:p w14:paraId="459C45F7">
            <w:pPr>
              <w:pStyle w:val="style0"/>
              <w:rPr>
                <w:b w:val="false"/>
                <w:bCs w:val="false"/>
                <w:sz w:val="22"/>
                <w:szCs w:val="20"/>
              </w:rPr>
            </w:pPr>
            <w:r>
              <w:rPr>
                <w:sz w:val="22"/>
                <w:szCs w:val="20"/>
              </w:rPr>
              <w:t>Programme:</w:t>
            </w:r>
          </w:p>
        </w:tc>
        <w:tc>
          <w:tcPr>
            <w:tcW w:w="7156" w:type="dxa"/>
            <w:gridSpan w:val="3"/>
            <w:tcBorders/>
          </w:tcPr>
          <w:p w14:paraId="1734E0B7">
            <w:pPr>
              <w:pStyle w:val="style0"/>
              <w:rPr>
                <w:b/>
                <w:bCs/>
                <w:sz w:val="22"/>
                <w:szCs w:val="20"/>
              </w:rPr>
            </w:pPr>
            <w:r>
              <w:rPr>
                <w:b/>
                <w:bCs/>
                <w:sz w:val="22"/>
                <w:szCs w:val="20"/>
              </w:rPr>
              <w:t>Master of Business Administration</w:t>
            </w:r>
          </w:p>
        </w:tc>
      </w:tr>
      <w:tr w14:paraId="54105CE1">
        <w:tblPrEx/>
        <w:trPr/>
        <w:tc>
          <w:tcPr>
            <w:tcW w:w="1860" w:type="dxa"/>
            <w:tcBorders/>
          </w:tcPr>
          <w:p w14:paraId="4E039A08">
            <w:pPr>
              <w:pStyle w:val="style0"/>
              <w:rPr>
                <w:b w:val="false"/>
                <w:bCs w:val="false"/>
                <w:sz w:val="22"/>
                <w:szCs w:val="20"/>
              </w:rPr>
            </w:pPr>
            <w:r>
              <w:rPr>
                <w:sz w:val="22"/>
                <w:szCs w:val="20"/>
              </w:rPr>
              <w:t>Module:</w:t>
            </w:r>
          </w:p>
        </w:tc>
        <w:tc>
          <w:tcPr>
            <w:tcW w:w="7156" w:type="dxa"/>
            <w:gridSpan w:val="3"/>
            <w:tcBorders/>
          </w:tcPr>
          <w:p w14:paraId="7B38FB5F">
            <w:pPr>
              <w:pStyle w:val="style0"/>
              <w:rPr>
                <w:b/>
                <w:bCs/>
                <w:sz w:val="22"/>
                <w:szCs w:val="20"/>
              </w:rPr>
            </w:pPr>
            <w:r>
              <w:rPr>
                <w:b/>
                <w:bCs/>
                <w:sz w:val="22"/>
                <w:szCs w:val="20"/>
              </w:rPr>
              <w:t>Strategic Management</w:t>
            </w:r>
          </w:p>
        </w:tc>
      </w:tr>
      <w:tr w14:paraId="74952950">
        <w:tblPrEx/>
        <w:trPr/>
        <w:tc>
          <w:tcPr>
            <w:tcW w:w="1860" w:type="dxa"/>
            <w:tcBorders/>
          </w:tcPr>
          <w:p w14:paraId="12C7F6D6">
            <w:pPr>
              <w:pStyle w:val="style0"/>
              <w:rPr>
                <w:b w:val="false"/>
                <w:bCs w:val="false"/>
                <w:sz w:val="22"/>
                <w:szCs w:val="20"/>
              </w:rPr>
            </w:pPr>
            <w:r>
              <w:rPr>
                <w:sz w:val="22"/>
                <w:szCs w:val="20"/>
              </w:rPr>
              <w:t>Module code:</w:t>
            </w:r>
          </w:p>
        </w:tc>
        <w:tc>
          <w:tcPr>
            <w:tcW w:w="2648" w:type="dxa"/>
            <w:tcBorders/>
          </w:tcPr>
          <w:p w14:paraId="1C553414">
            <w:pPr>
              <w:pStyle w:val="style0"/>
              <w:rPr>
                <w:b/>
                <w:bCs/>
                <w:sz w:val="22"/>
                <w:szCs w:val="20"/>
              </w:rPr>
            </w:pPr>
            <w:r>
              <w:rPr>
                <w:b/>
                <w:bCs/>
                <w:sz w:val="22"/>
                <w:szCs w:val="20"/>
              </w:rPr>
              <w:t>LCMB70</w:t>
            </w:r>
            <w:r>
              <w:rPr>
                <w:b/>
                <w:bCs/>
                <w:sz w:val="22"/>
                <w:szCs w:val="20"/>
              </w:rPr>
              <w:t>03</w:t>
            </w:r>
          </w:p>
        </w:tc>
        <w:tc>
          <w:tcPr>
            <w:tcW w:w="1780" w:type="dxa"/>
            <w:tcBorders/>
          </w:tcPr>
          <w:p w14:paraId="0BBBAFEC">
            <w:pPr>
              <w:pStyle w:val="style0"/>
              <w:rPr>
                <w:b/>
                <w:bCs/>
                <w:sz w:val="22"/>
                <w:szCs w:val="20"/>
              </w:rPr>
            </w:pPr>
          </w:p>
        </w:tc>
        <w:tc>
          <w:tcPr>
            <w:tcW w:w="2728" w:type="dxa"/>
            <w:tcBorders/>
          </w:tcPr>
          <w:p w14:paraId="3A589D3E">
            <w:pPr>
              <w:pStyle w:val="style0"/>
              <w:rPr>
                <w:b/>
                <w:bCs/>
                <w:sz w:val="22"/>
                <w:szCs w:val="20"/>
              </w:rPr>
            </w:pPr>
          </w:p>
        </w:tc>
      </w:tr>
      <w:tr w14:paraId="02DF4AFC">
        <w:tblPrEx/>
        <w:trPr/>
        <w:tc>
          <w:tcPr>
            <w:tcW w:w="1860" w:type="dxa"/>
            <w:tcBorders/>
          </w:tcPr>
          <w:p w14:paraId="195EE171">
            <w:pPr>
              <w:pStyle w:val="style0"/>
              <w:rPr>
                <w:b w:val="false"/>
                <w:bCs w:val="false"/>
                <w:sz w:val="22"/>
                <w:szCs w:val="20"/>
              </w:rPr>
            </w:pPr>
            <w:r>
              <w:rPr>
                <w:sz w:val="22"/>
                <w:szCs w:val="20"/>
              </w:rPr>
              <w:t>Lecturer:</w:t>
            </w:r>
          </w:p>
        </w:tc>
        <w:tc>
          <w:tcPr>
            <w:tcW w:w="2648" w:type="dxa"/>
            <w:tcBorders/>
          </w:tcPr>
          <w:p w14:paraId="67FB7DCC">
            <w:pPr>
              <w:pStyle w:val="style0"/>
              <w:rPr>
                <w:b/>
                <w:bCs/>
                <w:sz w:val="22"/>
                <w:szCs w:val="20"/>
              </w:rPr>
            </w:pPr>
            <w:r>
              <w:rPr>
                <w:b/>
                <w:bCs/>
                <w:sz w:val="22"/>
                <w:szCs w:val="20"/>
              </w:rPr>
              <w:t>Ghulam Mujtaba</w:t>
            </w:r>
          </w:p>
        </w:tc>
        <w:tc>
          <w:tcPr>
            <w:tcW w:w="1780" w:type="dxa"/>
            <w:tcBorders/>
          </w:tcPr>
          <w:p w14:paraId="3615DB78">
            <w:pPr>
              <w:pStyle w:val="style0"/>
              <w:rPr>
                <w:b/>
                <w:bCs/>
                <w:sz w:val="22"/>
                <w:szCs w:val="20"/>
              </w:rPr>
            </w:pPr>
            <w:r>
              <w:rPr>
                <w:b/>
                <w:bCs/>
                <w:sz w:val="22"/>
                <w:szCs w:val="20"/>
              </w:rPr>
              <w:t>Internal Verifier:</w:t>
            </w:r>
          </w:p>
        </w:tc>
        <w:tc>
          <w:tcPr>
            <w:tcW w:w="2728" w:type="dxa"/>
            <w:tcBorders/>
          </w:tcPr>
          <w:p w14:paraId="7F9154B2">
            <w:pPr>
              <w:pStyle w:val="style0"/>
              <w:rPr>
                <w:b/>
                <w:bCs/>
                <w:sz w:val="22"/>
                <w:szCs w:val="20"/>
              </w:rPr>
            </w:pPr>
            <w:r>
              <w:rPr>
                <w:b/>
                <w:bCs/>
                <w:sz w:val="22"/>
                <w:szCs w:val="20"/>
              </w:rPr>
              <w:t>V</w:t>
            </w:r>
            <w:r>
              <w:rPr>
                <w:b/>
                <w:bCs/>
                <w:sz w:val="22"/>
                <w:szCs w:val="20"/>
              </w:rPr>
              <w:t xml:space="preserve">asilios </w:t>
            </w:r>
          </w:p>
          <w:p w14:paraId="056B2329">
            <w:pPr>
              <w:pStyle w:val="style0"/>
              <w:rPr>
                <w:b/>
                <w:bCs/>
                <w:sz w:val="22"/>
                <w:szCs w:val="20"/>
              </w:rPr>
            </w:pPr>
            <w:r>
              <w:rPr>
                <w:b/>
                <w:bCs/>
                <w:sz w:val="22"/>
                <w:szCs w:val="20"/>
              </w:rPr>
              <w:t xml:space="preserve">Tavlaridis </w:t>
            </w:r>
          </w:p>
          <w:p w14:paraId="7A307DFC">
            <w:pPr>
              <w:pStyle w:val="style0"/>
              <w:rPr>
                <w:b/>
                <w:bCs/>
                <w:sz w:val="22"/>
                <w:szCs w:val="20"/>
              </w:rPr>
            </w:pPr>
            <w:r>
              <w:rPr>
                <w:b/>
                <w:bCs/>
                <w:sz w:val="22"/>
                <w:szCs w:val="20"/>
              </w:rPr>
              <w:t>Hoang Nguyen</w:t>
            </w:r>
          </w:p>
          <w:p w14:paraId="315E1F30">
            <w:pPr>
              <w:pStyle w:val="style0"/>
              <w:rPr>
                <w:b/>
                <w:bCs/>
                <w:sz w:val="22"/>
                <w:szCs w:val="20"/>
              </w:rPr>
            </w:pPr>
          </w:p>
        </w:tc>
      </w:tr>
      <w:tr w14:paraId="0E1A0FE6">
        <w:tblPrEx/>
        <w:trPr/>
        <w:tc>
          <w:tcPr>
            <w:tcW w:w="1860" w:type="dxa"/>
            <w:tcBorders/>
          </w:tcPr>
          <w:p w14:paraId="4B4C5128">
            <w:pPr>
              <w:pStyle w:val="style0"/>
              <w:rPr>
                <w:b w:val="false"/>
                <w:bCs w:val="false"/>
                <w:sz w:val="22"/>
                <w:szCs w:val="20"/>
              </w:rPr>
            </w:pPr>
            <w:r>
              <w:rPr>
                <w:sz w:val="22"/>
                <w:szCs w:val="20"/>
              </w:rPr>
              <w:t>Assignment Title:</w:t>
            </w:r>
          </w:p>
        </w:tc>
        <w:tc>
          <w:tcPr>
            <w:tcW w:w="2648" w:type="dxa"/>
            <w:tcBorders/>
          </w:tcPr>
          <w:p w14:paraId="49D23A6F">
            <w:pPr>
              <w:pStyle w:val="style0"/>
              <w:rPr>
                <w:b/>
                <w:bCs/>
                <w:sz w:val="22"/>
                <w:szCs w:val="20"/>
              </w:rPr>
            </w:pPr>
            <w:r>
              <w:rPr>
                <w:b/>
                <w:bCs/>
                <w:sz w:val="22"/>
                <w:szCs w:val="20"/>
              </w:rPr>
              <w:t>Report</w:t>
            </w:r>
          </w:p>
        </w:tc>
        <w:tc>
          <w:tcPr>
            <w:tcW w:w="1780" w:type="dxa"/>
            <w:tcBorders/>
          </w:tcPr>
          <w:p w14:paraId="21188912">
            <w:pPr>
              <w:pStyle w:val="style0"/>
              <w:rPr>
                <w:b/>
                <w:bCs/>
                <w:sz w:val="22"/>
                <w:szCs w:val="20"/>
              </w:rPr>
            </w:pPr>
            <w:r>
              <w:rPr>
                <w:b/>
                <w:bCs/>
                <w:sz w:val="22"/>
                <w:szCs w:val="20"/>
              </w:rPr>
              <w:t xml:space="preserve">Word count (or </w:t>
            </w:r>
          </w:p>
          <w:p w14:paraId="454F3BB9">
            <w:pPr>
              <w:pStyle w:val="style0"/>
              <w:rPr>
                <w:b/>
                <w:bCs/>
                <w:sz w:val="22"/>
                <w:szCs w:val="20"/>
              </w:rPr>
            </w:pPr>
            <w:r>
              <w:rPr>
                <w:b/>
                <w:bCs/>
                <w:sz w:val="22"/>
                <w:szCs w:val="20"/>
              </w:rPr>
              <w:t>equivalent):</w:t>
            </w:r>
          </w:p>
        </w:tc>
        <w:tc>
          <w:tcPr>
            <w:tcW w:w="2728" w:type="dxa"/>
            <w:tcBorders/>
          </w:tcPr>
          <w:p w14:paraId="6F1184A1">
            <w:pPr>
              <w:pStyle w:val="style0"/>
              <w:spacing w:lineRule="auto" w:line="259"/>
              <w:jc w:val="left"/>
              <w:rPr>
                <w:b/>
                <w:bCs/>
                <w:sz w:val="22"/>
                <w:szCs w:val="20"/>
              </w:rPr>
            </w:pPr>
            <w:r>
              <w:rPr>
                <w:b/>
                <w:bCs/>
                <w:sz w:val="22"/>
                <w:szCs w:val="20"/>
              </w:rPr>
              <w:t>5480</w:t>
            </w:r>
          </w:p>
        </w:tc>
      </w:tr>
    </w:tbl>
    <w:p w14:paraId="2A9A4D07">
      <w:pPr>
        <w:pStyle w:val="style0"/>
        <w:rPr/>
      </w:pPr>
    </w:p>
    <w:p w14:paraId="6AA9B56A">
      <w:pPr>
        <w:pStyle w:val="style0"/>
        <w:spacing w:lineRule="auto" w:line="259"/>
        <w:jc w:val="left"/>
        <w:rPr/>
      </w:pPr>
    </w:p>
    <w:p w14:paraId="497EE30A">
      <w:pPr>
        <w:pStyle w:val="style0"/>
        <w:spacing w:lineRule="auto" w:line="259"/>
        <w:jc w:val="center"/>
        <w:rPr>
          <w:b/>
          <w:bCs/>
          <w:i/>
          <w:iCs/>
        </w:rPr>
      </w:pPr>
      <w:r>
        <w:rPr>
          <w:b/>
          <w:bCs/>
          <w:i/>
          <w:iCs/>
          <w:sz w:val="32"/>
          <w:szCs w:val="28"/>
        </w:rPr>
        <w:t>“</w:t>
      </w:r>
      <w:r>
        <w:rPr>
          <w:b/>
          <w:bCs/>
          <w:i/>
          <w:iCs/>
          <w:sz w:val="32"/>
          <w:szCs w:val="28"/>
        </w:rPr>
        <w:t>Strategic Management Report: Nestlé Nescafé (USA Market)</w:t>
      </w:r>
      <w:r>
        <w:rPr>
          <w:b/>
          <w:bCs/>
          <w:i/>
          <w:iCs/>
          <w:sz w:val="32"/>
          <w:szCs w:val="28"/>
        </w:rPr>
        <w:t>”</w:t>
      </w:r>
      <w:r>
        <w:rPr>
          <w:b/>
          <w:bCs/>
          <w:i/>
          <w:iCs/>
        </w:rPr>
        <w:br w:type="page"/>
      </w:r>
    </w:p>
    <w:p w14:paraId="6DC25E6E">
      <w:pPr>
        <w:pStyle w:val="style266"/>
        <w:rPr/>
      </w:pPr>
      <w:r>
        <w:t>Table of Contents</w:t>
      </w:r>
    </w:p>
    <w:p w14:paraId="5AAE6444">
      <w:pPr>
        <w:pStyle w:val="style19"/>
        <w:tabs>
          <w:tab w:val="right" w:leader="dot" w:pos="9016"/>
        </w:tabs>
        <w:rPr>
          <w:rFonts w:ascii="Calibri" w:eastAsia="宋体" w:hAnsi="Calibri"/>
          <w:noProof/>
          <w:sz w:val="22"/>
          <w:lang w:eastAsia="en-GB"/>
        </w:rPr>
      </w:pPr>
      <w:r>
        <w:rPr/>
        <w:fldChar w:fldCharType="begin"/>
      </w:r>
      <w:r>
        <w:instrText xml:space="preserve"> TOC \o "1-3" \h \z \u </w:instrText>
      </w:r>
      <w:r>
        <w:rPr/>
        <w:fldChar w:fldCharType="separate"/>
      </w:r>
      <w:r>
        <w:rPr/>
        <w:fldChar w:fldCharType="begin"/>
      </w:r>
      <w:r>
        <w:instrText xml:space="preserve"> HYPERLINK \l "_Toc237037226"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_Toc237037226 \h </w:instrText>
      </w:r>
      <w:r>
        <w:rPr>
          <w:noProof/>
          <w:webHidden/>
        </w:rPr>
        <w:fldChar w:fldCharType="separate"/>
      </w:r>
      <w:r>
        <w:rPr>
          <w:noProof/>
          <w:webHidden/>
        </w:rPr>
        <w:t>3</w:t>
      </w:r>
      <w:r>
        <w:rPr>
          <w:noProof/>
          <w:webHidden/>
        </w:rPr>
        <w:fldChar w:fldCharType="end"/>
      </w:r>
      <w:r>
        <w:rPr/>
        <w:fldChar w:fldCharType="end"/>
      </w:r>
    </w:p>
    <w:p w14:paraId="6F4960F0">
      <w:pPr>
        <w:pStyle w:val="style19"/>
        <w:tabs>
          <w:tab w:val="right" w:leader="dot" w:pos="9016"/>
        </w:tabs>
        <w:rPr>
          <w:rFonts w:ascii="Calibri" w:eastAsia="宋体" w:hAnsi="Calibri"/>
          <w:noProof/>
          <w:sz w:val="22"/>
          <w:lang w:eastAsia="en-GB"/>
        </w:rPr>
      </w:pPr>
      <w:r>
        <w:rPr/>
        <w:fldChar w:fldCharType="begin"/>
      </w:r>
      <w:r>
        <w:instrText xml:space="preserve"> HYPERLINK \l "_Toc237037227" </w:instrText>
      </w:r>
      <w:r>
        <w:rPr/>
        <w:fldChar w:fldCharType="separate"/>
      </w:r>
      <w:r>
        <w:rPr>
          <w:rStyle w:val="style85"/>
          <w:noProof/>
        </w:rPr>
        <w:t>Section 1: Strategic Evaluation and Industry Analysis</w:t>
      </w:r>
      <w:r>
        <w:rPr>
          <w:noProof/>
          <w:webHidden/>
        </w:rPr>
        <w:tab/>
      </w:r>
      <w:r>
        <w:rPr>
          <w:noProof/>
          <w:webHidden/>
        </w:rPr>
        <w:fldChar w:fldCharType="begin"/>
      </w:r>
      <w:r>
        <w:rPr>
          <w:noProof/>
          <w:webHidden/>
        </w:rPr>
        <w:instrText xml:space="preserve"> PAGEREF _Toc237037227 \h </w:instrText>
      </w:r>
      <w:r>
        <w:rPr>
          <w:noProof/>
          <w:webHidden/>
        </w:rPr>
        <w:fldChar w:fldCharType="separate"/>
      </w:r>
      <w:r>
        <w:rPr>
          <w:noProof/>
          <w:webHidden/>
        </w:rPr>
        <w:t>4</w:t>
      </w:r>
      <w:r>
        <w:rPr>
          <w:noProof/>
          <w:webHidden/>
        </w:rPr>
        <w:fldChar w:fldCharType="end"/>
      </w:r>
      <w:r>
        <w:rPr/>
        <w:fldChar w:fldCharType="end"/>
      </w:r>
    </w:p>
    <w:p w14:paraId="6D18C807">
      <w:pPr>
        <w:pStyle w:val="style20"/>
        <w:tabs>
          <w:tab w:val="right" w:leader="dot" w:pos="9016"/>
        </w:tabs>
        <w:rPr>
          <w:rFonts w:ascii="Calibri" w:eastAsia="宋体" w:hAnsi="Calibri"/>
          <w:noProof/>
          <w:sz w:val="22"/>
          <w:lang w:eastAsia="en-GB"/>
        </w:rPr>
      </w:pPr>
      <w:r>
        <w:rPr/>
        <w:fldChar w:fldCharType="begin"/>
      </w:r>
      <w:r>
        <w:instrText xml:space="preserve"> HYPERLINK \l "_Toc237037228" </w:instrText>
      </w:r>
      <w:r>
        <w:rPr/>
        <w:fldChar w:fldCharType="separate"/>
      </w:r>
      <w:r>
        <w:rPr>
          <w:rStyle w:val="style85"/>
          <w:noProof/>
        </w:rPr>
        <w:t>1.1 Organisational Context and Overview</w:t>
      </w:r>
      <w:r>
        <w:rPr>
          <w:noProof/>
          <w:webHidden/>
        </w:rPr>
        <w:tab/>
      </w:r>
      <w:r>
        <w:rPr>
          <w:noProof/>
          <w:webHidden/>
        </w:rPr>
        <w:fldChar w:fldCharType="begin"/>
      </w:r>
      <w:r>
        <w:rPr>
          <w:noProof/>
          <w:webHidden/>
        </w:rPr>
        <w:instrText xml:space="preserve"> PAGEREF _Toc237037228 \h </w:instrText>
      </w:r>
      <w:r>
        <w:rPr>
          <w:noProof/>
          <w:webHidden/>
        </w:rPr>
        <w:fldChar w:fldCharType="separate"/>
      </w:r>
      <w:r>
        <w:rPr>
          <w:noProof/>
          <w:webHidden/>
        </w:rPr>
        <w:t>4</w:t>
      </w:r>
      <w:r>
        <w:rPr>
          <w:noProof/>
          <w:webHidden/>
        </w:rPr>
        <w:fldChar w:fldCharType="end"/>
      </w:r>
      <w:r>
        <w:rPr/>
        <w:fldChar w:fldCharType="end"/>
      </w:r>
    </w:p>
    <w:p w14:paraId="6ABEA3A9">
      <w:pPr>
        <w:pStyle w:val="style20"/>
        <w:tabs>
          <w:tab w:val="right" w:leader="dot" w:pos="9016"/>
        </w:tabs>
        <w:rPr>
          <w:rFonts w:ascii="Calibri" w:eastAsia="宋体" w:hAnsi="Calibri"/>
          <w:noProof/>
          <w:sz w:val="22"/>
          <w:lang w:eastAsia="en-GB"/>
        </w:rPr>
      </w:pPr>
      <w:r>
        <w:rPr/>
        <w:fldChar w:fldCharType="begin"/>
      </w:r>
      <w:r>
        <w:instrText xml:space="preserve"> HYPERLINK \l "_Toc237037229" </w:instrText>
      </w:r>
      <w:r>
        <w:rPr/>
        <w:fldChar w:fldCharType="separate"/>
      </w:r>
      <w:r>
        <w:rPr>
          <w:rStyle w:val="style85"/>
          <w:noProof/>
        </w:rPr>
        <w:t>1.2 External and Internal Analysis</w:t>
      </w:r>
      <w:r>
        <w:rPr>
          <w:noProof/>
          <w:webHidden/>
        </w:rPr>
        <w:tab/>
      </w:r>
      <w:r>
        <w:rPr>
          <w:noProof/>
          <w:webHidden/>
        </w:rPr>
        <w:fldChar w:fldCharType="begin"/>
      </w:r>
      <w:r>
        <w:rPr>
          <w:noProof/>
          <w:webHidden/>
        </w:rPr>
        <w:instrText xml:space="preserve"> PAGEREF _Toc237037229 \h </w:instrText>
      </w:r>
      <w:r>
        <w:rPr>
          <w:noProof/>
          <w:webHidden/>
        </w:rPr>
        <w:fldChar w:fldCharType="separate"/>
      </w:r>
      <w:r>
        <w:rPr>
          <w:noProof/>
          <w:webHidden/>
        </w:rPr>
        <w:t>6</w:t>
      </w:r>
      <w:r>
        <w:rPr>
          <w:noProof/>
          <w:webHidden/>
        </w:rPr>
        <w:fldChar w:fldCharType="end"/>
      </w:r>
      <w:r>
        <w:rPr/>
        <w:fldChar w:fldCharType="end"/>
      </w:r>
    </w:p>
    <w:p w14:paraId="2E99729F">
      <w:pPr>
        <w:pStyle w:val="style21"/>
        <w:tabs>
          <w:tab w:val="right" w:leader="dot" w:pos="9016"/>
        </w:tabs>
        <w:rPr>
          <w:rFonts w:ascii="Calibri" w:eastAsia="宋体" w:hAnsi="Calibri"/>
          <w:noProof/>
          <w:sz w:val="22"/>
          <w:lang w:eastAsia="en-GB"/>
        </w:rPr>
      </w:pPr>
      <w:r>
        <w:rPr/>
        <w:fldChar w:fldCharType="begin"/>
      </w:r>
      <w:r>
        <w:instrText xml:space="preserve"> HYPERLINK \l "_Toc237037230" </w:instrText>
      </w:r>
      <w:r>
        <w:rPr/>
        <w:fldChar w:fldCharType="separate"/>
      </w:r>
      <w:r>
        <w:rPr>
          <w:rStyle w:val="style85"/>
          <w:noProof/>
        </w:rPr>
        <w:t>External Macro-Environment Analysis (PESTEL)</w:t>
      </w:r>
      <w:r>
        <w:rPr>
          <w:noProof/>
          <w:webHidden/>
        </w:rPr>
        <w:tab/>
      </w:r>
      <w:r>
        <w:rPr>
          <w:noProof/>
          <w:webHidden/>
        </w:rPr>
        <w:fldChar w:fldCharType="begin"/>
      </w:r>
      <w:r>
        <w:rPr>
          <w:noProof/>
          <w:webHidden/>
        </w:rPr>
        <w:instrText xml:space="preserve"> PAGEREF _Toc237037230 \h </w:instrText>
      </w:r>
      <w:r>
        <w:rPr>
          <w:noProof/>
          <w:webHidden/>
        </w:rPr>
        <w:fldChar w:fldCharType="separate"/>
      </w:r>
      <w:r>
        <w:rPr>
          <w:noProof/>
          <w:webHidden/>
        </w:rPr>
        <w:t>6</w:t>
      </w:r>
      <w:r>
        <w:rPr>
          <w:noProof/>
          <w:webHidden/>
        </w:rPr>
        <w:fldChar w:fldCharType="end"/>
      </w:r>
      <w:r>
        <w:rPr/>
        <w:fldChar w:fldCharType="end"/>
      </w:r>
    </w:p>
    <w:p w14:paraId="4FCF0AA3">
      <w:pPr>
        <w:pStyle w:val="style21"/>
        <w:tabs>
          <w:tab w:val="right" w:leader="dot" w:pos="9016"/>
        </w:tabs>
        <w:rPr>
          <w:rFonts w:ascii="Calibri" w:eastAsia="宋体" w:hAnsi="Calibri"/>
          <w:noProof/>
          <w:sz w:val="22"/>
          <w:lang w:eastAsia="en-GB"/>
        </w:rPr>
      </w:pPr>
      <w:r>
        <w:rPr/>
        <w:fldChar w:fldCharType="begin"/>
      </w:r>
      <w:r>
        <w:instrText xml:space="preserve"> HYPERLINK \l "_Toc237037231" </w:instrText>
      </w:r>
      <w:r>
        <w:rPr/>
        <w:fldChar w:fldCharType="separate"/>
      </w:r>
      <w:r>
        <w:rPr>
          <w:rStyle w:val="style85"/>
          <w:noProof/>
        </w:rPr>
        <w:t>Internal Capabilities Analysis (VRIO Framework)</w:t>
      </w:r>
      <w:r>
        <w:rPr>
          <w:noProof/>
          <w:webHidden/>
        </w:rPr>
        <w:tab/>
      </w:r>
      <w:r>
        <w:rPr>
          <w:noProof/>
          <w:webHidden/>
        </w:rPr>
        <w:fldChar w:fldCharType="begin"/>
      </w:r>
      <w:r>
        <w:rPr>
          <w:noProof/>
          <w:webHidden/>
        </w:rPr>
        <w:instrText xml:space="preserve"> PAGEREF _Toc237037231 \h </w:instrText>
      </w:r>
      <w:r>
        <w:rPr>
          <w:noProof/>
          <w:webHidden/>
        </w:rPr>
        <w:fldChar w:fldCharType="separate"/>
      </w:r>
      <w:r>
        <w:rPr>
          <w:noProof/>
          <w:webHidden/>
        </w:rPr>
        <w:t>9</w:t>
      </w:r>
      <w:r>
        <w:rPr>
          <w:noProof/>
          <w:webHidden/>
        </w:rPr>
        <w:fldChar w:fldCharType="end"/>
      </w:r>
      <w:r>
        <w:rPr/>
        <w:fldChar w:fldCharType="end"/>
      </w:r>
    </w:p>
    <w:p w14:paraId="54D7F6FD">
      <w:pPr>
        <w:pStyle w:val="style21"/>
        <w:tabs>
          <w:tab w:val="right" w:leader="dot" w:pos="9016"/>
        </w:tabs>
        <w:rPr>
          <w:rFonts w:ascii="Calibri" w:eastAsia="宋体" w:hAnsi="Calibri"/>
          <w:noProof/>
          <w:sz w:val="22"/>
          <w:lang w:eastAsia="en-GB"/>
        </w:rPr>
      </w:pPr>
      <w:r>
        <w:rPr/>
        <w:fldChar w:fldCharType="begin"/>
      </w:r>
      <w:r>
        <w:instrText xml:space="preserve"> HYPERLINK \l "_Toc237037232" </w:instrText>
      </w:r>
      <w:r>
        <w:rPr/>
        <w:fldChar w:fldCharType="separate"/>
      </w:r>
      <w:r>
        <w:rPr>
          <w:rStyle w:val="style85"/>
          <w:noProof/>
        </w:rPr>
        <w:t>SWOT Analysis</w:t>
      </w:r>
      <w:r>
        <w:rPr>
          <w:noProof/>
          <w:webHidden/>
        </w:rPr>
        <w:tab/>
      </w:r>
      <w:r>
        <w:rPr>
          <w:noProof/>
          <w:webHidden/>
        </w:rPr>
        <w:fldChar w:fldCharType="begin"/>
      </w:r>
      <w:r>
        <w:rPr>
          <w:noProof/>
          <w:webHidden/>
        </w:rPr>
        <w:instrText xml:space="preserve"> PAGEREF _Toc237037232 \h </w:instrText>
      </w:r>
      <w:r>
        <w:rPr>
          <w:noProof/>
          <w:webHidden/>
        </w:rPr>
        <w:fldChar w:fldCharType="separate"/>
      </w:r>
      <w:r>
        <w:rPr>
          <w:noProof/>
          <w:webHidden/>
        </w:rPr>
        <w:t>11</w:t>
      </w:r>
      <w:r>
        <w:rPr>
          <w:noProof/>
          <w:webHidden/>
        </w:rPr>
        <w:fldChar w:fldCharType="end"/>
      </w:r>
      <w:r>
        <w:rPr/>
        <w:fldChar w:fldCharType="end"/>
      </w:r>
    </w:p>
    <w:p w14:paraId="7C2B37B3">
      <w:pPr>
        <w:pStyle w:val="style20"/>
        <w:tabs>
          <w:tab w:val="right" w:leader="dot" w:pos="9016"/>
        </w:tabs>
        <w:rPr>
          <w:rFonts w:ascii="Calibri" w:eastAsia="宋体" w:hAnsi="Calibri"/>
          <w:noProof/>
          <w:sz w:val="22"/>
          <w:lang w:eastAsia="en-GB"/>
        </w:rPr>
      </w:pPr>
      <w:r>
        <w:rPr/>
        <w:fldChar w:fldCharType="begin"/>
      </w:r>
      <w:r>
        <w:instrText xml:space="preserve"> HYPERLINK \l "_Toc237037233" </w:instrText>
      </w:r>
      <w:r>
        <w:rPr/>
        <w:fldChar w:fldCharType="separate"/>
      </w:r>
      <w:r>
        <w:rPr>
          <w:rStyle w:val="style85"/>
          <w:noProof/>
        </w:rPr>
        <w:t>1.3 CSR Strategy and Balanced Scorecard</w:t>
      </w:r>
      <w:r>
        <w:rPr>
          <w:noProof/>
          <w:webHidden/>
        </w:rPr>
        <w:tab/>
      </w:r>
      <w:r>
        <w:rPr>
          <w:noProof/>
          <w:webHidden/>
        </w:rPr>
        <w:fldChar w:fldCharType="begin"/>
      </w:r>
      <w:r>
        <w:rPr>
          <w:noProof/>
          <w:webHidden/>
        </w:rPr>
        <w:instrText xml:space="preserve"> PAGEREF _Toc237037233 \h </w:instrText>
      </w:r>
      <w:r>
        <w:rPr>
          <w:noProof/>
          <w:webHidden/>
        </w:rPr>
        <w:fldChar w:fldCharType="separate"/>
      </w:r>
      <w:r>
        <w:rPr>
          <w:noProof/>
          <w:webHidden/>
        </w:rPr>
        <w:t>13</w:t>
      </w:r>
      <w:r>
        <w:rPr>
          <w:noProof/>
          <w:webHidden/>
        </w:rPr>
        <w:fldChar w:fldCharType="end"/>
      </w:r>
      <w:r>
        <w:rPr/>
        <w:fldChar w:fldCharType="end"/>
      </w:r>
    </w:p>
    <w:p w14:paraId="2104CE88">
      <w:pPr>
        <w:pStyle w:val="style21"/>
        <w:tabs>
          <w:tab w:val="right" w:leader="dot" w:pos="9016"/>
        </w:tabs>
        <w:rPr>
          <w:rFonts w:ascii="Calibri" w:eastAsia="宋体" w:hAnsi="Calibri"/>
          <w:noProof/>
          <w:sz w:val="22"/>
          <w:lang w:eastAsia="en-GB"/>
        </w:rPr>
      </w:pPr>
      <w:r>
        <w:rPr/>
        <w:fldChar w:fldCharType="begin"/>
      </w:r>
      <w:r>
        <w:instrText xml:space="preserve"> HYPERLINK \l "_Toc237037234" </w:instrText>
      </w:r>
      <w:r>
        <w:rPr/>
        <w:fldChar w:fldCharType="separate"/>
      </w:r>
      <w:r>
        <w:rPr>
          <w:rStyle w:val="style85"/>
          <w:noProof/>
        </w:rPr>
        <w:t>Corporate Social Responsibility (CSR) Strategy</w:t>
      </w:r>
      <w:r>
        <w:rPr>
          <w:noProof/>
          <w:webHidden/>
        </w:rPr>
        <w:tab/>
      </w:r>
      <w:r>
        <w:rPr>
          <w:noProof/>
          <w:webHidden/>
        </w:rPr>
        <w:fldChar w:fldCharType="begin"/>
      </w:r>
      <w:r>
        <w:rPr>
          <w:noProof/>
          <w:webHidden/>
        </w:rPr>
        <w:instrText xml:space="preserve"> PAGEREF _Toc237037234 \h </w:instrText>
      </w:r>
      <w:r>
        <w:rPr>
          <w:noProof/>
          <w:webHidden/>
        </w:rPr>
        <w:fldChar w:fldCharType="separate"/>
      </w:r>
      <w:r>
        <w:rPr>
          <w:noProof/>
          <w:webHidden/>
        </w:rPr>
        <w:t>13</w:t>
      </w:r>
      <w:r>
        <w:rPr>
          <w:noProof/>
          <w:webHidden/>
        </w:rPr>
        <w:fldChar w:fldCharType="end"/>
      </w:r>
      <w:r>
        <w:rPr/>
        <w:fldChar w:fldCharType="end"/>
      </w:r>
    </w:p>
    <w:p w14:paraId="5073FEAA">
      <w:pPr>
        <w:pStyle w:val="style21"/>
        <w:tabs>
          <w:tab w:val="right" w:leader="dot" w:pos="9016"/>
        </w:tabs>
        <w:rPr>
          <w:rFonts w:ascii="Calibri" w:eastAsia="宋体" w:hAnsi="Calibri"/>
          <w:noProof/>
          <w:sz w:val="22"/>
          <w:lang w:eastAsia="en-GB"/>
        </w:rPr>
      </w:pPr>
      <w:r>
        <w:rPr/>
        <w:fldChar w:fldCharType="begin"/>
      </w:r>
      <w:r>
        <w:instrText xml:space="preserve"> HYPERLINK \l "_Toc237037235" </w:instrText>
      </w:r>
      <w:r>
        <w:rPr/>
        <w:fldChar w:fldCharType="separate"/>
      </w:r>
      <w:r>
        <w:rPr>
          <w:rStyle w:val="style85"/>
          <w:noProof/>
        </w:rPr>
        <w:t>Balanced Scorecard Perspective Analysis</w:t>
      </w:r>
      <w:r>
        <w:rPr>
          <w:noProof/>
          <w:webHidden/>
        </w:rPr>
        <w:tab/>
      </w:r>
      <w:r>
        <w:rPr>
          <w:noProof/>
          <w:webHidden/>
        </w:rPr>
        <w:fldChar w:fldCharType="begin"/>
      </w:r>
      <w:r>
        <w:rPr>
          <w:noProof/>
          <w:webHidden/>
        </w:rPr>
        <w:instrText xml:space="preserve"> PAGEREF _Toc237037235 \h </w:instrText>
      </w:r>
      <w:r>
        <w:rPr>
          <w:noProof/>
          <w:webHidden/>
        </w:rPr>
        <w:fldChar w:fldCharType="separate"/>
      </w:r>
      <w:r>
        <w:rPr>
          <w:noProof/>
          <w:webHidden/>
        </w:rPr>
        <w:t>16</w:t>
      </w:r>
      <w:r>
        <w:rPr>
          <w:noProof/>
          <w:webHidden/>
        </w:rPr>
        <w:fldChar w:fldCharType="end"/>
      </w:r>
      <w:r>
        <w:rPr/>
        <w:fldChar w:fldCharType="end"/>
      </w:r>
    </w:p>
    <w:p w14:paraId="0CFD8FA3">
      <w:pPr>
        <w:pStyle w:val="style20"/>
        <w:tabs>
          <w:tab w:val="right" w:leader="dot" w:pos="9016"/>
        </w:tabs>
        <w:rPr>
          <w:rFonts w:ascii="Calibri" w:eastAsia="宋体" w:hAnsi="Calibri"/>
          <w:noProof/>
          <w:sz w:val="22"/>
          <w:lang w:eastAsia="en-GB"/>
        </w:rPr>
      </w:pPr>
      <w:r>
        <w:rPr/>
        <w:fldChar w:fldCharType="begin"/>
      </w:r>
      <w:r>
        <w:instrText xml:space="preserve"> HYPERLINK \l "_Toc237037236" </w:instrText>
      </w:r>
      <w:r>
        <w:rPr/>
        <w:fldChar w:fldCharType="separate"/>
      </w:r>
      <w:r>
        <w:rPr>
          <w:rStyle w:val="style85"/>
          <w:noProof/>
        </w:rPr>
        <w:t>1.4 Strategic Choices and Implementation</w:t>
      </w:r>
      <w:r>
        <w:rPr>
          <w:noProof/>
          <w:webHidden/>
        </w:rPr>
        <w:tab/>
      </w:r>
      <w:r>
        <w:rPr>
          <w:noProof/>
          <w:webHidden/>
        </w:rPr>
        <w:fldChar w:fldCharType="begin"/>
      </w:r>
      <w:r>
        <w:rPr>
          <w:noProof/>
          <w:webHidden/>
        </w:rPr>
        <w:instrText xml:space="preserve"> PAGEREF _Toc237037236 \h </w:instrText>
      </w:r>
      <w:r>
        <w:rPr>
          <w:noProof/>
          <w:webHidden/>
        </w:rPr>
        <w:fldChar w:fldCharType="separate"/>
      </w:r>
      <w:r>
        <w:rPr>
          <w:noProof/>
          <w:webHidden/>
        </w:rPr>
        <w:t>18</w:t>
      </w:r>
      <w:r>
        <w:rPr>
          <w:noProof/>
          <w:webHidden/>
        </w:rPr>
        <w:fldChar w:fldCharType="end"/>
      </w:r>
      <w:r>
        <w:rPr/>
        <w:fldChar w:fldCharType="end"/>
      </w:r>
    </w:p>
    <w:p w14:paraId="767C0574">
      <w:pPr>
        <w:pStyle w:val="style21"/>
        <w:tabs>
          <w:tab w:val="right" w:leader="dot" w:pos="9016"/>
        </w:tabs>
        <w:rPr>
          <w:rFonts w:ascii="Calibri" w:eastAsia="宋体" w:hAnsi="Calibri"/>
          <w:noProof/>
          <w:sz w:val="22"/>
          <w:lang w:eastAsia="en-GB"/>
        </w:rPr>
      </w:pPr>
      <w:r>
        <w:rPr/>
        <w:fldChar w:fldCharType="begin"/>
      </w:r>
      <w:r>
        <w:instrText xml:space="preserve"> HYPERLINK \l "_Toc237037237" </w:instrText>
      </w:r>
      <w:r>
        <w:rPr/>
        <w:fldChar w:fldCharType="separate"/>
      </w:r>
      <w:r>
        <w:rPr>
          <w:rStyle w:val="style85"/>
          <w:noProof/>
        </w:rPr>
        <w:t>Business-Level Strategies: Differentiation</w:t>
      </w:r>
      <w:r>
        <w:rPr>
          <w:noProof/>
          <w:webHidden/>
        </w:rPr>
        <w:tab/>
      </w:r>
      <w:r>
        <w:rPr>
          <w:noProof/>
          <w:webHidden/>
        </w:rPr>
        <w:fldChar w:fldCharType="begin"/>
      </w:r>
      <w:r>
        <w:rPr>
          <w:noProof/>
          <w:webHidden/>
        </w:rPr>
        <w:instrText xml:space="preserve"> PAGEREF _Toc237037237 \h </w:instrText>
      </w:r>
      <w:r>
        <w:rPr>
          <w:noProof/>
          <w:webHidden/>
        </w:rPr>
        <w:fldChar w:fldCharType="separate"/>
      </w:r>
      <w:r>
        <w:rPr>
          <w:noProof/>
          <w:webHidden/>
        </w:rPr>
        <w:t>18</w:t>
      </w:r>
      <w:r>
        <w:rPr>
          <w:noProof/>
          <w:webHidden/>
        </w:rPr>
        <w:fldChar w:fldCharType="end"/>
      </w:r>
      <w:r>
        <w:rPr/>
        <w:fldChar w:fldCharType="end"/>
      </w:r>
    </w:p>
    <w:p w14:paraId="0EEA178C">
      <w:pPr>
        <w:pStyle w:val="style21"/>
        <w:tabs>
          <w:tab w:val="right" w:leader="dot" w:pos="9016"/>
        </w:tabs>
        <w:rPr>
          <w:rFonts w:ascii="Calibri" w:eastAsia="宋体" w:hAnsi="Calibri"/>
          <w:noProof/>
          <w:sz w:val="22"/>
          <w:lang w:eastAsia="en-GB"/>
        </w:rPr>
      </w:pPr>
      <w:r>
        <w:rPr/>
        <w:fldChar w:fldCharType="begin"/>
      </w:r>
      <w:r>
        <w:instrText xml:space="preserve"> HYPERLINK \l "_Toc237037238" </w:instrText>
      </w:r>
      <w:r>
        <w:rPr/>
        <w:fldChar w:fldCharType="separate"/>
      </w:r>
      <w:r>
        <w:rPr>
          <w:rStyle w:val="style85"/>
          <w:noProof/>
        </w:rPr>
        <w:t>Five Forces and Ansoff’s Matrix Analysis</w:t>
      </w:r>
      <w:r>
        <w:rPr>
          <w:noProof/>
          <w:webHidden/>
        </w:rPr>
        <w:tab/>
      </w:r>
      <w:r>
        <w:rPr>
          <w:noProof/>
          <w:webHidden/>
        </w:rPr>
        <w:fldChar w:fldCharType="begin"/>
      </w:r>
      <w:r>
        <w:rPr>
          <w:noProof/>
          <w:webHidden/>
        </w:rPr>
        <w:instrText xml:space="preserve"> PAGEREF _Toc237037238 \h </w:instrText>
      </w:r>
      <w:r>
        <w:rPr>
          <w:noProof/>
          <w:webHidden/>
        </w:rPr>
        <w:fldChar w:fldCharType="separate"/>
      </w:r>
      <w:r>
        <w:rPr>
          <w:noProof/>
          <w:webHidden/>
        </w:rPr>
        <w:t>18</w:t>
      </w:r>
      <w:r>
        <w:rPr>
          <w:noProof/>
          <w:webHidden/>
        </w:rPr>
        <w:fldChar w:fldCharType="end"/>
      </w:r>
      <w:r>
        <w:rPr/>
        <w:fldChar w:fldCharType="end"/>
      </w:r>
    </w:p>
    <w:p w14:paraId="4596189F">
      <w:pPr>
        <w:pStyle w:val="style21"/>
        <w:tabs>
          <w:tab w:val="right" w:leader="dot" w:pos="9016"/>
        </w:tabs>
        <w:rPr>
          <w:rFonts w:ascii="Calibri" w:eastAsia="宋体" w:hAnsi="Calibri"/>
          <w:noProof/>
          <w:sz w:val="22"/>
          <w:lang w:eastAsia="en-GB"/>
        </w:rPr>
      </w:pPr>
      <w:r>
        <w:rPr/>
        <w:fldChar w:fldCharType="begin"/>
      </w:r>
      <w:r>
        <w:instrText xml:space="preserve"> HYPERLINK \l "_Toc237037239" </w:instrText>
      </w:r>
      <w:r>
        <w:rPr/>
        <w:fldChar w:fldCharType="separate"/>
      </w:r>
      <w:r>
        <w:rPr>
          <w:rStyle w:val="style85"/>
          <w:noProof/>
        </w:rPr>
        <w:t>Recommended Strategy and Implementation</w:t>
      </w:r>
      <w:r>
        <w:rPr>
          <w:noProof/>
          <w:webHidden/>
        </w:rPr>
        <w:tab/>
      </w:r>
      <w:r>
        <w:rPr>
          <w:noProof/>
          <w:webHidden/>
        </w:rPr>
        <w:fldChar w:fldCharType="begin"/>
      </w:r>
      <w:r>
        <w:rPr>
          <w:noProof/>
          <w:webHidden/>
        </w:rPr>
        <w:instrText xml:space="preserve"> PAGEREF _Toc237037239 \h </w:instrText>
      </w:r>
      <w:r>
        <w:rPr>
          <w:noProof/>
          <w:webHidden/>
        </w:rPr>
        <w:fldChar w:fldCharType="separate"/>
      </w:r>
      <w:r>
        <w:rPr>
          <w:noProof/>
          <w:webHidden/>
        </w:rPr>
        <w:t>21</w:t>
      </w:r>
      <w:r>
        <w:rPr>
          <w:noProof/>
          <w:webHidden/>
        </w:rPr>
        <w:fldChar w:fldCharType="end"/>
      </w:r>
      <w:r>
        <w:rPr/>
        <w:fldChar w:fldCharType="end"/>
      </w:r>
    </w:p>
    <w:p w14:paraId="2A3B5F89">
      <w:pPr>
        <w:pStyle w:val="style19"/>
        <w:tabs>
          <w:tab w:val="right" w:leader="dot" w:pos="9016"/>
        </w:tabs>
        <w:rPr>
          <w:rFonts w:ascii="Calibri" w:eastAsia="宋体" w:hAnsi="Calibri"/>
          <w:noProof/>
          <w:sz w:val="22"/>
          <w:lang w:eastAsia="en-GB"/>
        </w:rPr>
      </w:pPr>
      <w:r>
        <w:rPr/>
        <w:fldChar w:fldCharType="begin"/>
      </w:r>
      <w:r>
        <w:instrText xml:space="preserve"> HYPERLINK \l "_Toc237037240" </w:instrText>
      </w:r>
      <w:r>
        <w:rPr/>
        <w:fldChar w:fldCharType="separate"/>
      </w:r>
      <w:r>
        <w:rPr>
          <w:rStyle w:val="style85"/>
          <w:noProof/>
        </w:rPr>
        <w:t>2. Reflection (Gibbs Cycle)</w:t>
      </w:r>
      <w:r>
        <w:rPr>
          <w:noProof/>
          <w:webHidden/>
        </w:rPr>
        <w:tab/>
      </w:r>
      <w:r>
        <w:rPr>
          <w:noProof/>
          <w:webHidden/>
        </w:rPr>
        <w:fldChar w:fldCharType="begin"/>
      </w:r>
      <w:r>
        <w:rPr>
          <w:noProof/>
          <w:webHidden/>
        </w:rPr>
        <w:instrText xml:space="preserve"> PAGEREF _Toc237037240 \h </w:instrText>
      </w:r>
      <w:r>
        <w:rPr>
          <w:noProof/>
          <w:webHidden/>
        </w:rPr>
        <w:fldChar w:fldCharType="separate"/>
      </w:r>
      <w:r>
        <w:rPr>
          <w:noProof/>
          <w:webHidden/>
        </w:rPr>
        <w:t>23</w:t>
      </w:r>
      <w:r>
        <w:rPr>
          <w:noProof/>
          <w:webHidden/>
        </w:rPr>
        <w:fldChar w:fldCharType="end"/>
      </w:r>
      <w:r>
        <w:rPr/>
        <w:fldChar w:fldCharType="end"/>
      </w:r>
    </w:p>
    <w:p w14:paraId="42CCC118">
      <w:pPr>
        <w:pStyle w:val="style19"/>
        <w:tabs>
          <w:tab w:val="right" w:leader="dot" w:pos="9016"/>
        </w:tabs>
        <w:rPr>
          <w:rFonts w:ascii="Calibri" w:eastAsia="宋体" w:hAnsi="Calibri"/>
          <w:noProof/>
          <w:sz w:val="22"/>
          <w:lang w:eastAsia="en-GB"/>
        </w:rPr>
      </w:pPr>
      <w:r>
        <w:rPr/>
        <w:fldChar w:fldCharType="begin"/>
      </w:r>
      <w:r>
        <w:instrText xml:space="preserve"> HYPERLINK \l "_Toc237037241"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_Toc237037241 \h </w:instrText>
      </w:r>
      <w:r>
        <w:rPr>
          <w:noProof/>
          <w:webHidden/>
        </w:rPr>
        <w:fldChar w:fldCharType="separate"/>
      </w:r>
      <w:r>
        <w:rPr>
          <w:noProof/>
          <w:webHidden/>
        </w:rPr>
        <w:t>26</w:t>
      </w:r>
      <w:r>
        <w:rPr>
          <w:noProof/>
          <w:webHidden/>
        </w:rPr>
        <w:fldChar w:fldCharType="end"/>
      </w:r>
      <w:r>
        <w:rPr/>
        <w:fldChar w:fldCharType="end"/>
      </w:r>
    </w:p>
    <w:p w14:paraId="54ADA0D0">
      <w:pPr>
        <w:pStyle w:val="style0"/>
        <w:rPr/>
      </w:pPr>
      <w:r>
        <w:rPr>
          <w:b/>
          <w:bCs/>
          <w:noProof/>
        </w:rPr>
        <w:fldChar w:fldCharType="end"/>
      </w:r>
    </w:p>
    <w:p w14:paraId="2197A2E3">
      <w:pPr>
        <w:pStyle w:val="style0"/>
        <w:rPr/>
      </w:pPr>
      <w:r>
        <w:br w:type="page"/>
      </w:r>
    </w:p>
    <w:bookmarkStart w:id="0" w:name="_Toc237037226"/>
    <w:p w14:paraId="1B5A77F5">
      <w:pPr>
        <w:pStyle w:val="style1"/>
        <w:rPr/>
      </w:pPr>
      <w:r>
        <w:t>Introduction</w:t>
      </w:r>
      <w:bookmarkEnd w:id="0"/>
    </w:p>
    <w:p w14:paraId="6C94C709">
      <w:pPr>
        <w:pStyle w:val="style0"/>
        <w:rPr/>
      </w:pPr>
      <w:r>
        <w:t>Coffee is extremely popular in the USA, with an estimated 67% of American adults drinking coffee every day</w:t>
      </w:r>
      <w:r>
        <w:t xml:space="preserve"> </w:t>
      </w:r>
      <w:r>
        <w:t>(Baldwin, 2024)</w:t>
      </w:r>
      <w:r>
        <w:t>. Nestlé is the world's leading food and beverage group while its coffee brand, Nescafé, is a top instant coffee brand.</w:t>
      </w:r>
      <w:r>
        <w:t xml:space="preserve"> </w:t>
      </w:r>
      <w:r>
        <w:t>The report will be based on the Nescafé product of Nestlé in the USA and will employ strategic management concepts including PESTEL, VRIO, SWOT, Balanced Scorecard, Five Forces and Ansoff. Evaluate the present approach of Nestlé, external changes in the industry and internal strengths and weaknesses of the firm. This critical analysis is used to assess the strategy's fit and to recommend improvements to Nescafé's competitive advantages. Lastly, provide a Gibbs-reflection of the research and report preparation process.</w:t>
      </w:r>
    </w:p>
    <w:p w14:paraId="0664C2B1">
      <w:pPr>
        <w:pStyle w:val="style0"/>
        <w:spacing w:lineRule="auto" w:line="259"/>
        <w:jc w:val="left"/>
        <w:rPr/>
      </w:pPr>
      <w:r>
        <w:br w:type="page"/>
      </w:r>
    </w:p>
    <w:bookmarkStart w:id="1" w:name="_Toc237037227"/>
    <w:p w14:paraId="71AB7CC4">
      <w:pPr>
        <w:pStyle w:val="style1"/>
        <w:rPr/>
      </w:pPr>
      <w:r>
        <w:t>Section 1: Strategic Evaluation and Industry Analysis</w:t>
      </w:r>
      <w:bookmarkEnd w:id="1"/>
    </w:p>
    <w:bookmarkStart w:id="2" w:name="_Toc237037228"/>
    <w:p w14:paraId="71592969">
      <w:pPr>
        <w:pStyle w:val="style2"/>
        <w:rPr/>
      </w:pPr>
      <w:r>
        <w:t>1.1 Organisational Context and Overview</w:t>
      </w:r>
      <w:bookmarkEnd w:id="2"/>
    </w:p>
    <w:p w14:paraId="4A784A18">
      <w:pPr>
        <w:pStyle w:val="style0"/>
        <w:rPr/>
      </w:pPr>
      <w:r>
        <w:t>The Nestlé S.A., a company that produces infant formulas, was established in 1866 in Vevey, Switzerland, by Henri Nestlé. In more than 150 years, Nestlé has grown into a global food and beverages company with total group sales in 2024 of CHF 91.4 billion</w:t>
      </w:r>
      <w:r>
        <w:t xml:space="preserve"> </w:t>
      </w:r>
      <w:r>
        <w:t>(Nestlé, 2026)</w:t>
      </w:r>
      <w:r>
        <w:t>. Nestlé's coffee was first introduced as a soluble powder by Max Morgenthaler, a Nestlé chemist, in 1938 to solve a massive overproduction of un-harvested coffee beans in Brazil</w:t>
      </w:r>
      <w:r>
        <w:t xml:space="preserve"> </w:t>
      </w:r>
      <w:r>
        <w:t>(Bartsch and Pantoja, 2025)</w:t>
      </w:r>
      <w:r>
        <w:t>. This commercial innovation was the founding of the soluble coffee industry worldwide.</w:t>
      </w:r>
    </w:p>
    <w:p w14:paraId="423728C0">
      <w:pPr>
        <w:pStyle w:val="style0"/>
        <w:jc w:val="center"/>
        <w:rPr/>
      </w:pPr>
      <w:r>
        <w:rPr>
          <w:noProof/>
        </w:rPr>
        <w:drawing>
          <wp:inline distL="0" distT="0" distB="0" distR="0">
            <wp:extent cx="3554729" cy="2834410"/>
            <wp:effectExtent l="0" t="0" r="7620" b="0"/>
            <wp:docPr id="1028" name="Picture 5" descr="Instant Coffee, Recipes and More | NESCAFÉ® U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5"/>
                    <pic:cNvPicPr/>
                  </pic:nvPicPr>
                  <pic:blipFill>
                    <a:blip r:embed="rId3" cstate="print"/>
                    <a:srcRect l="0" t="0" r="0" b="0"/>
                    <a:stretch/>
                  </pic:blipFill>
                  <pic:spPr>
                    <a:xfrm rot="0">
                      <a:off x="0" y="0"/>
                      <a:ext cx="3554729" cy="2834410"/>
                    </a:xfrm>
                    <a:prstGeom prst="rect"/>
                    <a:ln>
                      <a:noFill/>
                    </a:ln>
                  </pic:spPr>
                </pic:pic>
              </a:graphicData>
            </a:graphic>
          </wp:inline>
        </w:drawing>
      </w:r>
    </w:p>
    <w:p w14:paraId="2BDA6CF1">
      <w:pPr>
        <w:pStyle w:val="style0"/>
        <w:jc w:val="center"/>
        <w:rPr>
          <w:b/>
          <w:bCs/>
          <w:i/>
          <w:iCs/>
        </w:rPr>
      </w:pPr>
      <w:r>
        <w:rPr>
          <w:b/>
          <w:bCs/>
          <w:i/>
          <w:iCs/>
        </w:rPr>
        <w:t xml:space="preserve">Image: </w:t>
      </w:r>
      <w:r>
        <w:rPr>
          <w:b/>
          <w:bCs/>
          <w:i/>
          <w:iCs/>
        </w:rPr>
        <w:t>NESCAFÉ</w:t>
      </w:r>
      <w:r>
        <w:rPr>
          <w:b/>
          <w:bCs/>
          <w:i/>
          <w:iCs/>
        </w:rPr>
        <w:t xml:space="preserve"> (</w:t>
      </w:r>
      <w:r>
        <w:rPr>
          <w:b/>
          <w:bCs/>
          <w:i/>
          <w:iCs/>
        </w:rPr>
        <w:t>Mare,</w:t>
      </w:r>
      <w:r>
        <w:rPr>
          <w:b/>
          <w:bCs/>
          <w:i/>
          <w:iCs/>
        </w:rPr>
        <w:t xml:space="preserve"> </w:t>
      </w:r>
      <w:r>
        <w:rPr>
          <w:b/>
          <w:bCs/>
          <w:i/>
          <w:iCs/>
        </w:rPr>
        <w:t>2024)</w:t>
      </w:r>
    </w:p>
    <w:p w14:paraId="5DC2A7A1">
      <w:pPr>
        <w:pStyle w:val="style0"/>
        <w:rPr/>
      </w:pPr>
      <w:r>
        <w:t>Nestlé’s overarching corporate mission is to "unlock the power of food to enhance quality of life for everyone, today and for generations to come". It works in line with a global Nutrition, Health and Wellness strategy, emphasizing operational efficiency, constant product innovation and sustainable resource management</w:t>
      </w:r>
      <w:r>
        <w:t xml:space="preserve"> </w:t>
      </w:r>
      <w:r>
        <w:t>(Bruno, 2025)</w:t>
      </w:r>
      <w:r>
        <w:t>. Nescafé's international business model is based on R&amp;D, direct sourcing from coffee farmers, automated processing plants, and high-density multi-channel retail distribution</w:t>
      </w:r>
      <w:r>
        <w:t xml:space="preserve"> </w:t>
      </w:r>
      <w:r>
        <w:t>(Cohen, 2024)</w:t>
      </w:r>
      <w:r>
        <w:t>.</w:t>
      </w:r>
    </w:p>
    <w:p w14:paraId="20363C9F">
      <w:pPr>
        <w:pStyle w:val="style0"/>
        <w:rPr/>
      </w:pPr>
      <w:r>
        <w:t xml:space="preserve">Nescafé is Nestle's leading product which is a coffee brand developed in 1938 to produce a good instant coffee. Now sold in over 180 countries. Nescafé products in the USA feature classic instant, premium instant (Nescafé Gold) and single-serve </w:t>
      </w:r>
      <w:r>
        <w:t>blends. Nestlé emphasizes their focus on coffee as a business as demonstrated in the Nescafé Plan (sustainability programme)</w:t>
      </w:r>
      <w:r>
        <w:t xml:space="preserve"> </w:t>
      </w:r>
      <w:r>
        <w:t>(Dudovskiy, 2023)</w:t>
      </w:r>
      <w:r>
        <w:t>. Nestlé has historically sold its products in the United States via Nescafé and other brands and has subsequently acquired the rights to sell Starbucks packaged coffee products around the world (enhancing the in-home coffee business). Nescafé's value proposition is convenience and consistent taste, it is a product that appeals to consumers who like a quick, cheap cup at home</w:t>
      </w:r>
      <w:r>
        <w:t xml:space="preserve"> </w:t>
      </w:r>
      <w:r>
        <w:t>(Dutta, He and Tsang, 2023)</w:t>
      </w:r>
      <w:r>
        <w:t>.</w:t>
      </w:r>
    </w:p>
    <w:p w14:paraId="49C136B2">
      <w:pPr>
        <w:pStyle w:val="style0"/>
        <w:jc w:val="center"/>
        <w:rPr/>
      </w:pPr>
      <w:r>
        <w:rPr>
          <w:noProof/>
        </w:rPr>
        <w:drawing>
          <wp:inline distL="0" distT="0" distB="0" distR="0">
            <wp:extent cx="3364729" cy="2769324"/>
            <wp:effectExtent l="0" t="0" r="7620" b="0"/>
            <wp:docPr id="1029"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4" cstate="print"/>
                    <a:srcRect l="0" t="25512" r="0" b="0"/>
                    <a:stretch/>
                  </pic:blipFill>
                  <pic:spPr>
                    <a:xfrm rot="0">
                      <a:off x="0" y="0"/>
                      <a:ext cx="3364729" cy="2769324"/>
                    </a:xfrm>
                    <a:prstGeom prst="rect"/>
                    <a:ln>
                      <a:noFill/>
                    </a:ln>
                  </pic:spPr>
                </pic:pic>
              </a:graphicData>
            </a:graphic>
          </wp:inline>
        </w:drawing>
      </w:r>
    </w:p>
    <w:p w14:paraId="1539F488">
      <w:pPr>
        <w:pStyle w:val="style0"/>
        <w:jc w:val="center"/>
        <w:rPr>
          <w:b/>
          <w:bCs/>
          <w:i/>
          <w:iCs/>
        </w:rPr>
      </w:pPr>
      <w:r>
        <w:rPr>
          <w:b/>
          <w:bCs/>
          <w:i/>
          <w:iCs/>
        </w:rPr>
        <w:t>Figure</w:t>
      </w:r>
      <w:r>
        <w:rPr>
          <w:b/>
          <w:bCs/>
          <w:i/>
          <w:iCs/>
        </w:rPr>
        <w:t xml:space="preserve"> 1</w:t>
      </w:r>
      <w:r>
        <w:rPr>
          <w:b/>
          <w:bCs/>
          <w:i/>
          <w:iCs/>
        </w:rPr>
        <w:t>: US Coffee Market (Mordor Intelligence, 2026)</w:t>
      </w:r>
    </w:p>
    <w:p w14:paraId="152A1F7C">
      <w:pPr>
        <w:pStyle w:val="style0"/>
        <w:rPr/>
      </w:pPr>
      <w:r>
        <w:t>The coffee industry globally is large and growing.</w:t>
      </w:r>
      <w:r>
        <w:t xml:space="preserve"> </w:t>
      </w:r>
      <w:r>
        <w:t>The United States coffee market is projected to expand from USD 23.76 billion in 2025 to USD 24.98 billion in 2026, ultimately attaining USD 31.05 billion by 2031, with a compound annual growth rate of 4.45%</w:t>
      </w:r>
      <w:r>
        <w:t xml:space="preserve"> </w:t>
      </w:r>
      <w:r>
        <w:t>(Mordor Intelligence, 2026)</w:t>
      </w:r>
      <w:r>
        <w:t>. This expansion is rooted on premiumization, the adoption of third-wave coffee, and steadfast household demand despite surging arabica prices due to climate-induced supply disruptions in Brazil and Vietnam.</w:t>
      </w:r>
    </w:p>
    <w:p w14:paraId="20F65FEF">
      <w:pPr>
        <w:pStyle w:val="style0"/>
        <w:rPr/>
      </w:pPr>
      <w:r>
        <w:t>Over the past several years, consumption has been increasing, with 2024 data suggesting 67% of US adults drink coffee every day</w:t>
      </w:r>
      <w:r>
        <w:t xml:space="preserve"> </w:t>
      </w:r>
      <w:r>
        <w:t>(Garima Sainger and Khan, 2025)</w:t>
      </w:r>
      <w:r>
        <w:t>. Specialty coffee (such as lattes, cold brew) and single serve and ready-to-drink formats are important trends. Some of the biggest players in the United States coffee market include Starbucks, Dunkin (Inspire Brands), Keurig Dr. Pepper (Keurig machines and Green Mountain), JAB Holding's brands (Peet's and Jacobs Douwe Egberts), Kraft Heinz (Maxwell House and Gevalia), and private label store brands</w:t>
      </w:r>
      <w:r>
        <w:t xml:space="preserve"> </w:t>
      </w:r>
      <w:r>
        <w:t>(Federico Angelo Triolo et al., 2023)</w:t>
      </w:r>
      <w:r>
        <w:t>. Other brands of instant coffee that compete with it are Folgers (J.M. Smucker) and Maxwell House. Nestlé’s Nespresso (capsule coffee) brand also competes in the premium coffee segment. Industry analysts say Nestlé's brands (Nespresso and Keurig partnerships) are in direct competition with Starbucks in the at-home market. In instant coffee, Nescafé is also competing against other convenience coffee brands, such as Folgers, Starbucks VIA (instant) and Maxwell House, according to Mordor Intelligence. Nestlé's share of the USA market is solid, although it is not dominant in all segments: in-house (house-made) is dominated by Starbucks and Dunkin while coffee-shop (out-of-home) is dominated by Starbucks</w:t>
      </w:r>
      <w:r>
        <w:t xml:space="preserve"> </w:t>
      </w:r>
      <w:r>
        <w:t>(Dudovskiy, 2023)</w:t>
      </w:r>
      <w:r>
        <w:t>.</w:t>
      </w:r>
    </w:p>
    <w:bookmarkStart w:id="3" w:name="_Toc237037229"/>
    <w:p w14:paraId="722C616F">
      <w:pPr>
        <w:pStyle w:val="style2"/>
        <w:rPr/>
      </w:pPr>
      <w:r>
        <w:t>1.2 External and Internal Analysis</w:t>
      </w:r>
      <w:bookmarkEnd w:id="3"/>
    </w:p>
    <w:bookmarkStart w:id="4" w:name="_Toc237037230"/>
    <w:p w14:paraId="251D7135">
      <w:pPr>
        <w:pStyle w:val="style3"/>
        <w:rPr/>
      </w:pPr>
      <w:r>
        <w:t>External Macro-Environment Analysis (PESTEL)</w:t>
      </w:r>
      <w:bookmarkEnd w:id="4"/>
    </w:p>
    <w:p w14:paraId="63AA2FA9">
      <w:pPr>
        <w:pStyle w:val="style0"/>
        <w:rPr/>
      </w:pPr>
      <w:r>
        <w:t xml:space="preserve">A thorough strategic analysis examines both external (industry and macro-environment) and internal factors. </w:t>
      </w:r>
      <w:r>
        <w:t>U</w:t>
      </w:r>
      <w:r>
        <w:t>se PESTEL to identify important Opportunities and Threats (external), and VRIO/Resource analysis to identify key Strengths and Weaknesses (internal).</w:t>
      </w:r>
    </w:p>
    <w:p w14:paraId="6AB7C892">
      <w:pPr>
        <w:pStyle w:val="style0"/>
        <w:jc w:val="center"/>
        <w:rPr/>
      </w:pPr>
      <w:r>
        <w:rPr>
          <w:noProof/>
        </w:rPr>
        <w:drawing>
          <wp:inline distL="0" distT="0" distB="0" distR="0">
            <wp:extent cx="3270250" cy="3448050"/>
            <wp:effectExtent l="0" t="0" r="6350" b="0"/>
            <wp:docPr id="1030" name="Picture 4" descr="What is PESTLE Analysi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5" cstate="print"/>
                    <a:srcRect l="21382" t="14890" r="21560" b="0"/>
                    <a:stretch/>
                  </pic:blipFill>
                  <pic:spPr>
                    <a:xfrm rot="0">
                      <a:off x="0" y="0"/>
                      <a:ext cx="3270250" cy="3448050"/>
                    </a:xfrm>
                    <a:prstGeom prst="rect"/>
                    <a:ln>
                      <a:noFill/>
                    </a:ln>
                  </pic:spPr>
                </pic:pic>
              </a:graphicData>
            </a:graphic>
          </wp:inline>
        </w:drawing>
      </w:r>
    </w:p>
    <w:p w14:paraId="0F4E86A1">
      <w:pPr>
        <w:pStyle w:val="style0"/>
        <w:jc w:val="center"/>
        <w:rPr>
          <w:b/>
          <w:bCs/>
          <w:i/>
          <w:iCs/>
        </w:rPr>
      </w:pPr>
      <w:r>
        <w:rPr>
          <w:b/>
          <w:bCs/>
          <w:i/>
          <w:iCs/>
        </w:rPr>
        <w:t>Figure 2: PESTLE Analysis (Iqbal, 2025)</w:t>
      </w:r>
    </w:p>
    <w:p w14:paraId="477201E7">
      <w:pPr>
        <w:pStyle w:val="style0"/>
        <w:rPr/>
      </w:pPr>
      <w:r>
        <w:t>External Analysis (PESTEL): The coffee market is influenced by many macro forces:</w:t>
      </w:r>
    </w:p>
    <w:p w14:paraId="384A1F89">
      <w:pPr>
        <w:pStyle w:val="style0"/>
        <w:rPr/>
      </w:pPr>
      <w:r>
        <w:rPr>
          <w:b/>
          <w:bCs/>
        </w:rPr>
        <w:t>Political:</w:t>
      </w:r>
      <w:r>
        <w:t xml:space="preserve"> The price of imports of green coffee into the United States is affected by international trade policy and geopolitical relations. More than 80% of the unroasted coffee entered into the U.S. is from Latin America, of which Brazil represents 35% and Colombia 27%</w:t>
      </w:r>
      <w:r>
        <w:t xml:space="preserve"> </w:t>
      </w:r>
      <w:r>
        <w:t>(Mare, 2024)</w:t>
      </w:r>
      <w:r>
        <w:t>. The risks of supply disruptions include foreign trade tariffs, import quotas, and political instability in the coffee-producing countries. In addition, the federal laws and regulations that demand human rights inspections, fair labour practices, and transparency up and down the supply chain put multinational roasters under obligation to have audit-trail mechanisms in place to monitor vendor compliance</w:t>
      </w:r>
      <w:r>
        <w:t xml:space="preserve"> </w:t>
      </w:r>
      <w:r>
        <w:t>(Neilson and BIENABE, 2025)</w:t>
      </w:r>
      <w:r>
        <w:t>.</w:t>
      </w:r>
    </w:p>
    <w:p w14:paraId="451B220F">
      <w:pPr>
        <w:pStyle w:val="style0"/>
        <w:rPr/>
      </w:pPr>
      <w:r>
        <w:rPr>
          <w:b/>
          <w:bCs/>
        </w:rPr>
        <w:t>Economic:</w:t>
      </w:r>
      <w:r>
        <w:t xml:space="preserve"> Coffee demand is affected by consumer spending power and the economic cycles. Coffee is an affordable everyday product, and in the U.S. consumption of the beverage has remained steady or increased despite moderate inflation. Americans bought 26.3 million 60 kg bags of coffee in 2023, signifying solid demand, Mordor Intelligence reports</w:t>
      </w:r>
      <w:r>
        <w:t xml:space="preserve"> </w:t>
      </w:r>
      <w:r>
        <w:t>(Neilson and Biénabe, 2026)</w:t>
      </w:r>
      <w:r>
        <w:t xml:space="preserve">. Coffee is commodity sensitive: A high price for the coffee bean (because of bad harvests) can reduce margins. Nestlé has enough financial capacity to cope with a portion of the cost inflation </w:t>
      </w:r>
      <w:r>
        <w:t>(Nestlé, 2024)</w:t>
      </w:r>
      <w:r>
        <w:t>. Opportunities: Economic growth results in increased income and can drive demand for premium or specialty coffees. This can be achieved through Nestlé's portfolio of Mid-to-High End products (Nescafé Gold, Nespresso). Threats: Economic downturns can push consumers to switch to lower-cost alternatives, causing competition. Nestlé (a Swiss co.) is also a victim of currency fluctuations, but Nestlé's sales in the USD might be a positive one for the Swiss parent</w:t>
      </w:r>
      <w:r>
        <w:t xml:space="preserve"> </w:t>
      </w:r>
      <w:r>
        <w:t>(Oviedo-Rodríguez, Jansen and Vellema, 2025)</w:t>
      </w:r>
      <w:r>
        <w:t>.</w:t>
      </w:r>
    </w:p>
    <w:p w14:paraId="0A808C08">
      <w:pPr>
        <w:pStyle w:val="style0"/>
        <w:rPr/>
      </w:pPr>
      <w:r>
        <w:rPr>
          <w:b/>
          <w:bCs/>
        </w:rPr>
        <w:t>Social:</w:t>
      </w:r>
      <w:r>
        <w:t xml:space="preserve"> Social trends are extremely significant for coffee. The coffee culture in the US is robust and it has been expanding, particularly within Millennials and Gen Z. But preferences are changing, as younger consumers are turning to specialty or "artisanal" coffee over instant. Specialty is the trend as a UK Gen Z survey in 2023 revealed that 33% of the generation said they would “never drink instant coffee again”</w:t>
      </w:r>
      <w:r>
        <w:t xml:space="preserve"> </w:t>
      </w:r>
      <w:r>
        <w:t>(Oviedo-Rodríguez, Jansen and Vellema, 2023)</w:t>
      </w:r>
      <w:r>
        <w:t>. Nearly half (46%) of adults in the US had a specialty coffee drink in the last day</w:t>
      </w:r>
      <w:r>
        <w:t xml:space="preserve"> </w:t>
      </w:r>
      <w:r>
        <w:t>(Patil, 2026)</w:t>
      </w:r>
      <w:r>
        <w:t xml:space="preserve">. Product selection is also driven by health awareness: consumers with a healthy focus prefer low-sugar or decaf products. Challenges: Sugar-free Nescafé products and high-quality blends is a new technology that should be developed and this can be done by the R&amp;D efforts of Nestlé. Social </w:t>
      </w:r>
      <w:r>
        <w:t>media and influencer culture can be avenues to brand. Consumers who are concerned about origin and ethics share the focus of Nestlé on quality and sustainability (CSV)</w:t>
      </w:r>
      <w:r>
        <w:t xml:space="preserve"> </w:t>
      </w:r>
      <w:r>
        <w:t>(Petar Reshovski, 2023)</w:t>
      </w:r>
      <w:r>
        <w:t>. Threats: Changing tastes threaten mass-market instant coffee’s popularity. However, if youth are disinterested in Nestlé's brands, the market share might be lost.</w:t>
      </w:r>
    </w:p>
    <w:p w14:paraId="3CE5270E">
      <w:pPr>
        <w:pStyle w:val="style0"/>
        <w:rPr/>
      </w:pPr>
      <w:r>
        <w:rPr>
          <w:b/>
          <w:bCs/>
        </w:rPr>
        <w:t>Technological:</w:t>
      </w:r>
      <w:r>
        <w:t xml:space="preserve"> Technology plays a significant and important role in the coffee. Coffee machines (single-serv, smart brews) drive consumption trends. Nestlé is involved through products like Nespresso machines and cooperation (e.g., Keurig). E-commerce and digital marketing are growing: Nestlé notes ~35% of North American coffee sales come online</w:t>
      </w:r>
      <w:r>
        <w:t xml:space="preserve"> </w:t>
      </w:r>
      <w:r>
        <w:t>(Patil, 2026)</w:t>
      </w:r>
      <w:r>
        <w:t>. Agricultural technology, which includes high-yield varieties of coffee and weather-resistant beans, is also essential on the production side, as is evident in Nestlé's work on new plantlets (330 million distributed since 2010)</w:t>
      </w:r>
      <w:r>
        <w:t xml:space="preserve"> </w:t>
      </w:r>
      <w:r>
        <w:t>(Rebollo-Hernanz et al., 2023)</w:t>
      </w:r>
      <w:r>
        <w:t>. Opportunities: Nestlé can reach customers directly, via online sales channels, and can also tailor products through data analytics. Smart packaging (eco-friendly materials, IoT-enabled machines) and R&amp;D investments can generate new value for Nestlé. Competitors are also rapidly innovating (such as specialty coffee tech start-ups or other CPG firms). Rapidly changing trends such as mobile ordering, subscription products or even bean tracking on blockchain may be needed.</w:t>
      </w:r>
    </w:p>
    <w:p w14:paraId="6A9ECE39">
      <w:pPr>
        <w:pStyle w:val="style0"/>
        <w:rPr/>
      </w:pPr>
      <w:r>
        <w:rPr>
          <w:b/>
          <w:bCs/>
        </w:rPr>
        <w:t>Environmental:</w:t>
      </w:r>
      <w:r>
        <w:t xml:space="preserve"> Coffee is extremely susceptible to climate change and sustainability issues. Warming and extremes of weather can diminish beans production. The expansion of coffee planting without increased productivity threatens deforestation and biodiversity, warns Nestlé</w:t>
      </w:r>
      <w:r>
        <w:t xml:space="preserve"> </w:t>
      </w:r>
      <w:r>
        <w:t>(Renard, 2022)</w:t>
      </w:r>
      <w:r>
        <w:t xml:space="preserve">. Water scarcity can also impact coffee farming. In the meantime, consumers and regulators are demanding eco-friendly behaviours (recyclable packaging, low carbon footprint). Threats: Nescafé has no differentiation on sustainable sourcing. It follows a focus on protecting the environment by practicing regenerative agriculture (reducing fertilizer, promoting agroforestry) as part of its Nescafé Plan 2030 </w:t>
      </w:r>
      <w:r>
        <w:t>(Putri and Triyono, 2020)</w:t>
      </w:r>
      <w:r>
        <w:t>. This builds brand trust. Threats: Non-compliance with environmental regulations can adversely affect reputation and boycotts. Climate-related supply chain disruptions are a significant risk</w:t>
      </w:r>
      <w:r>
        <w:t>.</w:t>
      </w:r>
    </w:p>
    <w:p w14:paraId="75CE54D5">
      <w:pPr>
        <w:pStyle w:val="style0"/>
        <w:rPr/>
      </w:pPr>
      <w:r>
        <w:rPr>
          <w:b/>
          <w:bCs/>
        </w:rPr>
        <w:t>Legal:</w:t>
      </w:r>
      <w:r>
        <w:t xml:space="preserve"> Strong regulations are in place for food and beverage companies. In the USA, Nestlé will have to adhere to FDA and USDA regulations regarding ingredients, </w:t>
      </w:r>
      <w:r>
        <w:t>labelling and health claims</w:t>
      </w:r>
      <w:r>
        <w:t xml:space="preserve"> </w:t>
      </w:r>
      <w:r>
        <w:t>(Rodgers, 2024)</w:t>
      </w:r>
      <w:r>
        <w:t>. Intellectual property laws have an impact on brand protection (such as defending against the “Nescafé” trademarks). This is exemplified by recent problems (such as class-action suits over product labelling). Opportunities: Certifications (Fair Trade, Rainforest Alliance) can add to credibility and willingness of consumers to pay premiums</w:t>
      </w:r>
      <w:r>
        <w:t xml:space="preserve"> </w:t>
      </w:r>
      <w:r>
        <w:t>(Rothaermel, 2024)</w:t>
      </w:r>
      <w:r>
        <w:t>. Threats: Legal and compliance costs may be high. Examples include legal items (litigation, product recall), etc., in the case of Nestlé 2025. It shows how profitable legal proceedings can be in relation to infant formula, though.</w:t>
      </w:r>
    </w:p>
    <w:bookmarkStart w:id="5" w:name="_Toc237037231"/>
    <w:p w14:paraId="1A30D379">
      <w:pPr>
        <w:pStyle w:val="style3"/>
        <w:rPr/>
      </w:pPr>
      <w:r>
        <w:t>Internal Capabilities Analysis (VRIO Framework)</w:t>
      </w:r>
      <w:bookmarkEnd w:id="5"/>
    </w:p>
    <w:p w14:paraId="567A7BCE">
      <w:pPr>
        <w:pStyle w:val="style0"/>
        <w:rPr/>
      </w:pPr>
      <w:r>
        <w:t>To identify Nestlé’s internal resource strengths and core competencies capable of sustaining a competitive advantage for Nescafé in the United States, the Resource-Based View (RBV) is operationalized using the VRIO framework (Valuable, Rare, Inimitable, Organized).</w:t>
      </w:r>
    </w:p>
    <w:p w14:paraId="1ED04DBD">
      <w:pPr>
        <w:pStyle w:val="style0"/>
        <w:jc w:val="center"/>
        <w:rPr/>
      </w:pPr>
      <w:r>
        <w:rPr>
          <w:noProof/>
        </w:rPr>
        <w:drawing>
          <wp:inline distL="0" distT="0" distB="0" distR="0">
            <wp:extent cx="4686300" cy="2133600"/>
            <wp:effectExtent l="0" t="0" r="0" b="0"/>
            <wp:docPr id="1031"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6"/>
                    <pic:cNvPicPr/>
                  </pic:nvPicPr>
                  <pic:blipFill>
                    <a:blip r:embed="rId6" cstate="print"/>
                    <a:srcRect l="0" t="0" r="0" b="0"/>
                    <a:stretch/>
                  </pic:blipFill>
                  <pic:spPr>
                    <a:xfrm rot="0">
                      <a:off x="0" y="0"/>
                      <a:ext cx="4686300" cy="2133600"/>
                    </a:xfrm>
                    <a:prstGeom prst="rect"/>
                    <a:ln>
                      <a:noFill/>
                    </a:ln>
                  </pic:spPr>
                </pic:pic>
              </a:graphicData>
            </a:graphic>
          </wp:inline>
        </w:drawing>
      </w:r>
    </w:p>
    <w:p w14:paraId="2E6B334B">
      <w:pPr>
        <w:pStyle w:val="style0"/>
        <w:jc w:val="center"/>
        <w:rPr>
          <w:b/>
          <w:bCs/>
          <w:i/>
          <w:iCs/>
        </w:rPr>
      </w:pPr>
      <w:r>
        <w:rPr>
          <w:b/>
          <w:bCs/>
          <w:i/>
          <w:iCs/>
        </w:rPr>
        <w:t xml:space="preserve">Figure </w:t>
      </w:r>
      <w:r>
        <w:rPr>
          <w:b/>
          <w:bCs/>
          <w:i/>
          <w:iCs/>
        </w:rPr>
        <w:t>3</w:t>
      </w:r>
      <w:r>
        <w:rPr>
          <w:b/>
          <w:bCs/>
          <w:i/>
          <w:iCs/>
        </w:rPr>
        <w:t>: VRIO Framework</w:t>
      </w:r>
      <w:r>
        <w:rPr>
          <w:b/>
          <w:bCs/>
          <w:i/>
          <w:iCs/>
        </w:rPr>
        <w:t xml:space="preserve"> (Bruno, 2025)</w:t>
      </w:r>
    </w:p>
    <w:p w14:paraId="0A4B0B3D">
      <w:pPr>
        <w:pStyle w:val="style0"/>
        <w:rPr>
          <w:b/>
          <w:bCs/>
        </w:rPr>
      </w:pPr>
      <w:r>
        <w:rPr>
          <w:b/>
          <w:bCs/>
        </w:rPr>
        <w:t>1. Proprietary Cold-Extraction R&amp;D and Thermal Processing Capabilities</w:t>
      </w:r>
    </w:p>
    <w:p w14:paraId="61483A0A">
      <w:pPr>
        <w:pStyle w:val="style0"/>
        <w:rPr/>
      </w:pPr>
      <w:r>
        <w:t>Nestlé has a well-established international R&amp;D network with a focus on beverage technology. The specialized chemical and thermal engineering skills needed to develop cold-water-soluble coffee crystals (Ice Roast) and shelf-stable liquid espresso concentrates (300 ml bottles) are desirable because they meet consumer demand for convenience and cold coffee</w:t>
      </w:r>
      <w:r>
        <w:t xml:space="preserve"> </w:t>
      </w:r>
      <w:r>
        <w:t>(Shi, 2023)</w:t>
      </w:r>
      <w:r>
        <w:t>. The processing capabilities are unusual in the CPG sector and hard to replicate because of trade secrets, expensive and intensive capital investments, and patent issues of extraction equipment</w:t>
      </w:r>
      <w:r>
        <w:t xml:space="preserve"> </w:t>
      </w:r>
      <w:r>
        <w:t>(Singh et al., 2021)</w:t>
      </w:r>
      <w:r>
        <w:t xml:space="preserve">. These technologies are being used at scale and across the world by the global </w:t>
      </w:r>
      <w:r>
        <w:t>manufacturing organization of Nestlé, which provides a sustainable competitive advantage.</w:t>
      </w:r>
    </w:p>
    <w:p w14:paraId="0EAAA93F">
      <w:pPr>
        <w:pStyle w:val="style0"/>
        <w:rPr>
          <w:b/>
          <w:bCs/>
        </w:rPr>
      </w:pPr>
      <w:r>
        <w:rPr>
          <w:b/>
          <w:bCs/>
        </w:rPr>
        <w:t>2. Global Coffee Alliance Strategic Licensing Agreement</w:t>
      </w:r>
    </w:p>
    <w:p w14:paraId="58C81DD9">
      <w:pPr>
        <w:pStyle w:val="style0"/>
        <w:rPr/>
      </w:pPr>
      <w:r>
        <w:t>Under the contract, Starbucks' business relationship with the Global Coffee Alliance gives Nestlé exclusive global rights to market, package and distribute coffee and tea products under the Starbucks brand</w:t>
      </w:r>
      <w:r>
        <w:t xml:space="preserve"> </w:t>
      </w:r>
      <w:r>
        <w:t>(Yaqub, 2026)</w:t>
      </w:r>
      <w:r>
        <w:t>. The resource is important because it provides Nestlé with the top brand equity of the retail coffee in North America. It is rare and legally unrivaled and no other FMCG company can match Starbucks' retail portfolio of licensed rights. This license is implemented in a global distribution network that enables Nestlé to capture high margin retail market share and thereby give them a sustained competitive advantage in the wider packaged coffee category</w:t>
      </w:r>
      <w:r>
        <w:t xml:space="preserve"> </w:t>
      </w:r>
      <w:r>
        <w:t>(Sardjono, Selviyanti and Perdana, 2020)</w:t>
      </w:r>
      <w:r>
        <w:t>.</w:t>
      </w:r>
    </w:p>
    <w:p w14:paraId="4D98F216">
      <w:pPr>
        <w:pStyle w:val="style0"/>
        <w:rPr>
          <w:b/>
          <w:bCs/>
        </w:rPr>
      </w:pPr>
      <w:r>
        <w:rPr>
          <w:b/>
          <w:bCs/>
        </w:rPr>
        <w:t>3. Sustainable Direct Sourcing Architecture (Nescafé Plan 2030)</w:t>
      </w:r>
    </w:p>
    <w:p w14:paraId="3A2E7CBA">
      <w:pPr>
        <w:pStyle w:val="style0"/>
        <w:rPr/>
      </w:pPr>
      <w:r>
        <w:t>The Nescafé Plan offers direct connections to an inventory of more than 100,000 coffee growers worldwide, and delivers technical help, disease-resistant plantlets, and monetary rewards to promote sustainable cultivation methods</w:t>
      </w:r>
      <w:r>
        <w:t xml:space="preserve"> </w:t>
      </w:r>
      <w:r>
        <w:t>(Yaqub, 2026)</w:t>
      </w:r>
      <w:r>
        <w:t>. By 2024, Nescafé reached 32% of the world's coffee, compared to 2025's commitment of 20%, from farmers practicing regenerative agriculture</w:t>
      </w:r>
      <w:r>
        <w:t xml:space="preserve"> </w:t>
      </w:r>
      <w:r>
        <w:t>(Patil, 2026)</w:t>
      </w:r>
      <w:r>
        <w:t>. This sourcing architecture is useful as it can help prevent risks of crop failure due to climate change and helps achieve company carbon reduction targets. Competitors like J.M. Smucker and JDE Peet's can develop a sustainable sourcing program over time, which gives them a short-term competitive edge.</w:t>
      </w:r>
    </w:p>
    <w:p w14:paraId="05A03EE5">
      <w:pPr>
        <w:pStyle w:val="style0"/>
        <w:rPr>
          <w:b/>
          <w:bCs/>
        </w:rPr>
      </w:pPr>
      <w:r>
        <w:rPr>
          <w:b/>
          <w:bCs/>
        </w:rPr>
        <w:t>4. Mass Retail Distribution Scale and Grocery Shelf-Space Dominance</w:t>
      </w:r>
    </w:p>
    <w:p w14:paraId="6E476C5D">
      <w:pPr>
        <w:pStyle w:val="style0"/>
        <w:rPr/>
      </w:pPr>
      <w:r>
        <w:t>Nestle's commercial scale enables it to be available in the U.S. market in 44.2% of supermarket and hypermarket coffee channels nationally</w:t>
      </w:r>
      <w:r>
        <w:t xml:space="preserve"> </w:t>
      </w:r>
      <w:r>
        <w:t>(Oviedo-Rodríguez, Jansen and Vellema, 2025)</w:t>
      </w:r>
      <w:r>
        <w:t>. This distribution network is beneficial for visibility of the product and negotiating retail slotting allowances. But distribution is not a rarity or untouchable, as big consumer goods competitors (Kraft Heinz, The J.M. Smucker Company) have nationwide distribution networks in the same supermarket channel, creating competitive parity</w:t>
      </w:r>
      <w:r>
        <w:t xml:space="preserve"> </w:t>
      </w:r>
      <w:r>
        <w:t>(Datta, 2020)</w:t>
      </w:r>
      <w:r>
        <w:t>.</w:t>
      </w:r>
    </w:p>
    <w:p w14:paraId="54D0027D">
      <w:pPr>
        <w:pStyle w:val="style0"/>
        <w:rPr>
          <w:b/>
          <w:bCs/>
        </w:rPr>
      </w:pPr>
      <w:r>
        <w:rPr>
          <w:b/>
          <w:bCs/>
        </w:rPr>
        <w:t>5. Legacy U.S. Brand Equity and Cultural Perception of Nescafé</w:t>
      </w:r>
    </w:p>
    <w:p w14:paraId="5D1F5D7D">
      <w:pPr>
        <w:pStyle w:val="style0"/>
        <w:rPr/>
      </w:pPr>
      <w:r>
        <w:t>In the U.S., consumer perception of the Nescafé brand is linked to traditional, low-end instant coffee powder, not high-quality specialty coffees. This legacy brand image is an internal constraint in a market where roast and ground coffee accounts for 38.4% of sales and specialty coffee spending is a more urban demographic</w:t>
      </w:r>
      <w:r>
        <w:t xml:space="preserve"> </w:t>
      </w:r>
      <w:r>
        <w:t>(Garima Sainger and Khan, 2025)</w:t>
      </w:r>
      <w:r>
        <w:t>. The traditional brand equity is less relevant for contemporary coffee consumers' expectations of the barista experience than it is for specialty roasters and thus needs to be continually repositioned with sub-brands like Nescafé Gold</w:t>
      </w:r>
      <w:r>
        <w:t xml:space="preserve"> </w:t>
      </w:r>
      <w:r>
        <w:t>(Gois, Thomé and Balogh, 2022)</w:t>
      </w:r>
      <w:r>
        <w:t>.</w:t>
      </w:r>
    </w:p>
    <w:p w14:paraId="48827DD9">
      <w:pPr>
        <w:pStyle w:val="style0"/>
        <w:rPr>
          <w:b/>
          <w:bCs/>
          <w:i/>
          <w:iCs/>
        </w:rPr>
      </w:pPr>
      <w:r>
        <w:rPr>
          <w:b/>
          <w:bCs/>
          <w:i/>
          <w:iCs/>
        </w:rPr>
        <w:t>T</w:t>
      </w:r>
      <w:r>
        <w:rPr>
          <w:b/>
          <w:bCs/>
          <w:i/>
          <w:iCs/>
        </w:rPr>
        <w:t>able: VRIO Summary</w:t>
      </w:r>
    </w:p>
    <w:tbl>
      <w:tblPr>
        <w:tblW w:w="5000" w:type="pct"/>
        <w:tblCellMar>
          <w:top w:w="15" w:type="dxa"/>
          <w:left w:w="15" w:type="dxa"/>
          <w:bottom w:w="15" w:type="dxa"/>
          <w:right w:w="15" w:type="dxa"/>
        </w:tblCellMar>
        <w:tblLook w:val="04A0" w:firstRow="1" w:lastRow="0" w:firstColumn="1" w:lastColumn="0" w:noHBand="0" w:noVBand="1"/>
      </w:tblPr>
      <w:tblGrid>
        <w:gridCol w:w="2163"/>
        <w:gridCol w:w="636"/>
        <w:gridCol w:w="636"/>
        <w:gridCol w:w="636"/>
        <w:gridCol w:w="636"/>
        <w:gridCol w:w="1867"/>
        <w:gridCol w:w="2434"/>
      </w:tblGrid>
      <w:tr w14:paraId="5728CC94">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CF52572">
            <w:pPr>
              <w:pStyle w:val="style0"/>
              <w:spacing w:after="0" w:lineRule="auto" w:line="240"/>
              <w:jc w:val="left"/>
              <w:rPr>
                <w:rFonts w:cs="Arial" w:eastAsia="Times New Roman"/>
                <w:b/>
                <w:bCs/>
                <w:szCs w:val="24"/>
                <w:lang w:eastAsia="en-GB"/>
              </w:rPr>
            </w:pPr>
            <w:r>
              <w:rPr>
                <w:rFonts w:cs="Arial" w:eastAsia="Times New Roman"/>
                <w:b/>
                <w:bCs/>
                <w:szCs w:val="24"/>
                <w:lang w:eastAsia="en-GB"/>
              </w:rPr>
              <w:t>Internal resource or capability</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3AA7E39">
            <w:pPr>
              <w:pStyle w:val="style0"/>
              <w:spacing w:after="0" w:lineRule="auto" w:line="240"/>
              <w:jc w:val="left"/>
              <w:rPr>
                <w:rFonts w:cs="Arial" w:eastAsia="Times New Roman"/>
                <w:b/>
                <w:bCs/>
                <w:szCs w:val="24"/>
                <w:lang w:eastAsia="en-GB"/>
              </w:rPr>
            </w:pPr>
            <w:r>
              <w:rPr>
                <w:rFonts w:cs="Arial" w:eastAsia="Times New Roman"/>
                <w:b/>
                <w:bCs/>
                <w:szCs w:val="24"/>
                <w:lang w:eastAsia="en-GB"/>
              </w:rPr>
              <w:t>V</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EB93B8D">
            <w:pPr>
              <w:pStyle w:val="style0"/>
              <w:spacing w:after="0" w:lineRule="auto" w:line="240"/>
              <w:jc w:val="left"/>
              <w:rPr>
                <w:rFonts w:cs="Arial" w:eastAsia="Times New Roman"/>
                <w:b/>
                <w:bCs/>
                <w:szCs w:val="24"/>
                <w:lang w:eastAsia="en-GB"/>
              </w:rPr>
            </w:pPr>
            <w:r>
              <w:rPr>
                <w:rFonts w:cs="Arial" w:eastAsia="Times New Roman"/>
                <w:b/>
                <w:bCs/>
                <w:szCs w:val="24"/>
                <w:lang w:eastAsia="en-GB"/>
              </w:rPr>
              <w:t>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32E912D">
            <w:pPr>
              <w:pStyle w:val="style0"/>
              <w:spacing w:after="0" w:lineRule="auto" w:line="240"/>
              <w:jc w:val="left"/>
              <w:rPr>
                <w:rFonts w:cs="Arial" w:eastAsia="Times New Roman"/>
                <w:b/>
                <w:bCs/>
                <w:szCs w:val="24"/>
                <w:lang w:eastAsia="en-GB"/>
              </w:rPr>
            </w:pPr>
            <w:r>
              <w:rPr>
                <w:rFonts w:cs="Arial" w:eastAsia="Times New Roman"/>
                <w:b/>
                <w:bCs/>
                <w:szCs w:val="24"/>
                <w:lang w:eastAsia="en-GB"/>
              </w:rPr>
              <w:t>I</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C84360D">
            <w:pPr>
              <w:pStyle w:val="style0"/>
              <w:spacing w:after="0" w:lineRule="auto" w:line="240"/>
              <w:jc w:val="left"/>
              <w:rPr>
                <w:rFonts w:cs="Arial" w:eastAsia="Times New Roman"/>
                <w:b/>
                <w:bCs/>
                <w:szCs w:val="24"/>
                <w:lang w:eastAsia="en-GB"/>
              </w:rPr>
            </w:pPr>
            <w:r>
              <w:rPr>
                <w:rFonts w:cs="Arial" w:eastAsia="Times New Roman"/>
                <w:b/>
                <w:bCs/>
                <w:szCs w:val="24"/>
                <w:lang w:eastAsia="en-GB"/>
              </w:rPr>
              <w:t>O</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71A6E3D">
            <w:pPr>
              <w:pStyle w:val="style0"/>
              <w:spacing w:after="0" w:lineRule="auto" w:line="240"/>
              <w:jc w:val="left"/>
              <w:rPr>
                <w:rFonts w:cs="Arial" w:eastAsia="Times New Roman"/>
                <w:b/>
                <w:bCs/>
                <w:szCs w:val="24"/>
                <w:lang w:eastAsia="en-GB"/>
              </w:rPr>
            </w:pPr>
            <w:r>
              <w:rPr>
                <w:rFonts w:cs="Arial" w:eastAsia="Times New Roman"/>
                <w:b/>
                <w:bCs/>
                <w:szCs w:val="24"/>
                <w:lang w:eastAsia="en-GB"/>
              </w:rPr>
              <w:t>Competitive implication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C03C1A6">
            <w:pPr>
              <w:pStyle w:val="style0"/>
              <w:spacing w:after="0" w:lineRule="auto" w:line="240"/>
              <w:jc w:val="left"/>
              <w:rPr>
                <w:rFonts w:cs="Arial" w:eastAsia="Times New Roman"/>
                <w:b/>
                <w:bCs/>
                <w:szCs w:val="24"/>
                <w:lang w:eastAsia="en-GB"/>
              </w:rPr>
            </w:pPr>
            <w:r>
              <w:rPr>
                <w:rFonts w:cs="Arial" w:eastAsia="Times New Roman"/>
                <w:b/>
                <w:bCs/>
                <w:szCs w:val="24"/>
                <w:lang w:eastAsia="en-GB"/>
              </w:rPr>
              <w:t>Impact on U.S. market</w:t>
            </w:r>
          </w:p>
        </w:tc>
      </w:tr>
      <w:tr w14:paraId="73216459">
        <w:tblPrEx/>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3D2A59">
            <w:pPr>
              <w:pStyle w:val="style0"/>
              <w:spacing w:after="0" w:lineRule="auto" w:line="240"/>
              <w:jc w:val="left"/>
              <w:rPr>
                <w:rFonts w:cs="Arial" w:eastAsia="Times New Roman"/>
                <w:szCs w:val="24"/>
                <w:lang w:eastAsia="en-GB"/>
              </w:rPr>
            </w:pPr>
            <w:r>
              <w:rPr>
                <w:rFonts w:cs="Arial" w:eastAsia="Times New Roman"/>
                <w:szCs w:val="24"/>
                <w:lang w:eastAsia="en-GB"/>
              </w:rPr>
              <w:t>Cold-extraction and liquid-processing R&amp;D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8E7757">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852ABC">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C537F3">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005452">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AFAF1F">
            <w:pPr>
              <w:pStyle w:val="style0"/>
              <w:spacing w:after="0" w:lineRule="auto" w:line="240"/>
              <w:jc w:val="left"/>
              <w:rPr>
                <w:rFonts w:cs="Arial" w:eastAsia="Times New Roman"/>
                <w:szCs w:val="24"/>
                <w:lang w:eastAsia="en-GB"/>
              </w:rPr>
            </w:pPr>
            <w:r>
              <w:rPr>
                <w:rFonts w:cs="Arial" w:eastAsia="Times New Roman"/>
                <w:szCs w:val="24"/>
                <w:lang w:eastAsia="en-GB"/>
              </w:rPr>
              <w:t>Sustained advantage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DE103A">
            <w:pPr>
              <w:pStyle w:val="style0"/>
              <w:spacing w:after="0" w:lineRule="auto" w:line="240"/>
              <w:jc w:val="left"/>
              <w:rPr>
                <w:rFonts w:cs="Arial" w:eastAsia="Times New Roman"/>
                <w:szCs w:val="24"/>
                <w:lang w:eastAsia="en-GB"/>
              </w:rPr>
            </w:pPr>
            <w:r>
              <w:rPr>
                <w:rFonts w:cs="Arial" w:eastAsia="Times New Roman"/>
                <w:szCs w:val="24"/>
                <w:lang w:eastAsia="en-GB"/>
              </w:rPr>
              <w:t>Differentiates Nescafé Ice Roast and Espresso Concentrates</w:t>
            </w:r>
          </w:p>
        </w:tc>
      </w:tr>
      <w:tr w14:paraId="2D3E3BA1">
        <w:tblPrEx/>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139E05">
            <w:pPr>
              <w:pStyle w:val="style0"/>
              <w:spacing w:after="0" w:lineRule="auto" w:line="240"/>
              <w:jc w:val="left"/>
              <w:rPr>
                <w:rFonts w:cs="Arial" w:eastAsia="Times New Roman"/>
                <w:szCs w:val="24"/>
                <w:lang w:eastAsia="en-GB"/>
              </w:rPr>
            </w:pPr>
            <w:r>
              <w:rPr>
                <w:rFonts w:cs="Arial" w:eastAsia="Times New Roman"/>
                <w:szCs w:val="24"/>
                <w:lang w:eastAsia="en-GB"/>
              </w:rPr>
              <w:t>Global Coffee Alliance and Starbucks rights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A2110B">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7483B4">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ED466A">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B33FEE">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A844D6">
            <w:pPr>
              <w:pStyle w:val="style0"/>
              <w:spacing w:after="0" w:lineRule="auto" w:line="240"/>
              <w:jc w:val="left"/>
              <w:rPr>
                <w:rFonts w:cs="Arial" w:eastAsia="Times New Roman"/>
                <w:szCs w:val="24"/>
                <w:lang w:eastAsia="en-GB"/>
              </w:rPr>
            </w:pPr>
            <w:r>
              <w:rPr>
                <w:rFonts w:cs="Arial" w:eastAsia="Times New Roman"/>
                <w:szCs w:val="24"/>
                <w:lang w:eastAsia="en-GB"/>
              </w:rPr>
              <w:t>Sustained advantage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658223">
            <w:pPr>
              <w:pStyle w:val="style0"/>
              <w:spacing w:after="0" w:lineRule="auto" w:line="240"/>
              <w:jc w:val="left"/>
              <w:rPr>
                <w:rFonts w:cs="Arial" w:eastAsia="Times New Roman"/>
                <w:szCs w:val="24"/>
                <w:lang w:eastAsia="en-GB"/>
              </w:rPr>
            </w:pPr>
            <w:r>
              <w:rPr>
                <w:rFonts w:cs="Arial" w:eastAsia="Times New Roman"/>
                <w:szCs w:val="24"/>
                <w:lang w:eastAsia="en-GB"/>
              </w:rPr>
              <w:t>Increases high-margin grocery market share</w:t>
            </w:r>
          </w:p>
        </w:tc>
      </w:tr>
      <w:tr w14:paraId="3C37F4D8">
        <w:tblPrEx/>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78261D3">
            <w:pPr>
              <w:pStyle w:val="style0"/>
              <w:spacing w:after="0" w:lineRule="auto" w:line="240"/>
              <w:jc w:val="left"/>
              <w:rPr>
                <w:rFonts w:cs="Arial" w:eastAsia="Times New Roman"/>
                <w:szCs w:val="24"/>
                <w:lang w:eastAsia="en-GB"/>
              </w:rPr>
            </w:pPr>
            <w:r>
              <w:rPr>
                <w:rFonts w:cs="Arial" w:eastAsia="Times New Roman"/>
                <w:szCs w:val="24"/>
                <w:lang w:eastAsia="en-GB"/>
              </w:rPr>
              <w:t>Regenerative Sourcing Network (Nescafé Plan)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EFBE25">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5E758B">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D0491C">
            <w:pPr>
              <w:pStyle w:val="style0"/>
              <w:spacing w:after="0" w:lineRule="auto" w:line="240"/>
              <w:jc w:val="left"/>
              <w:rPr>
                <w:rFonts w:cs="Arial" w:eastAsia="Times New Roman"/>
                <w:szCs w:val="24"/>
                <w:lang w:eastAsia="en-GB"/>
              </w:rPr>
            </w:pPr>
            <w:r>
              <w:rPr>
                <w:rFonts w:cs="Arial" w:eastAsia="Times New Roman"/>
                <w:szCs w:val="24"/>
                <w:lang w:eastAsia="en-GB"/>
              </w:rPr>
              <w:t>No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919B6D">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047FC8">
            <w:pPr>
              <w:pStyle w:val="style0"/>
              <w:spacing w:after="0" w:lineRule="auto" w:line="240"/>
              <w:jc w:val="left"/>
              <w:rPr>
                <w:rFonts w:cs="Arial" w:eastAsia="Times New Roman"/>
                <w:szCs w:val="24"/>
                <w:lang w:eastAsia="en-GB"/>
              </w:rPr>
            </w:pPr>
            <w:r>
              <w:rPr>
                <w:rFonts w:cs="Arial" w:eastAsia="Times New Roman"/>
                <w:szCs w:val="24"/>
                <w:lang w:eastAsia="en-GB"/>
              </w:rPr>
              <w:t>Temporary advantage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EA71E09">
            <w:pPr>
              <w:pStyle w:val="style0"/>
              <w:spacing w:after="0" w:lineRule="auto" w:line="240"/>
              <w:jc w:val="left"/>
              <w:rPr>
                <w:rFonts w:cs="Arial" w:eastAsia="Times New Roman"/>
                <w:szCs w:val="24"/>
                <w:lang w:eastAsia="en-GB"/>
              </w:rPr>
            </w:pPr>
            <w:r>
              <w:rPr>
                <w:rFonts w:cs="Arial" w:eastAsia="Times New Roman"/>
                <w:szCs w:val="24"/>
                <w:lang w:eastAsia="en-GB"/>
              </w:rPr>
              <w:t>Improves raw-material access and ESG credibility</w:t>
            </w:r>
          </w:p>
        </w:tc>
      </w:tr>
      <w:tr w14:paraId="319BB8E3">
        <w:tblPrEx/>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B8D770">
            <w:pPr>
              <w:pStyle w:val="style0"/>
              <w:spacing w:after="0" w:lineRule="auto" w:line="240"/>
              <w:jc w:val="left"/>
              <w:rPr>
                <w:rFonts w:cs="Arial" w:eastAsia="Times New Roman"/>
                <w:szCs w:val="24"/>
                <w:lang w:eastAsia="en-GB"/>
              </w:rPr>
            </w:pPr>
            <w:r>
              <w:rPr>
                <w:rFonts w:cs="Arial" w:eastAsia="Times New Roman"/>
                <w:szCs w:val="24"/>
                <w:lang w:eastAsia="en-GB"/>
              </w:rPr>
              <w:t>Mass-retail distribution network</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2DBCC7">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AFF703">
            <w:pPr>
              <w:pStyle w:val="style0"/>
              <w:spacing w:after="0" w:lineRule="auto" w:line="240"/>
              <w:jc w:val="left"/>
              <w:rPr>
                <w:rFonts w:cs="Arial" w:eastAsia="Times New Roman"/>
                <w:szCs w:val="24"/>
                <w:lang w:eastAsia="en-GB"/>
              </w:rPr>
            </w:pPr>
            <w:r>
              <w:rPr>
                <w:rFonts w:cs="Arial" w:eastAsia="Times New Roman"/>
                <w:szCs w:val="24"/>
                <w:lang w:eastAsia="en-GB"/>
              </w:rPr>
              <w:t>No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A3E3F7">
            <w:pPr>
              <w:pStyle w:val="style0"/>
              <w:spacing w:after="0" w:lineRule="auto" w:line="240"/>
              <w:jc w:val="left"/>
              <w:rPr>
                <w:rFonts w:cs="Arial" w:eastAsia="Times New Roman"/>
                <w:szCs w:val="24"/>
                <w:lang w:eastAsia="en-GB"/>
              </w:rPr>
            </w:pPr>
            <w:r>
              <w:rPr>
                <w:rFonts w:cs="Arial" w:eastAsia="Times New Roman"/>
                <w:szCs w:val="24"/>
                <w:lang w:eastAsia="en-GB"/>
              </w:rPr>
              <w:t>No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6D4536">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04F139">
            <w:pPr>
              <w:pStyle w:val="style0"/>
              <w:spacing w:after="0" w:lineRule="auto" w:line="240"/>
              <w:jc w:val="left"/>
              <w:rPr>
                <w:rFonts w:cs="Arial" w:eastAsia="Times New Roman"/>
                <w:szCs w:val="24"/>
                <w:lang w:eastAsia="en-GB"/>
              </w:rPr>
            </w:pPr>
            <w:r>
              <w:rPr>
                <w:rFonts w:cs="Arial" w:eastAsia="Times New Roman"/>
                <w:szCs w:val="24"/>
                <w:lang w:eastAsia="en-GB"/>
              </w:rPr>
              <w:t>Competitive parity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A6F1EC">
            <w:pPr>
              <w:pStyle w:val="style0"/>
              <w:spacing w:after="0" w:lineRule="auto" w:line="240"/>
              <w:jc w:val="left"/>
              <w:rPr>
                <w:rFonts w:cs="Arial" w:eastAsia="Times New Roman"/>
                <w:szCs w:val="24"/>
                <w:lang w:eastAsia="en-GB"/>
              </w:rPr>
            </w:pPr>
            <w:r>
              <w:rPr>
                <w:rFonts w:cs="Arial" w:eastAsia="Times New Roman"/>
                <w:szCs w:val="24"/>
                <w:lang w:eastAsia="en-GB"/>
              </w:rPr>
              <w:t>Ensures nationwide supermarket availability</w:t>
            </w:r>
          </w:p>
        </w:tc>
      </w:tr>
      <w:tr w14:paraId="5A5F4448">
        <w:tblPrEx/>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10A140">
            <w:pPr>
              <w:pStyle w:val="style0"/>
              <w:spacing w:after="0" w:lineRule="auto" w:line="240"/>
              <w:jc w:val="left"/>
              <w:rPr>
                <w:rFonts w:cs="Arial" w:eastAsia="Times New Roman"/>
                <w:szCs w:val="24"/>
                <w:lang w:eastAsia="en-GB"/>
              </w:rPr>
            </w:pPr>
            <w:r>
              <w:rPr>
                <w:rFonts w:cs="Arial" w:eastAsia="Times New Roman"/>
                <w:szCs w:val="24"/>
                <w:lang w:eastAsia="en-GB"/>
              </w:rPr>
              <w:t>Traditional U.S. instant-coffee image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06E45A">
            <w:pPr>
              <w:pStyle w:val="style0"/>
              <w:spacing w:after="0" w:lineRule="auto" w:line="240"/>
              <w:jc w:val="left"/>
              <w:rPr>
                <w:rFonts w:cs="Arial" w:eastAsia="Times New Roman"/>
                <w:szCs w:val="24"/>
                <w:lang w:eastAsia="en-GB"/>
              </w:rPr>
            </w:pPr>
            <w:r>
              <w:rPr>
                <w:rFonts w:cs="Arial" w:eastAsia="Times New Roman"/>
                <w:szCs w:val="24"/>
                <w:lang w:eastAsia="en-GB"/>
              </w:rPr>
              <w:t>No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730AD6">
            <w:pPr>
              <w:pStyle w:val="style0"/>
              <w:spacing w:after="0" w:lineRule="auto" w:line="240"/>
              <w:jc w:val="left"/>
              <w:rPr>
                <w:rFonts w:cs="Arial" w:eastAsia="Times New Roman"/>
                <w:szCs w:val="24"/>
                <w:lang w:eastAsia="en-GB"/>
              </w:rPr>
            </w:pPr>
            <w:r>
              <w:rPr>
                <w:rFonts w:cs="Arial" w:eastAsia="Times New Roman"/>
                <w:szCs w:val="24"/>
                <w:lang w:eastAsia="en-GB"/>
              </w:rPr>
              <w:t>No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73B225">
            <w:pPr>
              <w:pStyle w:val="style0"/>
              <w:spacing w:after="0" w:lineRule="auto" w:line="240"/>
              <w:jc w:val="left"/>
              <w:rPr>
                <w:rFonts w:cs="Arial" w:eastAsia="Times New Roman"/>
                <w:szCs w:val="24"/>
                <w:lang w:eastAsia="en-GB"/>
              </w:rPr>
            </w:pPr>
            <w:r>
              <w:rPr>
                <w:rFonts w:cs="Arial" w:eastAsia="Times New Roman"/>
                <w:szCs w:val="24"/>
                <w:lang w:eastAsia="en-GB"/>
              </w:rPr>
              <w:t>No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861FB0">
            <w:pPr>
              <w:pStyle w:val="style0"/>
              <w:spacing w:after="0" w:lineRule="auto" w:line="240"/>
              <w:jc w:val="left"/>
              <w:rPr>
                <w:rFonts w:cs="Arial" w:eastAsia="Times New Roman"/>
                <w:szCs w:val="24"/>
                <w:lang w:eastAsia="en-GB"/>
              </w:rPr>
            </w:pPr>
            <w:r>
              <w:rPr>
                <w:rFonts w:cs="Arial" w:eastAsia="Times New Roman"/>
                <w:szCs w:val="24"/>
                <w:lang w:eastAsia="en-GB"/>
              </w:rPr>
              <w:t>Yes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7A9281">
            <w:pPr>
              <w:pStyle w:val="style0"/>
              <w:spacing w:after="0" w:lineRule="auto" w:line="240"/>
              <w:jc w:val="left"/>
              <w:rPr>
                <w:rFonts w:cs="Arial" w:eastAsia="Times New Roman"/>
                <w:szCs w:val="24"/>
                <w:lang w:eastAsia="en-GB"/>
              </w:rPr>
            </w:pPr>
            <w:r>
              <w:rPr>
                <w:rFonts w:cs="Arial" w:eastAsia="Times New Roman"/>
                <w:szCs w:val="24"/>
                <w:lang w:eastAsia="en-GB"/>
              </w:rPr>
              <w:t>Competitive disadvantage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534A8A">
            <w:pPr>
              <w:pStyle w:val="style0"/>
              <w:spacing w:after="0" w:lineRule="auto" w:line="240"/>
              <w:jc w:val="left"/>
              <w:rPr>
                <w:rFonts w:cs="Arial" w:eastAsia="Times New Roman"/>
                <w:szCs w:val="24"/>
                <w:lang w:eastAsia="en-GB"/>
              </w:rPr>
            </w:pPr>
            <w:r>
              <w:rPr>
                <w:rFonts w:cs="Arial" w:eastAsia="Times New Roman"/>
                <w:szCs w:val="24"/>
                <w:lang w:eastAsia="en-GB"/>
              </w:rPr>
              <w:t>Limits growth against specialty coffee brands</w:t>
            </w:r>
          </w:p>
        </w:tc>
      </w:tr>
    </w:tbl>
    <w:p w14:paraId="2BD89E68">
      <w:pPr>
        <w:pStyle w:val="style0"/>
        <w:rPr/>
      </w:pPr>
    </w:p>
    <w:bookmarkStart w:id="6" w:name="_Toc237037232"/>
    <w:p w14:paraId="145E175F">
      <w:pPr>
        <w:pStyle w:val="style3"/>
        <w:rPr/>
      </w:pPr>
      <w:r>
        <w:t>SWOT Analysis</w:t>
      </w:r>
      <w:bookmarkEnd w:id="6"/>
    </w:p>
    <w:p w14:paraId="3FBE33D0">
      <w:pPr>
        <w:pStyle w:val="style0"/>
        <w:rPr/>
      </w:pPr>
      <w:r>
        <w:t>Integrating external PESTEL drivers with internal VRIO capabilities yields a SWOT matrix for Nescafé in the United States coffee market, pairing internal strengths and weaknesses with external opportunities and threats.</w:t>
      </w:r>
    </w:p>
    <w:p w14:paraId="05E20EEF">
      <w:pPr>
        <w:pStyle w:val="style0"/>
        <w:jc w:val="center"/>
        <w:rPr/>
      </w:pPr>
      <w:r>
        <w:rPr>
          <w:noProof/>
        </w:rPr>
        <w:drawing>
          <wp:inline distL="0" distT="0" distB="0" distR="0">
            <wp:extent cx="4117975" cy="2484588"/>
            <wp:effectExtent l="0" t="0" r="0" b="0"/>
            <wp:docPr id="1032"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7"/>
                    <pic:cNvPicPr/>
                  </pic:nvPicPr>
                  <pic:blipFill>
                    <a:blip r:embed="rId7" cstate="print"/>
                    <a:srcRect l="0" t="0" r="0" b="0"/>
                    <a:stretch/>
                  </pic:blipFill>
                  <pic:spPr>
                    <a:xfrm rot="0">
                      <a:off x="0" y="0"/>
                      <a:ext cx="4117975" cy="2484588"/>
                    </a:xfrm>
                    <a:prstGeom prst="rect"/>
                  </pic:spPr>
                </pic:pic>
              </a:graphicData>
            </a:graphic>
          </wp:inline>
        </w:drawing>
      </w:r>
    </w:p>
    <w:p w14:paraId="04E90F0B">
      <w:pPr>
        <w:pStyle w:val="style0"/>
        <w:jc w:val="center"/>
        <w:rPr>
          <w:b/>
          <w:bCs/>
          <w:i/>
          <w:iCs/>
        </w:rPr>
      </w:pPr>
      <w:r>
        <w:rPr>
          <w:b/>
          <w:bCs/>
          <w:i/>
          <w:iCs/>
        </w:rPr>
        <w:t>Figure 4: SWOT Analysis (Business research methodology, 2019)</w:t>
      </w:r>
    </w:p>
    <w:p w14:paraId="70900D3D">
      <w:pPr>
        <w:pStyle w:val="style0"/>
        <w:rPr>
          <w:b/>
          <w:bCs/>
        </w:rPr>
      </w:pPr>
      <w:r>
        <w:rPr>
          <w:b/>
          <w:bCs/>
        </w:rPr>
        <w:t>Internal Strengths</w:t>
      </w:r>
    </w:p>
    <w:p w14:paraId="0042E95F">
      <w:pPr>
        <w:pStyle w:val="style179"/>
        <w:numPr>
          <w:ilvl w:val="0"/>
          <w:numId w:val="1"/>
        </w:numPr>
        <w:rPr/>
      </w:pPr>
      <w:r>
        <w:t>Proprietary R&amp;D in the areas of cold-extraction technologies, liquid espresso concentrates, and cold-dissolving coffee crystals</w:t>
      </w:r>
      <w:r>
        <w:t xml:space="preserve"> </w:t>
      </w:r>
      <w:r>
        <w:t>(Baldwin, 2024)</w:t>
      </w:r>
      <w:r>
        <w:t>.</w:t>
      </w:r>
    </w:p>
    <w:p w14:paraId="66764EE6">
      <w:pPr>
        <w:pStyle w:val="style179"/>
        <w:numPr>
          <w:ilvl w:val="0"/>
          <w:numId w:val="1"/>
        </w:numPr>
        <w:rPr/>
      </w:pPr>
      <w:r>
        <w:t>Multi-location manufacturing scale for cost efficiencies throughout high volume beverage manufacturing facilities</w:t>
      </w:r>
      <w:r>
        <w:t xml:space="preserve"> </w:t>
      </w:r>
      <w:r>
        <w:t>(Bartsch and Pantoja, 2025)</w:t>
      </w:r>
      <w:r>
        <w:t>.</w:t>
      </w:r>
    </w:p>
    <w:p w14:paraId="00B41DDF">
      <w:pPr>
        <w:pStyle w:val="style179"/>
        <w:numPr>
          <w:ilvl w:val="0"/>
          <w:numId w:val="1"/>
        </w:numPr>
        <w:rPr/>
      </w:pPr>
      <w:r>
        <w:t>The Nescafé Plan 2030 is a sustainable sourcing architecture with 32% of the coffee sourced from regenerative farms</w:t>
      </w:r>
      <w:r>
        <w:t xml:space="preserve"> </w:t>
      </w:r>
      <w:r>
        <w:t>(Neilson and BIENABE, 2025)</w:t>
      </w:r>
      <w:r>
        <w:t>.</w:t>
      </w:r>
    </w:p>
    <w:p w14:paraId="7E1C8D16">
      <w:pPr>
        <w:pStyle w:val="style179"/>
        <w:numPr>
          <w:ilvl w:val="0"/>
          <w:numId w:val="1"/>
        </w:numPr>
        <w:rPr/>
      </w:pPr>
      <w:r>
        <w:t>Wide mass distribution through supermarket and hypermarket outlets in the U.S.</w:t>
      </w:r>
    </w:p>
    <w:p w14:paraId="27B30677">
      <w:pPr>
        <w:pStyle w:val="style0"/>
        <w:rPr>
          <w:b/>
          <w:bCs/>
        </w:rPr>
      </w:pPr>
      <w:r>
        <w:rPr>
          <w:b/>
          <w:bCs/>
        </w:rPr>
        <w:t>Internal Weaknesses</w:t>
      </w:r>
    </w:p>
    <w:p w14:paraId="50E852D8">
      <w:pPr>
        <w:pStyle w:val="style179"/>
        <w:numPr>
          <w:ilvl w:val="0"/>
          <w:numId w:val="2"/>
        </w:numPr>
        <w:rPr/>
      </w:pPr>
      <w:r>
        <w:t>The legacy perception in the U.S. that instant coffee is of lower caliber as a commodity.</w:t>
      </w:r>
    </w:p>
    <w:p w14:paraId="6B3571F2">
      <w:pPr>
        <w:pStyle w:val="style179"/>
        <w:numPr>
          <w:ilvl w:val="0"/>
          <w:numId w:val="2"/>
        </w:numPr>
        <w:rPr/>
      </w:pPr>
      <w:r>
        <w:t>Historical under penetration in the major U.S. roast &amp; ground market compared with Folgers and Maxwell House</w:t>
      </w:r>
      <w:r>
        <w:t xml:space="preserve"> </w:t>
      </w:r>
      <w:r>
        <w:t>(Cohen, 2024)</w:t>
      </w:r>
      <w:r>
        <w:t>.</w:t>
      </w:r>
    </w:p>
    <w:p w14:paraId="38B1A8D7">
      <w:pPr>
        <w:pStyle w:val="style179"/>
        <w:numPr>
          <w:ilvl w:val="0"/>
          <w:numId w:val="2"/>
        </w:numPr>
        <w:rPr/>
      </w:pPr>
      <w:r>
        <w:t>Greater reliance on traditional retail grocery stores than on new direct-to-consumer digital subscription marketing models</w:t>
      </w:r>
      <w:r>
        <w:t xml:space="preserve"> </w:t>
      </w:r>
      <w:r>
        <w:t>(Bruno, 2025)</w:t>
      </w:r>
      <w:r>
        <w:t>.</w:t>
      </w:r>
    </w:p>
    <w:p w14:paraId="240267AA">
      <w:pPr>
        <w:pStyle w:val="style179"/>
        <w:numPr>
          <w:ilvl w:val="0"/>
          <w:numId w:val="2"/>
        </w:numPr>
        <w:rPr/>
      </w:pPr>
      <w:r>
        <w:t>A complex portfolio with marketing management at both value (Clásico) and premium (Gold) levels.</w:t>
      </w:r>
    </w:p>
    <w:p w14:paraId="29D95AB9">
      <w:pPr>
        <w:pStyle w:val="style0"/>
        <w:rPr>
          <w:b/>
          <w:bCs/>
        </w:rPr>
      </w:pPr>
      <w:r>
        <w:rPr>
          <w:b/>
          <w:bCs/>
        </w:rPr>
        <w:t>External Opportunities</w:t>
      </w:r>
    </w:p>
    <w:p w14:paraId="738A5F23">
      <w:pPr>
        <w:pStyle w:val="style179"/>
        <w:numPr>
          <w:ilvl w:val="0"/>
          <w:numId w:val="3"/>
        </w:numPr>
        <w:rPr/>
      </w:pPr>
      <w:r>
        <w:t>Expanding U.S. demand for liquid coffee concentrates ($4.8B market expanding at 6.4% CAGR)</w:t>
      </w:r>
      <w:r>
        <w:t xml:space="preserve"> </w:t>
      </w:r>
      <w:r>
        <w:t>(Garima Sainger and Khan, 2025)</w:t>
      </w:r>
      <w:r>
        <w:t>.</w:t>
      </w:r>
    </w:p>
    <w:p w14:paraId="7717E1CE">
      <w:pPr>
        <w:pStyle w:val="style179"/>
        <w:numPr>
          <w:ilvl w:val="0"/>
          <w:numId w:val="3"/>
        </w:numPr>
        <w:rPr/>
      </w:pPr>
      <w:r>
        <w:t>Macroeconomic cost avoidance driving a pivot toward home brewing (69% daily rate)</w:t>
      </w:r>
      <w:r>
        <w:t xml:space="preserve"> </w:t>
      </w:r>
      <w:r>
        <w:t>(</w:t>
      </w:r>
      <w:r>
        <w:t>Nestlé,</w:t>
      </w:r>
      <w:r>
        <w:t xml:space="preserve"> 2026)</w:t>
      </w:r>
      <w:r>
        <w:t>.</w:t>
      </w:r>
    </w:p>
    <w:p w14:paraId="6681697A">
      <w:pPr>
        <w:pStyle w:val="style179"/>
        <w:numPr>
          <w:ilvl w:val="0"/>
          <w:numId w:val="3"/>
        </w:numPr>
        <w:rPr/>
      </w:pPr>
      <w:r>
        <w:t>Gen Z and Millennial adoption of iced coffee, cold brew, and custom espresso beverages.</w:t>
      </w:r>
    </w:p>
    <w:p w14:paraId="5ECE83D7">
      <w:pPr>
        <w:pStyle w:val="style179"/>
        <w:numPr>
          <w:ilvl w:val="0"/>
          <w:numId w:val="3"/>
        </w:numPr>
        <w:rPr/>
      </w:pPr>
      <w:r>
        <w:t>Expansion of high-margin e-commerce channels and direct-to-consumer digital sales platforms.</w:t>
      </w:r>
    </w:p>
    <w:p w14:paraId="6DBAF736">
      <w:pPr>
        <w:pStyle w:val="style0"/>
        <w:rPr>
          <w:b/>
          <w:bCs/>
        </w:rPr>
      </w:pPr>
      <w:r>
        <w:rPr>
          <w:b/>
          <w:bCs/>
        </w:rPr>
        <w:t>External Threats</w:t>
      </w:r>
    </w:p>
    <w:p w14:paraId="0B893E13">
      <w:pPr>
        <w:pStyle w:val="style179"/>
        <w:numPr>
          <w:ilvl w:val="0"/>
          <w:numId w:val="4"/>
        </w:numPr>
        <w:rPr/>
      </w:pPr>
      <w:r>
        <w:t>Intense price rivalry in traditional ground coffee from low-cost leaders (Folgers) and private label brands.</w:t>
      </w:r>
    </w:p>
    <w:p w14:paraId="5FE61DDE">
      <w:pPr>
        <w:pStyle w:val="style179"/>
        <w:numPr>
          <w:ilvl w:val="0"/>
          <w:numId w:val="4"/>
        </w:numPr>
        <w:rPr/>
      </w:pPr>
      <w:r>
        <w:t>Green coffee commodity price volatility caused by adverse weather and climate change in Brazil and Colombia</w:t>
      </w:r>
      <w:r>
        <w:t xml:space="preserve"> </w:t>
      </w:r>
      <w:r>
        <w:t>(Nestlé, 2024)</w:t>
      </w:r>
      <w:r>
        <w:t>.</w:t>
      </w:r>
    </w:p>
    <w:p w14:paraId="298EE85D">
      <w:pPr>
        <w:pStyle w:val="style179"/>
        <w:numPr>
          <w:ilvl w:val="0"/>
          <w:numId w:val="4"/>
        </w:numPr>
        <w:rPr/>
      </w:pPr>
      <w:r>
        <w:t>Proliferation of boutique "brewless" coffee crystal startups and functional coffee entrants.</w:t>
      </w:r>
    </w:p>
    <w:p w14:paraId="7F201B83">
      <w:pPr>
        <w:pStyle w:val="style179"/>
        <w:numPr>
          <w:ilvl w:val="0"/>
          <w:numId w:val="4"/>
        </w:numPr>
        <w:rPr/>
      </w:pPr>
      <w:r>
        <w:t>High retailer bargaining power control over shelf-space allocation and slotting fees in mass supermarkets</w:t>
      </w:r>
      <w:r>
        <w:t xml:space="preserve"> </w:t>
      </w:r>
      <w:r>
        <w:t>(Petar Reshovski, 2023)</w:t>
      </w:r>
      <w:r>
        <w:t>.</w:t>
      </w:r>
    </w:p>
    <w:bookmarkStart w:id="7" w:name="_Toc237037233"/>
    <w:p w14:paraId="016C359C">
      <w:pPr>
        <w:pStyle w:val="style2"/>
        <w:rPr/>
      </w:pPr>
      <w:r>
        <w:t>1.3 CSR Strategy and Balanced Scorecard</w:t>
      </w:r>
      <w:bookmarkEnd w:id="7"/>
    </w:p>
    <w:bookmarkStart w:id="8" w:name="_Toc237037234"/>
    <w:p w14:paraId="2474C3DD">
      <w:pPr>
        <w:pStyle w:val="style3"/>
        <w:rPr/>
      </w:pPr>
      <w:r>
        <w:t>Corporate Social Responsibility (CSR) Strategy</w:t>
      </w:r>
      <w:bookmarkEnd w:id="8"/>
    </w:p>
    <w:p w14:paraId="7AEA47B4">
      <w:pPr>
        <w:pStyle w:val="style0"/>
        <w:rPr/>
      </w:pPr>
      <w:r>
        <w:t>Nestlé is implementing CSR through an integrated approach, using its Creating Shared Value (CSV) strategy. CSV is doing the right thing, for the social or environmental good, that also supports Nestlé's business.</w:t>
      </w:r>
    </w:p>
    <w:p w14:paraId="56E24513">
      <w:pPr>
        <w:pStyle w:val="style0"/>
        <w:jc w:val="center"/>
        <w:rPr/>
      </w:pPr>
      <w:r>
        <w:rPr>
          <w:noProof/>
        </w:rPr>
        <w:drawing>
          <wp:inline distL="0" distT="0" distB="0" distR="0">
            <wp:extent cx="3654142" cy="3129658"/>
            <wp:effectExtent l="0" t="0" r="3810" b="0"/>
            <wp:docPr id="1033"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9"/>
                    <pic:cNvPicPr/>
                  </pic:nvPicPr>
                  <pic:blipFill>
                    <a:blip r:embed="rId8" cstate="print"/>
                    <a:srcRect l="0" t="0" r="0" b="0"/>
                    <a:stretch/>
                  </pic:blipFill>
                  <pic:spPr>
                    <a:xfrm rot="0">
                      <a:off x="0" y="0"/>
                      <a:ext cx="3654142" cy="3129658"/>
                    </a:xfrm>
                    <a:prstGeom prst="rect"/>
                  </pic:spPr>
                </pic:pic>
              </a:graphicData>
            </a:graphic>
          </wp:inline>
        </w:drawing>
      </w:r>
    </w:p>
    <w:p w14:paraId="573E1956">
      <w:pPr>
        <w:pStyle w:val="style0"/>
        <w:jc w:val="center"/>
        <w:rPr>
          <w:b/>
          <w:bCs/>
          <w:i/>
          <w:iCs/>
        </w:rPr>
      </w:pPr>
      <w:r>
        <w:rPr>
          <w:b/>
          <w:bCs/>
          <w:i/>
          <w:iCs/>
        </w:rPr>
        <w:t>Figure 5: Nestlé Creating Shared Value (Putri and Triyono, 2020)</w:t>
      </w:r>
    </w:p>
    <w:p w14:paraId="6261586C">
      <w:pPr>
        <w:pStyle w:val="style0"/>
        <w:rPr/>
      </w:pPr>
      <w:r>
        <w:t>For instance, Nestlé's goal is to “make the lives of our consumers better” from their food and beverage products. The company's CSV is based on three areas: nutrition, water and supporting communities (rural development)</w:t>
      </w:r>
      <w:r>
        <w:t xml:space="preserve"> </w:t>
      </w:r>
      <w:r>
        <w:t>(Dutta, He and Tsang, 2023)</w:t>
      </w:r>
      <w:r>
        <w:t>. This strategy is closely linked with business goals: Nutrition and health provides brand value, investing in farmer communities helps ensure supply chains, and water stewardship helps to ensure the protection of resources for production</w:t>
      </w:r>
      <w:r>
        <w:t xml:space="preserve"> </w:t>
      </w:r>
      <w:r>
        <w:t>(Dudovskiy, 2023)</w:t>
      </w:r>
      <w:r>
        <w:t>.</w:t>
      </w:r>
    </w:p>
    <w:p w14:paraId="09CDB6C4">
      <w:pPr>
        <w:pStyle w:val="style0"/>
        <w:rPr/>
      </w:pPr>
      <w:r>
        <w:t xml:space="preserve">This is reflected in the specific programmes that Nestlé has for Nescafé. The Nescafé Plan 2030 is one of the most important CSR initiatives. </w:t>
      </w:r>
      <w:r>
        <w:t>Nescafé is assisting coffee cultivators in adopting methods such as enhanced fertilisation, soil coverage, mulching, and composting to boost productivity and save expenses</w:t>
      </w:r>
      <w:r>
        <w:t xml:space="preserve"> </w:t>
      </w:r>
      <w:r>
        <w:t>(Federico Angelo Triolo et al., 2023)</w:t>
      </w:r>
      <w:r>
        <w:t>. The use of these methods is contributing to a decrease in greenhouse gas emissions (GHG) in coffee. In 2024, those involved in the Nescafé Plan accomplished a decrease of 20% to 40% in greenhouse gas emissions per kilogram of green coffee</w:t>
      </w:r>
      <w:r>
        <w:t xml:space="preserve"> </w:t>
      </w:r>
      <w:r>
        <w:t>(Garima Sainger and Khan, 2025)</w:t>
      </w:r>
      <w:r>
        <w:t>.</w:t>
      </w:r>
      <w:r>
        <w:t xml:space="preserve"> </w:t>
      </w:r>
      <w:r>
        <w:t xml:space="preserve">The Nescafé Plan is “an integrated action plan to support a more inclusive future for our coffee value chains,” which includes a number of practices from regenerative agriculture, such as agroforestry, optimized use of fertiliser and more, to help farmers lower their carbon emissions, increase their income and enhance their resilience. Since 2010, Nestlé has </w:t>
      </w:r>
      <w:r>
        <w:t>already been able to distribute more than 330 million plantlets of the disease-resistant coffee, and renovated 150,000 hectares of farms</w:t>
      </w:r>
      <w:r>
        <w:t xml:space="preserve"> </w:t>
      </w:r>
      <w:r>
        <w:t>(Gois, Thomé and Balogh, 2022)</w:t>
      </w:r>
      <w:r>
        <w:t>. The initiatives have boosted productivity (for Nestlé's coffee purchasing) and also addressed consumer and regulatory expectation for sustainability. Nestlé has proven successful through industry recognition: In 2023, Nestlé was named top company in the ‘coffee sustainability’ industry index</w:t>
      </w:r>
      <w:r>
        <w:t xml:space="preserve"> </w:t>
      </w:r>
      <w:r>
        <w:t>(</w:t>
      </w:r>
      <w:r>
        <w:t>Nestlé,</w:t>
      </w:r>
      <w:r>
        <w:t xml:space="preserve"> 2026)</w:t>
      </w:r>
      <w:r>
        <w:t>.</w:t>
      </w:r>
    </w:p>
    <w:p w14:paraId="1CE5DE56">
      <w:pPr>
        <w:pStyle w:val="style0"/>
        <w:rPr/>
      </w:pPr>
      <w:r>
        <w:t xml:space="preserve">To summarize, there is a close linkage between Nestlé's business strategy and its CSR (CSV) strategy. It helps to improve farmer livelihood and environmental practices, which in turn provides a more reliable and </w:t>
      </w:r>
      <w:r>
        <w:t>high-quality</w:t>
      </w:r>
      <w:r>
        <w:t xml:space="preserve"> coffee supply (strength), lowers risk associated with social/environmental issues and improves brand image. That CSR and corporate objectives align, is an example of the competitive way of going about it: solving social problems is a business advantage. A potential weakness is that these CSR programs need to be continued and need to be seen to make a </w:t>
      </w:r>
      <w:r>
        <w:t>bottom-line</w:t>
      </w:r>
      <w:r>
        <w:t xml:space="preserve"> difference to the business of Nestlé and meet stakeholder needs but </w:t>
      </w:r>
      <w:r>
        <w:t>overall,</w:t>
      </w:r>
      <w:r>
        <w:t xml:space="preserve"> the CSR strategy is a strength of Nestlé's strategy.</w:t>
      </w:r>
    </w:p>
    <w:p w14:paraId="0CFE7FFE">
      <w:pPr>
        <w:pStyle w:val="style0"/>
        <w:spacing w:lineRule="auto" w:line="259"/>
        <w:jc w:val="left"/>
        <w:rPr/>
      </w:pPr>
      <w:r>
        <w:br w:type="page"/>
      </w:r>
    </w:p>
    <w:bookmarkStart w:id="9" w:name="_Toc237037235"/>
    <w:p w14:paraId="525ED9E0">
      <w:pPr>
        <w:pStyle w:val="style3"/>
        <w:rPr/>
      </w:pPr>
      <w:r>
        <w:t>Balanced Scorecard Perspective Analysis</w:t>
      </w:r>
      <w:bookmarkEnd w:id="9"/>
    </w:p>
    <w:p w14:paraId="1EB53DDB">
      <w:pPr>
        <w:pStyle w:val="style0"/>
        <w:rPr/>
      </w:pPr>
      <w:r>
        <w:t>The Balanced Scorecard (BSC) framework can be used to help track both the financial and non-financial objectives of Nestlé to manage performance. The four perspectives (Financial, Customer, Internal Process, Learning &amp; Growth) each have strategic objectives, KPIs, targets and initiatives</w:t>
      </w:r>
      <w:r>
        <w:t xml:space="preserve"> </w:t>
      </w:r>
      <w:r>
        <w:t>(Lynch, 2021)</w:t>
      </w:r>
      <w:r>
        <w:t>. These should be in line with Nestlé's mission and strategy in Nescafé.</w:t>
      </w:r>
    </w:p>
    <w:p w14:paraId="07C4DDE1">
      <w:pPr>
        <w:pStyle w:val="style0"/>
        <w:jc w:val="center"/>
        <w:rPr/>
      </w:pPr>
      <w:r>
        <w:rPr>
          <w:noProof/>
        </w:rPr>
        <w:drawing>
          <wp:inline distL="0" distT="0" distB="0" distR="0">
            <wp:extent cx="4486910" cy="2271790"/>
            <wp:effectExtent l="0" t="0" r="0" b="0"/>
            <wp:docPr id="1034" name="Picture 10" descr="Balanced Scorecard Model (Traditional BSC). Sources: Kaplan and Norton,...  | Download Scientific Diagram"/>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0"/>
                    <pic:cNvPicPr/>
                  </pic:nvPicPr>
                  <pic:blipFill>
                    <a:blip r:embed="rId9" cstate="print"/>
                    <a:srcRect l="0" t="0" r="0" b="0"/>
                    <a:stretch/>
                  </pic:blipFill>
                  <pic:spPr>
                    <a:xfrm rot="0">
                      <a:off x="0" y="0"/>
                      <a:ext cx="4486910" cy="2271790"/>
                    </a:xfrm>
                    <a:prstGeom prst="rect"/>
                    <a:ln>
                      <a:noFill/>
                    </a:ln>
                  </pic:spPr>
                </pic:pic>
              </a:graphicData>
            </a:graphic>
          </wp:inline>
        </w:drawing>
      </w:r>
    </w:p>
    <w:p w14:paraId="56A26671">
      <w:pPr>
        <w:pStyle w:val="style0"/>
        <w:jc w:val="center"/>
        <w:rPr>
          <w:b/>
          <w:bCs/>
          <w:i/>
          <w:iCs/>
        </w:rPr>
      </w:pPr>
      <w:r>
        <w:rPr>
          <w:b/>
          <w:bCs/>
          <w:i/>
          <w:iCs/>
        </w:rPr>
        <w:t>Figure 6: Balanced Scorecard Model (Sardjono, Selviyanti and Perdana, 2020)</w:t>
      </w:r>
    </w:p>
    <w:p w14:paraId="2D181980">
      <w:pPr>
        <w:pStyle w:val="style0"/>
        <w:rPr>
          <w:b/>
          <w:bCs/>
        </w:rPr>
      </w:pPr>
      <w:r>
        <w:rPr>
          <w:b/>
          <w:bCs/>
        </w:rPr>
        <w:t>Financial Perspective</w:t>
      </w:r>
    </w:p>
    <w:p w14:paraId="0BD837A0">
      <w:pPr>
        <w:pStyle w:val="style0"/>
        <w:rPr/>
      </w:pPr>
      <w:r>
        <w:t>The goals for Nescafé are to increase their revenue, return on investment and profit. Annual sales growth rate and margin percentage are examples of KPIs. For instance, Nestlé North America coffee sales grew with a 10.7% 3-year CAGR</w:t>
      </w:r>
      <w:r>
        <w:t xml:space="preserve"> </w:t>
      </w:r>
      <w:r>
        <w:t>(Mordor Intelligence, 2026)</w:t>
      </w:r>
      <w:r>
        <w:t>. The goal may be to grow revenue by 5% per year, and to maintain the operating margin at a steady level (e.g., ~16%)</w:t>
      </w:r>
      <w:r>
        <w:t xml:space="preserve"> </w:t>
      </w:r>
      <w:r>
        <w:t>(Patil, 2026)</w:t>
      </w:r>
      <w:r>
        <w:t>. Examples of initiatives are cost-saving programs (Nestlé's “Fuel for Growth” saved CHF1.1 billion in 2025) and new products (e.g., premium Nescafé flavors)</w:t>
      </w:r>
      <w:r>
        <w:t xml:space="preserve"> </w:t>
      </w:r>
      <w:r>
        <w:t>(Neilson and Biénabe, 2026)</w:t>
      </w:r>
      <w:r>
        <w:t>. These are all tracked to ensure profitability allows reinvestments to be made.</w:t>
      </w:r>
    </w:p>
    <w:p w14:paraId="5D6965CD">
      <w:pPr>
        <w:pStyle w:val="style0"/>
        <w:rPr>
          <w:b/>
          <w:bCs/>
        </w:rPr>
      </w:pPr>
      <w:r>
        <w:rPr>
          <w:b/>
          <w:bCs/>
        </w:rPr>
        <w:t>Customer Perspective</w:t>
      </w:r>
    </w:p>
    <w:p w14:paraId="745A4C27">
      <w:pPr>
        <w:pStyle w:val="style0"/>
        <w:rPr/>
      </w:pPr>
      <w:r>
        <w:t xml:space="preserve">Consumer satisfaction, market share, and brand loyalty are objectives. Key KPIs could be Nescafé’s market share in relevant segments (e.g., instant coffee) and customer satisfaction/Net Promoter Score. Today, Nestlé accounts for ~35% of in-home consumption of coffee, and there is a target to grow this. Other KPI's: distribution coverage (percentage of stores that carry Nescafé), Online engagement metrics, or </w:t>
      </w:r>
      <w:r>
        <w:t>loyalty program participation</w:t>
      </w:r>
      <w:r>
        <w:t xml:space="preserve"> </w:t>
      </w:r>
      <w:r>
        <w:t>(Rebollo-Hernanz et al., 2023)</w:t>
      </w:r>
      <w:r>
        <w:t>. These can take the form of marketing campaigns (such as Nescafé's “Right Sachet for the Life You Choose” campaign) as well as product improvements. The idea is that good customer numbers result in repeat buying and high prices.</w:t>
      </w:r>
    </w:p>
    <w:p w14:paraId="73A98D6A">
      <w:pPr>
        <w:pStyle w:val="style0"/>
        <w:rPr>
          <w:b/>
          <w:bCs/>
        </w:rPr>
      </w:pPr>
      <w:r>
        <w:rPr>
          <w:b/>
          <w:bCs/>
        </w:rPr>
        <w:t>Internal Business Process Perspective</w:t>
      </w:r>
    </w:p>
    <w:p w14:paraId="6CDB58C3">
      <w:pPr>
        <w:pStyle w:val="style0"/>
        <w:rPr/>
      </w:pPr>
      <w:r>
        <w:t>Objectives include: Operational efficiency, Innovation processes, Quality. Any KPIs would be related to new product development (e.g., new Nescafé SKUs per year), production efficiency (e.g., units produced per labour hour), or supply-chain indicators (e.g., percentage of coffee certified sustainable). For instance, Nestlé's ongoing innovation is demonstrated in recent offerings such as Nescafé Gold Rich Caramel and Smooth Vanilla (sugar-free)</w:t>
      </w:r>
      <w:r>
        <w:t xml:space="preserve"> </w:t>
      </w:r>
      <w:r>
        <w:t>(Datta, 2020)</w:t>
      </w:r>
      <w:r>
        <w:t>. The goals could include bringing in a certain number of new variants each year, or increasing the cost efficiency of the supply chain by X%</w:t>
      </w:r>
      <w:r>
        <w:t xml:space="preserve"> </w:t>
      </w:r>
      <w:r>
        <w:t>(Shi, 2023)</w:t>
      </w:r>
      <w:r>
        <w:t>. The investments here relate to R&amp;D, which, at Nestlé, stood at 1.8% of sales in 2025, and lean manufacturing projects</w:t>
      </w:r>
      <w:r>
        <w:t xml:space="preserve"> </w:t>
      </w:r>
      <w:r>
        <w:t>(Rodgers, 2024)</w:t>
      </w:r>
      <w:r>
        <w:t>. Processes are efficient, and products are quality and available to meet customer and financial needs.</w:t>
      </w:r>
    </w:p>
    <w:p w14:paraId="4D956A1F">
      <w:pPr>
        <w:pStyle w:val="style0"/>
        <w:rPr>
          <w:b/>
          <w:bCs/>
        </w:rPr>
      </w:pPr>
      <w:r>
        <w:rPr>
          <w:b/>
          <w:bCs/>
        </w:rPr>
        <w:t>Learning &amp; Growth (Organisational Capacity)</w:t>
      </w:r>
    </w:p>
    <w:p w14:paraId="5770C448">
      <w:pPr>
        <w:pStyle w:val="style0"/>
        <w:rPr/>
      </w:pPr>
      <w:r>
        <w:t>Objectives are linked to the skill of the employees, the culture of the company and the ability to build the company. Training hours per employee, employee engagement scores, or R&amp;D productivity measures could be used as KPIs. The focus on training suppliers and employees adds to this. For instance, Nestlé has agronomists teach farmers on good agricultural practices this is not only process improvement but learning</w:t>
      </w:r>
      <w:r>
        <w:t xml:space="preserve"> </w:t>
      </w:r>
      <w:r>
        <w:t>(Petar Reshovski, 2023)</w:t>
      </w:r>
      <w:r>
        <w:t>.</w:t>
      </w:r>
      <w:r>
        <w:t xml:space="preserve"> </w:t>
      </w:r>
      <w:r>
        <w:t>Target settings can be based on achieving full certification of relevant personnel regarding sustainable practice or a proportion of new product sales (which is indicative of the success of R&amp;D)</w:t>
      </w:r>
      <w:r>
        <w:t xml:space="preserve"> </w:t>
      </w:r>
      <w:r>
        <w:t>(Neilson and BIENABE, 2025)</w:t>
      </w:r>
      <w:r>
        <w:t>. Initiatives include workforce development programs and leadership development. Nestlé can build its capability to sustain innovation and adaptation, such as training marketers to upskill in ecommerce skills to achieve the target of getting that 35% penetration</w:t>
      </w:r>
      <w:r>
        <w:t xml:space="preserve"> </w:t>
      </w:r>
      <w:r>
        <w:t>(Rebollo-Hernanz et al., 2023)</w:t>
      </w:r>
      <w:r>
        <w:t>.</w:t>
      </w:r>
    </w:p>
    <w:p w14:paraId="4A4AD457">
      <w:pPr>
        <w:pStyle w:val="style0"/>
        <w:rPr/>
      </w:pPr>
      <w:r>
        <w:t xml:space="preserve">Theory of the Balanced Scorecard will emphasize that indeed financial and customer benefits are results of good internal processes and organisation learning. To Nestlé, it's about a virtuous cycle: invest in people and processes (Learning/Growth, Internal) </w:t>
      </w:r>
      <w:r>
        <w:t>to develop great products and services (Customer) to deliver financial results. If BSC metrics are to be linked to Nestlé's mission, indicators of health-related product development and sustainability are to be tracked for each of the perspectives.</w:t>
      </w:r>
    </w:p>
    <w:bookmarkStart w:id="10" w:name="_Toc237037236"/>
    <w:p w14:paraId="09BCD474">
      <w:pPr>
        <w:pStyle w:val="style2"/>
        <w:rPr/>
      </w:pPr>
      <w:r>
        <w:t>1.4 Strategic Choices and Implementation</w:t>
      </w:r>
      <w:bookmarkEnd w:id="10"/>
    </w:p>
    <w:bookmarkStart w:id="11" w:name="_Toc237037237"/>
    <w:p w14:paraId="55491518">
      <w:pPr>
        <w:pStyle w:val="style3"/>
        <w:rPr/>
      </w:pPr>
      <w:r>
        <w:t>Business-Level Strategies: D</w:t>
      </w:r>
      <w:r>
        <w:t>ifferentiation</w:t>
      </w:r>
      <w:bookmarkEnd w:id="11"/>
    </w:p>
    <w:p w14:paraId="3CC0F9D5">
      <w:pPr>
        <w:pStyle w:val="style0"/>
        <w:rPr/>
      </w:pPr>
      <w:r>
        <w:t>At a business unit level (coffee/Nescafé), Nestlé has the option to implement one of Porter's generic strategies: cost leadership, differentiation, or focus. Nescafé's context implies that differentiation is relevant. There is a wide variety of Nestlé coffees available, but it is their reputation, quality and sustainability that sets them apart</w:t>
      </w:r>
      <w:r>
        <w:t xml:space="preserve"> </w:t>
      </w:r>
      <w:r>
        <w:t>(Mare, 2024)</w:t>
      </w:r>
      <w:r>
        <w:t>. The company's differentiation is based on product quality (e.g., new flavors) and ethical sourcing. Meanwhile, Nestlé's size also provides it with cost benefits (which is a quasi-hybrid strategy) but branding is its main attraction. Some examples include Nestlé's Nescafé Gold which is a high-quality instant coffee. Some product lines (such as organic coffee) may benefit from a focus strategy as well</w:t>
      </w:r>
      <w:r>
        <w:t xml:space="preserve"> </w:t>
      </w:r>
      <w:r>
        <w:t>(Lynch, 2021)</w:t>
      </w:r>
      <w:r>
        <w:t>.</w:t>
      </w:r>
    </w:p>
    <w:bookmarkStart w:id="12" w:name="_Toc237037238"/>
    <w:p w14:paraId="5CCB7418">
      <w:pPr>
        <w:pStyle w:val="style3"/>
        <w:rPr/>
      </w:pPr>
      <w:r>
        <w:t>Five Forces and Ansoff’s Matrix Analysis</w:t>
      </w:r>
      <w:bookmarkEnd w:id="12"/>
    </w:p>
    <w:p w14:paraId="0431B5A8">
      <w:pPr>
        <w:pStyle w:val="style0"/>
        <w:rPr/>
      </w:pPr>
      <w:r>
        <w:t>Porter’s Five Forces helps validate strategic direction. In the US coffee market:</w:t>
      </w:r>
    </w:p>
    <w:p w14:paraId="0212A7F4">
      <w:pPr>
        <w:pStyle w:val="style0"/>
        <w:jc w:val="center"/>
        <w:rPr/>
      </w:pPr>
      <w:r>
        <w:rPr>
          <w:noProof/>
        </w:rPr>
        <w:drawing>
          <wp:inline distL="0" distT="0" distB="0" distR="0">
            <wp:extent cx="4208780" cy="2805061"/>
            <wp:effectExtent l="0" t="0" r="1270" b="0"/>
            <wp:docPr id="1035"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1"/>
                    <pic:cNvPicPr/>
                  </pic:nvPicPr>
                  <pic:blipFill>
                    <a:blip r:embed="rId10" cstate="print"/>
                    <a:srcRect l="0" t="0" r="0" b="0"/>
                    <a:stretch/>
                  </pic:blipFill>
                  <pic:spPr>
                    <a:xfrm rot="0">
                      <a:off x="0" y="0"/>
                      <a:ext cx="4208780" cy="2805061"/>
                    </a:xfrm>
                    <a:prstGeom prst="rect"/>
                  </pic:spPr>
                </pic:pic>
              </a:graphicData>
            </a:graphic>
          </wp:inline>
        </w:drawing>
      </w:r>
    </w:p>
    <w:p w14:paraId="5D2EF585">
      <w:pPr>
        <w:pStyle w:val="style0"/>
        <w:jc w:val="center"/>
        <w:rPr>
          <w:b/>
          <w:bCs/>
          <w:i/>
          <w:iCs/>
        </w:rPr>
      </w:pPr>
      <w:r>
        <w:rPr>
          <w:b/>
          <w:bCs/>
          <w:i/>
          <w:iCs/>
        </w:rPr>
        <w:t>Figure 7: Porter's Five Forces Analysis (Dudovskiy, 2017)</w:t>
      </w:r>
    </w:p>
    <w:p w14:paraId="20C1FEC7">
      <w:pPr>
        <w:pStyle w:val="style0"/>
        <w:rPr/>
      </w:pPr>
      <w:r>
        <w:rPr>
          <w:b/>
          <w:bCs/>
        </w:rPr>
        <w:t>Rivalry is intense</w:t>
      </w:r>
      <w:r>
        <w:t>. There are many strong competitors (Starbucks, Dunkin’, Kraft/JDE, Keurig/Green Mountain, private labels)</w:t>
      </w:r>
      <w:r>
        <w:t xml:space="preserve"> </w:t>
      </w:r>
      <w:r>
        <w:t>(Jin, 2023)</w:t>
      </w:r>
      <w:r>
        <w:t>. This high rivalry forces innovation and marketing to maintain share.</w:t>
      </w:r>
    </w:p>
    <w:p w14:paraId="4D57E88B">
      <w:pPr>
        <w:pStyle w:val="style0"/>
        <w:rPr/>
      </w:pPr>
      <w:r>
        <w:rPr>
          <w:b/>
          <w:bCs/>
        </w:rPr>
        <w:t>Buyer power is moderate to high</w:t>
      </w:r>
      <w:r>
        <w:t>. Retailers (supermarkets, online platforms) have many supplier choices and could switch if terms improve elsewhere</w:t>
      </w:r>
      <w:r>
        <w:t xml:space="preserve"> </w:t>
      </w:r>
      <w:r>
        <w:t>(Gois, Thomé and Balogh, 2022)</w:t>
      </w:r>
      <w:r>
        <w:t>. Consumers have alternatives (coffee, tea, drinks) and are price-sensitive at commodity levels.</w:t>
      </w:r>
    </w:p>
    <w:p w14:paraId="4080FB95">
      <w:pPr>
        <w:pStyle w:val="style0"/>
        <w:rPr/>
      </w:pPr>
      <w:r>
        <w:rPr>
          <w:b/>
          <w:bCs/>
        </w:rPr>
        <w:t>Supplier power is moderate</w:t>
      </w:r>
      <w:r>
        <w:t>. Coffee bean growers are numerous, but climate risks make supply concentrated in few countries. Nestlé’s investment in farmer programs reduces some supplier power, but poor harvests globally could give growers more bargaining power (higher prices)</w:t>
      </w:r>
      <w:r>
        <w:t xml:space="preserve"> </w:t>
      </w:r>
      <w:r>
        <w:t>(Garima Sainger and Khan, 2025)</w:t>
      </w:r>
      <w:r>
        <w:t>.</w:t>
      </w:r>
    </w:p>
    <w:p w14:paraId="2F4049DD">
      <w:pPr>
        <w:pStyle w:val="style0"/>
        <w:rPr/>
      </w:pPr>
      <w:r>
        <w:rPr>
          <w:b/>
          <w:bCs/>
        </w:rPr>
        <w:t>Threat of new entrants is low</w:t>
      </w:r>
      <w:r>
        <w:t>. Building a brand at Nestlé’s scale and distribution reach is difficult. Entry requires large capital and years to develop brand trust, so few competitors will emerge to challenge Nestlé’s core instant coffee business</w:t>
      </w:r>
      <w:r>
        <w:t xml:space="preserve"> </w:t>
      </w:r>
      <w:r>
        <w:t>(Federico Angelo Triolo et al., 2023)</w:t>
      </w:r>
      <w:r>
        <w:t>.</w:t>
      </w:r>
    </w:p>
    <w:p w14:paraId="27B184E1">
      <w:pPr>
        <w:pStyle w:val="style0"/>
        <w:rPr/>
      </w:pPr>
      <w:r>
        <w:rPr>
          <w:b/>
          <w:bCs/>
        </w:rPr>
        <w:t>Threat of substitutes is moderate</w:t>
      </w:r>
      <w:r>
        <w:t>. Other beverages (tea, energy drinks, chocolate) and out-of-home coffee (cafés) are substitutes. The long-term trend shows more people drinking coffee outside, which competes with at-home products.</w:t>
      </w:r>
    </w:p>
    <w:p w14:paraId="201E9B66">
      <w:pPr>
        <w:pStyle w:val="style0"/>
        <w:rPr/>
      </w:pPr>
      <w:r>
        <w:t>Ansoff’s Matrix explores growth options. For Nescafé in the USA, relevant strategies include:</w:t>
      </w:r>
    </w:p>
    <w:p w14:paraId="7A560287">
      <w:pPr>
        <w:pStyle w:val="style0"/>
        <w:jc w:val="center"/>
        <w:rPr/>
      </w:pPr>
      <w:r>
        <w:rPr>
          <w:noProof/>
        </w:rPr>
        <w:drawing>
          <wp:inline distL="0" distT="0" distB="0" distR="0">
            <wp:extent cx="3390900" cy="3028950"/>
            <wp:effectExtent l="0" t="0" r="0" b="0"/>
            <wp:docPr id="1036"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2"/>
                    <pic:cNvPicPr/>
                  </pic:nvPicPr>
                  <pic:blipFill>
                    <a:blip r:embed="rId11" cstate="print"/>
                    <a:srcRect l="0" t="0" r="0" b="0"/>
                    <a:stretch/>
                  </pic:blipFill>
                  <pic:spPr>
                    <a:xfrm rot="0">
                      <a:off x="0" y="0"/>
                      <a:ext cx="3390900" cy="3028950"/>
                    </a:xfrm>
                    <a:prstGeom prst="rect"/>
                    <a:ln>
                      <a:noFill/>
                    </a:ln>
                  </pic:spPr>
                </pic:pic>
              </a:graphicData>
            </a:graphic>
          </wp:inline>
        </w:drawing>
      </w:r>
    </w:p>
    <w:p w14:paraId="00B84882">
      <w:pPr>
        <w:pStyle w:val="style0"/>
        <w:jc w:val="center"/>
        <w:rPr>
          <w:b/>
          <w:bCs/>
          <w:i/>
          <w:iCs/>
        </w:rPr>
      </w:pPr>
      <w:r>
        <w:rPr>
          <w:b/>
          <w:bCs/>
          <w:i/>
          <w:iCs/>
        </w:rPr>
        <w:t>Figure 8: Ansoff Matrix (Dudovskiy, 2023)</w:t>
      </w:r>
    </w:p>
    <w:p w14:paraId="31FD5D25">
      <w:pPr>
        <w:pStyle w:val="style0"/>
        <w:rPr>
          <w:b/>
          <w:bCs/>
        </w:rPr>
      </w:pPr>
      <w:r>
        <w:rPr>
          <w:b/>
          <w:bCs/>
        </w:rPr>
        <w:t>Market Penetration</w:t>
      </w:r>
    </w:p>
    <w:p w14:paraId="5902B85E">
      <w:pPr>
        <w:pStyle w:val="style0"/>
        <w:rPr/>
      </w:pPr>
      <w:r>
        <w:t>Increase market share of current products in existing markets. This may include intensive marketing, promotion or distribution. Nestlé may look to steal share from competitors (e.g., emphasising the sustainability of Nescafé or promoting it in-store)</w:t>
      </w:r>
      <w:r>
        <w:t xml:space="preserve"> </w:t>
      </w:r>
      <w:r>
        <w:t>(Dutta, He and Tsang, 2023)</w:t>
      </w:r>
      <w:r>
        <w:t>.</w:t>
      </w:r>
    </w:p>
    <w:p w14:paraId="20700696">
      <w:pPr>
        <w:pStyle w:val="style0"/>
        <w:rPr>
          <w:b/>
          <w:bCs/>
        </w:rPr>
      </w:pPr>
      <w:r>
        <w:rPr>
          <w:b/>
          <w:bCs/>
        </w:rPr>
        <w:t>Product Development</w:t>
      </w:r>
    </w:p>
    <w:p w14:paraId="55F8CB8A">
      <w:pPr>
        <w:pStyle w:val="style0"/>
        <w:rPr/>
      </w:pPr>
      <w:r>
        <w:t>Expand into existing market with new products. This is a strategy that they are already following for example, recent introductions such as Nestlé Nescafé Gold Rich Caramel and Smooth Vanilla (sugar free)</w:t>
      </w:r>
      <w:r>
        <w:t xml:space="preserve"> </w:t>
      </w:r>
      <w:r>
        <w:t>(Dudovskiy, 2023)</w:t>
      </w:r>
      <w:r>
        <w:t>. Continuing to develop flavors, convenient formats (instant pods, ready-to-drink coffee) fits this strategy.</w:t>
      </w:r>
    </w:p>
    <w:p w14:paraId="1743E63B">
      <w:pPr>
        <w:pStyle w:val="style0"/>
        <w:rPr>
          <w:b/>
          <w:bCs/>
        </w:rPr>
      </w:pPr>
      <w:r>
        <w:rPr>
          <w:b/>
          <w:bCs/>
        </w:rPr>
        <w:t>Market Development</w:t>
      </w:r>
    </w:p>
    <w:p w14:paraId="24AAA829">
      <w:pPr>
        <w:pStyle w:val="style0"/>
        <w:rPr/>
      </w:pPr>
      <w:r>
        <w:t>Sell current products to new market segments or geographies. It could be new audiences (e.g., launching marketing campaigns on social media or partnering with trendy brands) and new channels</w:t>
      </w:r>
      <w:r>
        <w:t xml:space="preserve"> </w:t>
      </w:r>
      <w:r>
        <w:t>(Bartsch and Pantoja, 2025)</w:t>
      </w:r>
      <w:r>
        <w:t xml:space="preserve">. </w:t>
      </w:r>
      <w:r>
        <w:t>For instance, Nestlé's agreement with Starbucks (Starbucks branding of packaged coffee) reached into Starbucks' purview of loyal customers.</w:t>
      </w:r>
    </w:p>
    <w:p w14:paraId="62283336">
      <w:pPr>
        <w:pStyle w:val="style0"/>
        <w:rPr>
          <w:b/>
          <w:bCs/>
        </w:rPr>
      </w:pPr>
      <w:r>
        <w:rPr>
          <w:b/>
          <w:bCs/>
        </w:rPr>
        <w:t>Diversification</w:t>
      </w:r>
    </w:p>
    <w:p w14:paraId="47223A11">
      <w:pPr>
        <w:pStyle w:val="style0"/>
        <w:rPr/>
      </w:pPr>
      <w:r>
        <w:t>New product in new market. Nescafé might expand into nearby markets such as coffee machines that are branded with the name of Nescafé or coffee flavored snacks, but these markets are riskier</w:t>
      </w:r>
      <w:r>
        <w:t xml:space="preserve"> </w:t>
      </w:r>
      <w:r>
        <w:t>(Baldwin, 2024)</w:t>
      </w:r>
      <w:r>
        <w:t>. Nestlé's diversification in related areas in the past (partnership with Kraft in peanut butter, Nestlé toll house cookies) is likely to continue, but growth for Nescafé remains in coffee.</w:t>
      </w:r>
    </w:p>
    <w:bookmarkStart w:id="13" w:name="_Toc237037239"/>
    <w:p w14:paraId="1E8EF6B6">
      <w:pPr>
        <w:pStyle w:val="style3"/>
        <w:rPr/>
      </w:pPr>
      <w:r>
        <w:t>Recommended Strategy and Implementation</w:t>
      </w:r>
      <w:bookmarkEnd w:id="13"/>
    </w:p>
    <w:p w14:paraId="67C33DDA">
      <w:pPr>
        <w:pStyle w:val="style0"/>
        <w:rPr/>
      </w:pPr>
      <w:r>
        <w:t>The strategy suggested for Nescafé in the USA is a differentiation strategy with premiumization and sustainability, with a targeted market expansion. It means to continue to sell Nescafé not only as a traditional instant coffee product, but as a quality and innovative coffee product. Actions include:</w:t>
      </w:r>
    </w:p>
    <w:p w14:paraId="22392D0F">
      <w:pPr>
        <w:pStyle w:val="style0"/>
        <w:rPr/>
      </w:pPr>
      <w:r>
        <w:rPr>
          <w:b/>
          <w:bCs/>
        </w:rPr>
        <w:t>Innovation and Product Leadership:</w:t>
      </w:r>
      <w:r>
        <w:t xml:space="preserve"> Expand on new Nescafé products (specialty, healthier, single serve) to meet specialty trends. For instance, high quality instant lines, such as “craft instant”, or convenience innovations, like barista quality pods</w:t>
      </w:r>
      <w:r>
        <w:t xml:space="preserve"> </w:t>
      </w:r>
      <w:r>
        <w:t>(Singh et al., 2021)</w:t>
      </w:r>
      <w:r>
        <w:t>.</w:t>
      </w:r>
    </w:p>
    <w:p w14:paraId="53BB642B">
      <w:pPr>
        <w:pStyle w:val="style0"/>
        <w:rPr/>
      </w:pPr>
      <w:r>
        <w:rPr>
          <w:b/>
          <w:bCs/>
        </w:rPr>
        <w:t>Sustainability Branding</w:t>
      </w:r>
      <w:r>
        <w:rPr>
          <w:b/>
          <w:bCs/>
        </w:rPr>
        <w:t>:</w:t>
      </w:r>
      <w:r>
        <w:t xml:space="preserve"> </w:t>
      </w:r>
      <w:r>
        <w:t>Use Nescafé Plan as a marketing tool. Ethically sourced coffee is a more valuable product for consumer</w:t>
      </w:r>
      <w:r>
        <w:t>s.</w:t>
      </w:r>
    </w:p>
    <w:p w14:paraId="346034B4">
      <w:pPr>
        <w:pStyle w:val="style0"/>
        <w:rPr/>
      </w:pPr>
      <w:r>
        <w:rPr>
          <w:b/>
          <w:bCs/>
        </w:rPr>
        <w:t>Channel Expansion:</w:t>
      </w:r>
      <w:r>
        <w:t xml:space="preserve"> </w:t>
      </w:r>
      <w:r>
        <w:t>Tackle e-commerce and other alternative channels of retail. Nestlé already has 35% online sales in North America’s coffee, which could grow by focusing on digital marketing and subscriptions (coffee delivery)</w:t>
      </w:r>
      <w:r>
        <w:t xml:space="preserve"> </w:t>
      </w:r>
      <w:r>
        <w:t>(Rothaermel, 2024)</w:t>
      </w:r>
      <w:r>
        <w:t>.</w:t>
      </w:r>
    </w:p>
    <w:p w14:paraId="0642937B">
      <w:pPr>
        <w:pStyle w:val="style0"/>
        <w:rPr/>
      </w:pPr>
      <w:r>
        <w:rPr>
          <w:b/>
          <w:bCs/>
        </w:rPr>
        <w:t>Cost and Efficiency:</w:t>
      </w:r>
      <w:r>
        <w:t xml:space="preserve"> </w:t>
      </w:r>
      <w:r>
        <w:t>Continue to be cost leader in the production of basic products to provide competitive pricing. Utilize instruments such as Nestlé's “Fuel for Growth” (continue cost-saving programmes) to enable profits to support differentiation</w:t>
      </w:r>
      <w:r>
        <w:t xml:space="preserve"> </w:t>
      </w:r>
      <w:r>
        <w:t>(Rodgers, 2024)</w:t>
      </w:r>
      <w:r>
        <w:t>.</w:t>
      </w:r>
    </w:p>
    <w:p w14:paraId="4D24DDEF">
      <w:pPr>
        <w:pStyle w:val="style0"/>
        <w:rPr/>
      </w:pPr>
      <w:r>
        <w:rPr>
          <w:b/>
          <w:bCs/>
        </w:rPr>
        <w:t>Strategic Partnerships:</w:t>
      </w:r>
      <w:r>
        <w:t xml:space="preserve"> </w:t>
      </w:r>
      <w:r>
        <w:t>Expand partnerships such as Starbucks. Perhaps partner with other coffee companies or websites to co-brand Nescafé, and gain new customers.</w:t>
      </w:r>
    </w:p>
    <w:p w14:paraId="20691F5E">
      <w:pPr>
        <w:pStyle w:val="style0"/>
        <w:rPr/>
      </w:pPr>
      <w:r>
        <w:rPr>
          <w:b/>
          <w:bCs/>
        </w:rPr>
        <w:t>Customer Engagement:</w:t>
      </w:r>
      <w:r>
        <w:t xml:space="preserve"> </w:t>
      </w:r>
      <w:r>
        <w:t>Use lifestyle marketing for a younger target group. For instance, involve social boffins or initiate a new ‘Nescafé Creators’ challenge for coffee creations</w:t>
      </w:r>
      <w:r>
        <w:t xml:space="preserve"> </w:t>
      </w:r>
      <w:r>
        <w:t>(Renard, 2022)</w:t>
      </w:r>
      <w:r>
        <w:t>. This is to counter the threat of Gen Z trends by making instant coffee trendy.</w:t>
      </w:r>
    </w:p>
    <w:p w14:paraId="4D962C7E">
      <w:pPr>
        <w:pStyle w:val="style0"/>
        <w:rPr>
          <w:b/>
          <w:bCs/>
        </w:rPr>
      </w:pPr>
      <w:r>
        <w:rPr>
          <w:b/>
          <w:bCs/>
        </w:rPr>
        <w:t>Potential implementation challenges include:</w:t>
      </w:r>
    </w:p>
    <w:p w14:paraId="4E1A16E7">
      <w:pPr>
        <w:pStyle w:val="style0"/>
        <w:rPr/>
      </w:pPr>
      <w:r>
        <w:rPr>
          <w:b/>
          <w:bCs/>
        </w:rPr>
        <w:t>Changing Consumer Behavior:</w:t>
      </w:r>
      <w:r>
        <w:t xml:space="preserve"> It's hard to reverse the trend of the image of instant coffee, particularly amongst young people. Nestlé may require a continued marketing campaign and possibly a rebranded campaign to demonstrate that instant coffee is modern</w:t>
      </w:r>
      <w:r>
        <w:t xml:space="preserve"> </w:t>
      </w:r>
      <w:r>
        <w:t>(Putri and Triyono, 2020)</w:t>
      </w:r>
      <w:r>
        <w:t>. Mitigation: Partner with cool brands or become part of a “craft instant” program (like Nescafé did with specialty roasters in the UK).</w:t>
      </w:r>
    </w:p>
    <w:p w14:paraId="2AFFAF10">
      <w:pPr>
        <w:pStyle w:val="style0"/>
        <w:rPr/>
      </w:pPr>
      <w:r>
        <w:rPr>
          <w:b/>
          <w:bCs/>
        </w:rPr>
        <w:t>Supply Chain Constraints:</w:t>
      </w:r>
      <w:r>
        <w:t xml:space="preserve"> Growing the volume (more products or channels) may stress the suppliers if they have to keep up with sustainability standards. Mitigation: Keep investing in farmer programs, which involve education, better plantlets, and so on, to improve yield and stability</w:t>
      </w:r>
      <w:r>
        <w:t xml:space="preserve"> </w:t>
      </w:r>
      <w:r>
        <w:t>(Petar Reshovski, 2023)</w:t>
      </w:r>
      <w:r>
        <w:t>. Diversify suppliers geographically to reduce climate risk.</w:t>
      </w:r>
    </w:p>
    <w:p w14:paraId="77F0A1DB">
      <w:pPr>
        <w:pStyle w:val="style0"/>
        <w:rPr/>
      </w:pPr>
      <w:r>
        <w:rPr>
          <w:b/>
          <w:bCs/>
        </w:rPr>
        <w:t>Cost vs Differentiation Balance:</w:t>
      </w:r>
      <w:r>
        <w:t xml:space="preserve"> It is possible that the increase in product quality and sustainability will come at a price, but Nestlé can still compete on price. Mitigation: Target premiums for higher margin, target lower end products using scale to keep </w:t>
      </w:r>
      <w:r>
        <w:t>them affordable</w:t>
      </w:r>
      <w:r>
        <w:t xml:space="preserve"> </w:t>
      </w:r>
      <w:r>
        <w:t>(Oviedo-Rodríguez, Jansen and Vellema, 2025)</w:t>
      </w:r>
      <w:r>
        <w:t>. Efficient operations, such as Nestlé's ongoing cost reduction, also play a part.</w:t>
      </w:r>
    </w:p>
    <w:p w14:paraId="21C27284">
      <w:pPr>
        <w:pStyle w:val="style0"/>
        <w:rPr/>
      </w:pPr>
      <w:r>
        <w:rPr>
          <w:b/>
          <w:bCs/>
        </w:rPr>
        <w:t>Organisational Alignment:</w:t>
      </w:r>
      <w:r>
        <w:t xml:space="preserve"> In a large organisation, there may be challenges in making sure all the business units and partners implement the strategy consistently (R&amp;D, marketing, CSR teams). Mitigation: Have internal cascading of objectives and KPIs for each department using the Balanced Scorecard approach, for instance, aligning R&amp;D objectives with marketing objectives for differentiation</w:t>
      </w:r>
      <w:r>
        <w:t xml:space="preserve"> </w:t>
      </w:r>
      <w:r>
        <w:t>(Neilson and BIENABE, 2025)</w:t>
      </w:r>
      <w:r>
        <w:t>. Continuous strategic reviews will maintain alignment.</w:t>
      </w:r>
    </w:p>
    <w:p w14:paraId="7DEA9C07">
      <w:pPr>
        <w:pStyle w:val="style0"/>
        <w:spacing w:lineRule="auto" w:line="259"/>
        <w:jc w:val="left"/>
        <w:rPr/>
      </w:pPr>
      <w:r>
        <w:br w:type="page"/>
      </w:r>
    </w:p>
    <w:bookmarkStart w:id="14" w:name="_Toc237037240"/>
    <w:p w14:paraId="794461F6">
      <w:pPr>
        <w:pStyle w:val="style1"/>
        <w:rPr/>
      </w:pPr>
      <w:r>
        <w:t>2. Reflection (Gibbs Cycle)</w:t>
      </w:r>
      <w:bookmarkEnd w:id="14"/>
    </w:p>
    <w:p w14:paraId="01EBFA90">
      <w:pPr>
        <w:pStyle w:val="style0"/>
        <w:rPr/>
      </w:pPr>
      <w:r>
        <w:t>Gibbs' Reflective Cycle (1988) is used to critically assess this strategy report's research, diagnostic analysis, and document construction. The framework divides self-reflection into Description, Feelings, Evaluation, Analysis, Conclusion, and Action Plan.</w:t>
      </w:r>
    </w:p>
    <w:p w14:paraId="61ECAF90">
      <w:pPr>
        <w:pStyle w:val="style0"/>
        <w:jc w:val="center"/>
        <w:rPr/>
      </w:pPr>
      <w:r>
        <w:rPr>
          <w:noProof/>
        </w:rPr>
        <w:drawing>
          <wp:inline distL="0" distT="0" distB="0" distR="0">
            <wp:extent cx="3467100" cy="3381650"/>
            <wp:effectExtent l="0" t="0" r="0" b="9525"/>
            <wp:docPr id="1037" name="Picture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13"/>
                    <pic:cNvPicPr/>
                  </pic:nvPicPr>
                  <pic:blipFill>
                    <a:blip r:embed="rId12" cstate="print"/>
                    <a:srcRect l="0" t="0" r="0" b="0"/>
                    <a:stretch/>
                  </pic:blipFill>
                  <pic:spPr>
                    <a:xfrm rot="0">
                      <a:off x="0" y="0"/>
                      <a:ext cx="3467100" cy="3381650"/>
                    </a:xfrm>
                    <a:prstGeom prst="rect"/>
                    <a:ln>
                      <a:noFill/>
                    </a:ln>
                  </pic:spPr>
                </pic:pic>
              </a:graphicData>
            </a:graphic>
          </wp:inline>
        </w:drawing>
      </w:r>
    </w:p>
    <w:p w14:paraId="4BE9CDD4">
      <w:pPr>
        <w:pStyle w:val="style0"/>
        <w:jc w:val="center"/>
        <w:rPr>
          <w:b/>
          <w:bCs/>
          <w:i/>
          <w:iCs/>
        </w:rPr>
      </w:pPr>
      <w:r>
        <w:rPr>
          <w:b/>
          <w:bCs/>
          <w:i/>
          <w:iCs/>
        </w:rPr>
        <w:t>Figure 9: Gibbs' Reflective Cycle (Dutta, He and Tsang, 2023)</w:t>
      </w:r>
    </w:p>
    <w:p w14:paraId="3CD3D5FB">
      <w:pPr>
        <w:pStyle w:val="style0"/>
        <w:rPr>
          <w:b/>
          <w:bCs/>
        </w:rPr>
      </w:pPr>
      <w:r>
        <w:rPr>
          <w:b/>
          <w:bCs/>
        </w:rPr>
        <w:t>Description</w:t>
      </w:r>
    </w:p>
    <w:p w14:paraId="0B91D080">
      <w:pPr>
        <w:pStyle w:val="style0"/>
        <w:rPr/>
      </w:pPr>
      <w:r>
        <w:t xml:space="preserve">To create this report, I went through a sequential procedure for research and writing. The first step was to find relevant, credible data about Nestlé and the US coffee market from their own publications, industry statistics and academic/analytical articles. Key frameworks identified based on the assignment requirements are PESTEL, VRIO, SWOT, Balanced Scorecard, Porter’s Five Forces and Ansoff. I then arranged the report sections as directed, making sure that each point was covered. Strengths and weaknesses were identified with PESTEL (external factors) and VRIO (internal resources) and opportunities and threats were compiled. In the CSR and the Balanced Scorecard part, I looked up the theory of BSC and the strategy of CSV on Nestle. In the strategic options section, industry frameworks were used to assess Nestlé's positioning. I also gathered the necessary data and quotes throughout and chose </w:t>
      </w:r>
      <w:r>
        <w:t>images to support my argument. Lastly, I wrote conclusions and engaged in reflection on the process, based on Gibbs' reflective cycle.</w:t>
      </w:r>
    </w:p>
    <w:p w14:paraId="203E92B5">
      <w:pPr>
        <w:pStyle w:val="style0"/>
        <w:rPr>
          <w:b/>
          <w:bCs/>
        </w:rPr>
      </w:pPr>
      <w:r>
        <w:rPr>
          <w:b/>
          <w:bCs/>
        </w:rPr>
        <w:t>Feelings</w:t>
      </w:r>
    </w:p>
    <w:p w14:paraId="5353EBE6">
      <w:pPr>
        <w:pStyle w:val="style0"/>
        <w:rPr/>
      </w:pPr>
      <w:r>
        <w:t>I started from a strong point of view since I had information on both Nestlé and coffee markets. Sometimes it took me a while to find fresh data, coffee data is very current, and to find reliable sources, particularly when it came to more obscure topics such as the market share of Nescafé. But getting solid data was gratifying. I also was a little nervous about keeping it detailed and making it clear, trying to keep it “simple academic” to make it clear. It was a lot of fun to embed images so that they are relevant to the text, but are interesting to look at as well.</w:t>
      </w:r>
    </w:p>
    <w:p w14:paraId="36BDAF7C">
      <w:pPr>
        <w:pStyle w:val="style0"/>
        <w:rPr>
          <w:b/>
          <w:bCs/>
        </w:rPr>
      </w:pPr>
      <w:r>
        <w:rPr>
          <w:b/>
          <w:bCs/>
        </w:rPr>
        <w:t>Evaluation</w:t>
      </w:r>
    </w:p>
    <w:p w14:paraId="375CA423">
      <w:pPr>
        <w:pStyle w:val="style0"/>
        <w:rPr/>
      </w:pPr>
      <w:r>
        <w:t>The structure, which was suggested in the instructions, was successful I had to address all the areas required and the outline helped me to do this in a systematic manner. Bullet lists (PESTEL and SWOT) were used to organize ideas and accommodate the “easy to scan” requirement. Quotes from authoritative sources (industry reports, Nestlé's own materials) were used to enhance credibility. The analysis was concrete as examples of real-world applications (new products, surveys) were used.</w:t>
      </w:r>
    </w:p>
    <w:p w14:paraId="565DF48E">
      <w:pPr>
        <w:pStyle w:val="style0"/>
        <w:rPr/>
      </w:pPr>
      <w:r>
        <w:t>The challenges were to condense vast amounts of information into succinct words. In some parts (Balanced Scorecard) I had to find examples of what it would look like in practice (KPIs, initiatives). Research on recent academic sources relating to Nescafé was scarce, so I used industry data and Nestlé publications. The other factor was time management each section was given the same number of words and no section went over.</w:t>
      </w:r>
    </w:p>
    <w:p w14:paraId="403AB94E">
      <w:pPr>
        <w:pStyle w:val="style0"/>
        <w:rPr>
          <w:b/>
          <w:bCs/>
        </w:rPr>
      </w:pPr>
      <w:r>
        <w:rPr>
          <w:b/>
          <w:bCs/>
        </w:rPr>
        <w:t>Analysis</w:t>
      </w:r>
    </w:p>
    <w:p w14:paraId="27E3B97B">
      <w:pPr>
        <w:pStyle w:val="style0"/>
        <w:rPr/>
      </w:pPr>
      <w:r>
        <w:t>My strong points in my work were being thorough and coherent. I always made the connection between theory and Nestlé's case. The analysis was done with the support of the frameworks which ensured objectivity. I made sure to include the theory and real-life examples to support recommendations (e.g., new flavors and partnerships for Nescafé). Use of multiple sources: doesn't rely on one source.</w:t>
      </w:r>
    </w:p>
    <w:p w14:paraId="664F7CD9">
      <w:pPr>
        <w:pStyle w:val="style0"/>
        <w:rPr/>
      </w:pPr>
    </w:p>
    <w:p w14:paraId="3E6A5012">
      <w:pPr>
        <w:pStyle w:val="style0"/>
        <w:rPr/>
      </w:pPr>
      <w:r>
        <w:t>A second weakness was the use of some secondary sources (market research sites) which are not peer-reviewed, but I tried to counteract this by checking facts against official data where it could be done, (e.g., NCA data, Nestlé reports etc). Another constraint was the width a lot of this required some parts to be less detailed rather than descriptive. I could have included interviews or case studies of how Nestlé has executed its strategy, if I had had more time.</w:t>
      </w:r>
    </w:p>
    <w:p w14:paraId="6AD320C6">
      <w:pPr>
        <w:pStyle w:val="style0"/>
        <w:rPr>
          <w:b/>
          <w:bCs/>
        </w:rPr>
      </w:pPr>
      <w:r>
        <w:rPr>
          <w:b/>
          <w:bCs/>
        </w:rPr>
        <w:t>Conclusion</w:t>
      </w:r>
    </w:p>
    <w:p w14:paraId="6A766904">
      <w:pPr>
        <w:pStyle w:val="style0"/>
        <w:rPr/>
      </w:pPr>
      <w:r>
        <w:t>To sum up, this process gave me insight into the way in which academic models and industry information can be combined to create a strategic analysis. I discovered that if I had to write a big report I would need to be prepared and have a structure. Also, I learned the importance of quoting authoritative and updated sources for each and every point The Gibbs cycle emphasized the need to consider how feelings and how methods can be improved in order to improve future work.</w:t>
      </w:r>
    </w:p>
    <w:p w14:paraId="488A1B68">
      <w:pPr>
        <w:pStyle w:val="style0"/>
        <w:rPr>
          <w:b/>
          <w:bCs/>
        </w:rPr>
      </w:pPr>
      <w:r>
        <w:rPr>
          <w:b/>
          <w:bCs/>
        </w:rPr>
        <w:t>Action Plan</w:t>
      </w:r>
    </w:p>
    <w:p w14:paraId="38996228">
      <w:pPr>
        <w:pStyle w:val="style0"/>
        <w:rPr/>
      </w:pPr>
      <w:r>
        <w:t>If a report like this had to be done again, I'd begin the data collection process earlier and give myself more time to conduct academic journal research (e.g., consumer psychology of coffee, sustainable business models, etc.). I would also contact professors or professionals for insight to give it depth as well. I would tone it down a bit more perhaps get a few peers to check it to make sure the “simple academic” style is in the ballpark.</w:t>
      </w:r>
    </w:p>
    <w:p w14:paraId="16349D25">
      <w:pPr>
        <w:pStyle w:val="style0"/>
        <w:spacing w:lineRule="auto" w:line="259"/>
        <w:jc w:val="left"/>
        <w:rPr/>
      </w:pPr>
      <w:r>
        <w:br w:type="page"/>
      </w:r>
    </w:p>
    <w:bookmarkStart w:id="15" w:name="_Toc237037241"/>
    <w:p w14:paraId="0EFDC267">
      <w:pPr>
        <w:pStyle w:val="style1"/>
        <w:rPr/>
      </w:pPr>
      <w:r>
        <w:t>References</w:t>
      </w:r>
      <w:bookmarkEnd w:id="15"/>
    </w:p>
    <w:p w14:paraId="43EB9845">
      <w:pPr>
        <w:pStyle w:val="style0"/>
        <w:rPr/>
      </w:pPr>
      <w:r>
        <w:t xml:space="preserve">Baldwin, S. (2024). </w:t>
      </w:r>
      <w:r>
        <w:rPr>
          <w:i/>
          <w:iCs/>
        </w:rPr>
        <w:t>How Nescafé came to dominate the instant coffee market</w:t>
      </w:r>
      <w:r>
        <w:t xml:space="preserve">. [online] </w:t>
      </w:r>
      <w:r>
        <w:rPr>
          <w:i/>
          <w:iCs/>
        </w:rPr>
        <w:t>CNBC</w:t>
      </w:r>
      <w:r>
        <w:t>. Available at: https://www.cnbc.com/2024/02/14/how-nescaf-came-to-dominate-the-instant-coffee-market.html [Accessed 2 Aug. 2026].</w:t>
      </w:r>
    </w:p>
    <w:p w14:paraId="3ACFB56B">
      <w:pPr>
        <w:pStyle w:val="style0"/>
        <w:rPr/>
      </w:pPr>
      <w:r>
        <w:t xml:space="preserve">Bartsch, F. and Pantoja, F. (2025). </w:t>
      </w:r>
      <w:r>
        <w:rPr>
          <w:i/>
          <w:iCs/>
        </w:rPr>
        <w:t>The Perfect Blend? Strategic Licensing Between Starbucks and Nestlé</w:t>
      </w:r>
      <w:r>
        <w:t xml:space="preserve">. </w:t>
      </w:r>
      <w:r>
        <w:rPr>
          <w:i/>
          <w:iCs/>
        </w:rPr>
        <w:t>SAGE Publications: SAGE Business Cases Originals eBooks</w:t>
      </w:r>
      <w:r>
        <w:t>. SAGE Publishing. doi:10.4135/9781071961766.</w:t>
      </w:r>
    </w:p>
    <w:p w14:paraId="4D6FAD73">
      <w:pPr>
        <w:pStyle w:val="style0"/>
        <w:rPr/>
      </w:pPr>
      <w:r>
        <w:t xml:space="preserve">Bruno, V.R. (2025). </w:t>
      </w:r>
      <w:r>
        <w:rPr>
          <w:i/>
          <w:iCs/>
        </w:rPr>
        <w:t>A complete guide to the VRIO framework in 2025</w:t>
      </w:r>
      <w:r>
        <w:t xml:space="preserve">. [online] </w:t>
      </w:r>
      <w:r>
        <w:rPr>
          <w:i/>
          <w:iCs/>
        </w:rPr>
        <w:t>Edstellar.com</w:t>
      </w:r>
      <w:r>
        <w:t>. Edstellar. Available at: https://www.edstellar.com/blog/vrio-framework [Accessed 7 Aug. 2026].</w:t>
      </w:r>
    </w:p>
    <w:p w14:paraId="505DFDFA">
      <w:pPr>
        <w:pStyle w:val="style0"/>
        <w:rPr/>
      </w:pPr>
      <w:r>
        <w:t xml:space="preserve">Business research methodology (2019). </w:t>
      </w:r>
      <w:r>
        <w:rPr>
          <w:i/>
          <w:iCs/>
        </w:rPr>
        <w:t>SWOT analysis - research-methodology</w:t>
      </w:r>
      <w:r>
        <w:t xml:space="preserve">. [online] </w:t>
      </w:r>
      <w:r>
        <w:rPr>
          <w:i/>
          <w:iCs/>
        </w:rPr>
        <w:t>Research-Methodology</w:t>
      </w:r>
      <w:r>
        <w:t>. Available at: https://research-methodology.net/theory/strategy/swot-analysis/ [Accessed 7 Aug. 2026].</w:t>
      </w:r>
    </w:p>
    <w:p w14:paraId="40E53A8F">
      <w:pPr>
        <w:pStyle w:val="style0"/>
        <w:rPr/>
      </w:pPr>
      <w:r>
        <w:t xml:space="preserve">Cohen, R.H. (2024). Are you competitive enough? </w:t>
      </w:r>
      <w:r>
        <w:rPr>
          <w:i/>
          <w:iCs/>
        </w:rPr>
        <w:t>Future of Business and Finance</w:t>
      </w:r>
      <w:r>
        <w:t>, pp.75–90. doi:10.1007/978-3-031-61774-4_8.</w:t>
      </w:r>
    </w:p>
    <w:p w14:paraId="35045884">
      <w:pPr>
        <w:pStyle w:val="style0"/>
        <w:rPr/>
      </w:pPr>
      <w:r>
        <w:t xml:space="preserve">Datta, Y. (2020). The U.S. coffee market: A competitive profile. </w:t>
      </w:r>
      <w:r>
        <w:rPr>
          <w:i/>
          <w:iCs/>
        </w:rPr>
        <w:t>Journal of Economics and Public Finance</w:t>
      </w:r>
      <w:r>
        <w:t>, 6(3), p.p138. doi:10.22158/</w:t>
      </w:r>
      <w:r>
        <w:t>jepf.v</w:t>
      </w:r>
      <w:r>
        <w:t>6n3p138.</w:t>
      </w:r>
    </w:p>
    <w:p w14:paraId="02C48E42">
      <w:pPr>
        <w:pStyle w:val="style0"/>
        <w:rPr/>
      </w:pPr>
      <w:r>
        <w:t xml:space="preserve">Dudovskiy, J. (2017). </w:t>
      </w:r>
      <w:r>
        <w:rPr>
          <w:i/>
          <w:iCs/>
        </w:rPr>
        <w:t>Google porter’s five forces analysis</w:t>
      </w:r>
      <w:r>
        <w:t xml:space="preserve">. [online] </w:t>
      </w:r>
      <w:r>
        <w:rPr>
          <w:i/>
          <w:iCs/>
        </w:rPr>
        <w:t>Research-Methodology</w:t>
      </w:r>
      <w:r>
        <w:t>. Available at: https://research-methodology.net/google-porters-five-forces-analysis/ [Accessed 3 Aug. 2026].</w:t>
      </w:r>
    </w:p>
    <w:p w14:paraId="49922655">
      <w:pPr>
        <w:pStyle w:val="style0"/>
        <w:rPr/>
      </w:pPr>
      <w:r>
        <w:t xml:space="preserve">Dudovskiy, J. (2023). </w:t>
      </w:r>
      <w:r>
        <w:rPr>
          <w:i/>
          <w:iCs/>
        </w:rPr>
        <w:t>Nvidia ansoff matrix</w:t>
      </w:r>
      <w:r>
        <w:t xml:space="preserve">. [online] </w:t>
      </w:r>
      <w:r>
        <w:rPr>
          <w:i/>
          <w:iCs/>
        </w:rPr>
        <w:t>Research-Methodology</w:t>
      </w:r>
      <w:r>
        <w:t>. Available at: https://research-methodology.net/nvidia-ansoff-matrix/ [Accessed 5 Aug. 2026].</w:t>
      </w:r>
    </w:p>
    <w:p w14:paraId="06D5791B">
      <w:pPr>
        <w:pStyle w:val="style0"/>
        <w:rPr/>
      </w:pPr>
      <w:r>
        <w:t xml:space="preserve">Dutta, S., He, M. and Tsang, D.C.W. (2023). Reflection and peer assessment to promote self-directed learning in higher education. </w:t>
      </w:r>
      <w:r>
        <w:rPr>
          <w:i/>
          <w:iCs/>
        </w:rPr>
        <w:t>Journal of Educational Research and Reviews</w:t>
      </w:r>
      <w:r>
        <w:t>, 11(3), pp.35–46. doi:10.33495/jerr_v11i3.23.111.</w:t>
      </w:r>
    </w:p>
    <w:p w14:paraId="4693AC58">
      <w:pPr>
        <w:pStyle w:val="style0"/>
        <w:rPr/>
      </w:pPr>
      <w:r>
        <w:t xml:space="preserve">Federico Angelo Triolo, Figueiredo, B., Martin, D.M. and Farrelly, F. (2023). Coffee: A global marketplace icon. </w:t>
      </w:r>
      <w:r>
        <w:rPr>
          <w:i/>
          <w:iCs/>
        </w:rPr>
        <w:t>Consumption Markets &amp; Culture</w:t>
      </w:r>
      <w:r>
        <w:t>, 26(4), pp.1–10. doi:10.1080/10253866.2023.2206129.</w:t>
      </w:r>
    </w:p>
    <w:p w14:paraId="2A4773E7">
      <w:pPr>
        <w:pStyle w:val="style0"/>
        <w:rPr/>
      </w:pPr>
      <w:r>
        <w:t xml:space="preserve">Garima Sainger and Khan, W. (2025). Nestlé’s new recipe for success: A CEO’s strategy amid inflation. </w:t>
      </w:r>
      <w:r>
        <w:rPr>
          <w:i/>
          <w:iCs/>
        </w:rPr>
        <w:t>The CASE Journal</w:t>
      </w:r>
      <w:r>
        <w:t>, pp.1–7. doi:10.1108/tcj-01-2025-0014.</w:t>
      </w:r>
    </w:p>
    <w:p w14:paraId="123626C8">
      <w:pPr>
        <w:pStyle w:val="style0"/>
        <w:rPr/>
      </w:pPr>
      <w:r>
        <w:t xml:space="preserve">Gois, T.C., Thomé, K.M. and Balogh, J.M. (2022). Behind a cup of coffee: International market structure and competitiveness. </w:t>
      </w:r>
      <w:r>
        <w:rPr>
          <w:i/>
          <w:iCs/>
        </w:rPr>
        <w:t>Competitiveness Review: An International Business Journal</w:t>
      </w:r>
      <w:r>
        <w:t>, 33(5). doi:10.1108/cr-10-2021-0141.</w:t>
      </w:r>
    </w:p>
    <w:p w14:paraId="427A9388">
      <w:pPr>
        <w:pStyle w:val="style0"/>
        <w:rPr/>
      </w:pPr>
      <w:r>
        <w:t xml:space="preserve">Iqbal, A. (2025). </w:t>
      </w:r>
      <w:r>
        <w:rPr>
          <w:i/>
          <w:iCs/>
        </w:rPr>
        <w:t>PESTLE analysis: The CEO’s guide to future-proofing a business</w:t>
      </w:r>
      <w:r>
        <w:t xml:space="preserve">. [online] </w:t>
      </w:r>
      <w:r>
        <w:rPr>
          <w:i/>
          <w:iCs/>
        </w:rPr>
        <w:t>Medium</w:t>
      </w:r>
      <w:r>
        <w:t>. Techno-Preneurship. Available at: https://medium.com/techno-preneurship/pestle-analysis-the-ceos-guide-to-future-proofing-a-business-877e6c4e20ea [Accessed 2 Aug. 2026].</w:t>
      </w:r>
    </w:p>
    <w:p w14:paraId="737AB02E">
      <w:pPr>
        <w:pStyle w:val="style0"/>
        <w:rPr/>
      </w:pPr>
      <w:r>
        <w:t xml:space="preserve">Jin, H. (2023). Research on innovation in nescafe’s marketing strategy. </w:t>
      </w:r>
      <w:r>
        <w:rPr>
          <w:i/>
          <w:iCs/>
        </w:rPr>
        <w:t>Research on Innovation in Nescafe’s Marketing Strategy</w:t>
      </w:r>
      <w:r>
        <w:t>, 22(1), pp.241–245. doi:10.54254/2754-1169/22/20230317.</w:t>
      </w:r>
    </w:p>
    <w:p w14:paraId="44C5C481">
      <w:pPr>
        <w:pStyle w:val="style0"/>
        <w:rPr/>
      </w:pPr>
      <w:r>
        <w:t xml:space="preserve">Lynch, R. (2021). </w:t>
      </w:r>
      <w:r>
        <w:rPr>
          <w:i/>
          <w:iCs/>
        </w:rPr>
        <w:t>Strategic management</w:t>
      </w:r>
      <w:r>
        <w:t xml:space="preserve">. 8th edn. Harlow, United </w:t>
      </w:r>
      <w:r>
        <w:t>Kingdom ;</w:t>
      </w:r>
      <w:r>
        <w:t xml:space="preserve"> New York: Pearson Education Limited.</w:t>
      </w:r>
    </w:p>
    <w:p w14:paraId="72106300">
      <w:pPr>
        <w:pStyle w:val="style0"/>
        <w:rPr/>
      </w:pPr>
      <w:r>
        <w:t xml:space="preserve">Mare, Z. (2024). </w:t>
      </w:r>
      <w:r>
        <w:rPr>
          <w:i/>
          <w:iCs/>
        </w:rPr>
        <w:t>Green Marketing Mix for coffee? A case on nescafé</w:t>
      </w:r>
      <w:r>
        <w:t xml:space="preserve">. </w:t>
      </w:r>
      <w:r>
        <w:rPr>
          <w:i/>
          <w:iCs/>
        </w:rPr>
        <w:t>SAGE Publications: SAGE Business Cases Originals eBooks</w:t>
      </w:r>
      <w:r>
        <w:t>. SAGE Publishing. doi:10.4135/9781071939918.</w:t>
      </w:r>
    </w:p>
    <w:p w14:paraId="79B2E48B">
      <w:pPr>
        <w:pStyle w:val="style0"/>
        <w:rPr/>
      </w:pPr>
      <w:r>
        <w:t xml:space="preserve">Mordor Intelligence (2026). </w:t>
      </w:r>
      <w:r>
        <w:rPr>
          <w:i/>
          <w:iCs/>
        </w:rPr>
        <w:t>Mordor intelligence</w:t>
      </w:r>
      <w:r>
        <w:t xml:space="preserve">. [online] </w:t>
      </w:r>
      <w:r>
        <w:rPr>
          <w:i/>
          <w:iCs/>
        </w:rPr>
        <w:t>Mordorintelligence.com</w:t>
      </w:r>
      <w:r>
        <w:t>. Available at: https://www.mordorintelligence.com/industry-reports/united-states-coffee-market [Accessed 27 July. 2026].</w:t>
      </w:r>
    </w:p>
    <w:p w14:paraId="5EF697EA">
      <w:pPr>
        <w:pStyle w:val="style0"/>
        <w:rPr/>
      </w:pPr>
      <w:r>
        <w:t>Neilson, J. and BIENABE, E. (2025). Beyond the chain: Lead firm strategies and sustainability governance in the coffee sector. [online] doi:10.2139/ssrn.5292709.</w:t>
      </w:r>
    </w:p>
    <w:p w14:paraId="352EC9BE">
      <w:pPr>
        <w:pStyle w:val="style0"/>
        <w:rPr/>
      </w:pPr>
      <w:r>
        <w:t xml:space="preserve">Neilson, J. and Biénabe, E. (2026). Beyond the chain: Lead firm strategies and sustainability governance in the global coffee sector. </w:t>
      </w:r>
      <w:r>
        <w:rPr>
          <w:i/>
          <w:iCs/>
        </w:rPr>
        <w:t>Ecological Economics</w:t>
      </w:r>
      <w:r>
        <w:t>, [online] 245, p.108975. doi: 10.1016/j.ecolecon.2026.108975.</w:t>
      </w:r>
    </w:p>
    <w:p w14:paraId="5EFE60C7">
      <w:pPr>
        <w:pStyle w:val="style0"/>
        <w:rPr/>
      </w:pPr>
      <w:r>
        <w:t xml:space="preserve">Nestlé (2024). </w:t>
      </w:r>
      <w:r>
        <w:rPr>
          <w:i/>
          <w:iCs/>
        </w:rPr>
        <w:t>Nestlé reports half-year results for 2024</w:t>
      </w:r>
      <w:r>
        <w:t xml:space="preserve">. [online] </w:t>
      </w:r>
      <w:r>
        <w:rPr>
          <w:i/>
          <w:iCs/>
        </w:rPr>
        <w:t>Nestlé</w:t>
      </w:r>
      <w:r>
        <w:t>. Available at: https://www.nestle-mena.com/en/media/pressreleases/allpressreleases/nestl%C3%A9-reports-half-year-results-2024 [Accessed 21 July. 2026].</w:t>
      </w:r>
    </w:p>
    <w:p w14:paraId="5FD39B91">
      <w:pPr>
        <w:pStyle w:val="style0"/>
        <w:rPr/>
      </w:pPr>
      <w:r>
        <w:t>Nestlé (2026). Annual report and accounts 2023 Nestlé Nigeria PLC. [online] Available at: https://www.nestle-cwa.com/sites/g/files/pydnoa346/files/2024-05/2023-annual-report.pdf [Accessed 17 July. 2026].</w:t>
      </w:r>
    </w:p>
    <w:p w14:paraId="5403EB62">
      <w:pPr>
        <w:pStyle w:val="style0"/>
        <w:rPr/>
      </w:pPr>
      <w:r>
        <w:t xml:space="preserve">Oviedo-Rodríguez, C., Jansen, K. and Vellema, S. (2023). Incorporation of different types of farmers into different coffee markets. </w:t>
      </w:r>
      <w:r>
        <w:rPr>
          <w:i/>
          <w:iCs/>
        </w:rPr>
        <w:t>Canadian Journal of Development Studies / Revue canadienne d’études du développement</w:t>
      </w:r>
      <w:r>
        <w:t>, 45(1), pp.161–180. doi:10.1080/02255189.2023.2245531.</w:t>
      </w:r>
    </w:p>
    <w:p w14:paraId="3569E30C">
      <w:pPr>
        <w:pStyle w:val="style0"/>
        <w:rPr/>
      </w:pPr>
      <w:r>
        <w:t xml:space="preserve">Oviedo-Rodríguez, C., Jansen, K. and Vellema, S. (2025). Contested coffees: Arabica, robusta, and the narrative of high-quality coffee in Mexico. </w:t>
      </w:r>
      <w:r>
        <w:rPr>
          <w:i/>
          <w:iCs/>
        </w:rPr>
        <w:t>The Journal of Development Studies</w:t>
      </w:r>
      <w:r>
        <w:t>, pp.1–18. doi:10.1080/00220388.2025.2487668.</w:t>
      </w:r>
    </w:p>
    <w:p w14:paraId="3A381209">
      <w:pPr>
        <w:pStyle w:val="style0"/>
        <w:rPr/>
      </w:pPr>
      <w:r>
        <w:t xml:space="preserve">Patil, A. (2026). </w:t>
      </w:r>
      <w:r>
        <w:rPr>
          <w:i/>
          <w:iCs/>
        </w:rPr>
        <w:t>U.S. liquid coffee market size, share, and growth forecast 2026 - 2033 - persistence market research</w:t>
      </w:r>
      <w:r>
        <w:t>. [online] Persistence Market Research. Available at: https://www.persistencemarketresearch.com/market-research/us-liquid-coffee-market.asp [Accessed 6 Aug. 2026].</w:t>
      </w:r>
    </w:p>
    <w:p w14:paraId="1418B279">
      <w:pPr>
        <w:pStyle w:val="style0"/>
        <w:rPr/>
      </w:pPr>
      <w:r>
        <w:t xml:space="preserve">Petar Reshovski (2023). </w:t>
      </w:r>
      <w:r>
        <w:rPr>
          <w:i/>
          <w:iCs/>
        </w:rPr>
        <w:t>United States: Coffee market size and structure 2016-2020</w:t>
      </w:r>
      <w:r>
        <w:t xml:space="preserve">. [online] </w:t>
      </w:r>
      <w:r>
        <w:rPr>
          <w:i/>
          <w:iCs/>
        </w:rPr>
        <w:t>Wm-strategy.com</w:t>
      </w:r>
      <w:r>
        <w:t>. WM Strategy. Available at: https://www.wm-strategy.com/news/united-states-coffee-market-size [Accessed 7 Aug. 2026].</w:t>
      </w:r>
    </w:p>
    <w:p w14:paraId="12837F36">
      <w:pPr>
        <w:pStyle w:val="style0"/>
        <w:rPr/>
      </w:pPr>
      <w:r>
        <w:t xml:space="preserve">Putri, A.P. and Triyono, A. (2020). Community, dialog and technology - maximizing creating shared value (CSV) Nestle Indonesia. </w:t>
      </w:r>
      <w:r>
        <w:rPr>
          <w:i/>
          <w:iCs/>
        </w:rPr>
        <w:t>Proceedings of the 2nd Jogjakarta Communication Conference (JCC 2020)</w:t>
      </w:r>
      <w:r>
        <w:t>. doi:10.2991/assehr.k.200818.009.</w:t>
      </w:r>
    </w:p>
    <w:p w14:paraId="59B3F762">
      <w:pPr>
        <w:pStyle w:val="style0"/>
        <w:rPr/>
      </w:pPr>
      <w:r>
        <w:t xml:space="preserve">Rebollo-Hernanz, M., Aguilera, Y., Gil-Ramírez, A., Benítez, V., Cañas, S., Braojos, C. and Martín-Cabrejas, M.A. (2023). Biorefinery and stepwise strategies for valorizing coffee by-products as bioactive food ingredients and nutraceuticals. </w:t>
      </w:r>
      <w:r>
        <w:rPr>
          <w:i/>
          <w:iCs/>
        </w:rPr>
        <w:t>Applied sciences</w:t>
      </w:r>
      <w:r>
        <w:t>, 13(14), pp.8326–8326. doi:10.3390/app13148326.</w:t>
      </w:r>
    </w:p>
    <w:p w14:paraId="6826505A">
      <w:pPr>
        <w:pStyle w:val="style0"/>
        <w:rPr/>
      </w:pPr>
      <w:r>
        <w:t xml:space="preserve">Renard, M.-C. (2022). Values and the making of standards in ‘sustainable’ coffee networks: The case of 4C and nestlé in México. </w:t>
      </w:r>
      <w:r>
        <w:rPr>
          <w:i/>
          <w:iCs/>
        </w:rPr>
        <w:t>International Sociology</w:t>
      </w:r>
      <w:r>
        <w:t>, 37(6), p.026858092211192. doi:10.1177/02685809221119289.</w:t>
      </w:r>
    </w:p>
    <w:p w14:paraId="20E58029">
      <w:pPr>
        <w:pStyle w:val="style0"/>
        <w:rPr/>
      </w:pPr>
      <w:r>
        <w:t xml:space="preserve">Rodgers, E. (2024). </w:t>
      </w:r>
      <w:r>
        <w:rPr>
          <w:i/>
          <w:iCs/>
        </w:rPr>
        <w:t>2024 Coffee statistics: Consumption, purchases, and preferences</w:t>
      </w:r>
      <w:r>
        <w:t xml:space="preserve">. [online] </w:t>
      </w:r>
      <w:r>
        <w:rPr>
          <w:i/>
          <w:iCs/>
        </w:rPr>
        <w:t>Drive Research</w:t>
      </w:r>
      <w:r>
        <w:t xml:space="preserve">. Available at: </w:t>
      </w:r>
      <w:r>
        <w:t>https://www.driveresearch.com/market-research-company-blog/coffee-survey/ [Accessed 3 Aug. 2026].</w:t>
      </w:r>
    </w:p>
    <w:p w14:paraId="1F727B37">
      <w:pPr>
        <w:pStyle w:val="style0"/>
        <w:rPr/>
      </w:pPr>
      <w:r>
        <w:t xml:space="preserve">Rothaermel, F. (2024). </w:t>
      </w:r>
      <w:r>
        <w:rPr>
          <w:i/>
          <w:iCs/>
        </w:rPr>
        <w:t>Strategic management</w:t>
      </w:r>
      <w:r>
        <w:t>. 6th edn. New York, New York: Mcgraw-Hill Education.</w:t>
      </w:r>
    </w:p>
    <w:p w14:paraId="05EDAA0D">
      <w:pPr>
        <w:pStyle w:val="style0"/>
        <w:rPr/>
      </w:pPr>
      <w:r>
        <w:t xml:space="preserve">Sardjono, W., Selviyanti, E. and Perdana, W.G. (2020). The application of the factor analysis method to determine the performance of IT implementation in companies based on the IT balanced scorecard measurement method. </w:t>
      </w:r>
      <w:r>
        <w:rPr>
          <w:i/>
          <w:iCs/>
        </w:rPr>
        <w:t>Journal of Physics: Conference Series</w:t>
      </w:r>
      <w:r>
        <w:t>, 1538, p.012026. doi:10.1088/1742-6596/1538/1/012026.</w:t>
      </w:r>
    </w:p>
    <w:p w14:paraId="09A169A0">
      <w:pPr>
        <w:pStyle w:val="style0"/>
        <w:rPr/>
      </w:pPr>
      <w:r>
        <w:t xml:space="preserve">Shi, Y. (2023). Research on the current situation and optimization strategies of nescafe’s online marketing. </w:t>
      </w:r>
      <w:r>
        <w:rPr>
          <w:i/>
          <w:iCs/>
        </w:rPr>
        <w:t>BCP Business &amp;amp; Management</w:t>
      </w:r>
      <w:r>
        <w:t>, 37, pp.25–31. doi:10.54691/</w:t>
      </w:r>
      <w:r>
        <w:t>bcpbm.v</w:t>
      </w:r>
      <w:r>
        <w:t>37i.3541.</w:t>
      </w:r>
    </w:p>
    <w:p w14:paraId="105DDBBF">
      <w:pPr>
        <w:pStyle w:val="style0"/>
        <w:rPr/>
      </w:pPr>
      <w:r>
        <w:t xml:space="preserve">Singh, P., Sin, L.G., Binti Kama’Aziri, N.S., Jian, O.Z., Binti Mohd Azlan, N.A.S., Binti Ibrahim, P.N.I.B., Sheng, D.H., Kee, D.M.H., Heng, J.T.S., Wee, L.S. and Ying, L.Y. (2021). A study on </w:t>
      </w:r>
      <w:r>
        <w:t>nestle</w:t>
      </w:r>
      <w:r>
        <w:t xml:space="preserve"> promotion strategy. </w:t>
      </w:r>
      <w:r>
        <w:rPr>
          <w:i/>
          <w:iCs/>
        </w:rPr>
        <w:t>International Journal of Accounting &amp; Finance in Asia Pasific</w:t>
      </w:r>
      <w:r>
        <w:t>, [online] 4(1), pp.60–70. doi:10.32535/</w:t>
      </w:r>
      <w:r>
        <w:t>ijafap.v</w:t>
      </w:r>
      <w:r>
        <w:t>4i1.1033.</w:t>
      </w:r>
    </w:p>
    <w:p w14:paraId="7BC3DFD6">
      <w:pPr>
        <w:pStyle w:val="style0"/>
        <w:rPr/>
      </w:pPr>
      <w:r>
        <w:t xml:space="preserve">Yaqub, M. (2026). </w:t>
      </w:r>
      <w:r>
        <w:rPr>
          <w:i/>
          <w:iCs/>
        </w:rPr>
        <w:t>Coffee shop statistics 2026: 35 Key trends &amp; figures</w:t>
      </w:r>
      <w:r>
        <w:t>. [online] CoffeeDasher. Available at: https://www.coffeedasher.com/resources/coffee-shop-industry-statistics/ [Accessed 7 Aug. 2026].</w:t>
      </w:r>
    </w:p>
    <w:p w14:paraId="593D29AC">
      <w:pPr>
        <w:pStyle w:val="style0"/>
        <w:rPr/>
      </w:pPr>
    </w:p>
    <w:sectPr>
      <w:footerReference w:type="default" r:id="rId1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531F9B8">
    <w:pPr>
      <w:pStyle w:val="style32"/>
      <w:pBdr>
        <w:top w:val="single" w:sz="4" w:space="1" w:color="d9d9d9"/>
      </w:pBdr>
      <w:rPr>
        <w:b/>
        <w:bCs/>
      </w:rPr>
    </w:pPr>
    <w:r>
      <w:rPr/>
      <w:fldChar w:fldCharType="begin"/>
    </w:r>
    <w:r>
      <w:instrText xml:space="preserve"> PAGE   \* MERGEFORMAT </w:instrText>
    </w:r>
    <w:r>
      <w:rPr/>
      <w:fldChar w:fldCharType="separate"/>
    </w:r>
    <w:r>
      <w:rPr>
        <w:b/>
        <w:bCs/>
        <w:noProof/>
      </w:rPr>
      <w:t>2</w:t>
    </w:r>
    <w:r>
      <w:rPr>
        <w:b/>
        <w:bCs/>
        <w:noProof/>
      </w:rPr>
      <w:fldChar w:fldCharType="end"/>
    </w:r>
    <w:r>
      <w:rPr>
        <w:b/>
        <w:bCs/>
      </w:rPr>
      <w:t xml:space="preserve"> | </w:t>
    </w:r>
    <w:r>
      <w:rPr>
        <w:color w:val="7f7f7f"/>
        <w:spacing w:val="60"/>
      </w:rPr>
      <w:t>Page</w:t>
    </w:r>
  </w:p>
  <w:p w14:paraId="3F60F52C">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E766E98"/>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118CA4D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5CC0C6F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12E64FB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GB" w:bidi="ar-SA" w:eastAsia="en-US"/>
      </w:rPr>
    </w:rPrDefault>
    <w:pPrDefault>
      <w:pPr>
        <w:spacing w:after="160" w:lineRule="auto" w:line="259"/>
      </w:pPr>
    </w:pPrDefault>
  </w:docDefaults>
  <w:style w:type="paragraph" w:default="1" w:styleId="style0">
    <w:name w:val="Normal"/>
    <w:next w:val="style0"/>
    <w:qFormat/>
    <w:pPr>
      <w:spacing w:lineRule="auto" w:line="360"/>
      <w:jc w:val="both"/>
    </w:pPr>
    <w:rPr>
      <w:rFonts w:ascii="Arial" w:hAnsi="Arial"/>
      <w:sz w:val="24"/>
    </w:rPr>
  </w:style>
  <w:style w:type="paragraph" w:styleId="style1">
    <w:name w:val="heading 1"/>
    <w:basedOn w:val="style0"/>
    <w:next w:val="style0"/>
    <w:link w:val="style4098"/>
    <w:qFormat/>
    <w:uiPriority w:val="9"/>
    <w:pPr>
      <w:keepNext/>
      <w:keepLines/>
      <w:spacing w:before="240" w:after="0"/>
      <w:outlineLvl w:val="0"/>
    </w:pPr>
    <w:rPr>
      <w:rFonts w:cs="宋体" w:eastAsia="宋体"/>
      <w:color w:val="2f5496"/>
      <w:sz w:val="32"/>
      <w:szCs w:val="32"/>
    </w:rPr>
  </w:style>
  <w:style w:type="paragraph" w:styleId="style2">
    <w:name w:val="heading 2"/>
    <w:basedOn w:val="style0"/>
    <w:next w:val="style0"/>
    <w:link w:val="style4097"/>
    <w:qFormat/>
    <w:uiPriority w:val="9"/>
    <w:pPr>
      <w:keepNext/>
      <w:keepLines/>
      <w:spacing w:before="40" w:after="0"/>
      <w:outlineLvl w:val="1"/>
    </w:pPr>
    <w:rPr>
      <w:rFonts w:cs="宋体" w:eastAsia="宋体"/>
      <w:color w:val="2f5496"/>
      <w:sz w:val="28"/>
      <w:szCs w:val="26"/>
    </w:rPr>
  </w:style>
  <w:style w:type="paragraph" w:styleId="style3">
    <w:name w:val="heading 3"/>
    <w:basedOn w:val="style0"/>
    <w:next w:val="style0"/>
    <w:link w:val="style4099"/>
    <w:qFormat/>
    <w:uiPriority w:val="9"/>
    <w:pPr>
      <w:keepNext/>
      <w:keepLines/>
      <w:spacing w:before="40" w:after="0"/>
      <w:outlineLvl w:val="2"/>
    </w:pPr>
    <w:rPr>
      <w:rFonts w:cs="宋体" w:eastAsia="宋体"/>
      <w:color w:val="1f3763"/>
      <w:sz w:val="26"/>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2 Char_118f7073-ad48-44d3-a2d8-29d3d2f7814e"/>
    <w:basedOn w:val="style65"/>
    <w:next w:val="style4097"/>
    <w:link w:val="style2"/>
    <w:uiPriority w:val="9"/>
    <w:rPr>
      <w:rFonts w:ascii="Arial" w:cs="宋体" w:eastAsia="宋体" w:hAnsi="Arial"/>
      <w:color w:val="2f5496"/>
      <w:sz w:val="28"/>
      <w:szCs w:val="26"/>
    </w:rPr>
  </w:style>
  <w:style w:type="character" w:customStyle="1" w:styleId="style4098">
    <w:name w:val="Heading 1 Char_6bf0c89e-88e7-4374-be18-1655a0179b19"/>
    <w:basedOn w:val="style65"/>
    <w:next w:val="style4098"/>
    <w:link w:val="style1"/>
    <w:uiPriority w:val="9"/>
    <w:rPr>
      <w:rFonts w:ascii="Arial" w:cs="宋体" w:eastAsia="宋体" w:hAnsi="Arial"/>
      <w:color w:val="2f5496"/>
      <w:sz w:val="32"/>
      <w:szCs w:val="32"/>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 w:type="character" w:customStyle="1" w:styleId="style4099">
    <w:name w:val="Heading 3 Char_40afe0c0-2a27-436b-b7a2-90963408b14a"/>
    <w:basedOn w:val="style65"/>
    <w:next w:val="style4099"/>
    <w:link w:val="style3"/>
    <w:uiPriority w:val="9"/>
    <w:rPr>
      <w:rFonts w:ascii="Arial" w:cs="宋体" w:eastAsia="宋体" w:hAnsi="Arial"/>
      <w:color w:val="1f3763"/>
      <w:sz w:val="26"/>
      <w:szCs w:val="24"/>
    </w:rPr>
  </w:style>
  <w:style w:type="paragraph" w:styleId="style266">
    <w:name w:val="TOC Heading"/>
    <w:basedOn w:val="style1"/>
    <w:next w:val="style0"/>
    <w:qFormat/>
    <w:uiPriority w:val="39"/>
    <w:pPr>
      <w:spacing w:lineRule="auto" w:line="259"/>
      <w:jc w:val="left"/>
      <w:outlineLvl w:val="9"/>
    </w:pPr>
    <w:rPr>
      <w:rFonts w:ascii="Calibri Light" w:hAnsi="Calibri Light"/>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563c1"/>
      <w:u w:val="single"/>
    </w:rPr>
  </w:style>
  <w:style w:type="table" w:customStyle="1" w:styleId="style4100">
    <w:name w:val="Grid Table 2 Accent 3"/>
    <w:basedOn w:val="style105"/>
    <w:next w:val="style4100"/>
    <w:uiPriority w:val="47"/>
    <w:pPr>
      <w:spacing w:after="0" w:lineRule="auto" w:line="240"/>
    </w:pPr>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pPr/>
      <w:rPr>
        <w:b/>
        <w:bCs/>
      </w:rPr>
      <w:tblPr/>
      <w:tcPr>
        <w:tcBorders>
          <w:top w:val="nil"/>
          <w:bottom w:val="single" w:sz="12" w:space="0" w:color="c9c9c9"/>
          <w:insideH w:val="nil"/>
          <w:insideV w:val="nil"/>
        </w:tcBorders>
        <w:shd w:val="clear" w:color="auto" w:fill="ffffff"/>
      </w:tcPr>
    </w:tblStylePr>
    <w:tblStylePr w:type="lastRow">
      <w:pPr/>
      <w:rPr>
        <w:b/>
        <w:bCs/>
      </w:rPr>
      <w:tblPr/>
      <w:tcPr>
        <w:tcBorders>
          <w:top w:val="double" w:sz="2" w:space="0" w:color="c9c9c9"/>
          <w:bottom w:val="nil"/>
          <w:insideH w:val="nil"/>
          <w:insideV w:val="nil"/>
        </w:tcBorders>
        <w:shd w:val="clear" w:color="auto" w:fill="ffffff"/>
      </w:tcPr>
    </w:tblStylePr>
    <w:tblStylePr w:type="band1Horz">
      <w:pPr/>
      <w:tblPr/>
      <w:tcPr>
        <w:tcBorders/>
        <w:shd w:val="clear" w:color="auto" w:fill="ededed"/>
      </w:tcPr>
    </w:tblStylePr>
    <w:tblStylePr w:type="firstCol">
      <w:pPr/>
      <w:rPr>
        <w:b/>
        <w:bCs/>
      </w:rPr>
      <w:tcPr>
        <w:tcBorders/>
      </w:tcPr>
    </w:tblStylePr>
    <w:tblStylePr w:type="lastCol">
      <w:pPr/>
      <w:rPr>
        <w:b/>
        <w:bCs/>
      </w:rPr>
      <w:tcPr>
        <w:tcBorders/>
      </w:tcPr>
    </w:tblStylePr>
    <w:tblStylePr w:type="band1Vert">
      <w:pPr/>
      <w:tblPr/>
      <w:tcPr>
        <w:tcBorders/>
        <w:shd w:val="clear" w:color="auto" w:fill="ededed"/>
      </w:tcPr>
    </w:tblStylePr>
    <w:tcPr>
      <w:tcBorders/>
    </w:tcPr>
  </w:style>
  <w:style w:type="paragraph" w:styleId="style31">
    <w:name w:val="header"/>
    <w:basedOn w:val="style0"/>
    <w:next w:val="style31"/>
    <w:link w:val="style4101"/>
    <w:uiPriority w:val="99"/>
    <w:pPr>
      <w:tabs>
        <w:tab w:val="center" w:leader="none" w:pos="4513"/>
        <w:tab w:val="right" w:leader="none" w:pos="9026"/>
      </w:tabs>
      <w:spacing w:after="0" w:lineRule="auto" w:line="240"/>
    </w:pPr>
    <w:rPr/>
  </w:style>
  <w:style w:type="character" w:customStyle="1" w:styleId="style4101">
    <w:name w:val="Header Char_b54be490-ede0-4ee3-b915-064948710870"/>
    <w:basedOn w:val="style65"/>
    <w:next w:val="style4101"/>
    <w:link w:val="style31"/>
    <w:uiPriority w:val="99"/>
    <w:rPr>
      <w:rFonts w:ascii="Arial" w:hAnsi="Arial"/>
      <w:sz w:val="24"/>
    </w:rPr>
  </w:style>
  <w:style w:type="paragraph" w:styleId="style32">
    <w:name w:val="footer"/>
    <w:basedOn w:val="style0"/>
    <w:next w:val="style32"/>
    <w:link w:val="style4102"/>
    <w:uiPriority w:val="99"/>
    <w:pPr>
      <w:tabs>
        <w:tab w:val="center" w:leader="none" w:pos="4513"/>
        <w:tab w:val="right" w:leader="none" w:pos="9026"/>
      </w:tabs>
      <w:spacing w:after="0" w:lineRule="auto" w:line="240"/>
    </w:pPr>
    <w:rPr/>
  </w:style>
  <w:style w:type="character" w:customStyle="1" w:styleId="style4102">
    <w:name w:val="Footer Char_ab7ed799-165b-4e51-9f83-ca16e8f16165"/>
    <w:basedOn w:val="style65"/>
    <w:next w:val="style4102"/>
    <w:link w:val="style32"/>
    <w:uiPriority w:val="99"/>
    <w:rPr>
      <w:rFonts w:ascii="Arial" w:hAnsi="Arial"/>
      <w:sz w:val="24"/>
    </w:rPr>
  </w:style>
  <w:style w:type="paragraph" w:styleId="style94">
    <w:name w:val="Normal (Web)"/>
    <w:basedOn w:val="style0"/>
    <w:next w:val="style94"/>
    <w:uiPriority w:val="99"/>
    <w:pPr>
      <w:spacing w:before="100" w:beforeAutospacing="true" w:after="100" w:afterAutospacing="true" w:lineRule="auto" w:line="240"/>
      <w:jc w:val="left"/>
    </w:pPr>
    <w:rPr>
      <w:rFonts w:ascii="Times New Roman" w:cs="Times New Roman" w:eastAsia="Times New Roman" w:hAnsi="Times New Roman"/>
      <w:szCs w:val="24"/>
      <w:lang w:eastAsia="en-GB"/>
    </w:rPr>
  </w:style>
</w:styles>
</file>

<file path=word/_rels/document.xml.rels><?xml version="1.0" encoding="UTF-8"?>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footer" Target="footer1.xml"/><Relationship Id="rId12"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fontTable" Target="fontTable.xml"/><Relationship Id="rId14" Type="http://schemas.openxmlformats.org/officeDocument/2006/relationships/styles" Target="styles.xml"/><Relationship Id="rId17" Type="http://schemas.openxmlformats.org/officeDocument/2006/relationships/theme" Target="theme/theme1.xml"/><Relationship Id="rId16"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image" Target="media/image5.png"/><Relationship Id="rId18"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A4F6B-8FDE-466F-931D-ADFC77925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6396</Words>
  <Pages>29</Pages>
  <Characters>39042</Characters>
  <Application>WPS Office</Application>
  <DocSecurity>0</DocSecurity>
  <Paragraphs>286</Paragraphs>
  <ScaleCrop>false</ScaleCrop>
  <LinksUpToDate>false</LinksUpToDate>
  <CharactersWithSpaces>45194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2026-08-07T17:26:00Z</dcterms:created>
  <dc:creator>WPS Office</dc:creator>
  <lastModifiedBy>CPH2579</lastModifiedBy>
  <dcterms:modified xsi:type="dcterms:W3CDTF">2026-08-09T09:52:44Z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db02872f67ed4fefbb1d0dee306b3184_23</vt:lpwstr>
  </property>
</Properties>
</file>