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F2089" w14:textId="77777777" w:rsidR="00372742" w:rsidRPr="00E84E40" w:rsidRDefault="00FC15C7">
      <w:pPr>
        <w:spacing w:line="276" w:lineRule="auto"/>
        <w:rPr>
          <w:rFonts w:cs="Arial"/>
          <w:szCs w:val="24"/>
        </w:rPr>
      </w:pPr>
      <w:r w:rsidRPr="00E84E40">
        <w:rPr>
          <w:rFonts w:cs="Arial"/>
          <w:szCs w:val="24"/>
        </w:rPr>
        <w:t>DreamNachieve Clothing Range</w:t>
      </w:r>
    </w:p>
    <w:p w14:paraId="010FF759" w14:textId="77777777" w:rsidR="00372742" w:rsidRPr="00E84E40" w:rsidRDefault="00FC15C7">
      <w:pPr>
        <w:spacing w:line="276" w:lineRule="auto"/>
        <w:rPr>
          <w:rFonts w:cs="Arial"/>
          <w:szCs w:val="24"/>
        </w:rPr>
      </w:pPr>
      <w:r w:rsidRPr="00E84E40">
        <w:rPr>
          <w:rFonts w:cs="Arial"/>
          <w:szCs w:val="24"/>
        </w:rPr>
        <w:t>Programme: Certificate in Higher Education Business Skills for the Workplace</w:t>
      </w:r>
    </w:p>
    <w:p w14:paraId="5C90C10F" w14:textId="77777777" w:rsidR="00372742" w:rsidRPr="00E84E40" w:rsidRDefault="00FC15C7">
      <w:pPr>
        <w:spacing w:line="276" w:lineRule="auto"/>
        <w:rPr>
          <w:rFonts w:cs="Arial"/>
          <w:szCs w:val="24"/>
        </w:rPr>
      </w:pPr>
      <w:r w:rsidRPr="00E84E40">
        <w:rPr>
          <w:rFonts w:cs="Arial"/>
          <w:szCs w:val="24"/>
        </w:rPr>
        <w:t>Module: Enterprise and Entrepreneurship (LCLM4006)</w:t>
      </w:r>
    </w:p>
    <w:p w14:paraId="384B5157" w14:textId="77777777" w:rsidR="00372742" w:rsidRPr="00E84E40" w:rsidRDefault="00FC15C7">
      <w:pPr>
        <w:spacing w:line="276" w:lineRule="auto"/>
        <w:rPr>
          <w:rFonts w:cs="Arial"/>
          <w:szCs w:val="24"/>
        </w:rPr>
      </w:pPr>
      <w:r w:rsidRPr="00E84E40">
        <w:rPr>
          <w:rFonts w:cs="Arial"/>
          <w:szCs w:val="24"/>
        </w:rPr>
        <w:t>Student Name: Iain Byrne</w:t>
      </w:r>
    </w:p>
    <w:p w14:paraId="3C7C4355" w14:textId="77777777" w:rsidR="00372742" w:rsidRPr="00E84E40" w:rsidRDefault="00FC15C7">
      <w:pPr>
        <w:spacing w:line="276" w:lineRule="auto"/>
        <w:rPr>
          <w:rFonts w:cs="Arial"/>
          <w:szCs w:val="24"/>
        </w:rPr>
      </w:pPr>
      <w:r w:rsidRPr="00E84E40">
        <w:rPr>
          <w:rFonts w:cs="Arial"/>
          <w:szCs w:val="24"/>
        </w:rPr>
        <w:t>Student Number: 2441635</w:t>
      </w:r>
    </w:p>
    <w:p w14:paraId="062FEDB9" w14:textId="77777777" w:rsidR="00372742" w:rsidRPr="00E84E40" w:rsidRDefault="00FC15C7">
      <w:pPr>
        <w:spacing w:line="276" w:lineRule="auto"/>
        <w:rPr>
          <w:rFonts w:cs="Arial"/>
          <w:szCs w:val="24"/>
        </w:rPr>
      </w:pPr>
      <w:r w:rsidRPr="00E84E40">
        <w:rPr>
          <w:rFonts w:cs="Arial"/>
          <w:szCs w:val="24"/>
        </w:rPr>
        <w:t>Lecturer: Chung Lai Johnny Wan</w:t>
      </w:r>
    </w:p>
    <w:p w14:paraId="77BF7D83" w14:textId="77777777" w:rsidR="00372742" w:rsidRPr="00E84E40" w:rsidRDefault="00FC15C7">
      <w:pPr>
        <w:spacing w:line="276" w:lineRule="auto"/>
        <w:rPr>
          <w:rFonts w:cs="Arial"/>
          <w:szCs w:val="24"/>
        </w:rPr>
      </w:pPr>
      <w:r w:rsidRPr="00E84E40">
        <w:rPr>
          <w:rFonts w:cs="Arial"/>
          <w:szCs w:val="24"/>
        </w:rPr>
        <w:br w:type="page"/>
      </w:r>
    </w:p>
    <w:p w14:paraId="083F0A59" w14:textId="77777777" w:rsidR="00372742" w:rsidRPr="00E84E40" w:rsidRDefault="00FC15C7">
      <w:pPr>
        <w:spacing w:line="276" w:lineRule="auto"/>
        <w:rPr>
          <w:rFonts w:cs="Arial"/>
          <w:szCs w:val="24"/>
        </w:rPr>
      </w:pPr>
      <w:r w:rsidRPr="00E84E40">
        <w:rPr>
          <w:rFonts w:cs="Arial"/>
          <w:szCs w:val="24"/>
        </w:rPr>
        <w:lastRenderedPageBreak/>
        <w:t>Table of Contents</w:t>
      </w:r>
    </w:p>
    <w:p w14:paraId="757CA044" w14:textId="77777777" w:rsidR="00372742" w:rsidRPr="00E84E40" w:rsidRDefault="00FC15C7">
      <w:pPr>
        <w:spacing w:line="276" w:lineRule="auto"/>
        <w:rPr>
          <w:rFonts w:cs="Arial"/>
          <w:szCs w:val="24"/>
        </w:rPr>
      </w:pPr>
      <w:r w:rsidRPr="00E84E40">
        <w:rPr>
          <w:rFonts w:cs="Arial"/>
          <w:szCs w:val="24"/>
        </w:rPr>
        <w:t>1. Executive Summary</w:t>
      </w:r>
    </w:p>
    <w:p w14:paraId="491D49C9" w14:textId="77777777" w:rsidR="00372742" w:rsidRPr="00E84E40" w:rsidRDefault="00FC15C7">
      <w:pPr>
        <w:spacing w:line="276" w:lineRule="auto"/>
        <w:rPr>
          <w:rFonts w:cs="Arial"/>
          <w:szCs w:val="24"/>
        </w:rPr>
      </w:pPr>
      <w:r w:rsidRPr="00E84E40">
        <w:rPr>
          <w:rFonts w:cs="Arial"/>
          <w:szCs w:val="24"/>
        </w:rPr>
        <w:t>2. Overview of the Business Idea</w:t>
      </w:r>
    </w:p>
    <w:tbl>
      <w:tblPr>
        <w:tblStyle w:val="TableGrid"/>
        <w:tblW w:w="0" w:type="auto"/>
        <w:tblLook w:val="04A0" w:firstRow="1" w:lastRow="0" w:firstColumn="1" w:lastColumn="0" w:noHBand="0" w:noVBand="1"/>
      </w:tblPr>
      <w:tblGrid>
        <w:gridCol w:w="2880"/>
        <w:gridCol w:w="2880"/>
        <w:gridCol w:w="2880"/>
      </w:tblGrid>
      <w:tr w:rsidR="00ED6567" w:rsidRPr="00E84E40" w14:paraId="7820C80C" w14:textId="77777777">
        <w:tc>
          <w:tcPr>
            <w:tcW w:w="2880" w:type="dxa"/>
          </w:tcPr>
          <w:p w14:paraId="03A4923E" w14:textId="77777777" w:rsidR="00ED6567" w:rsidRPr="00E84E40" w:rsidRDefault="00000000">
            <w:pPr>
              <w:spacing w:line="276" w:lineRule="auto"/>
              <w:rPr>
                <w:rFonts w:cs="Arial"/>
                <w:szCs w:val="24"/>
              </w:rPr>
            </w:pPr>
            <w:r w:rsidRPr="00E84E40">
              <w:rPr>
                <w:rFonts w:cs="Arial"/>
                <w:szCs w:val="24"/>
              </w:rPr>
              <w:t>Factor</w:t>
            </w:r>
          </w:p>
        </w:tc>
        <w:tc>
          <w:tcPr>
            <w:tcW w:w="2880" w:type="dxa"/>
          </w:tcPr>
          <w:p w14:paraId="5B8B0F6A" w14:textId="77777777" w:rsidR="00ED6567" w:rsidRPr="00E84E40" w:rsidRDefault="00000000">
            <w:pPr>
              <w:spacing w:line="276" w:lineRule="auto"/>
              <w:rPr>
                <w:rFonts w:cs="Arial"/>
                <w:szCs w:val="24"/>
              </w:rPr>
            </w:pPr>
            <w:r w:rsidRPr="00E84E40">
              <w:rPr>
                <w:rFonts w:cs="Arial"/>
                <w:szCs w:val="24"/>
              </w:rPr>
              <w:t>Key Issues</w:t>
            </w:r>
          </w:p>
        </w:tc>
        <w:tc>
          <w:tcPr>
            <w:tcW w:w="2880" w:type="dxa"/>
          </w:tcPr>
          <w:p w14:paraId="00DB4CDF" w14:textId="77777777" w:rsidR="00ED6567" w:rsidRPr="00E84E40" w:rsidRDefault="00000000">
            <w:pPr>
              <w:spacing w:line="276" w:lineRule="auto"/>
              <w:rPr>
                <w:rFonts w:cs="Arial"/>
                <w:szCs w:val="24"/>
              </w:rPr>
            </w:pPr>
            <w:r w:rsidRPr="00E84E40">
              <w:rPr>
                <w:rFonts w:cs="Arial"/>
                <w:szCs w:val="24"/>
              </w:rPr>
              <w:t>Academic Insight</w:t>
            </w:r>
          </w:p>
        </w:tc>
      </w:tr>
      <w:tr w:rsidR="00ED6567" w:rsidRPr="00E84E40" w14:paraId="188F3C98" w14:textId="77777777">
        <w:tc>
          <w:tcPr>
            <w:tcW w:w="2880" w:type="dxa"/>
          </w:tcPr>
          <w:p w14:paraId="1CA767AD" w14:textId="77777777" w:rsidR="00ED6567" w:rsidRPr="00E84E40" w:rsidRDefault="00000000">
            <w:pPr>
              <w:spacing w:line="276" w:lineRule="auto"/>
              <w:rPr>
                <w:rFonts w:cs="Arial"/>
                <w:szCs w:val="24"/>
              </w:rPr>
            </w:pPr>
            <w:r w:rsidRPr="00E84E40">
              <w:rPr>
                <w:rFonts w:cs="Arial"/>
                <w:szCs w:val="24"/>
              </w:rPr>
              <w:t>Political</w:t>
            </w:r>
          </w:p>
        </w:tc>
        <w:tc>
          <w:tcPr>
            <w:tcW w:w="2880" w:type="dxa"/>
          </w:tcPr>
          <w:p w14:paraId="5D412BD7" w14:textId="77777777" w:rsidR="00ED6567" w:rsidRPr="00E84E40" w:rsidRDefault="00000000">
            <w:pPr>
              <w:spacing w:line="276" w:lineRule="auto"/>
              <w:rPr>
                <w:rFonts w:cs="Arial"/>
                <w:szCs w:val="24"/>
              </w:rPr>
            </w:pPr>
            <w:r w:rsidRPr="00E84E40">
              <w:rPr>
                <w:rFonts w:cs="Arial"/>
                <w:szCs w:val="24"/>
              </w:rPr>
              <w:t>Post</w:t>
            </w:r>
            <w:r w:rsidRPr="00E84E40">
              <w:rPr>
                <w:rFonts w:ascii="Cambria Math" w:hAnsi="Cambria Math" w:cs="Cambria Math"/>
                <w:szCs w:val="24"/>
              </w:rPr>
              <w:t>‑</w:t>
            </w:r>
            <w:r w:rsidRPr="00E84E40">
              <w:rPr>
                <w:rFonts w:cs="Arial"/>
                <w:szCs w:val="24"/>
              </w:rPr>
              <w:t>Brexit trade rules; import tariffs; supply chain uncertainty</w:t>
            </w:r>
          </w:p>
        </w:tc>
        <w:tc>
          <w:tcPr>
            <w:tcW w:w="2880" w:type="dxa"/>
          </w:tcPr>
          <w:p w14:paraId="283BC8B3" w14:textId="77777777" w:rsidR="00ED6567" w:rsidRPr="00E84E40" w:rsidRDefault="00000000">
            <w:pPr>
              <w:spacing w:line="276" w:lineRule="auto"/>
              <w:rPr>
                <w:rFonts w:cs="Arial"/>
                <w:szCs w:val="24"/>
              </w:rPr>
            </w:pPr>
            <w:r w:rsidRPr="00E84E40">
              <w:rPr>
                <w:rFonts w:cs="Arial"/>
                <w:szCs w:val="24"/>
              </w:rPr>
              <w:t>Political instability increases operational risk for SMEs reliant on overseas sourcing (McCann, 2021).</w:t>
            </w:r>
          </w:p>
        </w:tc>
      </w:tr>
      <w:tr w:rsidR="00ED6567" w:rsidRPr="00E84E40" w14:paraId="4FAD5663" w14:textId="77777777">
        <w:tc>
          <w:tcPr>
            <w:tcW w:w="2880" w:type="dxa"/>
          </w:tcPr>
          <w:p w14:paraId="4A144439" w14:textId="77777777" w:rsidR="00ED6567" w:rsidRPr="00E84E40" w:rsidRDefault="00000000">
            <w:pPr>
              <w:spacing w:line="276" w:lineRule="auto"/>
              <w:rPr>
                <w:rFonts w:cs="Arial"/>
                <w:szCs w:val="24"/>
              </w:rPr>
            </w:pPr>
            <w:r w:rsidRPr="00E84E40">
              <w:rPr>
                <w:rFonts w:cs="Arial"/>
                <w:szCs w:val="24"/>
              </w:rPr>
              <w:t>Economic</w:t>
            </w:r>
          </w:p>
        </w:tc>
        <w:tc>
          <w:tcPr>
            <w:tcW w:w="2880" w:type="dxa"/>
          </w:tcPr>
          <w:p w14:paraId="068A109C" w14:textId="77777777" w:rsidR="00ED6567" w:rsidRPr="00E84E40" w:rsidRDefault="00000000">
            <w:pPr>
              <w:spacing w:line="276" w:lineRule="auto"/>
              <w:rPr>
                <w:rFonts w:cs="Arial"/>
                <w:szCs w:val="24"/>
              </w:rPr>
            </w:pPr>
            <w:r w:rsidRPr="00E84E40">
              <w:rPr>
                <w:rFonts w:cs="Arial"/>
                <w:szCs w:val="24"/>
              </w:rPr>
              <w:t>Inflation; reduced disposable income; value-driven purchasing</w:t>
            </w:r>
          </w:p>
        </w:tc>
        <w:tc>
          <w:tcPr>
            <w:tcW w:w="2880" w:type="dxa"/>
          </w:tcPr>
          <w:p w14:paraId="79ABD23D" w14:textId="77777777" w:rsidR="00ED6567" w:rsidRPr="00E84E40" w:rsidRDefault="00000000">
            <w:pPr>
              <w:spacing w:line="276" w:lineRule="auto"/>
              <w:rPr>
                <w:rFonts w:cs="Arial"/>
                <w:szCs w:val="24"/>
              </w:rPr>
            </w:pPr>
            <w:r w:rsidRPr="00E84E40">
              <w:rPr>
                <w:rFonts w:cs="Arial"/>
                <w:szCs w:val="24"/>
              </w:rPr>
              <w:t>Ethical consumption rises during economic uncertainty as consumers seek durability and purpose (ONS, 2023).</w:t>
            </w:r>
          </w:p>
        </w:tc>
      </w:tr>
      <w:tr w:rsidR="00ED6567" w:rsidRPr="00E84E40" w14:paraId="60B1EDBF" w14:textId="77777777">
        <w:tc>
          <w:tcPr>
            <w:tcW w:w="2880" w:type="dxa"/>
          </w:tcPr>
          <w:p w14:paraId="47D7E0EB" w14:textId="77777777" w:rsidR="00ED6567" w:rsidRPr="00E84E40" w:rsidRDefault="00000000">
            <w:pPr>
              <w:spacing w:line="276" w:lineRule="auto"/>
              <w:rPr>
                <w:rFonts w:cs="Arial"/>
                <w:szCs w:val="24"/>
              </w:rPr>
            </w:pPr>
            <w:r w:rsidRPr="00E84E40">
              <w:rPr>
                <w:rFonts w:cs="Arial"/>
                <w:szCs w:val="24"/>
              </w:rPr>
              <w:t>Social</w:t>
            </w:r>
          </w:p>
        </w:tc>
        <w:tc>
          <w:tcPr>
            <w:tcW w:w="2880" w:type="dxa"/>
          </w:tcPr>
          <w:p w14:paraId="3FDC5FC1" w14:textId="77777777" w:rsidR="00ED6567" w:rsidRPr="00E84E40" w:rsidRDefault="00000000">
            <w:pPr>
              <w:spacing w:line="276" w:lineRule="auto"/>
              <w:rPr>
                <w:rFonts w:cs="Arial"/>
                <w:szCs w:val="24"/>
              </w:rPr>
            </w:pPr>
            <w:r w:rsidRPr="00E84E40">
              <w:rPr>
                <w:rFonts w:cs="Arial"/>
                <w:szCs w:val="24"/>
              </w:rPr>
              <w:t>Demand for ethical fashion; identity-driven consumption</w:t>
            </w:r>
          </w:p>
        </w:tc>
        <w:tc>
          <w:tcPr>
            <w:tcW w:w="2880" w:type="dxa"/>
          </w:tcPr>
          <w:p w14:paraId="0452346D" w14:textId="77777777" w:rsidR="00ED6567" w:rsidRPr="00E84E40" w:rsidRDefault="00000000">
            <w:pPr>
              <w:spacing w:line="276" w:lineRule="auto"/>
              <w:rPr>
                <w:rFonts w:cs="Arial"/>
                <w:szCs w:val="24"/>
              </w:rPr>
            </w:pPr>
            <w:r w:rsidRPr="00E84E40">
              <w:rPr>
                <w:rFonts w:cs="Arial"/>
                <w:szCs w:val="24"/>
              </w:rPr>
              <w:t>Younger consumers prefer brands demonstrating authenticity and social purpose (Hassan &amp; Shiu, 2020).</w:t>
            </w:r>
          </w:p>
        </w:tc>
      </w:tr>
      <w:tr w:rsidR="00ED6567" w:rsidRPr="00E84E40" w14:paraId="57811288" w14:textId="77777777">
        <w:tc>
          <w:tcPr>
            <w:tcW w:w="2880" w:type="dxa"/>
          </w:tcPr>
          <w:p w14:paraId="24FAA26A" w14:textId="77777777" w:rsidR="00ED6567" w:rsidRPr="00E84E40" w:rsidRDefault="00000000">
            <w:pPr>
              <w:spacing w:line="276" w:lineRule="auto"/>
              <w:rPr>
                <w:rFonts w:cs="Arial"/>
                <w:szCs w:val="24"/>
              </w:rPr>
            </w:pPr>
            <w:r w:rsidRPr="00E84E40">
              <w:rPr>
                <w:rFonts w:cs="Arial"/>
                <w:szCs w:val="24"/>
              </w:rPr>
              <w:t>Technological</w:t>
            </w:r>
          </w:p>
        </w:tc>
        <w:tc>
          <w:tcPr>
            <w:tcW w:w="2880" w:type="dxa"/>
          </w:tcPr>
          <w:p w14:paraId="3E3570CF" w14:textId="77777777" w:rsidR="00ED6567" w:rsidRPr="00E84E40" w:rsidRDefault="00000000">
            <w:pPr>
              <w:spacing w:line="276" w:lineRule="auto"/>
              <w:rPr>
                <w:rFonts w:cs="Arial"/>
                <w:szCs w:val="24"/>
              </w:rPr>
            </w:pPr>
            <w:r w:rsidRPr="00E84E40">
              <w:rPr>
                <w:rFonts w:cs="Arial"/>
                <w:szCs w:val="24"/>
              </w:rPr>
              <w:t>E</w:t>
            </w:r>
            <w:r w:rsidRPr="00E84E40">
              <w:rPr>
                <w:rFonts w:ascii="Cambria Math" w:hAnsi="Cambria Math" w:cs="Cambria Math"/>
                <w:szCs w:val="24"/>
              </w:rPr>
              <w:t>‑</w:t>
            </w:r>
            <w:r w:rsidRPr="00E84E40">
              <w:rPr>
                <w:rFonts w:cs="Arial"/>
                <w:szCs w:val="24"/>
              </w:rPr>
              <w:t>commerce automation; AI personalisation; social commerce</w:t>
            </w:r>
          </w:p>
        </w:tc>
        <w:tc>
          <w:tcPr>
            <w:tcW w:w="2880" w:type="dxa"/>
          </w:tcPr>
          <w:p w14:paraId="233586CC" w14:textId="77777777" w:rsidR="00ED6567" w:rsidRPr="00E84E40" w:rsidRDefault="00000000">
            <w:pPr>
              <w:spacing w:line="276" w:lineRule="auto"/>
              <w:rPr>
                <w:rFonts w:cs="Arial"/>
                <w:szCs w:val="24"/>
              </w:rPr>
            </w:pPr>
            <w:r w:rsidRPr="00E84E40">
              <w:rPr>
                <w:rFonts w:cs="Arial"/>
                <w:szCs w:val="24"/>
              </w:rPr>
              <w:t>Digital technologies reduce entry barriers and enhance customer engagement.</w:t>
            </w:r>
          </w:p>
        </w:tc>
      </w:tr>
      <w:tr w:rsidR="00ED6567" w:rsidRPr="00E84E40" w14:paraId="71D7F98D" w14:textId="77777777">
        <w:tc>
          <w:tcPr>
            <w:tcW w:w="2880" w:type="dxa"/>
          </w:tcPr>
          <w:p w14:paraId="0DB0BDC1" w14:textId="77777777" w:rsidR="00ED6567" w:rsidRPr="00E84E40" w:rsidRDefault="00000000">
            <w:pPr>
              <w:spacing w:line="276" w:lineRule="auto"/>
              <w:rPr>
                <w:rFonts w:cs="Arial"/>
                <w:szCs w:val="24"/>
              </w:rPr>
            </w:pPr>
            <w:r w:rsidRPr="00E84E40">
              <w:rPr>
                <w:rFonts w:cs="Arial"/>
                <w:szCs w:val="24"/>
              </w:rPr>
              <w:t>Environmental</w:t>
            </w:r>
          </w:p>
        </w:tc>
        <w:tc>
          <w:tcPr>
            <w:tcW w:w="2880" w:type="dxa"/>
          </w:tcPr>
          <w:p w14:paraId="506C607E" w14:textId="77777777" w:rsidR="00ED6567" w:rsidRPr="00E84E40" w:rsidRDefault="00000000">
            <w:pPr>
              <w:spacing w:line="276" w:lineRule="auto"/>
              <w:rPr>
                <w:rFonts w:cs="Arial"/>
                <w:szCs w:val="24"/>
              </w:rPr>
            </w:pPr>
            <w:r w:rsidRPr="00E84E40">
              <w:rPr>
                <w:rFonts w:cs="Arial"/>
                <w:szCs w:val="24"/>
              </w:rPr>
              <w:t>Sustainability expectations; organic materials; circular economy</w:t>
            </w:r>
          </w:p>
        </w:tc>
        <w:tc>
          <w:tcPr>
            <w:tcW w:w="2880" w:type="dxa"/>
          </w:tcPr>
          <w:p w14:paraId="68BE9145" w14:textId="77777777" w:rsidR="00ED6567" w:rsidRPr="00E84E40" w:rsidRDefault="00000000">
            <w:pPr>
              <w:spacing w:line="276" w:lineRule="auto"/>
              <w:rPr>
                <w:rFonts w:cs="Arial"/>
                <w:szCs w:val="24"/>
              </w:rPr>
            </w:pPr>
            <w:r w:rsidRPr="00E84E40">
              <w:rPr>
                <w:rFonts w:cs="Arial"/>
                <w:szCs w:val="24"/>
              </w:rPr>
              <w:t xml:space="preserve">Circular </w:t>
            </w:r>
            <w:proofErr w:type="gramStart"/>
            <w:r w:rsidRPr="00E84E40">
              <w:rPr>
                <w:rFonts w:cs="Arial"/>
                <w:szCs w:val="24"/>
              </w:rPr>
              <w:t>economy</w:t>
            </w:r>
            <w:proofErr w:type="gramEnd"/>
            <w:r w:rsidRPr="00E84E40">
              <w:rPr>
                <w:rFonts w:cs="Arial"/>
                <w:szCs w:val="24"/>
              </w:rPr>
              <w:t xml:space="preserve"> principles are becoming central to competitive advantage (Bocken et al., 2016).</w:t>
            </w:r>
          </w:p>
        </w:tc>
      </w:tr>
      <w:tr w:rsidR="00ED6567" w:rsidRPr="00E84E40" w14:paraId="58F5AA27" w14:textId="77777777">
        <w:tc>
          <w:tcPr>
            <w:tcW w:w="2880" w:type="dxa"/>
          </w:tcPr>
          <w:p w14:paraId="058D8F3C" w14:textId="77777777" w:rsidR="00ED6567" w:rsidRPr="00E84E40" w:rsidRDefault="00000000">
            <w:pPr>
              <w:spacing w:line="276" w:lineRule="auto"/>
              <w:rPr>
                <w:rFonts w:cs="Arial"/>
                <w:szCs w:val="24"/>
              </w:rPr>
            </w:pPr>
            <w:r w:rsidRPr="00E84E40">
              <w:rPr>
                <w:rFonts w:cs="Arial"/>
                <w:szCs w:val="24"/>
              </w:rPr>
              <w:t>Legal</w:t>
            </w:r>
          </w:p>
        </w:tc>
        <w:tc>
          <w:tcPr>
            <w:tcW w:w="2880" w:type="dxa"/>
          </w:tcPr>
          <w:p w14:paraId="22BCB1C3" w14:textId="77777777" w:rsidR="00ED6567" w:rsidRPr="00E84E40" w:rsidRDefault="00000000">
            <w:pPr>
              <w:spacing w:line="276" w:lineRule="auto"/>
              <w:rPr>
                <w:rFonts w:cs="Arial"/>
                <w:szCs w:val="24"/>
              </w:rPr>
            </w:pPr>
            <w:r w:rsidRPr="00E84E40">
              <w:rPr>
                <w:rFonts w:cs="Arial"/>
                <w:szCs w:val="24"/>
              </w:rPr>
              <w:t>GDPR; Consumer Rights Act; CMA Green Claims Code</w:t>
            </w:r>
          </w:p>
        </w:tc>
        <w:tc>
          <w:tcPr>
            <w:tcW w:w="2880" w:type="dxa"/>
          </w:tcPr>
          <w:p w14:paraId="3BFC4BD3" w14:textId="77777777" w:rsidR="00ED6567" w:rsidRPr="00E84E40" w:rsidRDefault="00000000">
            <w:pPr>
              <w:spacing w:line="276" w:lineRule="auto"/>
              <w:rPr>
                <w:rFonts w:cs="Arial"/>
                <w:szCs w:val="24"/>
              </w:rPr>
            </w:pPr>
            <w:r w:rsidRPr="00E84E40">
              <w:rPr>
                <w:rFonts w:cs="Arial"/>
                <w:szCs w:val="24"/>
              </w:rPr>
              <w:t>Non-compliance risks reputational and financial penalties.</w:t>
            </w:r>
          </w:p>
        </w:tc>
      </w:tr>
      <w:tr w:rsidR="00ED6567" w:rsidRPr="00E84E40" w14:paraId="00AD0EE3" w14:textId="77777777">
        <w:tc>
          <w:tcPr>
            <w:tcW w:w="2880" w:type="dxa"/>
          </w:tcPr>
          <w:p w14:paraId="638D8577" w14:textId="77777777" w:rsidR="00ED6567" w:rsidRPr="00E84E40" w:rsidRDefault="00000000">
            <w:pPr>
              <w:spacing w:line="276" w:lineRule="auto"/>
              <w:rPr>
                <w:rFonts w:cs="Arial"/>
                <w:szCs w:val="24"/>
              </w:rPr>
            </w:pPr>
            <w:r w:rsidRPr="00E84E40">
              <w:rPr>
                <w:rFonts w:cs="Arial"/>
                <w:szCs w:val="24"/>
              </w:rPr>
              <w:t>Force</w:t>
            </w:r>
          </w:p>
        </w:tc>
        <w:tc>
          <w:tcPr>
            <w:tcW w:w="2880" w:type="dxa"/>
          </w:tcPr>
          <w:p w14:paraId="47460444" w14:textId="77777777" w:rsidR="00ED6567" w:rsidRPr="00E84E40" w:rsidRDefault="00000000">
            <w:pPr>
              <w:spacing w:line="276" w:lineRule="auto"/>
              <w:rPr>
                <w:rFonts w:cs="Arial"/>
                <w:szCs w:val="24"/>
              </w:rPr>
            </w:pPr>
            <w:r w:rsidRPr="00E84E40">
              <w:rPr>
                <w:rFonts w:cs="Arial"/>
                <w:szCs w:val="24"/>
              </w:rPr>
              <w:t>Assessment</w:t>
            </w:r>
          </w:p>
        </w:tc>
        <w:tc>
          <w:tcPr>
            <w:tcW w:w="2880" w:type="dxa"/>
          </w:tcPr>
          <w:p w14:paraId="641E7CF7" w14:textId="77777777" w:rsidR="00ED6567" w:rsidRPr="00E84E40" w:rsidRDefault="00000000">
            <w:pPr>
              <w:spacing w:line="276" w:lineRule="auto"/>
              <w:rPr>
                <w:rFonts w:cs="Arial"/>
                <w:szCs w:val="24"/>
              </w:rPr>
            </w:pPr>
            <w:r w:rsidRPr="00E84E40">
              <w:rPr>
                <w:rFonts w:cs="Arial"/>
                <w:szCs w:val="24"/>
              </w:rPr>
              <w:t>Implications for DreamNachieve</w:t>
            </w:r>
          </w:p>
        </w:tc>
      </w:tr>
      <w:tr w:rsidR="00ED6567" w:rsidRPr="00E84E40" w14:paraId="5154EECD" w14:textId="77777777">
        <w:tc>
          <w:tcPr>
            <w:tcW w:w="2880" w:type="dxa"/>
          </w:tcPr>
          <w:p w14:paraId="0A20D74F" w14:textId="77777777" w:rsidR="00ED6567" w:rsidRPr="00E84E40" w:rsidRDefault="00000000">
            <w:pPr>
              <w:spacing w:line="276" w:lineRule="auto"/>
              <w:rPr>
                <w:rFonts w:cs="Arial"/>
                <w:szCs w:val="24"/>
              </w:rPr>
            </w:pPr>
            <w:r w:rsidRPr="00E84E40">
              <w:rPr>
                <w:rFonts w:cs="Arial"/>
                <w:szCs w:val="24"/>
              </w:rPr>
              <w:t>Threat of New Entrants</w:t>
            </w:r>
          </w:p>
        </w:tc>
        <w:tc>
          <w:tcPr>
            <w:tcW w:w="2880" w:type="dxa"/>
          </w:tcPr>
          <w:p w14:paraId="28F0B80F" w14:textId="77777777" w:rsidR="00ED6567" w:rsidRPr="00E84E40" w:rsidRDefault="00000000">
            <w:pPr>
              <w:spacing w:line="276" w:lineRule="auto"/>
              <w:rPr>
                <w:rFonts w:cs="Arial"/>
                <w:szCs w:val="24"/>
              </w:rPr>
            </w:pPr>
            <w:r w:rsidRPr="00E84E40">
              <w:rPr>
                <w:rFonts w:cs="Arial"/>
                <w:szCs w:val="24"/>
              </w:rPr>
              <w:t>High</w:t>
            </w:r>
          </w:p>
        </w:tc>
        <w:tc>
          <w:tcPr>
            <w:tcW w:w="2880" w:type="dxa"/>
          </w:tcPr>
          <w:p w14:paraId="35D1EBEF" w14:textId="77777777" w:rsidR="00ED6567" w:rsidRPr="00E84E40" w:rsidRDefault="00000000">
            <w:pPr>
              <w:spacing w:line="276" w:lineRule="auto"/>
              <w:rPr>
                <w:rFonts w:cs="Arial"/>
                <w:szCs w:val="24"/>
              </w:rPr>
            </w:pPr>
            <w:r w:rsidRPr="00E84E40">
              <w:rPr>
                <w:rFonts w:cs="Arial"/>
                <w:szCs w:val="24"/>
              </w:rPr>
              <w:t>Low entry barriers require strong brand identity and authenticity.</w:t>
            </w:r>
          </w:p>
        </w:tc>
      </w:tr>
      <w:tr w:rsidR="00ED6567" w:rsidRPr="00E84E40" w14:paraId="314D26CE" w14:textId="77777777">
        <w:tc>
          <w:tcPr>
            <w:tcW w:w="2880" w:type="dxa"/>
          </w:tcPr>
          <w:p w14:paraId="425A0ED5" w14:textId="77777777" w:rsidR="00ED6567" w:rsidRPr="00E84E40" w:rsidRDefault="00000000">
            <w:pPr>
              <w:spacing w:line="276" w:lineRule="auto"/>
              <w:rPr>
                <w:rFonts w:cs="Arial"/>
                <w:szCs w:val="24"/>
              </w:rPr>
            </w:pPr>
            <w:r w:rsidRPr="00E84E40">
              <w:rPr>
                <w:rFonts w:cs="Arial"/>
                <w:szCs w:val="24"/>
              </w:rPr>
              <w:lastRenderedPageBreak/>
              <w:t>Supplier Power</w:t>
            </w:r>
          </w:p>
        </w:tc>
        <w:tc>
          <w:tcPr>
            <w:tcW w:w="2880" w:type="dxa"/>
          </w:tcPr>
          <w:p w14:paraId="13F7CB7C" w14:textId="77777777" w:rsidR="00ED6567" w:rsidRPr="00E84E40" w:rsidRDefault="00000000">
            <w:pPr>
              <w:spacing w:line="276" w:lineRule="auto"/>
              <w:rPr>
                <w:rFonts w:cs="Arial"/>
                <w:szCs w:val="24"/>
              </w:rPr>
            </w:pPr>
            <w:r w:rsidRPr="00E84E40">
              <w:rPr>
                <w:rFonts w:cs="Arial"/>
                <w:szCs w:val="24"/>
              </w:rPr>
              <w:t>Moderate</w:t>
            </w:r>
          </w:p>
        </w:tc>
        <w:tc>
          <w:tcPr>
            <w:tcW w:w="2880" w:type="dxa"/>
          </w:tcPr>
          <w:p w14:paraId="2446202D" w14:textId="77777777" w:rsidR="00ED6567" w:rsidRPr="00E84E40" w:rsidRDefault="00000000">
            <w:pPr>
              <w:spacing w:line="276" w:lineRule="auto"/>
              <w:rPr>
                <w:rFonts w:cs="Arial"/>
                <w:szCs w:val="24"/>
              </w:rPr>
            </w:pPr>
            <w:r w:rsidRPr="00E84E40">
              <w:rPr>
                <w:rFonts w:cs="Arial"/>
                <w:szCs w:val="24"/>
              </w:rPr>
              <w:t>Limited organic textile suppliers increase dependency and cost risk.</w:t>
            </w:r>
          </w:p>
        </w:tc>
      </w:tr>
      <w:tr w:rsidR="00ED6567" w:rsidRPr="00E84E40" w14:paraId="0E3A303A" w14:textId="77777777">
        <w:tc>
          <w:tcPr>
            <w:tcW w:w="2880" w:type="dxa"/>
          </w:tcPr>
          <w:p w14:paraId="77D6791C" w14:textId="77777777" w:rsidR="00ED6567" w:rsidRPr="00E84E40" w:rsidRDefault="00000000">
            <w:pPr>
              <w:spacing w:line="276" w:lineRule="auto"/>
              <w:rPr>
                <w:rFonts w:cs="Arial"/>
                <w:szCs w:val="24"/>
              </w:rPr>
            </w:pPr>
            <w:r w:rsidRPr="00E84E40">
              <w:rPr>
                <w:rFonts w:cs="Arial"/>
                <w:szCs w:val="24"/>
              </w:rPr>
              <w:t>Buyer Power</w:t>
            </w:r>
          </w:p>
        </w:tc>
        <w:tc>
          <w:tcPr>
            <w:tcW w:w="2880" w:type="dxa"/>
          </w:tcPr>
          <w:p w14:paraId="79F123ED" w14:textId="77777777" w:rsidR="00ED6567" w:rsidRPr="00E84E40" w:rsidRDefault="00000000">
            <w:pPr>
              <w:spacing w:line="276" w:lineRule="auto"/>
              <w:rPr>
                <w:rFonts w:cs="Arial"/>
                <w:szCs w:val="24"/>
              </w:rPr>
            </w:pPr>
            <w:r w:rsidRPr="00E84E40">
              <w:rPr>
                <w:rFonts w:cs="Arial"/>
                <w:szCs w:val="24"/>
              </w:rPr>
              <w:t>High</w:t>
            </w:r>
          </w:p>
        </w:tc>
        <w:tc>
          <w:tcPr>
            <w:tcW w:w="2880" w:type="dxa"/>
          </w:tcPr>
          <w:p w14:paraId="32FC2592" w14:textId="77777777" w:rsidR="00ED6567" w:rsidRPr="00E84E40" w:rsidRDefault="00000000">
            <w:pPr>
              <w:spacing w:line="276" w:lineRule="auto"/>
              <w:rPr>
                <w:rFonts w:cs="Arial"/>
                <w:szCs w:val="24"/>
              </w:rPr>
            </w:pPr>
            <w:r w:rsidRPr="00E84E40">
              <w:rPr>
                <w:rFonts w:cs="Arial"/>
                <w:szCs w:val="24"/>
              </w:rPr>
              <w:t>Consumers can easily switch; emotional branding reduces churn.</w:t>
            </w:r>
          </w:p>
        </w:tc>
      </w:tr>
      <w:tr w:rsidR="00ED6567" w:rsidRPr="00E84E40" w14:paraId="2A8A73CB" w14:textId="77777777">
        <w:tc>
          <w:tcPr>
            <w:tcW w:w="2880" w:type="dxa"/>
          </w:tcPr>
          <w:p w14:paraId="6958E0E8" w14:textId="77777777" w:rsidR="00ED6567" w:rsidRPr="00E84E40" w:rsidRDefault="00000000">
            <w:pPr>
              <w:spacing w:line="276" w:lineRule="auto"/>
              <w:rPr>
                <w:rFonts w:cs="Arial"/>
                <w:szCs w:val="24"/>
              </w:rPr>
            </w:pPr>
            <w:r w:rsidRPr="00E84E40">
              <w:rPr>
                <w:rFonts w:cs="Arial"/>
                <w:szCs w:val="24"/>
              </w:rPr>
              <w:t>Threat of Substitutes</w:t>
            </w:r>
          </w:p>
        </w:tc>
        <w:tc>
          <w:tcPr>
            <w:tcW w:w="2880" w:type="dxa"/>
          </w:tcPr>
          <w:p w14:paraId="11B91B32" w14:textId="77777777" w:rsidR="00ED6567" w:rsidRPr="00E84E40" w:rsidRDefault="00000000">
            <w:pPr>
              <w:spacing w:line="276" w:lineRule="auto"/>
              <w:rPr>
                <w:rFonts w:cs="Arial"/>
                <w:szCs w:val="24"/>
              </w:rPr>
            </w:pPr>
            <w:r w:rsidRPr="00E84E40">
              <w:rPr>
                <w:rFonts w:cs="Arial"/>
                <w:szCs w:val="24"/>
              </w:rPr>
              <w:t>Significant</w:t>
            </w:r>
          </w:p>
        </w:tc>
        <w:tc>
          <w:tcPr>
            <w:tcW w:w="2880" w:type="dxa"/>
          </w:tcPr>
          <w:p w14:paraId="05550AC2" w14:textId="77777777" w:rsidR="00ED6567" w:rsidRPr="00E84E40" w:rsidRDefault="00000000">
            <w:pPr>
              <w:spacing w:line="276" w:lineRule="auto"/>
              <w:rPr>
                <w:rFonts w:cs="Arial"/>
                <w:szCs w:val="24"/>
              </w:rPr>
            </w:pPr>
            <w:r w:rsidRPr="00E84E40">
              <w:rPr>
                <w:rFonts w:cs="Arial"/>
                <w:szCs w:val="24"/>
              </w:rPr>
              <w:t>Fast fashion, resale, and rental markets compete for attention.</w:t>
            </w:r>
          </w:p>
        </w:tc>
      </w:tr>
      <w:tr w:rsidR="00ED6567" w:rsidRPr="00E84E40" w14:paraId="7AEB4533" w14:textId="77777777">
        <w:tc>
          <w:tcPr>
            <w:tcW w:w="2880" w:type="dxa"/>
          </w:tcPr>
          <w:p w14:paraId="1C88F8E2" w14:textId="77777777" w:rsidR="00ED6567" w:rsidRPr="00E84E40" w:rsidRDefault="00000000">
            <w:pPr>
              <w:spacing w:line="276" w:lineRule="auto"/>
              <w:rPr>
                <w:rFonts w:cs="Arial"/>
                <w:szCs w:val="24"/>
              </w:rPr>
            </w:pPr>
            <w:r w:rsidRPr="00E84E40">
              <w:rPr>
                <w:rFonts w:cs="Arial"/>
                <w:szCs w:val="24"/>
              </w:rPr>
              <w:t>Rivalry</w:t>
            </w:r>
          </w:p>
        </w:tc>
        <w:tc>
          <w:tcPr>
            <w:tcW w:w="2880" w:type="dxa"/>
          </w:tcPr>
          <w:p w14:paraId="4DC0AA2D" w14:textId="77777777" w:rsidR="00ED6567" w:rsidRPr="00E84E40" w:rsidRDefault="00000000">
            <w:pPr>
              <w:spacing w:line="276" w:lineRule="auto"/>
              <w:rPr>
                <w:rFonts w:cs="Arial"/>
                <w:szCs w:val="24"/>
              </w:rPr>
            </w:pPr>
            <w:r w:rsidRPr="00E84E40">
              <w:rPr>
                <w:rFonts w:cs="Arial"/>
                <w:szCs w:val="24"/>
              </w:rPr>
              <w:t>Intensifying</w:t>
            </w:r>
          </w:p>
        </w:tc>
        <w:tc>
          <w:tcPr>
            <w:tcW w:w="2880" w:type="dxa"/>
          </w:tcPr>
          <w:p w14:paraId="734D6366" w14:textId="77777777" w:rsidR="00ED6567" w:rsidRPr="00E84E40" w:rsidRDefault="00000000">
            <w:pPr>
              <w:spacing w:line="276" w:lineRule="auto"/>
              <w:rPr>
                <w:rFonts w:cs="Arial"/>
                <w:szCs w:val="24"/>
              </w:rPr>
            </w:pPr>
            <w:r w:rsidRPr="00E84E40">
              <w:rPr>
                <w:rFonts w:cs="Arial"/>
                <w:szCs w:val="24"/>
              </w:rPr>
              <w:t>Differentiation through sustainability and motivational identity is essential.</w:t>
            </w:r>
          </w:p>
        </w:tc>
      </w:tr>
      <w:tr w:rsidR="00ED6567" w:rsidRPr="00E84E40" w14:paraId="21889308" w14:textId="77777777">
        <w:tc>
          <w:tcPr>
            <w:tcW w:w="2880" w:type="dxa"/>
          </w:tcPr>
          <w:p w14:paraId="2ECAAD30" w14:textId="77777777" w:rsidR="00ED6567" w:rsidRPr="00E84E40" w:rsidRDefault="00000000">
            <w:pPr>
              <w:spacing w:line="276" w:lineRule="auto"/>
              <w:rPr>
                <w:rFonts w:cs="Arial"/>
                <w:szCs w:val="24"/>
              </w:rPr>
            </w:pPr>
            <w:r w:rsidRPr="00E84E40">
              <w:rPr>
                <w:rFonts w:cs="Arial"/>
                <w:szCs w:val="24"/>
              </w:rPr>
              <w:t>Element</w:t>
            </w:r>
          </w:p>
        </w:tc>
        <w:tc>
          <w:tcPr>
            <w:tcW w:w="2880" w:type="dxa"/>
          </w:tcPr>
          <w:p w14:paraId="3062E76D" w14:textId="77777777" w:rsidR="00ED6567" w:rsidRPr="00E84E40" w:rsidRDefault="00000000">
            <w:pPr>
              <w:spacing w:line="276" w:lineRule="auto"/>
              <w:rPr>
                <w:rFonts w:cs="Arial"/>
                <w:szCs w:val="24"/>
              </w:rPr>
            </w:pPr>
            <w:r w:rsidRPr="00E84E40">
              <w:rPr>
                <w:rFonts w:cs="Arial"/>
                <w:szCs w:val="24"/>
              </w:rPr>
              <w:t>Strategy</w:t>
            </w:r>
          </w:p>
        </w:tc>
        <w:tc>
          <w:tcPr>
            <w:tcW w:w="2880" w:type="dxa"/>
          </w:tcPr>
          <w:p w14:paraId="5D550408" w14:textId="77777777" w:rsidR="00ED6567" w:rsidRPr="00E84E40" w:rsidRDefault="00000000">
            <w:pPr>
              <w:spacing w:line="276" w:lineRule="auto"/>
              <w:rPr>
                <w:rFonts w:cs="Arial"/>
                <w:szCs w:val="24"/>
              </w:rPr>
            </w:pPr>
            <w:r w:rsidRPr="00E84E40">
              <w:rPr>
                <w:rFonts w:cs="Arial"/>
                <w:szCs w:val="24"/>
              </w:rPr>
              <w:t>Academic Justification</w:t>
            </w:r>
          </w:p>
        </w:tc>
      </w:tr>
      <w:tr w:rsidR="00ED6567" w:rsidRPr="00E84E40" w14:paraId="1D3F89AB" w14:textId="77777777">
        <w:tc>
          <w:tcPr>
            <w:tcW w:w="2880" w:type="dxa"/>
          </w:tcPr>
          <w:p w14:paraId="0F7D5182" w14:textId="77777777" w:rsidR="00ED6567" w:rsidRPr="00E84E40" w:rsidRDefault="00000000">
            <w:pPr>
              <w:spacing w:line="276" w:lineRule="auto"/>
              <w:rPr>
                <w:rFonts w:cs="Arial"/>
                <w:szCs w:val="24"/>
              </w:rPr>
            </w:pPr>
            <w:r w:rsidRPr="00E84E40">
              <w:rPr>
                <w:rFonts w:cs="Arial"/>
                <w:szCs w:val="24"/>
              </w:rPr>
              <w:t>Product</w:t>
            </w:r>
          </w:p>
        </w:tc>
        <w:tc>
          <w:tcPr>
            <w:tcW w:w="2880" w:type="dxa"/>
          </w:tcPr>
          <w:p w14:paraId="55AC9329" w14:textId="77777777" w:rsidR="00ED6567" w:rsidRPr="00E84E40" w:rsidRDefault="00000000">
            <w:pPr>
              <w:spacing w:line="276" w:lineRule="auto"/>
              <w:rPr>
                <w:rFonts w:cs="Arial"/>
                <w:szCs w:val="24"/>
              </w:rPr>
            </w:pPr>
            <w:r w:rsidRPr="00E84E40">
              <w:rPr>
                <w:rFonts w:cs="Arial"/>
                <w:szCs w:val="24"/>
              </w:rPr>
              <w:t>Organic materials; minimalist design; motivational messaging</w:t>
            </w:r>
          </w:p>
        </w:tc>
        <w:tc>
          <w:tcPr>
            <w:tcW w:w="2880" w:type="dxa"/>
          </w:tcPr>
          <w:p w14:paraId="589668CE" w14:textId="77777777" w:rsidR="00ED6567" w:rsidRPr="00E84E40" w:rsidRDefault="00000000">
            <w:pPr>
              <w:spacing w:line="276" w:lineRule="auto"/>
              <w:rPr>
                <w:rFonts w:cs="Arial"/>
                <w:szCs w:val="24"/>
              </w:rPr>
            </w:pPr>
            <w:r w:rsidRPr="00E84E40">
              <w:rPr>
                <w:rFonts w:cs="Arial"/>
                <w:szCs w:val="24"/>
              </w:rPr>
              <w:t>Sustainable attributes enhance perceived value (Kotler et al., 2019).</w:t>
            </w:r>
          </w:p>
        </w:tc>
      </w:tr>
      <w:tr w:rsidR="00ED6567" w:rsidRPr="00E84E40" w14:paraId="4D76EB37" w14:textId="77777777">
        <w:tc>
          <w:tcPr>
            <w:tcW w:w="2880" w:type="dxa"/>
          </w:tcPr>
          <w:p w14:paraId="29912F01" w14:textId="77777777" w:rsidR="00ED6567" w:rsidRPr="00E84E40" w:rsidRDefault="00000000">
            <w:pPr>
              <w:spacing w:line="276" w:lineRule="auto"/>
              <w:rPr>
                <w:rFonts w:cs="Arial"/>
                <w:szCs w:val="24"/>
              </w:rPr>
            </w:pPr>
            <w:r w:rsidRPr="00E84E40">
              <w:rPr>
                <w:rFonts w:cs="Arial"/>
                <w:szCs w:val="24"/>
              </w:rPr>
              <w:t>Price</w:t>
            </w:r>
          </w:p>
        </w:tc>
        <w:tc>
          <w:tcPr>
            <w:tcW w:w="2880" w:type="dxa"/>
          </w:tcPr>
          <w:p w14:paraId="41C4F096" w14:textId="77777777" w:rsidR="00ED6567" w:rsidRPr="00E84E40" w:rsidRDefault="00000000">
            <w:pPr>
              <w:spacing w:line="276" w:lineRule="auto"/>
              <w:rPr>
                <w:rFonts w:cs="Arial"/>
                <w:szCs w:val="24"/>
              </w:rPr>
            </w:pPr>
            <w:r w:rsidRPr="00E84E40">
              <w:rPr>
                <w:rFonts w:cs="Arial"/>
                <w:szCs w:val="24"/>
              </w:rPr>
              <w:t>£45–£65 mid</w:t>
            </w:r>
            <w:r w:rsidRPr="00E84E40">
              <w:rPr>
                <w:rFonts w:ascii="Cambria Math" w:hAnsi="Cambria Math" w:cs="Cambria Math"/>
                <w:szCs w:val="24"/>
              </w:rPr>
              <w:t>‑</w:t>
            </w:r>
            <w:r w:rsidRPr="00E84E40">
              <w:rPr>
                <w:rFonts w:cs="Arial"/>
                <w:szCs w:val="24"/>
              </w:rPr>
              <w:t>premium</w:t>
            </w:r>
          </w:p>
        </w:tc>
        <w:tc>
          <w:tcPr>
            <w:tcW w:w="2880" w:type="dxa"/>
          </w:tcPr>
          <w:p w14:paraId="3B4E7F50" w14:textId="77777777" w:rsidR="00ED6567" w:rsidRPr="00E84E40" w:rsidRDefault="00000000">
            <w:pPr>
              <w:spacing w:line="276" w:lineRule="auto"/>
              <w:rPr>
                <w:rFonts w:cs="Arial"/>
                <w:szCs w:val="24"/>
              </w:rPr>
            </w:pPr>
            <w:r w:rsidRPr="00E84E40">
              <w:rPr>
                <w:rFonts w:cs="Arial"/>
                <w:szCs w:val="24"/>
              </w:rPr>
              <w:t>Value-based pricing aligns with willingness to pay for ethical fashion (Niinimäki, 2020).</w:t>
            </w:r>
          </w:p>
        </w:tc>
      </w:tr>
      <w:tr w:rsidR="00ED6567" w:rsidRPr="00E84E40" w14:paraId="023D60F8" w14:textId="77777777">
        <w:tc>
          <w:tcPr>
            <w:tcW w:w="2880" w:type="dxa"/>
          </w:tcPr>
          <w:p w14:paraId="662A7DF0" w14:textId="77777777" w:rsidR="00ED6567" w:rsidRPr="00E84E40" w:rsidRDefault="00000000">
            <w:pPr>
              <w:spacing w:line="276" w:lineRule="auto"/>
              <w:rPr>
                <w:rFonts w:cs="Arial"/>
                <w:szCs w:val="24"/>
              </w:rPr>
            </w:pPr>
            <w:r w:rsidRPr="00E84E40">
              <w:rPr>
                <w:rFonts w:cs="Arial"/>
                <w:szCs w:val="24"/>
              </w:rPr>
              <w:t>Place</w:t>
            </w:r>
          </w:p>
        </w:tc>
        <w:tc>
          <w:tcPr>
            <w:tcW w:w="2880" w:type="dxa"/>
          </w:tcPr>
          <w:p w14:paraId="072E3BAE" w14:textId="77777777" w:rsidR="00ED6567" w:rsidRPr="00E84E40" w:rsidRDefault="00000000">
            <w:pPr>
              <w:spacing w:line="276" w:lineRule="auto"/>
              <w:rPr>
                <w:rFonts w:cs="Arial"/>
                <w:szCs w:val="24"/>
              </w:rPr>
            </w:pPr>
            <w:r w:rsidRPr="00E84E40">
              <w:rPr>
                <w:rFonts w:cs="Arial"/>
                <w:szCs w:val="24"/>
              </w:rPr>
              <w:t>Direct-to-consumer e</w:t>
            </w:r>
            <w:r w:rsidRPr="00E84E40">
              <w:rPr>
                <w:rFonts w:ascii="Cambria Math" w:hAnsi="Cambria Math" w:cs="Cambria Math"/>
                <w:szCs w:val="24"/>
              </w:rPr>
              <w:t>‑</w:t>
            </w:r>
            <w:r w:rsidRPr="00E84E40">
              <w:rPr>
                <w:rFonts w:cs="Arial"/>
                <w:szCs w:val="24"/>
              </w:rPr>
              <w:t>commerce</w:t>
            </w:r>
          </w:p>
        </w:tc>
        <w:tc>
          <w:tcPr>
            <w:tcW w:w="2880" w:type="dxa"/>
          </w:tcPr>
          <w:p w14:paraId="13B42D5F" w14:textId="77777777" w:rsidR="00ED6567" w:rsidRPr="00E84E40" w:rsidRDefault="00000000">
            <w:pPr>
              <w:spacing w:line="276" w:lineRule="auto"/>
              <w:rPr>
                <w:rFonts w:cs="Arial"/>
                <w:szCs w:val="24"/>
              </w:rPr>
            </w:pPr>
            <w:r w:rsidRPr="00E84E40">
              <w:rPr>
                <w:rFonts w:cs="Arial"/>
                <w:szCs w:val="24"/>
              </w:rPr>
              <w:t>D2C increases control and supports data-driven optimisation.</w:t>
            </w:r>
          </w:p>
        </w:tc>
      </w:tr>
      <w:tr w:rsidR="00ED6567" w:rsidRPr="00E84E40" w14:paraId="3F5A02A6" w14:textId="77777777">
        <w:tc>
          <w:tcPr>
            <w:tcW w:w="2880" w:type="dxa"/>
          </w:tcPr>
          <w:p w14:paraId="07BDBA34" w14:textId="77777777" w:rsidR="00ED6567" w:rsidRPr="00E84E40" w:rsidRDefault="00000000">
            <w:pPr>
              <w:spacing w:line="276" w:lineRule="auto"/>
              <w:rPr>
                <w:rFonts w:cs="Arial"/>
                <w:szCs w:val="24"/>
              </w:rPr>
            </w:pPr>
            <w:r w:rsidRPr="00E84E40">
              <w:rPr>
                <w:rFonts w:cs="Arial"/>
                <w:szCs w:val="24"/>
              </w:rPr>
              <w:t>Promotion</w:t>
            </w:r>
          </w:p>
        </w:tc>
        <w:tc>
          <w:tcPr>
            <w:tcW w:w="2880" w:type="dxa"/>
          </w:tcPr>
          <w:p w14:paraId="149D0189" w14:textId="77777777" w:rsidR="00ED6567" w:rsidRPr="00E84E40" w:rsidRDefault="00000000">
            <w:pPr>
              <w:spacing w:line="276" w:lineRule="auto"/>
              <w:rPr>
                <w:rFonts w:cs="Arial"/>
                <w:szCs w:val="24"/>
              </w:rPr>
            </w:pPr>
            <w:r w:rsidRPr="00E84E40">
              <w:rPr>
                <w:rFonts w:cs="Arial"/>
                <w:szCs w:val="24"/>
              </w:rPr>
              <w:t>Social media, influencers, UGC</w:t>
            </w:r>
          </w:p>
        </w:tc>
        <w:tc>
          <w:tcPr>
            <w:tcW w:w="2880" w:type="dxa"/>
          </w:tcPr>
          <w:p w14:paraId="6650A86B" w14:textId="77777777" w:rsidR="00ED6567" w:rsidRPr="00E84E40" w:rsidRDefault="00000000">
            <w:pPr>
              <w:spacing w:line="276" w:lineRule="auto"/>
              <w:rPr>
                <w:rFonts w:cs="Arial"/>
                <w:szCs w:val="24"/>
              </w:rPr>
            </w:pPr>
            <w:r w:rsidRPr="00E84E40">
              <w:rPr>
                <w:rFonts w:cs="Arial"/>
                <w:szCs w:val="24"/>
              </w:rPr>
              <w:t>Social commerce enhances authenticity and engagement.</w:t>
            </w:r>
          </w:p>
        </w:tc>
      </w:tr>
      <w:tr w:rsidR="00ED6567" w:rsidRPr="00E84E40" w14:paraId="4F51F9A6" w14:textId="77777777">
        <w:tc>
          <w:tcPr>
            <w:tcW w:w="2880" w:type="dxa"/>
          </w:tcPr>
          <w:p w14:paraId="7B248081" w14:textId="77777777" w:rsidR="00ED6567" w:rsidRPr="00E84E40" w:rsidRDefault="00000000">
            <w:pPr>
              <w:spacing w:line="276" w:lineRule="auto"/>
              <w:rPr>
                <w:rFonts w:cs="Arial"/>
                <w:szCs w:val="24"/>
              </w:rPr>
            </w:pPr>
            <w:r w:rsidRPr="00E84E40">
              <w:rPr>
                <w:rFonts w:cs="Arial"/>
                <w:szCs w:val="24"/>
              </w:rPr>
              <w:t>People</w:t>
            </w:r>
          </w:p>
        </w:tc>
        <w:tc>
          <w:tcPr>
            <w:tcW w:w="2880" w:type="dxa"/>
          </w:tcPr>
          <w:p w14:paraId="4262CBC6" w14:textId="77777777" w:rsidR="00ED6567" w:rsidRPr="00E84E40" w:rsidRDefault="00000000">
            <w:pPr>
              <w:spacing w:line="276" w:lineRule="auto"/>
              <w:rPr>
                <w:rFonts w:cs="Arial"/>
                <w:szCs w:val="24"/>
              </w:rPr>
            </w:pPr>
            <w:r w:rsidRPr="00E84E40">
              <w:rPr>
                <w:rFonts w:cs="Arial"/>
                <w:szCs w:val="24"/>
              </w:rPr>
              <w:t>Customer service; brand ambassadors</w:t>
            </w:r>
          </w:p>
        </w:tc>
        <w:tc>
          <w:tcPr>
            <w:tcW w:w="2880" w:type="dxa"/>
          </w:tcPr>
          <w:p w14:paraId="63304EF5" w14:textId="77777777" w:rsidR="00ED6567" w:rsidRPr="00E84E40" w:rsidRDefault="00000000">
            <w:pPr>
              <w:spacing w:line="276" w:lineRule="auto"/>
              <w:rPr>
                <w:rFonts w:cs="Arial"/>
                <w:szCs w:val="24"/>
              </w:rPr>
            </w:pPr>
            <w:r w:rsidRPr="00E84E40">
              <w:rPr>
                <w:rFonts w:cs="Arial"/>
                <w:szCs w:val="24"/>
              </w:rPr>
              <w:t>Staff must communicate sustainability credibly to avoid greenwashing.</w:t>
            </w:r>
          </w:p>
        </w:tc>
      </w:tr>
      <w:tr w:rsidR="00ED6567" w:rsidRPr="00E84E40" w14:paraId="5CC5D6A8" w14:textId="77777777">
        <w:tc>
          <w:tcPr>
            <w:tcW w:w="2880" w:type="dxa"/>
          </w:tcPr>
          <w:p w14:paraId="16E33DAF" w14:textId="77777777" w:rsidR="00ED6567" w:rsidRPr="00E84E40" w:rsidRDefault="00000000">
            <w:pPr>
              <w:spacing w:line="276" w:lineRule="auto"/>
              <w:rPr>
                <w:rFonts w:cs="Arial"/>
                <w:szCs w:val="24"/>
              </w:rPr>
            </w:pPr>
            <w:r w:rsidRPr="00E84E40">
              <w:rPr>
                <w:rFonts w:cs="Arial"/>
                <w:szCs w:val="24"/>
              </w:rPr>
              <w:t>Process</w:t>
            </w:r>
          </w:p>
        </w:tc>
        <w:tc>
          <w:tcPr>
            <w:tcW w:w="2880" w:type="dxa"/>
          </w:tcPr>
          <w:p w14:paraId="26C21707" w14:textId="77777777" w:rsidR="00ED6567" w:rsidRPr="00E84E40" w:rsidRDefault="00000000">
            <w:pPr>
              <w:spacing w:line="276" w:lineRule="auto"/>
              <w:rPr>
                <w:rFonts w:cs="Arial"/>
                <w:szCs w:val="24"/>
              </w:rPr>
            </w:pPr>
            <w:r w:rsidRPr="00E84E40">
              <w:rPr>
                <w:rFonts w:cs="Arial"/>
                <w:szCs w:val="24"/>
              </w:rPr>
              <w:t>Efficient fulfilment; transparent supply chain</w:t>
            </w:r>
          </w:p>
        </w:tc>
        <w:tc>
          <w:tcPr>
            <w:tcW w:w="2880" w:type="dxa"/>
          </w:tcPr>
          <w:p w14:paraId="7EFA20B6" w14:textId="77777777" w:rsidR="00ED6567" w:rsidRPr="00E84E40" w:rsidRDefault="00000000">
            <w:pPr>
              <w:spacing w:line="276" w:lineRule="auto"/>
              <w:rPr>
                <w:rFonts w:cs="Arial"/>
                <w:szCs w:val="24"/>
              </w:rPr>
            </w:pPr>
            <w:r w:rsidRPr="00E84E40">
              <w:rPr>
                <w:rFonts w:cs="Arial"/>
                <w:szCs w:val="24"/>
              </w:rPr>
              <w:t>Smooth processes enhance perceived service quality.</w:t>
            </w:r>
          </w:p>
        </w:tc>
      </w:tr>
      <w:tr w:rsidR="00ED6567" w:rsidRPr="00E84E40" w14:paraId="3E1921EE" w14:textId="77777777">
        <w:tc>
          <w:tcPr>
            <w:tcW w:w="2880" w:type="dxa"/>
          </w:tcPr>
          <w:p w14:paraId="2CC8E4A4" w14:textId="77777777" w:rsidR="00ED6567" w:rsidRPr="00E84E40" w:rsidRDefault="00000000">
            <w:pPr>
              <w:spacing w:line="276" w:lineRule="auto"/>
              <w:rPr>
                <w:rFonts w:cs="Arial"/>
                <w:szCs w:val="24"/>
              </w:rPr>
            </w:pPr>
            <w:r w:rsidRPr="00E84E40">
              <w:rPr>
                <w:rFonts w:cs="Arial"/>
                <w:szCs w:val="24"/>
              </w:rPr>
              <w:t>Physical Evidence</w:t>
            </w:r>
          </w:p>
        </w:tc>
        <w:tc>
          <w:tcPr>
            <w:tcW w:w="2880" w:type="dxa"/>
          </w:tcPr>
          <w:p w14:paraId="31F839DA" w14:textId="77777777" w:rsidR="00ED6567" w:rsidRPr="00E84E40" w:rsidRDefault="00000000">
            <w:pPr>
              <w:spacing w:line="276" w:lineRule="auto"/>
              <w:rPr>
                <w:rFonts w:cs="Arial"/>
                <w:szCs w:val="24"/>
              </w:rPr>
            </w:pPr>
            <w:r w:rsidRPr="00E84E40">
              <w:rPr>
                <w:rFonts w:cs="Arial"/>
                <w:szCs w:val="24"/>
              </w:rPr>
              <w:t>Eco-friendly packaging; cohesive website design</w:t>
            </w:r>
          </w:p>
        </w:tc>
        <w:tc>
          <w:tcPr>
            <w:tcW w:w="2880" w:type="dxa"/>
          </w:tcPr>
          <w:p w14:paraId="1AD0249C" w14:textId="77777777" w:rsidR="00ED6567" w:rsidRPr="00E84E40" w:rsidRDefault="00000000">
            <w:pPr>
              <w:spacing w:line="276" w:lineRule="auto"/>
              <w:rPr>
                <w:rFonts w:cs="Arial"/>
                <w:szCs w:val="24"/>
              </w:rPr>
            </w:pPr>
            <w:r w:rsidRPr="00E84E40">
              <w:rPr>
                <w:rFonts w:cs="Arial"/>
                <w:szCs w:val="24"/>
              </w:rPr>
              <w:t>Reinforces sustainability ethos and brand identity.</w:t>
            </w:r>
          </w:p>
        </w:tc>
      </w:tr>
    </w:tbl>
    <w:p w14:paraId="65377635" w14:textId="77777777" w:rsidR="00ED6567" w:rsidRPr="00E84E40" w:rsidRDefault="00000000">
      <w:pPr>
        <w:spacing w:line="276" w:lineRule="auto"/>
        <w:rPr>
          <w:rFonts w:cs="Arial"/>
          <w:szCs w:val="24"/>
        </w:rPr>
      </w:pPr>
      <w:r w:rsidRPr="00E84E40">
        <w:rPr>
          <w:rFonts w:cs="Arial"/>
          <w:szCs w:val="24"/>
        </w:rPr>
        <w:t>7.0 Risk Analysis and Mitigation Strategies</w:t>
      </w:r>
    </w:p>
    <w:p w14:paraId="1BBECBCA" w14:textId="77777777" w:rsidR="00ED6567" w:rsidRPr="00E84E40" w:rsidRDefault="00ED6567">
      <w:pPr>
        <w:spacing w:line="276" w:lineRule="auto"/>
        <w:rPr>
          <w:rFonts w:cs="Arial"/>
          <w:szCs w:val="24"/>
        </w:rPr>
      </w:pPr>
    </w:p>
    <w:tbl>
      <w:tblPr>
        <w:tblStyle w:val="TableGrid"/>
        <w:tblW w:w="0" w:type="auto"/>
        <w:tblLook w:val="04A0" w:firstRow="1" w:lastRow="0" w:firstColumn="1" w:lastColumn="0" w:noHBand="0" w:noVBand="1"/>
      </w:tblPr>
      <w:tblGrid>
        <w:gridCol w:w="2880"/>
        <w:gridCol w:w="2880"/>
        <w:gridCol w:w="2880"/>
      </w:tblGrid>
      <w:tr w:rsidR="00ED6567" w:rsidRPr="00E84E40" w14:paraId="68EA92C0" w14:textId="77777777">
        <w:tc>
          <w:tcPr>
            <w:tcW w:w="2880" w:type="dxa"/>
          </w:tcPr>
          <w:p w14:paraId="019CB384" w14:textId="77777777" w:rsidR="00ED6567" w:rsidRPr="00E84E40" w:rsidRDefault="00000000">
            <w:pPr>
              <w:spacing w:line="276" w:lineRule="auto"/>
              <w:rPr>
                <w:rFonts w:cs="Arial"/>
                <w:szCs w:val="24"/>
              </w:rPr>
            </w:pPr>
            <w:r w:rsidRPr="00E84E40">
              <w:rPr>
                <w:rFonts w:cs="Arial"/>
                <w:szCs w:val="24"/>
              </w:rPr>
              <w:lastRenderedPageBreak/>
              <w:t>Risk Type</w:t>
            </w:r>
          </w:p>
        </w:tc>
        <w:tc>
          <w:tcPr>
            <w:tcW w:w="2880" w:type="dxa"/>
          </w:tcPr>
          <w:p w14:paraId="739F8C17" w14:textId="77777777" w:rsidR="00ED6567" w:rsidRPr="00E84E40" w:rsidRDefault="00000000">
            <w:pPr>
              <w:spacing w:line="276" w:lineRule="auto"/>
              <w:rPr>
                <w:rFonts w:cs="Arial"/>
                <w:szCs w:val="24"/>
              </w:rPr>
            </w:pPr>
            <w:r w:rsidRPr="00E84E40">
              <w:rPr>
                <w:rFonts w:cs="Arial"/>
                <w:szCs w:val="24"/>
              </w:rPr>
              <w:t>Potential Impact</w:t>
            </w:r>
          </w:p>
        </w:tc>
        <w:tc>
          <w:tcPr>
            <w:tcW w:w="2880" w:type="dxa"/>
          </w:tcPr>
          <w:p w14:paraId="4ACE56F3" w14:textId="77777777" w:rsidR="00ED6567" w:rsidRPr="00E84E40" w:rsidRDefault="00000000">
            <w:pPr>
              <w:spacing w:line="276" w:lineRule="auto"/>
              <w:rPr>
                <w:rFonts w:cs="Arial"/>
                <w:szCs w:val="24"/>
              </w:rPr>
            </w:pPr>
            <w:r w:rsidRPr="00E84E40">
              <w:rPr>
                <w:rFonts w:cs="Arial"/>
                <w:szCs w:val="24"/>
              </w:rPr>
              <w:t>Mitigation Strategy</w:t>
            </w:r>
          </w:p>
        </w:tc>
      </w:tr>
      <w:tr w:rsidR="00ED6567" w:rsidRPr="00E84E40" w14:paraId="045D5F1C" w14:textId="77777777">
        <w:tc>
          <w:tcPr>
            <w:tcW w:w="2880" w:type="dxa"/>
          </w:tcPr>
          <w:p w14:paraId="0A0CADDD" w14:textId="77777777" w:rsidR="00ED6567" w:rsidRPr="00E84E40" w:rsidRDefault="00000000">
            <w:pPr>
              <w:spacing w:line="276" w:lineRule="auto"/>
              <w:rPr>
                <w:rFonts w:cs="Arial"/>
                <w:szCs w:val="24"/>
              </w:rPr>
            </w:pPr>
            <w:r w:rsidRPr="00E84E40">
              <w:rPr>
                <w:rFonts w:cs="Arial"/>
                <w:szCs w:val="24"/>
              </w:rPr>
              <w:t>Strategic</w:t>
            </w:r>
          </w:p>
        </w:tc>
        <w:tc>
          <w:tcPr>
            <w:tcW w:w="2880" w:type="dxa"/>
          </w:tcPr>
          <w:p w14:paraId="2376B028" w14:textId="77777777" w:rsidR="00ED6567" w:rsidRPr="00E84E40" w:rsidRDefault="00000000">
            <w:pPr>
              <w:spacing w:line="276" w:lineRule="auto"/>
              <w:rPr>
                <w:rFonts w:cs="Arial"/>
                <w:szCs w:val="24"/>
              </w:rPr>
            </w:pPr>
            <w:r w:rsidRPr="00E84E40">
              <w:rPr>
                <w:rFonts w:cs="Arial"/>
                <w:szCs w:val="24"/>
              </w:rPr>
              <w:t>Brand dilution; market saturation</w:t>
            </w:r>
          </w:p>
        </w:tc>
        <w:tc>
          <w:tcPr>
            <w:tcW w:w="2880" w:type="dxa"/>
          </w:tcPr>
          <w:p w14:paraId="1B50C334" w14:textId="77777777" w:rsidR="00ED6567" w:rsidRPr="00E84E40" w:rsidRDefault="00000000">
            <w:pPr>
              <w:spacing w:line="276" w:lineRule="auto"/>
              <w:rPr>
                <w:rFonts w:cs="Arial"/>
                <w:szCs w:val="24"/>
              </w:rPr>
            </w:pPr>
            <w:r w:rsidRPr="00E84E40">
              <w:rPr>
                <w:rFonts w:cs="Arial"/>
                <w:szCs w:val="24"/>
              </w:rPr>
              <w:t>Clear sustainability reporting; niche positioning</w:t>
            </w:r>
          </w:p>
        </w:tc>
      </w:tr>
      <w:tr w:rsidR="00ED6567" w:rsidRPr="00E84E40" w14:paraId="464D3069" w14:textId="77777777">
        <w:tc>
          <w:tcPr>
            <w:tcW w:w="2880" w:type="dxa"/>
          </w:tcPr>
          <w:p w14:paraId="0D167803" w14:textId="77777777" w:rsidR="00ED6567" w:rsidRPr="00E84E40" w:rsidRDefault="00000000">
            <w:pPr>
              <w:spacing w:line="276" w:lineRule="auto"/>
              <w:rPr>
                <w:rFonts w:cs="Arial"/>
                <w:szCs w:val="24"/>
              </w:rPr>
            </w:pPr>
            <w:r w:rsidRPr="00E84E40">
              <w:rPr>
                <w:rFonts w:cs="Arial"/>
                <w:szCs w:val="24"/>
              </w:rPr>
              <w:t>Operational</w:t>
            </w:r>
          </w:p>
        </w:tc>
        <w:tc>
          <w:tcPr>
            <w:tcW w:w="2880" w:type="dxa"/>
          </w:tcPr>
          <w:p w14:paraId="3206BF77" w14:textId="77777777" w:rsidR="00ED6567" w:rsidRPr="00E84E40" w:rsidRDefault="00000000">
            <w:pPr>
              <w:spacing w:line="276" w:lineRule="auto"/>
              <w:rPr>
                <w:rFonts w:cs="Arial"/>
                <w:szCs w:val="24"/>
              </w:rPr>
            </w:pPr>
            <w:r w:rsidRPr="00E84E40">
              <w:rPr>
                <w:rFonts w:cs="Arial"/>
                <w:szCs w:val="24"/>
              </w:rPr>
              <w:t>Supply chain disruption; stock delays</w:t>
            </w:r>
          </w:p>
        </w:tc>
        <w:tc>
          <w:tcPr>
            <w:tcW w:w="2880" w:type="dxa"/>
          </w:tcPr>
          <w:p w14:paraId="47EC10CC" w14:textId="77777777" w:rsidR="00ED6567" w:rsidRPr="00E84E40" w:rsidRDefault="00000000">
            <w:pPr>
              <w:spacing w:line="276" w:lineRule="auto"/>
              <w:rPr>
                <w:rFonts w:cs="Arial"/>
                <w:szCs w:val="24"/>
              </w:rPr>
            </w:pPr>
            <w:r w:rsidRPr="00E84E40">
              <w:rPr>
                <w:rFonts w:cs="Arial"/>
                <w:szCs w:val="24"/>
              </w:rPr>
              <w:t>Supplier diversification; inventory planning</w:t>
            </w:r>
          </w:p>
        </w:tc>
      </w:tr>
      <w:tr w:rsidR="00ED6567" w:rsidRPr="00E84E40" w14:paraId="5B9F7642" w14:textId="77777777">
        <w:tc>
          <w:tcPr>
            <w:tcW w:w="2880" w:type="dxa"/>
          </w:tcPr>
          <w:p w14:paraId="1A46FEDE" w14:textId="77777777" w:rsidR="00ED6567" w:rsidRPr="00E84E40" w:rsidRDefault="00000000">
            <w:pPr>
              <w:spacing w:line="276" w:lineRule="auto"/>
              <w:rPr>
                <w:rFonts w:cs="Arial"/>
                <w:szCs w:val="24"/>
              </w:rPr>
            </w:pPr>
            <w:r w:rsidRPr="00E84E40">
              <w:rPr>
                <w:rFonts w:cs="Arial"/>
                <w:szCs w:val="24"/>
              </w:rPr>
              <w:t>Compliance</w:t>
            </w:r>
          </w:p>
        </w:tc>
        <w:tc>
          <w:tcPr>
            <w:tcW w:w="2880" w:type="dxa"/>
          </w:tcPr>
          <w:p w14:paraId="30AC5282" w14:textId="77777777" w:rsidR="00ED6567" w:rsidRPr="00E84E40" w:rsidRDefault="00000000">
            <w:pPr>
              <w:spacing w:line="276" w:lineRule="auto"/>
              <w:rPr>
                <w:rFonts w:cs="Arial"/>
                <w:szCs w:val="24"/>
              </w:rPr>
            </w:pPr>
            <w:r w:rsidRPr="00E84E40">
              <w:rPr>
                <w:rFonts w:cs="Arial"/>
                <w:szCs w:val="24"/>
              </w:rPr>
              <w:t>GDPR breaches; misleading claims</w:t>
            </w:r>
          </w:p>
        </w:tc>
        <w:tc>
          <w:tcPr>
            <w:tcW w:w="2880" w:type="dxa"/>
          </w:tcPr>
          <w:p w14:paraId="5DE6001E" w14:textId="77777777" w:rsidR="00ED6567" w:rsidRPr="00E84E40" w:rsidRDefault="00000000">
            <w:pPr>
              <w:spacing w:line="276" w:lineRule="auto"/>
              <w:rPr>
                <w:rFonts w:cs="Arial"/>
                <w:szCs w:val="24"/>
              </w:rPr>
            </w:pPr>
            <w:r w:rsidRPr="00E84E40">
              <w:rPr>
                <w:rFonts w:cs="Arial"/>
                <w:szCs w:val="24"/>
              </w:rPr>
              <w:t xml:space="preserve">Data </w:t>
            </w:r>
            <w:proofErr w:type="gramStart"/>
            <w:r w:rsidRPr="00E84E40">
              <w:rPr>
                <w:rFonts w:cs="Arial"/>
                <w:szCs w:val="24"/>
              </w:rPr>
              <w:t>audits;</w:t>
            </w:r>
            <w:proofErr w:type="gramEnd"/>
            <w:r w:rsidRPr="00E84E40">
              <w:rPr>
                <w:rFonts w:cs="Arial"/>
                <w:szCs w:val="24"/>
              </w:rPr>
              <w:t xml:space="preserve"> adherence to CMA Green Claims Code</w:t>
            </w:r>
          </w:p>
        </w:tc>
      </w:tr>
      <w:tr w:rsidR="00ED6567" w:rsidRPr="00E84E40" w14:paraId="6BCB4361" w14:textId="77777777">
        <w:tc>
          <w:tcPr>
            <w:tcW w:w="2880" w:type="dxa"/>
          </w:tcPr>
          <w:p w14:paraId="0F88A962" w14:textId="77777777" w:rsidR="00ED6567" w:rsidRPr="00E84E40" w:rsidRDefault="00000000">
            <w:pPr>
              <w:spacing w:line="276" w:lineRule="auto"/>
              <w:rPr>
                <w:rFonts w:cs="Arial"/>
                <w:szCs w:val="24"/>
              </w:rPr>
            </w:pPr>
            <w:r w:rsidRPr="00E84E40">
              <w:rPr>
                <w:rFonts w:cs="Arial"/>
                <w:szCs w:val="24"/>
              </w:rPr>
              <w:t>Financial</w:t>
            </w:r>
          </w:p>
        </w:tc>
        <w:tc>
          <w:tcPr>
            <w:tcW w:w="2880" w:type="dxa"/>
          </w:tcPr>
          <w:p w14:paraId="08D6BB31" w14:textId="77777777" w:rsidR="00ED6567" w:rsidRPr="00E84E40" w:rsidRDefault="00000000">
            <w:pPr>
              <w:spacing w:line="276" w:lineRule="auto"/>
              <w:rPr>
                <w:rFonts w:cs="Arial"/>
                <w:szCs w:val="24"/>
              </w:rPr>
            </w:pPr>
            <w:r w:rsidRPr="00E84E40">
              <w:rPr>
                <w:rFonts w:cs="Arial"/>
                <w:szCs w:val="24"/>
              </w:rPr>
              <w:t>Cash flow shortages; rising costs</w:t>
            </w:r>
          </w:p>
        </w:tc>
        <w:tc>
          <w:tcPr>
            <w:tcW w:w="2880" w:type="dxa"/>
          </w:tcPr>
          <w:p w14:paraId="30D80F2F" w14:textId="77777777" w:rsidR="00ED6567" w:rsidRPr="00E84E40" w:rsidRDefault="00000000">
            <w:pPr>
              <w:spacing w:line="276" w:lineRule="auto"/>
              <w:rPr>
                <w:rFonts w:cs="Arial"/>
                <w:szCs w:val="24"/>
              </w:rPr>
            </w:pPr>
            <w:r w:rsidRPr="00E84E40">
              <w:rPr>
                <w:rFonts w:cs="Arial"/>
                <w:szCs w:val="24"/>
              </w:rPr>
              <w:t>Scenario planning; lean start-up budgeting</w:t>
            </w:r>
          </w:p>
        </w:tc>
      </w:tr>
      <w:tr w:rsidR="00ED6567" w:rsidRPr="00E84E40" w14:paraId="3BD29781" w14:textId="77777777">
        <w:tc>
          <w:tcPr>
            <w:tcW w:w="2880" w:type="dxa"/>
          </w:tcPr>
          <w:p w14:paraId="6FE4E11D" w14:textId="77777777" w:rsidR="00ED6567" w:rsidRPr="00E84E40" w:rsidRDefault="00000000">
            <w:pPr>
              <w:spacing w:line="276" w:lineRule="auto"/>
              <w:rPr>
                <w:rFonts w:cs="Arial"/>
                <w:szCs w:val="24"/>
              </w:rPr>
            </w:pPr>
            <w:r w:rsidRPr="00E84E40">
              <w:rPr>
                <w:rFonts w:cs="Arial"/>
                <w:szCs w:val="24"/>
              </w:rPr>
              <w:t>Reputational</w:t>
            </w:r>
          </w:p>
        </w:tc>
        <w:tc>
          <w:tcPr>
            <w:tcW w:w="2880" w:type="dxa"/>
          </w:tcPr>
          <w:p w14:paraId="3A9CFF8F" w14:textId="77777777" w:rsidR="00ED6567" w:rsidRPr="00E84E40" w:rsidRDefault="00000000">
            <w:pPr>
              <w:spacing w:line="276" w:lineRule="auto"/>
              <w:rPr>
                <w:rFonts w:cs="Arial"/>
                <w:szCs w:val="24"/>
              </w:rPr>
            </w:pPr>
            <w:r w:rsidRPr="00E84E40">
              <w:rPr>
                <w:rFonts w:cs="Arial"/>
                <w:szCs w:val="24"/>
              </w:rPr>
              <w:t>Loss of trust due to greenwashing</w:t>
            </w:r>
          </w:p>
        </w:tc>
        <w:tc>
          <w:tcPr>
            <w:tcW w:w="2880" w:type="dxa"/>
          </w:tcPr>
          <w:p w14:paraId="3404EBB0" w14:textId="77777777" w:rsidR="00ED6567" w:rsidRPr="00E84E40" w:rsidRDefault="00000000">
            <w:pPr>
              <w:spacing w:line="276" w:lineRule="auto"/>
              <w:rPr>
                <w:rFonts w:cs="Arial"/>
                <w:szCs w:val="24"/>
              </w:rPr>
            </w:pPr>
            <w:r w:rsidRPr="00E84E40">
              <w:rPr>
                <w:rFonts w:cs="Arial"/>
                <w:szCs w:val="24"/>
              </w:rPr>
              <w:t>Third-party certification; transparent communication</w:t>
            </w:r>
          </w:p>
        </w:tc>
      </w:tr>
    </w:tbl>
    <w:p w14:paraId="190AFE2B" w14:textId="77777777" w:rsidR="00ED6567" w:rsidRPr="00E84E40" w:rsidRDefault="00000000">
      <w:pPr>
        <w:spacing w:line="276" w:lineRule="auto"/>
        <w:rPr>
          <w:rFonts w:cs="Arial"/>
          <w:bCs/>
          <w:szCs w:val="24"/>
        </w:rPr>
      </w:pPr>
      <w:r w:rsidRPr="00E84E40">
        <w:rPr>
          <w:rFonts w:cs="Arial"/>
          <w:bCs/>
          <w:szCs w:val="24"/>
        </w:rPr>
        <w:t>Strategic risks include brand dilution and market saturation. Maintaining a clear sustainability narrative and niche positioning reduces these threats.</w:t>
      </w:r>
      <w:r w:rsidRPr="00E84E40">
        <w:rPr>
          <w:rFonts w:cs="Arial"/>
          <w:bCs/>
          <w:szCs w:val="24"/>
        </w:rPr>
        <w:br/>
      </w:r>
      <w:r w:rsidRPr="00E84E40">
        <w:rPr>
          <w:rFonts w:cs="Arial"/>
          <w:bCs/>
          <w:szCs w:val="24"/>
        </w:rPr>
        <w:br/>
        <w:t>Operational risks arise from supply chain disruptions, particularly due to reliance on organic materials. Supplier diversification and robust inventory planning are essential.</w:t>
      </w:r>
      <w:r w:rsidRPr="00E84E40">
        <w:rPr>
          <w:rFonts w:cs="Arial"/>
          <w:bCs/>
          <w:szCs w:val="24"/>
        </w:rPr>
        <w:br/>
      </w:r>
      <w:r w:rsidRPr="00E84E40">
        <w:rPr>
          <w:rFonts w:cs="Arial"/>
          <w:bCs/>
          <w:szCs w:val="24"/>
        </w:rPr>
        <w:br/>
        <w:t>Compliance risks include GDPR breaches and potential violations of the CMA Green Claims Code. Regular audits and transparent sustainability communication mitigate these risks.</w:t>
      </w:r>
      <w:r w:rsidRPr="00E84E40">
        <w:rPr>
          <w:rFonts w:cs="Arial"/>
          <w:bCs/>
          <w:szCs w:val="24"/>
        </w:rPr>
        <w:br/>
      </w:r>
      <w:r w:rsidRPr="00E84E40">
        <w:rPr>
          <w:rFonts w:cs="Arial"/>
          <w:bCs/>
          <w:szCs w:val="24"/>
        </w:rPr>
        <w:br/>
        <w:t>Financial risks relate to cash flow constraints common in early-stage ventures. Scenario planning and lean budgeting support financial resilience (Burns, 2020).</w:t>
      </w:r>
      <w:r w:rsidRPr="00E84E40">
        <w:rPr>
          <w:rFonts w:cs="Arial"/>
          <w:bCs/>
          <w:szCs w:val="24"/>
        </w:rPr>
        <w:br/>
      </w:r>
      <w:r w:rsidRPr="00E84E40">
        <w:rPr>
          <w:rFonts w:cs="Arial"/>
          <w:bCs/>
          <w:szCs w:val="24"/>
        </w:rPr>
        <w:br/>
        <w:t>Reputational risks are significant in sustainability-focused markets. Third-party certifications and transparent reporting strengthen credibility.</w:t>
      </w:r>
    </w:p>
    <w:p w14:paraId="55C563FA" w14:textId="77777777" w:rsidR="00ED6567" w:rsidRPr="00E84E40" w:rsidRDefault="00000000">
      <w:pPr>
        <w:spacing w:line="276" w:lineRule="auto"/>
        <w:rPr>
          <w:rFonts w:cs="Arial"/>
          <w:szCs w:val="24"/>
        </w:rPr>
      </w:pPr>
      <w:r w:rsidRPr="00E84E40">
        <w:rPr>
          <w:rFonts w:cs="Arial"/>
          <w:szCs w:val="24"/>
        </w:rPr>
        <w:br w:type="page"/>
      </w:r>
    </w:p>
    <w:p w14:paraId="10995C0B" w14:textId="77777777" w:rsidR="00ED6567" w:rsidRPr="00E84E40" w:rsidRDefault="00000000">
      <w:pPr>
        <w:spacing w:line="276" w:lineRule="auto"/>
        <w:rPr>
          <w:rFonts w:cs="Arial"/>
          <w:szCs w:val="24"/>
        </w:rPr>
      </w:pPr>
      <w:r w:rsidRPr="00E84E40">
        <w:rPr>
          <w:rFonts w:cs="Arial"/>
          <w:szCs w:val="24"/>
        </w:rPr>
        <w:lastRenderedPageBreak/>
        <w:t>Reference List</w:t>
      </w:r>
    </w:p>
    <w:p w14:paraId="666CCCE3" w14:textId="77777777" w:rsidR="00ED6567" w:rsidRPr="00E84E40" w:rsidRDefault="00000000">
      <w:pPr>
        <w:spacing w:line="276" w:lineRule="auto"/>
        <w:rPr>
          <w:rFonts w:cs="Arial"/>
          <w:szCs w:val="24"/>
        </w:rPr>
      </w:pPr>
      <w:r w:rsidRPr="00E84E40">
        <w:rPr>
          <w:rFonts w:cs="Arial"/>
          <w:szCs w:val="24"/>
        </w:rPr>
        <w:t xml:space="preserve">Burns, P. (2020) Entrepreneurship and Small Business. 5th </w:t>
      </w:r>
      <w:proofErr w:type="gramStart"/>
      <w:r w:rsidRPr="00E84E40">
        <w:rPr>
          <w:rFonts w:cs="Arial"/>
          <w:szCs w:val="24"/>
        </w:rPr>
        <w:t>edn</w:t>
      </w:r>
      <w:proofErr w:type="gramEnd"/>
      <w:r w:rsidRPr="00E84E40">
        <w:rPr>
          <w:rFonts w:cs="Arial"/>
          <w:szCs w:val="24"/>
        </w:rPr>
        <w:t>. London: Red Globe Press.</w:t>
      </w:r>
    </w:p>
    <w:p w14:paraId="76FD17D3" w14:textId="77777777" w:rsidR="00ED6567" w:rsidRPr="00E84E40" w:rsidRDefault="00000000">
      <w:pPr>
        <w:spacing w:line="276" w:lineRule="auto"/>
        <w:rPr>
          <w:rFonts w:cs="Arial"/>
          <w:szCs w:val="24"/>
        </w:rPr>
      </w:pPr>
      <w:r w:rsidRPr="00E84E40">
        <w:rPr>
          <w:rFonts w:cs="Arial"/>
          <w:szCs w:val="24"/>
        </w:rPr>
        <w:t>Bocken, N., Bakker, C. and Pauw, I. (2016) ‘Product design and business model strategies for a circular economy’, Journal of Industrial and Production Engineering, 33(5), pp. 308–320.</w:t>
      </w:r>
    </w:p>
    <w:p w14:paraId="6687E10D" w14:textId="77777777" w:rsidR="00ED6567" w:rsidRPr="00E84E40" w:rsidRDefault="00000000">
      <w:pPr>
        <w:spacing w:line="276" w:lineRule="auto"/>
        <w:rPr>
          <w:rFonts w:cs="Arial"/>
          <w:szCs w:val="24"/>
        </w:rPr>
      </w:pPr>
      <w:r w:rsidRPr="00E84E40">
        <w:rPr>
          <w:rFonts w:cs="Arial"/>
          <w:szCs w:val="24"/>
        </w:rPr>
        <w:t xml:space="preserve">Chaffey, D. and Ellis-Chadwick, F. (2019) Digital Marketing. 7th </w:t>
      </w:r>
      <w:proofErr w:type="gramStart"/>
      <w:r w:rsidRPr="00E84E40">
        <w:rPr>
          <w:rFonts w:cs="Arial"/>
          <w:szCs w:val="24"/>
        </w:rPr>
        <w:t>edn</w:t>
      </w:r>
      <w:proofErr w:type="gramEnd"/>
      <w:r w:rsidRPr="00E84E40">
        <w:rPr>
          <w:rFonts w:cs="Arial"/>
          <w:szCs w:val="24"/>
        </w:rPr>
        <w:t>. Harlow: Pearson.</w:t>
      </w:r>
    </w:p>
    <w:p w14:paraId="05D1A30B" w14:textId="77777777" w:rsidR="00ED6567" w:rsidRPr="00E84E40" w:rsidRDefault="00000000">
      <w:pPr>
        <w:spacing w:line="276" w:lineRule="auto"/>
        <w:rPr>
          <w:rFonts w:cs="Arial"/>
          <w:szCs w:val="24"/>
        </w:rPr>
      </w:pPr>
      <w:r w:rsidRPr="00E84E40">
        <w:rPr>
          <w:rFonts w:cs="Arial"/>
          <w:szCs w:val="24"/>
        </w:rPr>
        <w:t>Hassan, L. and Shiu, E. (2020) ‘The role of consumer values in ethical consumption’, Journal of Consumer Behaviour, 19(3), pp. 241–256.</w:t>
      </w:r>
    </w:p>
    <w:p w14:paraId="56687F03" w14:textId="77777777" w:rsidR="00ED6567" w:rsidRPr="00E84E40" w:rsidRDefault="00000000">
      <w:pPr>
        <w:spacing w:line="276" w:lineRule="auto"/>
        <w:rPr>
          <w:rFonts w:cs="Arial"/>
          <w:szCs w:val="24"/>
        </w:rPr>
      </w:pPr>
      <w:r w:rsidRPr="00E84E40">
        <w:rPr>
          <w:rFonts w:cs="Arial"/>
          <w:szCs w:val="24"/>
        </w:rPr>
        <w:t xml:space="preserve">Kotler, P., Armstrong, G., Harris, L. and He, H. (2019) Principles of Marketing. 8th European </w:t>
      </w:r>
      <w:proofErr w:type="gramStart"/>
      <w:r w:rsidRPr="00E84E40">
        <w:rPr>
          <w:rFonts w:cs="Arial"/>
          <w:szCs w:val="24"/>
        </w:rPr>
        <w:t>edn</w:t>
      </w:r>
      <w:proofErr w:type="gramEnd"/>
      <w:r w:rsidRPr="00E84E40">
        <w:rPr>
          <w:rFonts w:cs="Arial"/>
          <w:szCs w:val="24"/>
        </w:rPr>
        <w:t>. Harlow: Pearson.</w:t>
      </w:r>
    </w:p>
    <w:p w14:paraId="01DD81C4" w14:textId="77777777" w:rsidR="00ED6567" w:rsidRPr="00E84E40" w:rsidRDefault="00000000">
      <w:pPr>
        <w:spacing w:line="276" w:lineRule="auto"/>
        <w:rPr>
          <w:rFonts w:cs="Arial"/>
          <w:szCs w:val="24"/>
        </w:rPr>
      </w:pPr>
      <w:r w:rsidRPr="00E84E40">
        <w:rPr>
          <w:rFonts w:cs="Arial"/>
          <w:szCs w:val="24"/>
        </w:rPr>
        <w:t>McCann, P. (2021) ‘Brexit and UK regional economic prospects’, Regional Studies, 55(1), pp. 1–15.</w:t>
      </w:r>
    </w:p>
    <w:p w14:paraId="29C7F05B" w14:textId="77777777" w:rsidR="00ED6567" w:rsidRPr="00E84E40" w:rsidRDefault="00000000">
      <w:pPr>
        <w:spacing w:line="276" w:lineRule="auto"/>
        <w:rPr>
          <w:rFonts w:cs="Arial"/>
          <w:szCs w:val="24"/>
        </w:rPr>
      </w:pPr>
      <w:r w:rsidRPr="00E84E40">
        <w:rPr>
          <w:rFonts w:cs="Arial"/>
          <w:szCs w:val="24"/>
        </w:rPr>
        <w:t>Niinimäki, K. (2020) ‘Sustainable fashion in a circular economy’, Environmental Sustainability Review, 2(4), pp. 189–199.</w:t>
      </w:r>
    </w:p>
    <w:p w14:paraId="765C96B8" w14:textId="77777777" w:rsidR="00ED6567" w:rsidRPr="00E84E40" w:rsidRDefault="00000000">
      <w:pPr>
        <w:spacing w:line="276" w:lineRule="auto"/>
        <w:rPr>
          <w:rFonts w:cs="Arial"/>
          <w:szCs w:val="24"/>
        </w:rPr>
      </w:pPr>
      <w:r w:rsidRPr="00E84E40">
        <w:rPr>
          <w:rFonts w:cs="Arial"/>
          <w:szCs w:val="24"/>
        </w:rPr>
        <w:t>Office for National Statistics (2023) Retail Sales Index. Available at: https://www.ons.gov.uk (Accessed: 21 February 2026).</w:t>
      </w:r>
    </w:p>
    <w:p w14:paraId="590F0282" w14:textId="77777777" w:rsidR="00ED6567" w:rsidRPr="00E84E40" w:rsidRDefault="00000000">
      <w:pPr>
        <w:spacing w:line="276" w:lineRule="auto"/>
        <w:rPr>
          <w:rFonts w:cs="Arial"/>
          <w:szCs w:val="24"/>
        </w:rPr>
      </w:pPr>
      <w:r w:rsidRPr="00E84E40">
        <w:rPr>
          <w:rFonts w:cs="Arial"/>
          <w:szCs w:val="24"/>
        </w:rPr>
        <w:t>Porter, M.E. (1985) Competitive Advantage. New York: Free Press.</w:t>
      </w:r>
    </w:p>
    <w:p w14:paraId="2FE02432" w14:textId="77777777" w:rsidR="00ED6567" w:rsidRPr="00E84E40" w:rsidRDefault="00000000">
      <w:pPr>
        <w:spacing w:line="276" w:lineRule="auto"/>
        <w:rPr>
          <w:rFonts w:cs="Arial"/>
          <w:szCs w:val="24"/>
        </w:rPr>
      </w:pPr>
      <w:r w:rsidRPr="00E84E40">
        <w:rPr>
          <w:rFonts w:cs="Arial"/>
          <w:szCs w:val="24"/>
        </w:rPr>
        <w:t>Thompson, C., Rindfleisch, A. and Arsel, Z. (2006) ‘Emotional branding and consumer identity’, Journal of Consumer Research, 32(3), pp. 1–18.</w:t>
      </w:r>
    </w:p>
    <w:p w14:paraId="44D96C61" w14:textId="77777777" w:rsidR="00ED6567" w:rsidRPr="00E84E40" w:rsidRDefault="00000000">
      <w:pPr>
        <w:spacing w:line="276" w:lineRule="auto"/>
        <w:rPr>
          <w:rFonts w:cs="Arial"/>
          <w:szCs w:val="24"/>
        </w:rPr>
      </w:pPr>
      <w:r w:rsidRPr="00E84E40">
        <w:rPr>
          <w:rFonts w:cs="Arial"/>
          <w:szCs w:val="24"/>
        </w:rPr>
        <w:br w:type="page"/>
      </w:r>
    </w:p>
    <w:p w14:paraId="641F9363" w14:textId="77777777" w:rsidR="00ED6567" w:rsidRPr="00E84E40" w:rsidRDefault="00000000">
      <w:pPr>
        <w:spacing w:line="276" w:lineRule="auto"/>
        <w:rPr>
          <w:rFonts w:cs="Arial"/>
          <w:szCs w:val="24"/>
        </w:rPr>
      </w:pPr>
      <w:r w:rsidRPr="00E84E40">
        <w:rPr>
          <w:rFonts w:cs="Arial"/>
          <w:szCs w:val="24"/>
        </w:rPr>
        <w:lastRenderedPageBreak/>
        <w:t>Appendix</w:t>
      </w:r>
    </w:p>
    <w:p w14:paraId="2A66281D" w14:textId="77777777" w:rsidR="00ED6567" w:rsidRPr="00E84E40" w:rsidRDefault="00000000">
      <w:pPr>
        <w:spacing w:line="276" w:lineRule="auto"/>
        <w:rPr>
          <w:rFonts w:cs="Arial"/>
          <w:szCs w:val="24"/>
        </w:rPr>
      </w:pPr>
      <w:r w:rsidRPr="00E84E40">
        <w:rPr>
          <w:rFonts w:cs="Arial"/>
          <w:szCs w:val="24"/>
        </w:rPr>
        <w:t>Appendix A: Start-Up Cost Breakdown</w:t>
      </w:r>
    </w:p>
    <w:tbl>
      <w:tblPr>
        <w:tblStyle w:val="TableGrid"/>
        <w:tblW w:w="0" w:type="auto"/>
        <w:tblLook w:val="04A0" w:firstRow="1" w:lastRow="0" w:firstColumn="1" w:lastColumn="0" w:noHBand="0" w:noVBand="1"/>
      </w:tblPr>
      <w:tblGrid>
        <w:gridCol w:w="4320"/>
        <w:gridCol w:w="4320"/>
      </w:tblGrid>
      <w:tr w:rsidR="00ED6567" w:rsidRPr="00E84E40" w14:paraId="59A2FC76" w14:textId="77777777">
        <w:tc>
          <w:tcPr>
            <w:tcW w:w="4320" w:type="dxa"/>
          </w:tcPr>
          <w:p w14:paraId="2C1DB0A3" w14:textId="77777777" w:rsidR="00ED6567" w:rsidRPr="00E84E40" w:rsidRDefault="00000000">
            <w:pPr>
              <w:spacing w:line="276" w:lineRule="auto"/>
              <w:rPr>
                <w:rFonts w:cs="Arial"/>
                <w:szCs w:val="24"/>
              </w:rPr>
            </w:pPr>
            <w:r w:rsidRPr="00E84E40">
              <w:rPr>
                <w:rFonts w:cs="Arial"/>
                <w:szCs w:val="24"/>
              </w:rPr>
              <w:t>Cost Category</w:t>
            </w:r>
          </w:p>
        </w:tc>
        <w:tc>
          <w:tcPr>
            <w:tcW w:w="4320" w:type="dxa"/>
          </w:tcPr>
          <w:p w14:paraId="0A0E175D" w14:textId="77777777" w:rsidR="00ED6567" w:rsidRPr="00E84E40" w:rsidRDefault="00000000">
            <w:pPr>
              <w:spacing w:line="276" w:lineRule="auto"/>
              <w:rPr>
                <w:rFonts w:cs="Arial"/>
                <w:szCs w:val="24"/>
              </w:rPr>
            </w:pPr>
            <w:r w:rsidRPr="00E84E40">
              <w:rPr>
                <w:rFonts w:cs="Arial"/>
                <w:szCs w:val="24"/>
              </w:rPr>
              <w:t>Amount (£)</w:t>
            </w:r>
          </w:p>
        </w:tc>
      </w:tr>
      <w:tr w:rsidR="00ED6567" w:rsidRPr="00E84E40" w14:paraId="5312060B" w14:textId="77777777">
        <w:tc>
          <w:tcPr>
            <w:tcW w:w="4320" w:type="dxa"/>
          </w:tcPr>
          <w:p w14:paraId="5CBC251D" w14:textId="77777777" w:rsidR="00ED6567" w:rsidRPr="00E84E40" w:rsidRDefault="00000000">
            <w:pPr>
              <w:spacing w:line="276" w:lineRule="auto"/>
              <w:rPr>
                <w:rFonts w:cs="Arial"/>
                <w:szCs w:val="24"/>
              </w:rPr>
            </w:pPr>
            <w:r w:rsidRPr="00E84E40">
              <w:rPr>
                <w:rFonts w:cs="Arial"/>
                <w:szCs w:val="24"/>
              </w:rPr>
              <w:t>Inventory</w:t>
            </w:r>
          </w:p>
        </w:tc>
        <w:tc>
          <w:tcPr>
            <w:tcW w:w="4320" w:type="dxa"/>
          </w:tcPr>
          <w:p w14:paraId="38E8B91B" w14:textId="77777777" w:rsidR="00ED6567" w:rsidRPr="00E84E40" w:rsidRDefault="00000000">
            <w:pPr>
              <w:spacing w:line="276" w:lineRule="auto"/>
              <w:rPr>
                <w:rFonts w:cs="Arial"/>
                <w:szCs w:val="24"/>
              </w:rPr>
            </w:pPr>
            <w:r w:rsidRPr="00E84E40">
              <w:rPr>
                <w:rFonts w:cs="Arial"/>
                <w:szCs w:val="24"/>
              </w:rPr>
              <w:t>6,000</w:t>
            </w:r>
          </w:p>
        </w:tc>
      </w:tr>
      <w:tr w:rsidR="00ED6567" w:rsidRPr="00E84E40" w14:paraId="4E31493B" w14:textId="77777777">
        <w:tc>
          <w:tcPr>
            <w:tcW w:w="4320" w:type="dxa"/>
          </w:tcPr>
          <w:p w14:paraId="757EA78A" w14:textId="77777777" w:rsidR="00ED6567" w:rsidRPr="00E84E40" w:rsidRDefault="00000000">
            <w:pPr>
              <w:spacing w:line="276" w:lineRule="auto"/>
              <w:rPr>
                <w:rFonts w:cs="Arial"/>
                <w:szCs w:val="24"/>
              </w:rPr>
            </w:pPr>
            <w:r w:rsidRPr="00E84E40">
              <w:rPr>
                <w:rFonts w:cs="Arial"/>
                <w:szCs w:val="24"/>
              </w:rPr>
              <w:t>Marketing</w:t>
            </w:r>
          </w:p>
        </w:tc>
        <w:tc>
          <w:tcPr>
            <w:tcW w:w="4320" w:type="dxa"/>
          </w:tcPr>
          <w:p w14:paraId="16EE4748" w14:textId="77777777" w:rsidR="00ED6567" w:rsidRPr="00E84E40" w:rsidRDefault="00000000">
            <w:pPr>
              <w:spacing w:line="276" w:lineRule="auto"/>
              <w:rPr>
                <w:rFonts w:cs="Arial"/>
                <w:szCs w:val="24"/>
              </w:rPr>
            </w:pPr>
            <w:r w:rsidRPr="00E84E40">
              <w:rPr>
                <w:rFonts w:cs="Arial"/>
                <w:szCs w:val="24"/>
              </w:rPr>
              <w:t>2,500</w:t>
            </w:r>
          </w:p>
        </w:tc>
      </w:tr>
      <w:tr w:rsidR="00ED6567" w:rsidRPr="00E84E40" w14:paraId="6DCAB862" w14:textId="77777777">
        <w:tc>
          <w:tcPr>
            <w:tcW w:w="4320" w:type="dxa"/>
          </w:tcPr>
          <w:p w14:paraId="53D33F7D" w14:textId="77777777" w:rsidR="00ED6567" w:rsidRPr="00E84E40" w:rsidRDefault="00000000">
            <w:pPr>
              <w:spacing w:line="276" w:lineRule="auto"/>
              <w:rPr>
                <w:rFonts w:cs="Arial"/>
                <w:szCs w:val="24"/>
              </w:rPr>
            </w:pPr>
            <w:r w:rsidRPr="00E84E40">
              <w:rPr>
                <w:rFonts w:cs="Arial"/>
                <w:szCs w:val="24"/>
              </w:rPr>
              <w:t>Website Development</w:t>
            </w:r>
          </w:p>
        </w:tc>
        <w:tc>
          <w:tcPr>
            <w:tcW w:w="4320" w:type="dxa"/>
          </w:tcPr>
          <w:p w14:paraId="6A377D31" w14:textId="77777777" w:rsidR="00ED6567" w:rsidRPr="00E84E40" w:rsidRDefault="00000000">
            <w:pPr>
              <w:spacing w:line="276" w:lineRule="auto"/>
              <w:rPr>
                <w:rFonts w:cs="Arial"/>
                <w:szCs w:val="24"/>
              </w:rPr>
            </w:pPr>
            <w:r w:rsidRPr="00E84E40">
              <w:rPr>
                <w:rFonts w:cs="Arial"/>
                <w:szCs w:val="24"/>
              </w:rPr>
              <w:t>1,200</w:t>
            </w:r>
          </w:p>
        </w:tc>
      </w:tr>
      <w:tr w:rsidR="00ED6567" w:rsidRPr="00E84E40" w14:paraId="0679A12D" w14:textId="77777777">
        <w:tc>
          <w:tcPr>
            <w:tcW w:w="4320" w:type="dxa"/>
          </w:tcPr>
          <w:p w14:paraId="151083E9" w14:textId="77777777" w:rsidR="00ED6567" w:rsidRPr="00E84E40" w:rsidRDefault="00000000">
            <w:pPr>
              <w:spacing w:line="276" w:lineRule="auto"/>
              <w:rPr>
                <w:rFonts w:cs="Arial"/>
                <w:szCs w:val="24"/>
              </w:rPr>
            </w:pPr>
            <w:r w:rsidRPr="00E84E40">
              <w:rPr>
                <w:rFonts w:cs="Arial"/>
                <w:szCs w:val="24"/>
              </w:rPr>
              <w:t>Branding</w:t>
            </w:r>
          </w:p>
        </w:tc>
        <w:tc>
          <w:tcPr>
            <w:tcW w:w="4320" w:type="dxa"/>
          </w:tcPr>
          <w:p w14:paraId="35A1424F" w14:textId="77777777" w:rsidR="00ED6567" w:rsidRPr="00E84E40" w:rsidRDefault="00000000">
            <w:pPr>
              <w:spacing w:line="276" w:lineRule="auto"/>
              <w:rPr>
                <w:rFonts w:cs="Arial"/>
                <w:szCs w:val="24"/>
              </w:rPr>
            </w:pPr>
            <w:r w:rsidRPr="00E84E40">
              <w:rPr>
                <w:rFonts w:cs="Arial"/>
                <w:szCs w:val="24"/>
              </w:rPr>
              <w:t>1,000</w:t>
            </w:r>
          </w:p>
        </w:tc>
      </w:tr>
      <w:tr w:rsidR="00ED6567" w:rsidRPr="00E84E40" w14:paraId="6F4436F3" w14:textId="77777777">
        <w:tc>
          <w:tcPr>
            <w:tcW w:w="4320" w:type="dxa"/>
          </w:tcPr>
          <w:p w14:paraId="0328F1F9" w14:textId="77777777" w:rsidR="00ED6567" w:rsidRPr="00E84E40" w:rsidRDefault="00000000">
            <w:pPr>
              <w:spacing w:line="276" w:lineRule="auto"/>
              <w:rPr>
                <w:rFonts w:cs="Arial"/>
                <w:szCs w:val="24"/>
              </w:rPr>
            </w:pPr>
            <w:r w:rsidRPr="00E84E40">
              <w:rPr>
                <w:rFonts w:cs="Arial"/>
                <w:szCs w:val="24"/>
              </w:rPr>
              <w:t>Packaging</w:t>
            </w:r>
          </w:p>
        </w:tc>
        <w:tc>
          <w:tcPr>
            <w:tcW w:w="4320" w:type="dxa"/>
          </w:tcPr>
          <w:p w14:paraId="54D7A0E4" w14:textId="77777777" w:rsidR="00ED6567" w:rsidRPr="00E84E40" w:rsidRDefault="00000000">
            <w:pPr>
              <w:spacing w:line="276" w:lineRule="auto"/>
              <w:rPr>
                <w:rFonts w:cs="Arial"/>
                <w:szCs w:val="24"/>
              </w:rPr>
            </w:pPr>
            <w:r w:rsidRPr="00E84E40">
              <w:rPr>
                <w:rFonts w:cs="Arial"/>
                <w:szCs w:val="24"/>
              </w:rPr>
              <w:t>800</w:t>
            </w:r>
          </w:p>
        </w:tc>
      </w:tr>
      <w:tr w:rsidR="00ED6567" w:rsidRPr="00E84E40" w14:paraId="5F48D8B8" w14:textId="77777777">
        <w:tc>
          <w:tcPr>
            <w:tcW w:w="4320" w:type="dxa"/>
          </w:tcPr>
          <w:p w14:paraId="26FCFD3E" w14:textId="77777777" w:rsidR="00ED6567" w:rsidRPr="00E84E40" w:rsidRDefault="00000000">
            <w:pPr>
              <w:spacing w:line="276" w:lineRule="auto"/>
              <w:rPr>
                <w:rFonts w:cs="Arial"/>
                <w:szCs w:val="24"/>
              </w:rPr>
            </w:pPr>
            <w:r w:rsidRPr="00E84E40">
              <w:rPr>
                <w:rFonts w:cs="Arial"/>
                <w:szCs w:val="24"/>
              </w:rPr>
              <w:t>Legal Fees</w:t>
            </w:r>
          </w:p>
        </w:tc>
        <w:tc>
          <w:tcPr>
            <w:tcW w:w="4320" w:type="dxa"/>
          </w:tcPr>
          <w:p w14:paraId="528BFBD4" w14:textId="77777777" w:rsidR="00ED6567" w:rsidRPr="00E84E40" w:rsidRDefault="00000000">
            <w:pPr>
              <w:spacing w:line="276" w:lineRule="auto"/>
              <w:rPr>
                <w:rFonts w:cs="Arial"/>
                <w:szCs w:val="24"/>
              </w:rPr>
            </w:pPr>
            <w:r w:rsidRPr="00E84E40">
              <w:rPr>
                <w:rFonts w:cs="Arial"/>
                <w:szCs w:val="24"/>
              </w:rPr>
              <w:t>500</w:t>
            </w:r>
          </w:p>
        </w:tc>
      </w:tr>
      <w:tr w:rsidR="00ED6567" w:rsidRPr="00E84E40" w14:paraId="6126C647" w14:textId="77777777">
        <w:tc>
          <w:tcPr>
            <w:tcW w:w="4320" w:type="dxa"/>
          </w:tcPr>
          <w:p w14:paraId="08AEE97B" w14:textId="77777777" w:rsidR="00ED6567" w:rsidRPr="00E84E40" w:rsidRDefault="00000000">
            <w:pPr>
              <w:spacing w:line="276" w:lineRule="auto"/>
              <w:rPr>
                <w:rFonts w:cs="Arial"/>
                <w:szCs w:val="24"/>
              </w:rPr>
            </w:pPr>
            <w:r w:rsidRPr="00E84E40">
              <w:rPr>
                <w:rFonts w:cs="Arial"/>
                <w:szCs w:val="24"/>
              </w:rPr>
              <w:t>Contingency</w:t>
            </w:r>
          </w:p>
        </w:tc>
        <w:tc>
          <w:tcPr>
            <w:tcW w:w="4320" w:type="dxa"/>
          </w:tcPr>
          <w:p w14:paraId="393FD6F8" w14:textId="77777777" w:rsidR="00ED6567" w:rsidRPr="00E84E40" w:rsidRDefault="00000000">
            <w:pPr>
              <w:spacing w:line="276" w:lineRule="auto"/>
              <w:rPr>
                <w:rFonts w:cs="Arial"/>
                <w:szCs w:val="24"/>
              </w:rPr>
            </w:pPr>
            <w:r w:rsidRPr="00E84E40">
              <w:rPr>
                <w:rFonts w:cs="Arial"/>
                <w:szCs w:val="24"/>
              </w:rPr>
              <w:t>3,000</w:t>
            </w:r>
          </w:p>
        </w:tc>
      </w:tr>
      <w:tr w:rsidR="00ED6567" w:rsidRPr="00E84E40" w14:paraId="4EB8E907" w14:textId="77777777">
        <w:tc>
          <w:tcPr>
            <w:tcW w:w="4320" w:type="dxa"/>
          </w:tcPr>
          <w:p w14:paraId="279177FF" w14:textId="77777777" w:rsidR="00ED6567" w:rsidRPr="00E84E40" w:rsidRDefault="00000000">
            <w:pPr>
              <w:spacing w:line="276" w:lineRule="auto"/>
              <w:rPr>
                <w:rFonts w:cs="Arial"/>
                <w:szCs w:val="24"/>
              </w:rPr>
            </w:pPr>
            <w:r w:rsidRPr="00E84E40">
              <w:rPr>
                <w:rFonts w:cs="Arial"/>
                <w:szCs w:val="24"/>
              </w:rPr>
              <w:t>Total</w:t>
            </w:r>
          </w:p>
        </w:tc>
        <w:tc>
          <w:tcPr>
            <w:tcW w:w="4320" w:type="dxa"/>
          </w:tcPr>
          <w:p w14:paraId="12B54230" w14:textId="77777777" w:rsidR="00ED6567" w:rsidRPr="00E84E40" w:rsidRDefault="00000000">
            <w:pPr>
              <w:spacing w:line="276" w:lineRule="auto"/>
              <w:rPr>
                <w:rFonts w:cs="Arial"/>
                <w:szCs w:val="24"/>
              </w:rPr>
            </w:pPr>
            <w:r w:rsidRPr="00E84E40">
              <w:rPr>
                <w:rFonts w:cs="Arial"/>
                <w:szCs w:val="24"/>
              </w:rPr>
              <w:t>15,000</w:t>
            </w:r>
          </w:p>
        </w:tc>
      </w:tr>
    </w:tbl>
    <w:p w14:paraId="26D09739" w14:textId="77777777" w:rsidR="00ED6567" w:rsidRPr="00E84E40" w:rsidRDefault="00ED6567">
      <w:pPr>
        <w:spacing w:line="276" w:lineRule="auto"/>
        <w:rPr>
          <w:rFonts w:cs="Arial"/>
          <w:szCs w:val="24"/>
        </w:rPr>
      </w:pPr>
    </w:p>
    <w:p w14:paraId="2B462BD7" w14:textId="77777777" w:rsidR="00ED6567" w:rsidRPr="00E84E40" w:rsidRDefault="00000000">
      <w:pPr>
        <w:spacing w:line="276" w:lineRule="auto"/>
        <w:rPr>
          <w:rFonts w:cs="Arial"/>
          <w:szCs w:val="24"/>
        </w:rPr>
      </w:pPr>
      <w:r w:rsidRPr="00E84E40">
        <w:rPr>
          <w:rFonts w:cs="Arial"/>
          <w:szCs w:val="24"/>
        </w:rPr>
        <w:t>Appendix B: Year 1 Sales Forecast</w:t>
      </w:r>
    </w:p>
    <w:tbl>
      <w:tblPr>
        <w:tblStyle w:val="TableGrid"/>
        <w:tblW w:w="0" w:type="auto"/>
        <w:tblLook w:val="04A0" w:firstRow="1" w:lastRow="0" w:firstColumn="1" w:lastColumn="0" w:noHBand="0" w:noVBand="1"/>
      </w:tblPr>
      <w:tblGrid>
        <w:gridCol w:w="1728"/>
        <w:gridCol w:w="1728"/>
        <w:gridCol w:w="1728"/>
        <w:gridCol w:w="1728"/>
        <w:gridCol w:w="1728"/>
      </w:tblGrid>
      <w:tr w:rsidR="00ED6567" w:rsidRPr="00E84E40" w14:paraId="1ABB944C" w14:textId="77777777">
        <w:tc>
          <w:tcPr>
            <w:tcW w:w="1728" w:type="dxa"/>
          </w:tcPr>
          <w:p w14:paraId="3E0CB18B" w14:textId="77777777" w:rsidR="00ED6567" w:rsidRPr="00E84E40" w:rsidRDefault="00000000">
            <w:pPr>
              <w:spacing w:line="276" w:lineRule="auto"/>
              <w:rPr>
                <w:rFonts w:cs="Arial"/>
                <w:szCs w:val="24"/>
              </w:rPr>
            </w:pPr>
            <w:r w:rsidRPr="00E84E40">
              <w:rPr>
                <w:rFonts w:cs="Arial"/>
                <w:szCs w:val="24"/>
              </w:rPr>
              <w:t>Quarter</w:t>
            </w:r>
          </w:p>
        </w:tc>
        <w:tc>
          <w:tcPr>
            <w:tcW w:w="1728" w:type="dxa"/>
          </w:tcPr>
          <w:p w14:paraId="0804048E" w14:textId="77777777" w:rsidR="00ED6567" w:rsidRPr="00E84E40" w:rsidRDefault="00000000">
            <w:pPr>
              <w:spacing w:line="276" w:lineRule="auto"/>
              <w:rPr>
                <w:rFonts w:cs="Arial"/>
                <w:szCs w:val="24"/>
              </w:rPr>
            </w:pPr>
            <w:r w:rsidRPr="00E84E40">
              <w:rPr>
                <w:rFonts w:cs="Arial"/>
                <w:szCs w:val="24"/>
              </w:rPr>
              <w:t>Units Sold</w:t>
            </w:r>
          </w:p>
        </w:tc>
        <w:tc>
          <w:tcPr>
            <w:tcW w:w="1728" w:type="dxa"/>
          </w:tcPr>
          <w:p w14:paraId="1D2F7402" w14:textId="77777777" w:rsidR="00ED6567" w:rsidRPr="00E84E40" w:rsidRDefault="00000000">
            <w:pPr>
              <w:spacing w:line="276" w:lineRule="auto"/>
              <w:rPr>
                <w:rFonts w:cs="Arial"/>
                <w:szCs w:val="24"/>
              </w:rPr>
            </w:pPr>
            <w:r w:rsidRPr="00E84E40">
              <w:rPr>
                <w:rFonts w:cs="Arial"/>
                <w:szCs w:val="24"/>
              </w:rPr>
              <w:t>Revenue (£)</w:t>
            </w:r>
          </w:p>
        </w:tc>
        <w:tc>
          <w:tcPr>
            <w:tcW w:w="1728" w:type="dxa"/>
          </w:tcPr>
          <w:p w14:paraId="408241F3" w14:textId="77777777" w:rsidR="00ED6567" w:rsidRPr="00E84E40" w:rsidRDefault="00000000">
            <w:pPr>
              <w:spacing w:line="276" w:lineRule="auto"/>
              <w:rPr>
                <w:rFonts w:cs="Arial"/>
                <w:szCs w:val="24"/>
              </w:rPr>
            </w:pPr>
            <w:r w:rsidRPr="00E84E40">
              <w:rPr>
                <w:rFonts w:cs="Arial"/>
                <w:szCs w:val="24"/>
              </w:rPr>
              <w:t>Cost of Sales (£)</w:t>
            </w:r>
          </w:p>
        </w:tc>
        <w:tc>
          <w:tcPr>
            <w:tcW w:w="1728" w:type="dxa"/>
          </w:tcPr>
          <w:p w14:paraId="6028DD38" w14:textId="77777777" w:rsidR="00ED6567" w:rsidRPr="00E84E40" w:rsidRDefault="00000000">
            <w:pPr>
              <w:spacing w:line="276" w:lineRule="auto"/>
              <w:rPr>
                <w:rFonts w:cs="Arial"/>
                <w:szCs w:val="24"/>
              </w:rPr>
            </w:pPr>
            <w:r w:rsidRPr="00E84E40">
              <w:rPr>
                <w:rFonts w:cs="Arial"/>
                <w:szCs w:val="24"/>
              </w:rPr>
              <w:t>Gross Profit (£)</w:t>
            </w:r>
          </w:p>
        </w:tc>
      </w:tr>
      <w:tr w:rsidR="00ED6567" w:rsidRPr="00E84E40" w14:paraId="66DA30C1" w14:textId="77777777">
        <w:tc>
          <w:tcPr>
            <w:tcW w:w="1728" w:type="dxa"/>
          </w:tcPr>
          <w:p w14:paraId="2934F11E" w14:textId="77777777" w:rsidR="00ED6567" w:rsidRPr="00E84E40" w:rsidRDefault="00000000">
            <w:pPr>
              <w:spacing w:line="276" w:lineRule="auto"/>
              <w:rPr>
                <w:rFonts w:cs="Arial"/>
                <w:szCs w:val="24"/>
              </w:rPr>
            </w:pPr>
            <w:r w:rsidRPr="00E84E40">
              <w:rPr>
                <w:rFonts w:cs="Arial"/>
                <w:szCs w:val="24"/>
              </w:rPr>
              <w:t>Q1</w:t>
            </w:r>
          </w:p>
        </w:tc>
        <w:tc>
          <w:tcPr>
            <w:tcW w:w="1728" w:type="dxa"/>
          </w:tcPr>
          <w:p w14:paraId="6F12C6A4" w14:textId="77777777" w:rsidR="00ED6567" w:rsidRPr="00E84E40" w:rsidRDefault="00000000">
            <w:pPr>
              <w:spacing w:line="276" w:lineRule="auto"/>
              <w:rPr>
                <w:rFonts w:cs="Arial"/>
                <w:szCs w:val="24"/>
              </w:rPr>
            </w:pPr>
            <w:r w:rsidRPr="00E84E40">
              <w:rPr>
                <w:rFonts w:cs="Arial"/>
                <w:szCs w:val="24"/>
              </w:rPr>
              <w:t>45</w:t>
            </w:r>
          </w:p>
        </w:tc>
        <w:tc>
          <w:tcPr>
            <w:tcW w:w="1728" w:type="dxa"/>
          </w:tcPr>
          <w:p w14:paraId="3E5B6B01" w14:textId="77777777" w:rsidR="00ED6567" w:rsidRPr="00E84E40" w:rsidRDefault="00000000">
            <w:pPr>
              <w:spacing w:line="276" w:lineRule="auto"/>
              <w:rPr>
                <w:rFonts w:cs="Arial"/>
                <w:szCs w:val="24"/>
              </w:rPr>
            </w:pPr>
            <w:r w:rsidRPr="00E84E40">
              <w:rPr>
                <w:rFonts w:cs="Arial"/>
                <w:szCs w:val="24"/>
              </w:rPr>
              <w:t>2,475</w:t>
            </w:r>
          </w:p>
        </w:tc>
        <w:tc>
          <w:tcPr>
            <w:tcW w:w="1728" w:type="dxa"/>
          </w:tcPr>
          <w:p w14:paraId="5424CEB8" w14:textId="77777777" w:rsidR="00ED6567" w:rsidRPr="00E84E40" w:rsidRDefault="00000000">
            <w:pPr>
              <w:spacing w:line="276" w:lineRule="auto"/>
              <w:rPr>
                <w:rFonts w:cs="Arial"/>
                <w:szCs w:val="24"/>
              </w:rPr>
            </w:pPr>
            <w:r w:rsidRPr="00E84E40">
              <w:rPr>
                <w:rFonts w:cs="Arial"/>
                <w:szCs w:val="24"/>
              </w:rPr>
              <w:t>1,237</w:t>
            </w:r>
          </w:p>
        </w:tc>
        <w:tc>
          <w:tcPr>
            <w:tcW w:w="1728" w:type="dxa"/>
          </w:tcPr>
          <w:p w14:paraId="231B3C04" w14:textId="77777777" w:rsidR="00ED6567" w:rsidRPr="00E84E40" w:rsidRDefault="00000000">
            <w:pPr>
              <w:spacing w:line="276" w:lineRule="auto"/>
              <w:rPr>
                <w:rFonts w:cs="Arial"/>
                <w:szCs w:val="24"/>
              </w:rPr>
            </w:pPr>
            <w:r w:rsidRPr="00E84E40">
              <w:rPr>
                <w:rFonts w:cs="Arial"/>
                <w:szCs w:val="24"/>
              </w:rPr>
              <w:t>1,238</w:t>
            </w:r>
          </w:p>
        </w:tc>
      </w:tr>
      <w:tr w:rsidR="00ED6567" w:rsidRPr="00E84E40" w14:paraId="6ACD889A" w14:textId="77777777">
        <w:tc>
          <w:tcPr>
            <w:tcW w:w="1728" w:type="dxa"/>
          </w:tcPr>
          <w:p w14:paraId="5B8D4B01" w14:textId="77777777" w:rsidR="00ED6567" w:rsidRPr="00E84E40" w:rsidRDefault="00000000">
            <w:pPr>
              <w:spacing w:line="276" w:lineRule="auto"/>
              <w:rPr>
                <w:rFonts w:cs="Arial"/>
                <w:szCs w:val="24"/>
              </w:rPr>
            </w:pPr>
            <w:r w:rsidRPr="00E84E40">
              <w:rPr>
                <w:rFonts w:cs="Arial"/>
                <w:szCs w:val="24"/>
              </w:rPr>
              <w:t>Q2</w:t>
            </w:r>
          </w:p>
        </w:tc>
        <w:tc>
          <w:tcPr>
            <w:tcW w:w="1728" w:type="dxa"/>
          </w:tcPr>
          <w:p w14:paraId="56835EF9" w14:textId="77777777" w:rsidR="00ED6567" w:rsidRPr="00E84E40" w:rsidRDefault="00000000">
            <w:pPr>
              <w:spacing w:line="276" w:lineRule="auto"/>
              <w:rPr>
                <w:rFonts w:cs="Arial"/>
                <w:szCs w:val="24"/>
              </w:rPr>
            </w:pPr>
            <w:r w:rsidRPr="00E84E40">
              <w:rPr>
                <w:rFonts w:cs="Arial"/>
                <w:szCs w:val="24"/>
              </w:rPr>
              <w:t>75</w:t>
            </w:r>
          </w:p>
        </w:tc>
        <w:tc>
          <w:tcPr>
            <w:tcW w:w="1728" w:type="dxa"/>
          </w:tcPr>
          <w:p w14:paraId="08DF48BB" w14:textId="77777777" w:rsidR="00ED6567" w:rsidRPr="00E84E40" w:rsidRDefault="00000000">
            <w:pPr>
              <w:spacing w:line="276" w:lineRule="auto"/>
              <w:rPr>
                <w:rFonts w:cs="Arial"/>
                <w:szCs w:val="24"/>
              </w:rPr>
            </w:pPr>
            <w:r w:rsidRPr="00E84E40">
              <w:rPr>
                <w:rFonts w:cs="Arial"/>
                <w:szCs w:val="24"/>
              </w:rPr>
              <w:t>4,125</w:t>
            </w:r>
          </w:p>
        </w:tc>
        <w:tc>
          <w:tcPr>
            <w:tcW w:w="1728" w:type="dxa"/>
          </w:tcPr>
          <w:p w14:paraId="78F5F257" w14:textId="77777777" w:rsidR="00ED6567" w:rsidRPr="00E84E40" w:rsidRDefault="00000000">
            <w:pPr>
              <w:spacing w:line="276" w:lineRule="auto"/>
              <w:rPr>
                <w:rFonts w:cs="Arial"/>
                <w:szCs w:val="24"/>
              </w:rPr>
            </w:pPr>
            <w:r w:rsidRPr="00E84E40">
              <w:rPr>
                <w:rFonts w:cs="Arial"/>
                <w:szCs w:val="24"/>
              </w:rPr>
              <w:t>2,062</w:t>
            </w:r>
          </w:p>
        </w:tc>
        <w:tc>
          <w:tcPr>
            <w:tcW w:w="1728" w:type="dxa"/>
          </w:tcPr>
          <w:p w14:paraId="0E5EED98" w14:textId="77777777" w:rsidR="00ED6567" w:rsidRPr="00E84E40" w:rsidRDefault="00000000">
            <w:pPr>
              <w:spacing w:line="276" w:lineRule="auto"/>
              <w:rPr>
                <w:rFonts w:cs="Arial"/>
                <w:szCs w:val="24"/>
              </w:rPr>
            </w:pPr>
            <w:r w:rsidRPr="00E84E40">
              <w:rPr>
                <w:rFonts w:cs="Arial"/>
                <w:szCs w:val="24"/>
              </w:rPr>
              <w:t>2,063</w:t>
            </w:r>
          </w:p>
        </w:tc>
      </w:tr>
      <w:tr w:rsidR="00ED6567" w:rsidRPr="00E84E40" w14:paraId="1AA3AC82" w14:textId="77777777">
        <w:tc>
          <w:tcPr>
            <w:tcW w:w="1728" w:type="dxa"/>
          </w:tcPr>
          <w:p w14:paraId="69FE7879" w14:textId="77777777" w:rsidR="00ED6567" w:rsidRPr="00E84E40" w:rsidRDefault="00000000">
            <w:pPr>
              <w:spacing w:line="276" w:lineRule="auto"/>
              <w:rPr>
                <w:rFonts w:cs="Arial"/>
                <w:szCs w:val="24"/>
              </w:rPr>
            </w:pPr>
            <w:r w:rsidRPr="00E84E40">
              <w:rPr>
                <w:rFonts w:cs="Arial"/>
                <w:szCs w:val="24"/>
              </w:rPr>
              <w:t>Q3</w:t>
            </w:r>
          </w:p>
        </w:tc>
        <w:tc>
          <w:tcPr>
            <w:tcW w:w="1728" w:type="dxa"/>
          </w:tcPr>
          <w:p w14:paraId="6260B5F6" w14:textId="77777777" w:rsidR="00ED6567" w:rsidRPr="00E84E40" w:rsidRDefault="00000000">
            <w:pPr>
              <w:spacing w:line="276" w:lineRule="auto"/>
              <w:rPr>
                <w:rFonts w:cs="Arial"/>
                <w:szCs w:val="24"/>
              </w:rPr>
            </w:pPr>
            <w:r w:rsidRPr="00E84E40">
              <w:rPr>
                <w:rFonts w:cs="Arial"/>
                <w:szCs w:val="24"/>
              </w:rPr>
              <w:t>120</w:t>
            </w:r>
          </w:p>
        </w:tc>
        <w:tc>
          <w:tcPr>
            <w:tcW w:w="1728" w:type="dxa"/>
          </w:tcPr>
          <w:p w14:paraId="33318FCF" w14:textId="77777777" w:rsidR="00ED6567" w:rsidRPr="00E84E40" w:rsidRDefault="00000000">
            <w:pPr>
              <w:spacing w:line="276" w:lineRule="auto"/>
              <w:rPr>
                <w:rFonts w:cs="Arial"/>
                <w:szCs w:val="24"/>
              </w:rPr>
            </w:pPr>
            <w:r w:rsidRPr="00E84E40">
              <w:rPr>
                <w:rFonts w:cs="Arial"/>
                <w:szCs w:val="24"/>
              </w:rPr>
              <w:t>6,600</w:t>
            </w:r>
          </w:p>
        </w:tc>
        <w:tc>
          <w:tcPr>
            <w:tcW w:w="1728" w:type="dxa"/>
          </w:tcPr>
          <w:p w14:paraId="0F66D231" w14:textId="77777777" w:rsidR="00ED6567" w:rsidRPr="00E84E40" w:rsidRDefault="00000000">
            <w:pPr>
              <w:spacing w:line="276" w:lineRule="auto"/>
              <w:rPr>
                <w:rFonts w:cs="Arial"/>
                <w:szCs w:val="24"/>
              </w:rPr>
            </w:pPr>
            <w:r w:rsidRPr="00E84E40">
              <w:rPr>
                <w:rFonts w:cs="Arial"/>
                <w:szCs w:val="24"/>
              </w:rPr>
              <w:t>3,300</w:t>
            </w:r>
          </w:p>
        </w:tc>
        <w:tc>
          <w:tcPr>
            <w:tcW w:w="1728" w:type="dxa"/>
          </w:tcPr>
          <w:p w14:paraId="769A5B0B" w14:textId="77777777" w:rsidR="00ED6567" w:rsidRPr="00E84E40" w:rsidRDefault="00000000">
            <w:pPr>
              <w:spacing w:line="276" w:lineRule="auto"/>
              <w:rPr>
                <w:rFonts w:cs="Arial"/>
                <w:szCs w:val="24"/>
              </w:rPr>
            </w:pPr>
            <w:r w:rsidRPr="00E84E40">
              <w:rPr>
                <w:rFonts w:cs="Arial"/>
                <w:szCs w:val="24"/>
              </w:rPr>
              <w:t>3,300</w:t>
            </w:r>
          </w:p>
        </w:tc>
      </w:tr>
      <w:tr w:rsidR="00ED6567" w:rsidRPr="00E84E40" w14:paraId="13875B38" w14:textId="77777777">
        <w:tc>
          <w:tcPr>
            <w:tcW w:w="1728" w:type="dxa"/>
          </w:tcPr>
          <w:p w14:paraId="141DC647" w14:textId="77777777" w:rsidR="00ED6567" w:rsidRPr="00E84E40" w:rsidRDefault="00000000">
            <w:pPr>
              <w:spacing w:line="276" w:lineRule="auto"/>
              <w:rPr>
                <w:rFonts w:cs="Arial"/>
                <w:szCs w:val="24"/>
              </w:rPr>
            </w:pPr>
            <w:r w:rsidRPr="00E84E40">
              <w:rPr>
                <w:rFonts w:cs="Arial"/>
                <w:szCs w:val="24"/>
              </w:rPr>
              <w:t>Q4</w:t>
            </w:r>
          </w:p>
        </w:tc>
        <w:tc>
          <w:tcPr>
            <w:tcW w:w="1728" w:type="dxa"/>
          </w:tcPr>
          <w:p w14:paraId="554C5D78" w14:textId="77777777" w:rsidR="00ED6567" w:rsidRPr="00E84E40" w:rsidRDefault="00000000">
            <w:pPr>
              <w:spacing w:line="276" w:lineRule="auto"/>
              <w:rPr>
                <w:rFonts w:cs="Arial"/>
                <w:szCs w:val="24"/>
              </w:rPr>
            </w:pPr>
            <w:r w:rsidRPr="00E84E40">
              <w:rPr>
                <w:rFonts w:cs="Arial"/>
                <w:szCs w:val="24"/>
              </w:rPr>
              <w:t>200</w:t>
            </w:r>
          </w:p>
        </w:tc>
        <w:tc>
          <w:tcPr>
            <w:tcW w:w="1728" w:type="dxa"/>
          </w:tcPr>
          <w:p w14:paraId="6DAAAFF7" w14:textId="77777777" w:rsidR="00ED6567" w:rsidRPr="00E84E40" w:rsidRDefault="00000000">
            <w:pPr>
              <w:spacing w:line="276" w:lineRule="auto"/>
              <w:rPr>
                <w:rFonts w:cs="Arial"/>
                <w:szCs w:val="24"/>
              </w:rPr>
            </w:pPr>
            <w:r w:rsidRPr="00E84E40">
              <w:rPr>
                <w:rFonts w:cs="Arial"/>
                <w:szCs w:val="24"/>
              </w:rPr>
              <w:t>11,000</w:t>
            </w:r>
          </w:p>
        </w:tc>
        <w:tc>
          <w:tcPr>
            <w:tcW w:w="1728" w:type="dxa"/>
          </w:tcPr>
          <w:p w14:paraId="482D7BBC" w14:textId="77777777" w:rsidR="00ED6567" w:rsidRPr="00E84E40" w:rsidRDefault="00000000">
            <w:pPr>
              <w:spacing w:line="276" w:lineRule="auto"/>
              <w:rPr>
                <w:rFonts w:cs="Arial"/>
                <w:szCs w:val="24"/>
              </w:rPr>
            </w:pPr>
            <w:r w:rsidRPr="00E84E40">
              <w:rPr>
                <w:rFonts w:cs="Arial"/>
                <w:szCs w:val="24"/>
              </w:rPr>
              <w:t>5,500</w:t>
            </w:r>
          </w:p>
        </w:tc>
        <w:tc>
          <w:tcPr>
            <w:tcW w:w="1728" w:type="dxa"/>
          </w:tcPr>
          <w:p w14:paraId="13F0AF72" w14:textId="77777777" w:rsidR="00ED6567" w:rsidRPr="00E84E40" w:rsidRDefault="00000000">
            <w:pPr>
              <w:spacing w:line="276" w:lineRule="auto"/>
              <w:rPr>
                <w:rFonts w:cs="Arial"/>
                <w:szCs w:val="24"/>
              </w:rPr>
            </w:pPr>
            <w:r w:rsidRPr="00E84E40">
              <w:rPr>
                <w:rFonts w:cs="Arial"/>
                <w:szCs w:val="24"/>
              </w:rPr>
              <w:t>5,500</w:t>
            </w:r>
          </w:p>
        </w:tc>
      </w:tr>
      <w:tr w:rsidR="00ED6567" w:rsidRPr="00E84E40" w14:paraId="286D801F" w14:textId="77777777">
        <w:tc>
          <w:tcPr>
            <w:tcW w:w="1728" w:type="dxa"/>
          </w:tcPr>
          <w:p w14:paraId="4AC32CAA" w14:textId="77777777" w:rsidR="00ED6567" w:rsidRPr="00E84E40" w:rsidRDefault="00000000">
            <w:pPr>
              <w:spacing w:line="276" w:lineRule="auto"/>
              <w:rPr>
                <w:rFonts w:cs="Arial"/>
                <w:szCs w:val="24"/>
              </w:rPr>
            </w:pPr>
            <w:r w:rsidRPr="00E84E40">
              <w:rPr>
                <w:rFonts w:cs="Arial"/>
                <w:szCs w:val="24"/>
              </w:rPr>
              <w:t>Total</w:t>
            </w:r>
          </w:p>
        </w:tc>
        <w:tc>
          <w:tcPr>
            <w:tcW w:w="1728" w:type="dxa"/>
          </w:tcPr>
          <w:p w14:paraId="3C954DE0" w14:textId="77777777" w:rsidR="00ED6567" w:rsidRPr="00E84E40" w:rsidRDefault="00000000">
            <w:pPr>
              <w:spacing w:line="276" w:lineRule="auto"/>
              <w:rPr>
                <w:rFonts w:cs="Arial"/>
                <w:szCs w:val="24"/>
              </w:rPr>
            </w:pPr>
            <w:r w:rsidRPr="00E84E40">
              <w:rPr>
                <w:rFonts w:cs="Arial"/>
                <w:szCs w:val="24"/>
              </w:rPr>
              <w:t>440</w:t>
            </w:r>
          </w:p>
        </w:tc>
        <w:tc>
          <w:tcPr>
            <w:tcW w:w="1728" w:type="dxa"/>
          </w:tcPr>
          <w:p w14:paraId="46D9553A" w14:textId="77777777" w:rsidR="00ED6567" w:rsidRPr="00E84E40" w:rsidRDefault="00000000">
            <w:pPr>
              <w:spacing w:line="276" w:lineRule="auto"/>
              <w:rPr>
                <w:rFonts w:cs="Arial"/>
                <w:szCs w:val="24"/>
              </w:rPr>
            </w:pPr>
            <w:r w:rsidRPr="00E84E40">
              <w:rPr>
                <w:rFonts w:cs="Arial"/>
                <w:szCs w:val="24"/>
              </w:rPr>
              <w:t>24,200</w:t>
            </w:r>
          </w:p>
        </w:tc>
        <w:tc>
          <w:tcPr>
            <w:tcW w:w="1728" w:type="dxa"/>
          </w:tcPr>
          <w:p w14:paraId="1AA77D85" w14:textId="77777777" w:rsidR="00ED6567" w:rsidRPr="00E84E40" w:rsidRDefault="00000000">
            <w:pPr>
              <w:spacing w:line="276" w:lineRule="auto"/>
              <w:rPr>
                <w:rFonts w:cs="Arial"/>
                <w:szCs w:val="24"/>
              </w:rPr>
            </w:pPr>
            <w:r w:rsidRPr="00E84E40">
              <w:rPr>
                <w:rFonts w:cs="Arial"/>
                <w:szCs w:val="24"/>
              </w:rPr>
              <w:t>12,100</w:t>
            </w:r>
          </w:p>
        </w:tc>
        <w:tc>
          <w:tcPr>
            <w:tcW w:w="1728" w:type="dxa"/>
          </w:tcPr>
          <w:p w14:paraId="26871CED" w14:textId="77777777" w:rsidR="00ED6567" w:rsidRPr="00E84E40" w:rsidRDefault="00000000">
            <w:pPr>
              <w:spacing w:line="276" w:lineRule="auto"/>
              <w:rPr>
                <w:rFonts w:cs="Arial"/>
                <w:szCs w:val="24"/>
              </w:rPr>
            </w:pPr>
            <w:r w:rsidRPr="00E84E40">
              <w:rPr>
                <w:rFonts w:cs="Arial"/>
                <w:szCs w:val="24"/>
              </w:rPr>
              <w:t>12,100</w:t>
            </w:r>
          </w:p>
        </w:tc>
      </w:tr>
    </w:tbl>
    <w:p w14:paraId="0BD8FECE" w14:textId="77777777" w:rsidR="00ED6567" w:rsidRPr="00E84E40" w:rsidRDefault="00ED6567">
      <w:pPr>
        <w:spacing w:line="276" w:lineRule="auto"/>
        <w:rPr>
          <w:rFonts w:cs="Arial"/>
          <w:szCs w:val="24"/>
        </w:rPr>
      </w:pPr>
    </w:p>
    <w:p w14:paraId="1EB3DAA3" w14:textId="77777777" w:rsidR="00ED6567" w:rsidRPr="00E84E40" w:rsidRDefault="00000000">
      <w:pPr>
        <w:spacing w:line="276" w:lineRule="auto"/>
        <w:rPr>
          <w:rFonts w:cs="Arial"/>
          <w:szCs w:val="24"/>
        </w:rPr>
      </w:pPr>
      <w:r w:rsidRPr="00E84E40">
        <w:rPr>
          <w:rFonts w:cs="Arial"/>
          <w:szCs w:val="24"/>
        </w:rPr>
        <w:t>Appendix C: Break-Even Analysis</w:t>
      </w:r>
    </w:p>
    <w:p w14:paraId="74D762B9" w14:textId="77777777" w:rsidR="00ED6567" w:rsidRPr="00E84E40" w:rsidRDefault="00000000">
      <w:pPr>
        <w:spacing w:line="276" w:lineRule="auto"/>
        <w:rPr>
          <w:rFonts w:cs="Arial"/>
          <w:szCs w:val="24"/>
        </w:rPr>
      </w:pPr>
      <w:r w:rsidRPr="00E84E40">
        <w:rPr>
          <w:rFonts w:cs="Arial"/>
          <w:szCs w:val="24"/>
        </w:rPr>
        <w:t>Break-even units = Fixed Costs / Contribution per Unit</w:t>
      </w:r>
    </w:p>
    <w:p w14:paraId="05F3464D" w14:textId="77777777" w:rsidR="00ED6567" w:rsidRPr="00E84E40" w:rsidRDefault="00000000">
      <w:pPr>
        <w:spacing w:line="276" w:lineRule="auto"/>
        <w:rPr>
          <w:rFonts w:cs="Arial"/>
          <w:szCs w:val="24"/>
        </w:rPr>
      </w:pPr>
      <w:r w:rsidRPr="00E84E40">
        <w:rPr>
          <w:rFonts w:cs="Arial"/>
          <w:szCs w:val="24"/>
        </w:rPr>
        <w:t>Fixed Costs: £15,000</w:t>
      </w:r>
    </w:p>
    <w:p w14:paraId="60DCAB72" w14:textId="77777777" w:rsidR="00ED6567" w:rsidRPr="00E84E40" w:rsidRDefault="00000000">
      <w:pPr>
        <w:spacing w:line="276" w:lineRule="auto"/>
        <w:rPr>
          <w:rFonts w:cs="Arial"/>
          <w:szCs w:val="24"/>
        </w:rPr>
      </w:pPr>
      <w:r w:rsidRPr="00E84E40">
        <w:rPr>
          <w:rFonts w:cs="Arial"/>
          <w:szCs w:val="24"/>
        </w:rPr>
        <w:t>Selling Price per Unit: £55</w:t>
      </w:r>
    </w:p>
    <w:p w14:paraId="0CAA2C74" w14:textId="77777777" w:rsidR="00ED6567" w:rsidRPr="00E84E40" w:rsidRDefault="00000000">
      <w:pPr>
        <w:spacing w:line="276" w:lineRule="auto"/>
        <w:rPr>
          <w:rFonts w:cs="Arial"/>
          <w:szCs w:val="24"/>
        </w:rPr>
      </w:pPr>
      <w:r w:rsidRPr="00E84E40">
        <w:rPr>
          <w:rFonts w:cs="Arial"/>
          <w:szCs w:val="24"/>
        </w:rPr>
        <w:t>Variable Cost per Unit: £27.50</w:t>
      </w:r>
    </w:p>
    <w:p w14:paraId="7778112A" w14:textId="77777777" w:rsidR="00ED6567" w:rsidRPr="00E84E40" w:rsidRDefault="00000000">
      <w:pPr>
        <w:spacing w:line="276" w:lineRule="auto"/>
        <w:rPr>
          <w:rFonts w:cs="Arial"/>
          <w:szCs w:val="24"/>
        </w:rPr>
      </w:pPr>
      <w:r w:rsidRPr="00E84E40">
        <w:rPr>
          <w:rFonts w:cs="Arial"/>
          <w:szCs w:val="24"/>
        </w:rPr>
        <w:t>Contribution per Unit: £27.50</w:t>
      </w:r>
    </w:p>
    <w:p w14:paraId="54376CD8" w14:textId="77777777" w:rsidR="00ED6567" w:rsidRPr="00E84E40" w:rsidRDefault="00000000">
      <w:pPr>
        <w:spacing w:line="276" w:lineRule="auto"/>
        <w:rPr>
          <w:rFonts w:cs="Arial"/>
          <w:szCs w:val="24"/>
        </w:rPr>
      </w:pPr>
      <w:r w:rsidRPr="00E84E40">
        <w:rPr>
          <w:rFonts w:cs="Arial"/>
          <w:szCs w:val="24"/>
        </w:rPr>
        <w:t>Break-even units = 15,000 / 27.5 = 546 units (approx.)</w:t>
      </w:r>
    </w:p>
    <w:p w14:paraId="6D578C95" w14:textId="77777777" w:rsidR="00ED6567" w:rsidRPr="00E84E40" w:rsidRDefault="00ED6567">
      <w:pPr>
        <w:spacing w:line="276" w:lineRule="auto"/>
        <w:rPr>
          <w:rFonts w:cs="Arial"/>
          <w:szCs w:val="24"/>
        </w:rPr>
      </w:pPr>
    </w:p>
    <w:p w14:paraId="52B92278" w14:textId="77777777" w:rsidR="00ED6567" w:rsidRPr="00E84E40" w:rsidRDefault="00000000">
      <w:pPr>
        <w:spacing w:line="276" w:lineRule="auto"/>
        <w:rPr>
          <w:rFonts w:cs="Arial"/>
          <w:szCs w:val="24"/>
        </w:rPr>
      </w:pPr>
      <w:r w:rsidRPr="00E84E40">
        <w:rPr>
          <w:rFonts w:cs="Arial"/>
          <w:szCs w:val="24"/>
        </w:rPr>
        <w:t>Appendix D: Break-Even Visual (Text-Based Chart)</w:t>
      </w:r>
    </w:p>
    <w:p w14:paraId="236C36A1" w14:textId="77777777" w:rsidR="00ED6567" w:rsidRPr="00E84E40" w:rsidRDefault="00000000">
      <w:pPr>
        <w:spacing w:line="276" w:lineRule="auto"/>
        <w:rPr>
          <w:rFonts w:cs="Arial"/>
          <w:szCs w:val="24"/>
        </w:rPr>
      </w:pPr>
      <w:r w:rsidRPr="00E84E40">
        <w:rPr>
          <w:rFonts w:cs="Arial"/>
          <w:szCs w:val="24"/>
        </w:rPr>
        <w:t>0----100----200----300----400----500----600 units</w:t>
      </w:r>
    </w:p>
    <w:p w14:paraId="09787A96" w14:textId="77777777" w:rsidR="00ED6567" w:rsidRPr="00E84E40" w:rsidRDefault="00000000">
      <w:pPr>
        <w:spacing w:line="276" w:lineRule="auto"/>
        <w:rPr>
          <w:rFonts w:cs="Arial"/>
          <w:szCs w:val="24"/>
        </w:rPr>
      </w:pPr>
      <w:r w:rsidRPr="00E84E40">
        <w:rPr>
          <w:rFonts w:cs="Arial"/>
          <w:szCs w:val="24"/>
        </w:rPr>
        <w:lastRenderedPageBreak/>
        <w:t>Revenue rises linearly; break-even at approx. 546 units.</w:t>
      </w:r>
    </w:p>
    <w:p w14:paraId="6E037387" w14:textId="77777777" w:rsidR="00ED6567" w:rsidRPr="00E84E40" w:rsidRDefault="00ED6567">
      <w:pPr>
        <w:spacing w:line="276" w:lineRule="auto"/>
        <w:rPr>
          <w:rFonts w:cs="Arial"/>
          <w:szCs w:val="24"/>
        </w:rPr>
      </w:pPr>
    </w:p>
    <w:p w14:paraId="1573F43D" w14:textId="77777777" w:rsidR="00ED6567" w:rsidRPr="00E84E40" w:rsidRDefault="00000000">
      <w:pPr>
        <w:spacing w:line="276" w:lineRule="auto"/>
        <w:rPr>
          <w:rFonts w:cs="Arial"/>
          <w:szCs w:val="24"/>
        </w:rPr>
      </w:pPr>
      <w:r w:rsidRPr="00E84E40">
        <w:rPr>
          <w:rFonts w:cs="Arial"/>
          <w:szCs w:val="24"/>
        </w:rPr>
        <w:t>Expanded Section 7: Risk Analysis</w:t>
      </w:r>
    </w:p>
    <w:p w14:paraId="1C6D74BF" w14:textId="77777777" w:rsidR="00ED6567" w:rsidRPr="00E84E40" w:rsidRDefault="00000000">
      <w:pPr>
        <w:spacing w:line="276" w:lineRule="auto"/>
        <w:rPr>
          <w:rFonts w:cs="Arial"/>
          <w:szCs w:val="24"/>
        </w:rPr>
      </w:pPr>
      <w:r w:rsidRPr="00E84E40">
        <w:rPr>
          <w:rFonts w:cs="Arial"/>
          <w:szCs w:val="24"/>
        </w:rPr>
        <w:t>DreamNachieve faces several strategic, operational, financial, compliance, and reputational risks. A proactive mitigation strategy is essential for long</w:t>
      </w:r>
      <w:r w:rsidRPr="00E84E40">
        <w:rPr>
          <w:rFonts w:ascii="Cambria Math" w:hAnsi="Cambria Math" w:cs="Cambria Math"/>
          <w:szCs w:val="24"/>
        </w:rPr>
        <w:t>‑</w:t>
      </w:r>
      <w:r w:rsidRPr="00E84E40">
        <w:rPr>
          <w:rFonts w:cs="Arial"/>
          <w:szCs w:val="24"/>
        </w:rPr>
        <w:t>term sustainability.</w:t>
      </w:r>
    </w:p>
    <w:p w14:paraId="2E2479C9" w14:textId="77777777" w:rsidR="00ED6567" w:rsidRPr="00E84E40" w:rsidRDefault="00000000">
      <w:pPr>
        <w:spacing w:line="276" w:lineRule="auto"/>
        <w:rPr>
          <w:rFonts w:cs="Arial"/>
          <w:szCs w:val="24"/>
        </w:rPr>
      </w:pPr>
      <w:r w:rsidRPr="00E84E40">
        <w:rPr>
          <w:rFonts w:cs="Arial"/>
          <w:szCs w:val="24"/>
        </w:rPr>
        <w:t>Strategic Risks include brand dilution and market saturation. Clear sustainability reporting, niche positioning, and consistent messaging help maintain differentiation. Scenario planning ensures the business remains adaptable to market shifts.</w:t>
      </w:r>
    </w:p>
    <w:p w14:paraId="4860E8EA" w14:textId="77777777" w:rsidR="00ED6567" w:rsidRPr="00E84E40" w:rsidRDefault="00000000">
      <w:pPr>
        <w:spacing w:line="276" w:lineRule="auto"/>
        <w:rPr>
          <w:rFonts w:cs="Arial"/>
          <w:szCs w:val="24"/>
        </w:rPr>
      </w:pPr>
      <w:r w:rsidRPr="00E84E40">
        <w:rPr>
          <w:rFonts w:cs="Arial"/>
          <w:szCs w:val="24"/>
        </w:rPr>
        <w:t>Operational Risks arise from supply chain disruptions, particularly for organic materials, which can lead to stock delays and increased costs. Supplier diversification, inventory planning, and contingency stock reduce vulnerability.</w:t>
      </w:r>
    </w:p>
    <w:p w14:paraId="48D42B21" w14:textId="77777777" w:rsidR="00ED6567" w:rsidRPr="00E84E40" w:rsidRDefault="00000000">
      <w:pPr>
        <w:spacing w:line="276" w:lineRule="auto"/>
        <w:rPr>
          <w:rFonts w:cs="Arial"/>
          <w:szCs w:val="24"/>
        </w:rPr>
      </w:pPr>
      <w:r w:rsidRPr="00E84E40">
        <w:rPr>
          <w:rFonts w:cs="Arial"/>
          <w:szCs w:val="24"/>
        </w:rPr>
        <w:t>Compliance Risks include GDPR breaches and misleading sustainability claims, which can result in legal penalties and reputational damage. Regular data audits and adherence to the CMA Green Claims Code ensure compliance and transparency.</w:t>
      </w:r>
    </w:p>
    <w:p w14:paraId="0E876DD4" w14:textId="77777777" w:rsidR="00ED6567" w:rsidRPr="00E84E40" w:rsidRDefault="00000000">
      <w:pPr>
        <w:spacing w:line="276" w:lineRule="auto"/>
        <w:rPr>
          <w:rFonts w:cs="Arial"/>
          <w:szCs w:val="24"/>
        </w:rPr>
      </w:pPr>
      <w:r w:rsidRPr="00E84E40">
        <w:rPr>
          <w:rFonts w:cs="Arial"/>
          <w:szCs w:val="24"/>
        </w:rPr>
        <w:t>Financial Risks relate to cash flow shortages common in early</w:t>
      </w:r>
      <w:r w:rsidRPr="00E84E40">
        <w:rPr>
          <w:rFonts w:ascii="Cambria Math" w:hAnsi="Cambria Math" w:cs="Cambria Math"/>
          <w:szCs w:val="24"/>
        </w:rPr>
        <w:t>‑</w:t>
      </w:r>
      <w:r w:rsidRPr="00E84E40">
        <w:rPr>
          <w:rFonts w:cs="Arial"/>
          <w:szCs w:val="24"/>
        </w:rPr>
        <w:t xml:space="preserve">stage ventures. </w:t>
      </w:r>
      <w:proofErr w:type="gramStart"/>
      <w:r w:rsidRPr="00E84E40">
        <w:rPr>
          <w:rFonts w:cs="Arial"/>
          <w:szCs w:val="24"/>
        </w:rPr>
        <w:t>Lean</w:t>
      </w:r>
      <w:proofErr w:type="gramEnd"/>
      <w:r w:rsidRPr="00E84E40">
        <w:rPr>
          <w:rFonts w:cs="Arial"/>
          <w:szCs w:val="24"/>
        </w:rPr>
        <w:t xml:space="preserve"> budgeting, scenario planning, and phased investment strategies support financial resilience. Monitoring gross margins and break</w:t>
      </w:r>
      <w:r w:rsidRPr="00E84E40">
        <w:rPr>
          <w:rFonts w:ascii="Cambria Math" w:hAnsi="Cambria Math" w:cs="Cambria Math"/>
          <w:szCs w:val="24"/>
        </w:rPr>
        <w:t>‑</w:t>
      </w:r>
      <w:r w:rsidRPr="00E84E40">
        <w:rPr>
          <w:rFonts w:cs="Arial"/>
          <w:szCs w:val="24"/>
        </w:rPr>
        <w:t>even progress is essential.</w:t>
      </w:r>
    </w:p>
    <w:p w14:paraId="7C8D1383" w14:textId="77777777" w:rsidR="00ED6567" w:rsidRPr="00E84E40" w:rsidRDefault="00000000">
      <w:pPr>
        <w:spacing w:line="276" w:lineRule="auto"/>
        <w:rPr>
          <w:rFonts w:cs="Arial"/>
          <w:szCs w:val="24"/>
        </w:rPr>
      </w:pPr>
      <w:r w:rsidRPr="00E84E40">
        <w:rPr>
          <w:rFonts w:cs="Arial"/>
          <w:szCs w:val="24"/>
        </w:rPr>
        <w:t>Reputational Risks include greenwashing accusations, which can severely damage trust. Third</w:t>
      </w:r>
      <w:r w:rsidRPr="00E84E40">
        <w:rPr>
          <w:rFonts w:ascii="Cambria Math" w:hAnsi="Cambria Math" w:cs="Cambria Math"/>
          <w:szCs w:val="24"/>
        </w:rPr>
        <w:t>‑</w:t>
      </w:r>
      <w:r w:rsidRPr="00E84E40">
        <w:rPr>
          <w:rFonts w:cs="Arial"/>
          <w:szCs w:val="24"/>
        </w:rPr>
        <w:t>party certifications, transparent communication, and evidence</w:t>
      </w:r>
      <w:r w:rsidRPr="00E84E40">
        <w:rPr>
          <w:rFonts w:ascii="Cambria Math" w:hAnsi="Cambria Math" w:cs="Cambria Math"/>
          <w:szCs w:val="24"/>
        </w:rPr>
        <w:t>‑</w:t>
      </w:r>
      <w:r w:rsidRPr="00E84E40">
        <w:rPr>
          <w:rFonts w:cs="Arial"/>
          <w:szCs w:val="24"/>
        </w:rPr>
        <w:t>based sustainability claims strengthen credibility and reduce reputational risk.</w:t>
      </w:r>
    </w:p>
    <w:sectPr w:rsidR="00ED6567" w:rsidRPr="00E84E40"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57E22" w14:textId="77777777" w:rsidR="00801BB1" w:rsidRDefault="00801BB1">
      <w:pPr>
        <w:spacing w:after="0" w:line="240" w:lineRule="auto"/>
      </w:pPr>
      <w:r>
        <w:separator/>
      </w:r>
    </w:p>
  </w:endnote>
  <w:endnote w:type="continuationSeparator" w:id="0">
    <w:p w14:paraId="02737BBB" w14:textId="77777777" w:rsidR="00801BB1" w:rsidRDefault="00801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FDCFF" w14:textId="77777777" w:rsidR="00372742" w:rsidRDefault="00FC15C7">
    <w:pPr>
      <w:pStyle w:val="Footer"/>
      <w:jc w:val="center"/>
    </w:pPr>
    <w:r>
      <w:fldChar w:fldCharType="begin"/>
    </w:r>
    <w:r>
      <w:instrText>PAGE</w:instrText>
    </w:r>
    <w:r>
      <w:fldChar w:fldCharType="separate"/>
    </w:r>
    <w:r w:rsidR="00E84E4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01563" w14:textId="77777777" w:rsidR="00801BB1" w:rsidRDefault="00801BB1">
      <w:pPr>
        <w:spacing w:after="0" w:line="240" w:lineRule="auto"/>
      </w:pPr>
      <w:r>
        <w:separator/>
      </w:r>
    </w:p>
  </w:footnote>
  <w:footnote w:type="continuationSeparator" w:id="0">
    <w:p w14:paraId="1B745A07" w14:textId="77777777" w:rsidR="00801BB1" w:rsidRDefault="00801B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79600511">
    <w:abstractNumId w:val="8"/>
  </w:num>
  <w:num w:numId="2" w16cid:durableId="812677169">
    <w:abstractNumId w:val="6"/>
  </w:num>
  <w:num w:numId="3" w16cid:durableId="1234900211">
    <w:abstractNumId w:val="5"/>
  </w:num>
  <w:num w:numId="4" w16cid:durableId="1099837252">
    <w:abstractNumId w:val="4"/>
  </w:num>
  <w:num w:numId="5" w16cid:durableId="1444106382">
    <w:abstractNumId w:val="7"/>
  </w:num>
  <w:num w:numId="6" w16cid:durableId="1014765275">
    <w:abstractNumId w:val="3"/>
  </w:num>
  <w:num w:numId="7" w16cid:durableId="609705899">
    <w:abstractNumId w:val="2"/>
  </w:num>
  <w:num w:numId="8" w16cid:durableId="1807502395">
    <w:abstractNumId w:val="1"/>
  </w:num>
  <w:num w:numId="9" w16cid:durableId="1749885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2675"/>
    <w:rsid w:val="0015074B"/>
    <w:rsid w:val="0029639D"/>
    <w:rsid w:val="00326F90"/>
    <w:rsid w:val="00355865"/>
    <w:rsid w:val="00372742"/>
    <w:rsid w:val="0053269B"/>
    <w:rsid w:val="006A7A91"/>
    <w:rsid w:val="00801BB1"/>
    <w:rsid w:val="00A86EF0"/>
    <w:rsid w:val="00AA1D8D"/>
    <w:rsid w:val="00B47730"/>
    <w:rsid w:val="00BF7EA0"/>
    <w:rsid w:val="00CB0664"/>
    <w:rsid w:val="00E84E40"/>
    <w:rsid w:val="00ED6567"/>
    <w:rsid w:val="00FC15C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3B5C1B"/>
  <w14:defaultImageDpi w14:val="300"/>
  <w15:docId w15:val="{161BEE06-6DFB-FE43-82DF-0D0F1BF0E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1117</Words>
  <Characters>6370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iain byrne</cp:lastModifiedBy>
  <cp:revision>2</cp:revision>
  <dcterms:created xsi:type="dcterms:W3CDTF">2026-03-01T02:22:00Z</dcterms:created>
  <dcterms:modified xsi:type="dcterms:W3CDTF">2026-03-01T02:22:00Z</dcterms:modified>
  <cp:category/>
</cp:coreProperties>
</file>