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9EA15" w14:textId="0C8707EF" w:rsidR="003A28C2" w:rsidRDefault="00F91756">
      <w:pPr>
        <w:spacing w:before="200"/>
        <w:jc w:val="center"/>
        <w:rPr>
          <w:b/>
          <w:bCs/>
          <w:sz w:val="32"/>
          <w:szCs w:val="32"/>
        </w:rPr>
      </w:pPr>
      <w:r w:rsidRPr="00073EC0">
        <w:rPr>
          <w:b/>
          <w:bCs/>
          <w:noProof/>
          <w:lang w:val="en-IN"/>
        </w:rPr>
        <w:drawing>
          <wp:inline distT="0" distB="0" distL="0" distR="0" wp14:anchorId="334811C6" wp14:editId="6EDEAA60">
            <wp:extent cx="5283200" cy="2114550"/>
            <wp:effectExtent l="0" t="0" r="0" b="0"/>
            <wp:docPr id="13007793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83200" cy="2114550"/>
                    </a:xfrm>
                    <a:prstGeom prst="rect">
                      <a:avLst/>
                    </a:prstGeom>
                    <a:noFill/>
                    <a:ln>
                      <a:noFill/>
                    </a:ln>
                  </pic:spPr>
                </pic:pic>
              </a:graphicData>
            </a:graphic>
          </wp:inline>
        </w:drawing>
      </w:r>
      <w:r>
        <w:rPr>
          <w:b/>
          <w:bCs/>
          <w:sz w:val="32"/>
          <w:szCs w:val="32"/>
        </w:rPr>
        <w:t>Module Name: Strategic Management</w:t>
      </w:r>
    </w:p>
    <w:p w14:paraId="5582CF72" w14:textId="77777777" w:rsidR="00F91756" w:rsidRDefault="00F91756" w:rsidP="00F91756">
      <w:pPr>
        <w:spacing w:after="160"/>
        <w:jc w:val="center"/>
        <w:rPr>
          <w:b/>
          <w:bCs/>
          <w:sz w:val="32"/>
          <w:szCs w:val="32"/>
        </w:rPr>
      </w:pPr>
      <w:r>
        <w:rPr>
          <w:b/>
          <w:bCs/>
          <w:sz w:val="32"/>
          <w:szCs w:val="32"/>
        </w:rPr>
        <w:t>Student Name: Akashkumar Darji</w:t>
      </w:r>
    </w:p>
    <w:p w14:paraId="2E356B52" w14:textId="2A1FEA82" w:rsidR="00F91756" w:rsidRDefault="00000000" w:rsidP="00F91756">
      <w:pPr>
        <w:spacing w:after="160"/>
        <w:jc w:val="center"/>
        <w:rPr>
          <w:b/>
          <w:bCs/>
          <w:sz w:val="32"/>
          <w:szCs w:val="32"/>
        </w:rPr>
      </w:pPr>
      <w:r>
        <w:rPr>
          <w:b/>
          <w:bCs/>
          <w:sz w:val="32"/>
          <w:szCs w:val="32"/>
        </w:rPr>
        <w:t>Module code: LCMB700</w:t>
      </w:r>
      <w:bookmarkStart w:id="0" w:name="_Hlk216627644"/>
      <w:r w:rsidR="004522B6">
        <w:rPr>
          <w:b/>
          <w:bCs/>
          <w:sz w:val="32"/>
          <w:szCs w:val="32"/>
        </w:rPr>
        <w:t>3</w:t>
      </w:r>
      <w:r w:rsidR="00F91756">
        <w:rPr>
          <w:b/>
          <w:bCs/>
          <w:sz w:val="32"/>
          <w:szCs w:val="32"/>
        </w:rPr>
        <w:t xml:space="preserve">                                                                                                    Student ID: 2432866                                                                 </w:t>
      </w:r>
    </w:p>
    <w:bookmarkEnd w:id="0"/>
    <w:p w14:paraId="69F5FC85" w14:textId="5069558E" w:rsidR="003A28C2" w:rsidRDefault="00E97F7D">
      <w:pPr>
        <w:spacing w:before="200"/>
        <w:jc w:val="center"/>
        <w:rPr>
          <w:b/>
          <w:bCs/>
          <w:sz w:val="32"/>
          <w:szCs w:val="32"/>
        </w:rPr>
      </w:pPr>
      <w:proofErr w:type="spellStart"/>
      <w:proofErr w:type="gramStart"/>
      <w:r>
        <w:rPr>
          <w:b/>
          <w:bCs/>
          <w:sz w:val="32"/>
          <w:szCs w:val="32"/>
        </w:rPr>
        <w:t>Prof:</w:t>
      </w:r>
      <w:r w:rsidR="00F91756">
        <w:rPr>
          <w:b/>
          <w:bCs/>
          <w:sz w:val="32"/>
          <w:szCs w:val="32"/>
        </w:rPr>
        <w:t>Dr</w:t>
      </w:r>
      <w:proofErr w:type="gramEnd"/>
      <w:r w:rsidR="00F91756">
        <w:rPr>
          <w:b/>
          <w:bCs/>
          <w:sz w:val="32"/>
          <w:szCs w:val="32"/>
        </w:rPr>
        <w:t>.Andry</w:t>
      </w:r>
      <w:proofErr w:type="spellEnd"/>
      <w:r w:rsidR="00F91756">
        <w:rPr>
          <w:b/>
          <w:bCs/>
          <w:sz w:val="32"/>
          <w:szCs w:val="32"/>
        </w:rPr>
        <w:t xml:space="preserve"> </w:t>
      </w:r>
      <w:proofErr w:type="spellStart"/>
      <w:r w:rsidR="00F91756">
        <w:rPr>
          <w:b/>
          <w:bCs/>
          <w:sz w:val="32"/>
          <w:szCs w:val="32"/>
        </w:rPr>
        <w:t>Rakotovololona</w:t>
      </w:r>
      <w:proofErr w:type="spellEnd"/>
    </w:p>
    <w:p w14:paraId="1CE572CE" w14:textId="77777777" w:rsidR="003A28C2" w:rsidRDefault="00000000">
      <w:pPr>
        <w:spacing w:before="200"/>
        <w:jc w:val="center"/>
        <w:rPr>
          <w:b/>
          <w:bCs/>
          <w:sz w:val="32"/>
          <w:szCs w:val="32"/>
        </w:rPr>
      </w:pPr>
      <w:proofErr w:type="spellStart"/>
      <w:r>
        <w:rPr>
          <w:b/>
          <w:bCs/>
          <w:sz w:val="32"/>
          <w:szCs w:val="32"/>
        </w:rPr>
        <w:t>Programme</w:t>
      </w:r>
      <w:proofErr w:type="spellEnd"/>
      <w:r>
        <w:rPr>
          <w:b/>
          <w:bCs/>
          <w:sz w:val="32"/>
          <w:szCs w:val="32"/>
        </w:rPr>
        <w:t>: Master of Business Administration</w:t>
      </w:r>
    </w:p>
    <w:p w14:paraId="2971FF4F" w14:textId="77777777" w:rsidR="003A28C2" w:rsidRDefault="00000000">
      <w:pPr>
        <w:spacing w:before="200"/>
        <w:jc w:val="center"/>
        <w:rPr>
          <w:b/>
          <w:bCs/>
          <w:sz w:val="32"/>
          <w:szCs w:val="32"/>
        </w:rPr>
      </w:pPr>
      <w:r>
        <w:rPr>
          <w:b/>
          <w:bCs/>
          <w:sz w:val="32"/>
          <w:szCs w:val="32"/>
        </w:rPr>
        <w:t>Assignment Title: Assessment component Individual report</w:t>
      </w:r>
    </w:p>
    <w:p w14:paraId="155C5590" w14:textId="77777777" w:rsidR="003A28C2" w:rsidRDefault="00000000">
      <w:pPr>
        <w:spacing w:before="200"/>
        <w:jc w:val="center"/>
        <w:rPr>
          <w:b/>
          <w:bCs/>
          <w:sz w:val="32"/>
          <w:szCs w:val="32"/>
        </w:rPr>
      </w:pPr>
      <w:r>
        <w:rPr>
          <w:b/>
          <w:bCs/>
          <w:sz w:val="32"/>
          <w:szCs w:val="32"/>
        </w:rPr>
        <w:t>Topic: Strategic Management of AstraZeneca</w:t>
      </w:r>
    </w:p>
    <w:p w14:paraId="124B4351" w14:textId="77777777" w:rsidR="003A28C2" w:rsidRDefault="00000000">
      <w:pPr>
        <w:spacing w:before="200"/>
        <w:jc w:val="center"/>
        <w:rPr>
          <w:color w:val="000000"/>
        </w:rPr>
      </w:pPr>
      <w:r>
        <w:rPr>
          <w:b/>
          <w:bCs/>
          <w:sz w:val="32"/>
          <w:szCs w:val="32"/>
        </w:rPr>
        <w:t>Word Count: 5000</w:t>
      </w:r>
      <w:r>
        <w:br w:type="page"/>
      </w:r>
    </w:p>
    <w:p w14:paraId="6C623145" w14:textId="77777777" w:rsidR="003A28C2" w:rsidRPr="00F91756" w:rsidRDefault="00000000">
      <w:pPr>
        <w:spacing w:before="200"/>
        <w:jc w:val="center"/>
        <w:rPr>
          <w:rFonts w:ascii="Arial" w:hAnsi="Arial" w:cs="Arial"/>
          <w:b/>
          <w:bCs/>
        </w:rPr>
      </w:pPr>
      <w:r>
        <w:rPr>
          <w:b/>
          <w:bCs/>
        </w:rPr>
        <w:lastRenderedPageBreak/>
        <w:t>Table of Contents</w:t>
      </w:r>
    </w:p>
    <w:sdt>
      <w:sdtPr>
        <w:id w:val="-1252562156"/>
        <w:docPartObj>
          <w:docPartGallery w:val="Table of Contents"/>
          <w:docPartUnique/>
        </w:docPartObj>
      </w:sdtPr>
      <w:sdtEndPr>
        <w:rPr>
          <w:rFonts w:ascii="Arial" w:hAnsi="Arial" w:cs="Arial"/>
        </w:rPr>
      </w:sdtEndPr>
      <w:sdtContent>
        <w:p w14:paraId="0E0922C6" w14:textId="77777777" w:rsidR="003A28C2" w:rsidRPr="00F91756" w:rsidRDefault="00000000">
          <w:pPr>
            <w:widowControl w:val="0"/>
            <w:tabs>
              <w:tab w:val="right" w:pos="9360"/>
            </w:tabs>
            <w:spacing w:before="60" w:after="0"/>
            <w:rPr>
              <w:rFonts w:ascii="Arial" w:hAnsi="Arial" w:cs="Arial"/>
              <w:b/>
              <w:bCs/>
              <w:color w:val="000000"/>
            </w:rPr>
          </w:pPr>
          <w:r w:rsidRPr="00F91756">
            <w:rPr>
              <w:rFonts w:ascii="Arial" w:hAnsi="Arial" w:cs="Arial"/>
            </w:rPr>
            <w:fldChar w:fldCharType="begin"/>
          </w:r>
          <w:r w:rsidRPr="00F91756">
            <w:rPr>
              <w:rFonts w:ascii="Arial" w:hAnsi="Arial" w:cs="Arial"/>
            </w:rPr>
            <w:instrText xml:space="preserve"> TOC \h \u \z \t "Heading 1,1,Heading 2,2,Heading 3,3,Heading 4,4,Heading 5,5,Heading 6,6,"</w:instrText>
          </w:r>
          <w:r w:rsidRPr="00F91756">
            <w:rPr>
              <w:rFonts w:ascii="Arial" w:hAnsi="Arial" w:cs="Arial"/>
            </w:rPr>
            <w:fldChar w:fldCharType="separate"/>
          </w:r>
          <w:hyperlink w:anchor="_nitn1mnt2htd">
            <w:r w:rsidR="003A28C2" w:rsidRPr="00F91756">
              <w:rPr>
                <w:rFonts w:ascii="Arial" w:hAnsi="Arial" w:cs="Arial"/>
                <w:b/>
                <w:bCs/>
                <w:color w:val="000000"/>
              </w:rPr>
              <w:t>1. Introduction</w:t>
            </w:r>
            <w:r w:rsidR="003A28C2" w:rsidRPr="00F91756">
              <w:rPr>
                <w:rFonts w:ascii="Arial" w:hAnsi="Arial" w:cs="Arial"/>
                <w:b/>
                <w:bCs/>
                <w:color w:val="000000"/>
              </w:rPr>
              <w:tab/>
            </w:r>
          </w:hyperlink>
          <w:r w:rsidRPr="00F91756">
            <w:rPr>
              <w:rFonts w:ascii="Arial" w:hAnsi="Arial" w:cs="Arial"/>
            </w:rPr>
            <w:fldChar w:fldCharType="begin"/>
          </w:r>
          <w:r w:rsidRPr="00F91756">
            <w:rPr>
              <w:rFonts w:ascii="Arial" w:hAnsi="Arial" w:cs="Arial"/>
            </w:rPr>
            <w:instrText xml:space="preserve"> PAGEREF _nitn1mnt2htd \h </w:instrText>
          </w:r>
          <w:r w:rsidRPr="00F91756">
            <w:rPr>
              <w:rFonts w:ascii="Arial" w:hAnsi="Arial" w:cs="Arial"/>
            </w:rPr>
          </w:r>
          <w:r w:rsidRPr="00F91756">
            <w:rPr>
              <w:rFonts w:ascii="Arial" w:hAnsi="Arial" w:cs="Arial"/>
            </w:rPr>
            <w:fldChar w:fldCharType="separate"/>
          </w:r>
          <w:r w:rsidRPr="00F91756">
            <w:rPr>
              <w:rFonts w:ascii="Arial" w:hAnsi="Arial" w:cs="Arial"/>
              <w:b/>
              <w:bCs/>
            </w:rPr>
            <w:t>3</w:t>
          </w:r>
          <w:r w:rsidRPr="00F91756">
            <w:rPr>
              <w:rFonts w:ascii="Arial" w:hAnsi="Arial" w:cs="Arial"/>
            </w:rPr>
            <w:fldChar w:fldCharType="end"/>
          </w:r>
        </w:p>
        <w:p w14:paraId="0F87BF67" w14:textId="77777777" w:rsidR="003A28C2" w:rsidRPr="00F91756" w:rsidRDefault="003A28C2">
          <w:pPr>
            <w:widowControl w:val="0"/>
            <w:tabs>
              <w:tab w:val="right" w:pos="9360"/>
            </w:tabs>
            <w:spacing w:before="60" w:after="0"/>
            <w:rPr>
              <w:rFonts w:ascii="Arial" w:hAnsi="Arial" w:cs="Arial"/>
              <w:b/>
              <w:bCs/>
              <w:color w:val="000000"/>
            </w:rPr>
          </w:pPr>
          <w:hyperlink w:anchor="_3bl0kzvm15rb">
            <w:r w:rsidRPr="00F91756">
              <w:rPr>
                <w:rFonts w:ascii="Arial" w:hAnsi="Arial" w:cs="Arial"/>
                <w:b/>
                <w:bCs/>
                <w:color w:val="000000"/>
              </w:rPr>
              <w:t>2. Selection of Organisation and Target Market</w:t>
            </w:r>
            <w:r w:rsidRPr="00F91756">
              <w:rPr>
                <w:rFonts w:ascii="Arial" w:hAnsi="Arial" w:cs="Arial"/>
                <w:b/>
                <w:bCs/>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_3bl0kzvm15rb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b/>
              <w:bCs/>
            </w:rPr>
            <w:t>4</w:t>
          </w:r>
          <w:r w:rsidR="00000000" w:rsidRPr="00F91756">
            <w:rPr>
              <w:rFonts w:ascii="Arial" w:hAnsi="Arial" w:cs="Arial"/>
            </w:rPr>
            <w:fldChar w:fldCharType="end"/>
          </w:r>
        </w:p>
        <w:p w14:paraId="65C6921B" w14:textId="77777777" w:rsidR="003A28C2" w:rsidRPr="00F91756" w:rsidRDefault="003A28C2">
          <w:pPr>
            <w:widowControl w:val="0"/>
            <w:tabs>
              <w:tab w:val="right" w:pos="9360"/>
            </w:tabs>
            <w:spacing w:before="60" w:after="0"/>
            <w:ind w:left="360"/>
            <w:rPr>
              <w:rFonts w:ascii="Arial" w:hAnsi="Arial" w:cs="Arial"/>
              <w:color w:val="000000"/>
            </w:rPr>
          </w:pPr>
          <w:hyperlink w:anchor="_gr76ghcxngf7">
            <w:r w:rsidRPr="00F91756">
              <w:rPr>
                <w:rFonts w:ascii="Arial" w:hAnsi="Arial" w:cs="Arial"/>
                <w:color w:val="000000"/>
              </w:rPr>
              <w:t>2.1. Overview of Organisation</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_gr76ghcxngf7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4</w:t>
          </w:r>
          <w:r w:rsidR="00000000" w:rsidRPr="00F91756">
            <w:rPr>
              <w:rFonts w:ascii="Arial" w:hAnsi="Arial" w:cs="Arial"/>
            </w:rPr>
            <w:fldChar w:fldCharType="end"/>
          </w:r>
        </w:p>
        <w:p w14:paraId="0DDFFEC9" w14:textId="77777777" w:rsidR="003A28C2" w:rsidRPr="00F91756" w:rsidRDefault="003A28C2">
          <w:pPr>
            <w:widowControl w:val="0"/>
            <w:tabs>
              <w:tab w:val="right" w:pos="9360"/>
            </w:tabs>
            <w:spacing w:before="60" w:after="0"/>
            <w:ind w:left="360"/>
            <w:rPr>
              <w:rFonts w:ascii="Arial" w:hAnsi="Arial" w:cs="Arial"/>
              <w:color w:val="000000"/>
            </w:rPr>
          </w:pPr>
          <w:hyperlink w:anchor="_vj3o4gt7k4b7">
            <w:r w:rsidRPr="00F91756">
              <w:rPr>
                <w:rFonts w:ascii="Arial" w:hAnsi="Arial" w:cs="Arial"/>
                <w:color w:val="000000"/>
              </w:rPr>
              <w:t>2.2. Analysis of Target Market</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_vj3o4gt7k4b7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5</w:t>
          </w:r>
          <w:r w:rsidR="00000000" w:rsidRPr="00F91756">
            <w:rPr>
              <w:rFonts w:ascii="Arial" w:hAnsi="Arial" w:cs="Arial"/>
            </w:rPr>
            <w:fldChar w:fldCharType="end"/>
          </w:r>
        </w:p>
        <w:p w14:paraId="653E2ADA" w14:textId="77777777" w:rsidR="003A28C2" w:rsidRPr="00F91756" w:rsidRDefault="003A28C2">
          <w:pPr>
            <w:widowControl w:val="0"/>
            <w:tabs>
              <w:tab w:val="right" w:pos="9360"/>
            </w:tabs>
            <w:spacing w:before="60" w:after="0"/>
            <w:ind w:left="720"/>
            <w:rPr>
              <w:rFonts w:ascii="Arial" w:hAnsi="Arial" w:cs="Arial"/>
              <w:color w:val="000000"/>
            </w:rPr>
          </w:pPr>
          <w:hyperlink w:anchor="_ehkv2zs1k60d">
            <w:r w:rsidRPr="00F91756">
              <w:rPr>
                <w:rFonts w:ascii="Arial" w:hAnsi="Arial" w:cs="Arial"/>
                <w:color w:val="000000"/>
              </w:rPr>
              <w:t>2.2.1 Segmentation</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_ehkv2zs1k60d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6</w:t>
          </w:r>
          <w:r w:rsidR="00000000" w:rsidRPr="00F91756">
            <w:rPr>
              <w:rFonts w:ascii="Arial" w:hAnsi="Arial" w:cs="Arial"/>
            </w:rPr>
            <w:fldChar w:fldCharType="end"/>
          </w:r>
        </w:p>
        <w:p w14:paraId="1CFED220" w14:textId="77777777" w:rsidR="003A28C2" w:rsidRPr="00F91756" w:rsidRDefault="003A28C2">
          <w:pPr>
            <w:widowControl w:val="0"/>
            <w:tabs>
              <w:tab w:val="right" w:pos="9360"/>
            </w:tabs>
            <w:spacing w:before="60" w:after="0"/>
            <w:ind w:left="720"/>
            <w:rPr>
              <w:rFonts w:ascii="Arial" w:hAnsi="Arial" w:cs="Arial"/>
              <w:color w:val="000000"/>
            </w:rPr>
          </w:pPr>
          <w:hyperlink w:anchor="_b3flip1stc26">
            <w:r w:rsidRPr="00F91756">
              <w:rPr>
                <w:rFonts w:ascii="Arial" w:hAnsi="Arial" w:cs="Arial"/>
                <w:color w:val="000000"/>
              </w:rPr>
              <w:t>2.2.2. Targeting</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_b3flip1stc26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7</w:t>
          </w:r>
          <w:r w:rsidR="00000000" w:rsidRPr="00F91756">
            <w:rPr>
              <w:rFonts w:ascii="Arial" w:hAnsi="Arial" w:cs="Arial"/>
            </w:rPr>
            <w:fldChar w:fldCharType="end"/>
          </w:r>
        </w:p>
        <w:p w14:paraId="76CFE2CC" w14:textId="77777777" w:rsidR="003A28C2" w:rsidRPr="00F91756" w:rsidRDefault="003A28C2">
          <w:pPr>
            <w:widowControl w:val="0"/>
            <w:tabs>
              <w:tab w:val="right" w:pos="9360"/>
            </w:tabs>
            <w:spacing w:before="60" w:after="0"/>
            <w:ind w:left="720"/>
            <w:rPr>
              <w:rFonts w:ascii="Arial" w:hAnsi="Arial" w:cs="Arial"/>
              <w:color w:val="000000"/>
            </w:rPr>
          </w:pPr>
          <w:hyperlink w:anchor="_zb2xln3kpxfs">
            <w:r w:rsidRPr="00F91756">
              <w:rPr>
                <w:rFonts w:ascii="Arial" w:hAnsi="Arial" w:cs="Arial"/>
                <w:color w:val="000000"/>
              </w:rPr>
              <w:t>2.2.3. Positioning</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_zb2xln3kpxfs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8</w:t>
          </w:r>
          <w:r w:rsidR="00000000" w:rsidRPr="00F91756">
            <w:rPr>
              <w:rFonts w:ascii="Arial" w:hAnsi="Arial" w:cs="Arial"/>
            </w:rPr>
            <w:fldChar w:fldCharType="end"/>
          </w:r>
        </w:p>
        <w:p w14:paraId="203CAFC3" w14:textId="77777777" w:rsidR="003A28C2" w:rsidRPr="00F91756" w:rsidRDefault="003A28C2">
          <w:pPr>
            <w:widowControl w:val="0"/>
            <w:tabs>
              <w:tab w:val="right" w:pos="9360"/>
            </w:tabs>
            <w:spacing w:before="60" w:after="0"/>
            <w:rPr>
              <w:rFonts w:ascii="Arial" w:hAnsi="Arial" w:cs="Arial"/>
              <w:b/>
              <w:bCs/>
              <w:color w:val="000000"/>
            </w:rPr>
          </w:pPr>
          <w:hyperlink w:anchor="_2sb6v5bbmri1">
            <w:r w:rsidRPr="00F91756">
              <w:rPr>
                <w:rFonts w:ascii="Arial" w:hAnsi="Arial" w:cs="Arial"/>
                <w:b/>
                <w:bCs/>
                <w:color w:val="000000"/>
              </w:rPr>
              <w:t>3. Comprehensive Strategic Analysis</w:t>
            </w:r>
            <w:r w:rsidRPr="00F91756">
              <w:rPr>
                <w:rFonts w:ascii="Arial" w:hAnsi="Arial" w:cs="Arial"/>
                <w:b/>
                <w:bCs/>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_2sb6v5bbmri1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b/>
              <w:bCs/>
            </w:rPr>
            <w:t>9</w:t>
          </w:r>
          <w:r w:rsidR="00000000" w:rsidRPr="00F91756">
            <w:rPr>
              <w:rFonts w:ascii="Arial" w:hAnsi="Arial" w:cs="Arial"/>
            </w:rPr>
            <w:fldChar w:fldCharType="end"/>
          </w:r>
        </w:p>
        <w:p w14:paraId="532F84DC" w14:textId="77777777" w:rsidR="003A28C2" w:rsidRPr="00F91756" w:rsidRDefault="003A28C2">
          <w:pPr>
            <w:widowControl w:val="0"/>
            <w:tabs>
              <w:tab w:val="right" w:pos="9360"/>
            </w:tabs>
            <w:spacing w:before="60" w:after="0"/>
            <w:ind w:left="360"/>
            <w:rPr>
              <w:rFonts w:ascii="Arial" w:hAnsi="Arial" w:cs="Arial"/>
              <w:color w:val="000000"/>
            </w:rPr>
          </w:pPr>
          <w:hyperlink w:anchor="_cu0dxgducz57">
            <w:r w:rsidRPr="00F91756">
              <w:rPr>
                <w:rFonts w:ascii="Arial" w:hAnsi="Arial" w:cs="Arial"/>
                <w:color w:val="000000"/>
              </w:rPr>
              <w:t>3.1. PESTLE Analysis</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_cu0dxgducz57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9</w:t>
          </w:r>
          <w:r w:rsidR="00000000" w:rsidRPr="00F91756">
            <w:rPr>
              <w:rFonts w:ascii="Arial" w:hAnsi="Arial" w:cs="Arial"/>
            </w:rPr>
            <w:fldChar w:fldCharType="end"/>
          </w:r>
        </w:p>
        <w:p w14:paraId="6108CE87" w14:textId="77777777" w:rsidR="003A28C2" w:rsidRPr="00F91756" w:rsidRDefault="003A28C2">
          <w:pPr>
            <w:widowControl w:val="0"/>
            <w:tabs>
              <w:tab w:val="right" w:pos="9360"/>
            </w:tabs>
            <w:spacing w:before="60" w:after="0"/>
            <w:ind w:left="360"/>
            <w:rPr>
              <w:rFonts w:ascii="Arial" w:hAnsi="Arial" w:cs="Arial"/>
              <w:color w:val="000000"/>
            </w:rPr>
          </w:pPr>
          <w:hyperlink w:anchor="_vdvjzsubvals">
            <w:r w:rsidRPr="00F91756">
              <w:rPr>
                <w:rFonts w:ascii="Arial" w:hAnsi="Arial" w:cs="Arial"/>
                <w:color w:val="000000"/>
              </w:rPr>
              <w:t>3.2. Porter’s Five Forces</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_vdvjzsubvals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11</w:t>
          </w:r>
          <w:r w:rsidR="00000000" w:rsidRPr="00F91756">
            <w:rPr>
              <w:rFonts w:ascii="Arial" w:hAnsi="Arial" w:cs="Arial"/>
            </w:rPr>
            <w:fldChar w:fldCharType="end"/>
          </w:r>
        </w:p>
        <w:p w14:paraId="29E7EC62" w14:textId="77777777" w:rsidR="003A28C2" w:rsidRPr="00F91756" w:rsidRDefault="003A28C2">
          <w:pPr>
            <w:widowControl w:val="0"/>
            <w:tabs>
              <w:tab w:val="right" w:pos="9360"/>
            </w:tabs>
            <w:spacing w:before="60" w:after="0"/>
            <w:ind w:left="360"/>
            <w:rPr>
              <w:rFonts w:ascii="Arial" w:hAnsi="Arial" w:cs="Arial"/>
              <w:color w:val="000000"/>
            </w:rPr>
          </w:pPr>
          <w:hyperlink w:anchor="_dzlv95bppyvu">
            <w:r w:rsidRPr="00F91756">
              <w:rPr>
                <w:rFonts w:ascii="Arial" w:hAnsi="Arial" w:cs="Arial"/>
                <w:color w:val="000000"/>
              </w:rPr>
              <w:t>3.3. Porter’s Diamond Model</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_dzlv95bppyvu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13</w:t>
          </w:r>
          <w:r w:rsidR="00000000" w:rsidRPr="00F91756">
            <w:rPr>
              <w:rFonts w:ascii="Arial" w:hAnsi="Arial" w:cs="Arial"/>
            </w:rPr>
            <w:fldChar w:fldCharType="end"/>
          </w:r>
        </w:p>
        <w:p w14:paraId="41642F30" w14:textId="77777777" w:rsidR="003A28C2" w:rsidRPr="00F91756" w:rsidRDefault="003A28C2">
          <w:pPr>
            <w:widowControl w:val="0"/>
            <w:tabs>
              <w:tab w:val="right" w:pos="9360"/>
            </w:tabs>
            <w:spacing w:before="60" w:after="0"/>
            <w:ind w:left="720"/>
            <w:rPr>
              <w:rFonts w:ascii="Arial" w:hAnsi="Arial" w:cs="Arial"/>
              <w:color w:val="000000"/>
            </w:rPr>
          </w:pPr>
          <w:hyperlink w:anchor="_98d8mwbfpqbt">
            <w:r w:rsidRPr="00F91756">
              <w:rPr>
                <w:rFonts w:ascii="Arial" w:hAnsi="Arial" w:cs="Arial"/>
                <w:color w:val="000000"/>
              </w:rPr>
              <w:t>3.3.1 Factor Condition</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_98d8mwbfpqbt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13</w:t>
          </w:r>
          <w:r w:rsidR="00000000" w:rsidRPr="00F91756">
            <w:rPr>
              <w:rFonts w:ascii="Arial" w:hAnsi="Arial" w:cs="Arial"/>
            </w:rPr>
            <w:fldChar w:fldCharType="end"/>
          </w:r>
        </w:p>
        <w:p w14:paraId="3B731822" w14:textId="77777777" w:rsidR="003A28C2" w:rsidRPr="00F91756" w:rsidRDefault="003A28C2">
          <w:pPr>
            <w:widowControl w:val="0"/>
            <w:tabs>
              <w:tab w:val="right" w:pos="9360"/>
            </w:tabs>
            <w:spacing w:before="60" w:after="0"/>
            <w:ind w:left="720"/>
            <w:rPr>
              <w:rFonts w:ascii="Arial" w:hAnsi="Arial" w:cs="Arial"/>
              <w:color w:val="000000"/>
            </w:rPr>
          </w:pPr>
          <w:hyperlink w:anchor="_q9v8ifri384">
            <w:r w:rsidRPr="00F91756">
              <w:rPr>
                <w:rFonts w:ascii="Arial" w:hAnsi="Arial" w:cs="Arial"/>
                <w:color w:val="000000"/>
              </w:rPr>
              <w:t>3.3.2 Demand Condition</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_q9v8ifri384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14</w:t>
          </w:r>
          <w:r w:rsidR="00000000" w:rsidRPr="00F91756">
            <w:rPr>
              <w:rFonts w:ascii="Arial" w:hAnsi="Arial" w:cs="Arial"/>
            </w:rPr>
            <w:fldChar w:fldCharType="end"/>
          </w:r>
        </w:p>
        <w:p w14:paraId="4971A612" w14:textId="77777777" w:rsidR="003A28C2" w:rsidRPr="00F91756" w:rsidRDefault="003A28C2">
          <w:pPr>
            <w:widowControl w:val="0"/>
            <w:tabs>
              <w:tab w:val="right" w:pos="9360"/>
            </w:tabs>
            <w:spacing w:before="60" w:after="0"/>
            <w:ind w:left="720"/>
            <w:rPr>
              <w:rFonts w:ascii="Arial" w:hAnsi="Arial" w:cs="Arial"/>
              <w:color w:val="000000"/>
            </w:rPr>
          </w:pPr>
          <w:hyperlink w:anchor="_zce2jo2wvpo1">
            <w:r w:rsidRPr="00F91756">
              <w:rPr>
                <w:rFonts w:ascii="Arial" w:hAnsi="Arial" w:cs="Arial"/>
                <w:color w:val="000000"/>
              </w:rPr>
              <w:t>3.3.3 Related and Supporting Industry</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_zce2jo2wvpo1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14</w:t>
          </w:r>
          <w:r w:rsidR="00000000" w:rsidRPr="00F91756">
            <w:rPr>
              <w:rFonts w:ascii="Arial" w:hAnsi="Arial" w:cs="Arial"/>
            </w:rPr>
            <w:fldChar w:fldCharType="end"/>
          </w:r>
        </w:p>
        <w:p w14:paraId="27FCD296" w14:textId="77777777" w:rsidR="003A28C2" w:rsidRPr="00F91756" w:rsidRDefault="003A28C2">
          <w:pPr>
            <w:widowControl w:val="0"/>
            <w:tabs>
              <w:tab w:val="right" w:pos="9360"/>
            </w:tabs>
            <w:spacing w:before="60" w:after="0"/>
            <w:ind w:left="720"/>
            <w:rPr>
              <w:rFonts w:ascii="Arial" w:hAnsi="Arial" w:cs="Arial"/>
              <w:color w:val="000000"/>
            </w:rPr>
          </w:pPr>
          <w:hyperlink w:anchor="_tlb9p03y8r9w">
            <w:r w:rsidRPr="00F91756">
              <w:rPr>
                <w:rFonts w:ascii="Arial" w:hAnsi="Arial" w:cs="Arial"/>
                <w:color w:val="000000"/>
              </w:rPr>
              <w:t>3.3.4 Firm Strategy, Structure, and Rivalry</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_tlb9p03y8r9w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14</w:t>
          </w:r>
          <w:r w:rsidR="00000000" w:rsidRPr="00F91756">
            <w:rPr>
              <w:rFonts w:ascii="Arial" w:hAnsi="Arial" w:cs="Arial"/>
            </w:rPr>
            <w:fldChar w:fldCharType="end"/>
          </w:r>
        </w:p>
        <w:p w14:paraId="29279A5D" w14:textId="77777777" w:rsidR="003A28C2" w:rsidRPr="00F91756" w:rsidRDefault="003A28C2">
          <w:pPr>
            <w:widowControl w:val="0"/>
            <w:tabs>
              <w:tab w:val="right" w:pos="9360"/>
            </w:tabs>
            <w:spacing w:before="60" w:after="0"/>
            <w:ind w:left="360"/>
            <w:rPr>
              <w:rFonts w:ascii="Arial" w:hAnsi="Arial" w:cs="Arial"/>
              <w:color w:val="000000"/>
            </w:rPr>
          </w:pPr>
          <w:hyperlink w:anchor="_k7sm107vjopc">
            <w:r w:rsidRPr="00F91756">
              <w:rPr>
                <w:rFonts w:ascii="Arial" w:hAnsi="Arial" w:cs="Arial"/>
                <w:color w:val="000000"/>
              </w:rPr>
              <w:t>3.4. VRIO Analysis</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_k7sm107vjopc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15</w:t>
          </w:r>
          <w:r w:rsidR="00000000" w:rsidRPr="00F91756">
            <w:rPr>
              <w:rFonts w:ascii="Arial" w:hAnsi="Arial" w:cs="Arial"/>
            </w:rPr>
            <w:fldChar w:fldCharType="end"/>
          </w:r>
        </w:p>
        <w:p w14:paraId="6F599B67" w14:textId="77777777" w:rsidR="003A28C2" w:rsidRPr="00F91756" w:rsidRDefault="003A28C2">
          <w:pPr>
            <w:widowControl w:val="0"/>
            <w:tabs>
              <w:tab w:val="right" w:pos="9360"/>
            </w:tabs>
            <w:spacing w:before="60" w:after="0"/>
            <w:rPr>
              <w:rFonts w:ascii="Arial" w:hAnsi="Arial" w:cs="Arial"/>
              <w:b/>
              <w:bCs/>
              <w:color w:val="000000"/>
            </w:rPr>
          </w:pPr>
          <w:hyperlink w:anchor="_xrtpngw0687f">
            <w:r w:rsidRPr="00F91756">
              <w:rPr>
                <w:rFonts w:ascii="Arial" w:hAnsi="Arial" w:cs="Arial"/>
                <w:b/>
                <w:bCs/>
                <w:color w:val="000000"/>
              </w:rPr>
              <w:t>4. Strategy Development and Formulation</w:t>
            </w:r>
            <w:r w:rsidRPr="00F91756">
              <w:rPr>
                <w:rFonts w:ascii="Arial" w:hAnsi="Arial" w:cs="Arial"/>
                <w:b/>
                <w:bCs/>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_xrtpngw0687f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b/>
              <w:bCs/>
            </w:rPr>
            <w:t>17</w:t>
          </w:r>
          <w:r w:rsidR="00000000" w:rsidRPr="00F91756">
            <w:rPr>
              <w:rFonts w:ascii="Arial" w:hAnsi="Arial" w:cs="Arial"/>
            </w:rPr>
            <w:fldChar w:fldCharType="end"/>
          </w:r>
        </w:p>
        <w:p w14:paraId="5BABB268" w14:textId="77777777" w:rsidR="003A28C2" w:rsidRPr="00F91756" w:rsidRDefault="003A28C2">
          <w:pPr>
            <w:widowControl w:val="0"/>
            <w:tabs>
              <w:tab w:val="right" w:pos="9360"/>
            </w:tabs>
            <w:spacing w:before="60" w:after="0"/>
            <w:ind w:left="360"/>
            <w:rPr>
              <w:rFonts w:ascii="Arial" w:hAnsi="Arial" w:cs="Arial"/>
              <w:color w:val="000000"/>
            </w:rPr>
          </w:pPr>
          <w:hyperlink w:anchor="_9pk4c6r00485">
            <w:r w:rsidRPr="00F91756">
              <w:rPr>
                <w:rFonts w:ascii="Arial" w:hAnsi="Arial" w:cs="Arial"/>
                <w:color w:val="000000"/>
              </w:rPr>
              <w:t>4.1. Strategic Direction: Market development</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_9pk4c6r00485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17</w:t>
          </w:r>
          <w:r w:rsidR="00000000" w:rsidRPr="00F91756">
            <w:rPr>
              <w:rFonts w:ascii="Arial" w:hAnsi="Arial" w:cs="Arial"/>
            </w:rPr>
            <w:fldChar w:fldCharType="end"/>
          </w:r>
        </w:p>
        <w:p w14:paraId="64E82083" w14:textId="77777777" w:rsidR="003A28C2" w:rsidRPr="00F91756" w:rsidRDefault="003A28C2">
          <w:pPr>
            <w:widowControl w:val="0"/>
            <w:tabs>
              <w:tab w:val="right" w:pos="9360"/>
            </w:tabs>
            <w:spacing w:before="60" w:after="0"/>
            <w:ind w:left="360"/>
            <w:rPr>
              <w:rFonts w:ascii="Arial" w:hAnsi="Arial" w:cs="Arial"/>
              <w:color w:val="000000"/>
            </w:rPr>
          </w:pPr>
          <w:hyperlink w:anchor="_mamtlda0qgsj">
            <w:r w:rsidRPr="00F91756">
              <w:rPr>
                <w:rFonts w:ascii="Arial" w:hAnsi="Arial" w:cs="Arial"/>
                <w:color w:val="000000"/>
              </w:rPr>
              <w:t>4.2. Entry Strategy</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_mamtlda0qgsj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18</w:t>
          </w:r>
          <w:r w:rsidR="00000000" w:rsidRPr="00F91756">
            <w:rPr>
              <w:rFonts w:ascii="Arial" w:hAnsi="Arial" w:cs="Arial"/>
            </w:rPr>
            <w:fldChar w:fldCharType="end"/>
          </w:r>
        </w:p>
        <w:p w14:paraId="38342E89" w14:textId="77777777" w:rsidR="003A28C2" w:rsidRPr="00F91756" w:rsidRDefault="003A28C2">
          <w:pPr>
            <w:widowControl w:val="0"/>
            <w:tabs>
              <w:tab w:val="right" w:pos="9360"/>
            </w:tabs>
            <w:spacing w:before="60" w:after="0"/>
            <w:ind w:left="360"/>
            <w:rPr>
              <w:rFonts w:ascii="Arial" w:hAnsi="Arial" w:cs="Arial"/>
              <w:color w:val="000000"/>
            </w:rPr>
          </w:pPr>
          <w:hyperlink w:anchor="_yqeq7rdj9msm">
            <w:r w:rsidRPr="00F91756">
              <w:rPr>
                <w:rFonts w:ascii="Arial" w:hAnsi="Arial" w:cs="Arial"/>
                <w:color w:val="000000"/>
              </w:rPr>
              <w:t>4.3. Sustainable Competitive Advantage</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_yqeq7rdj9msm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19</w:t>
          </w:r>
          <w:r w:rsidR="00000000" w:rsidRPr="00F91756">
            <w:rPr>
              <w:rFonts w:ascii="Arial" w:hAnsi="Arial" w:cs="Arial"/>
            </w:rPr>
            <w:fldChar w:fldCharType="end"/>
          </w:r>
        </w:p>
        <w:p w14:paraId="44EA1BA8" w14:textId="77777777" w:rsidR="003A28C2" w:rsidRPr="00F91756" w:rsidRDefault="003A28C2">
          <w:pPr>
            <w:widowControl w:val="0"/>
            <w:tabs>
              <w:tab w:val="right" w:pos="9360"/>
            </w:tabs>
            <w:spacing w:before="60" w:after="0"/>
            <w:ind w:left="360"/>
            <w:rPr>
              <w:rFonts w:ascii="Arial" w:hAnsi="Arial" w:cs="Arial"/>
              <w:color w:val="000000"/>
            </w:rPr>
          </w:pPr>
          <w:hyperlink w:anchor="_m72pepqiimnp">
            <w:r w:rsidRPr="00F91756">
              <w:rPr>
                <w:rFonts w:ascii="Arial" w:hAnsi="Arial" w:cs="Arial"/>
                <w:color w:val="000000"/>
              </w:rPr>
              <w:t>4.4. CSR and Ethical Strategy</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_m72pepqiimnp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20</w:t>
          </w:r>
          <w:r w:rsidR="00000000" w:rsidRPr="00F91756">
            <w:rPr>
              <w:rFonts w:ascii="Arial" w:hAnsi="Arial" w:cs="Arial"/>
            </w:rPr>
            <w:fldChar w:fldCharType="end"/>
          </w:r>
        </w:p>
        <w:p w14:paraId="6433C65C" w14:textId="77777777" w:rsidR="003A28C2" w:rsidRPr="00F91756" w:rsidRDefault="003A28C2">
          <w:pPr>
            <w:widowControl w:val="0"/>
            <w:tabs>
              <w:tab w:val="right" w:pos="9360"/>
            </w:tabs>
            <w:spacing w:before="60" w:after="0"/>
            <w:rPr>
              <w:rFonts w:ascii="Arial" w:hAnsi="Arial" w:cs="Arial"/>
              <w:b/>
              <w:bCs/>
              <w:color w:val="000000"/>
            </w:rPr>
          </w:pPr>
          <w:hyperlink w:anchor="_ucm6s64q4h1q">
            <w:r w:rsidRPr="00F91756">
              <w:rPr>
                <w:rFonts w:ascii="Arial" w:hAnsi="Arial" w:cs="Arial"/>
                <w:b/>
                <w:bCs/>
                <w:color w:val="000000"/>
              </w:rPr>
              <w:t>5. Performance Evaluation Framework</w:t>
            </w:r>
            <w:r w:rsidRPr="00F91756">
              <w:rPr>
                <w:rFonts w:ascii="Arial" w:hAnsi="Arial" w:cs="Arial"/>
                <w:b/>
                <w:bCs/>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_ucm6s64q4h1q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b/>
              <w:bCs/>
            </w:rPr>
            <w:t>22</w:t>
          </w:r>
          <w:r w:rsidR="00000000" w:rsidRPr="00F91756">
            <w:rPr>
              <w:rFonts w:ascii="Arial" w:hAnsi="Arial" w:cs="Arial"/>
            </w:rPr>
            <w:fldChar w:fldCharType="end"/>
          </w:r>
        </w:p>
        <w:p w14:paraId="314D9875" w14:textId="77777777" w:rsidR="003A28C2" w:rsidRPr="00F91756" w:rsidRDefault="003A28C2">
          <w:pPr>
            <w:widowControl w:val="0"/>
            <w:tabs>
              <w:tab w:val="right" w:pos="9360"/>
            </w:tabs>
            <w:spacing w:before="60" w:after="0"/>
            <w:ind w:left="360"/>
            <w:rPr>
              <w:rFonts w:ascii="Arial" w:hAnsi="Arial" w:cs="Arial"/>
              <w:color w:val="000000"/>
            </w:rPr>
          </w:pPr>
          <w:hyperlink w:anchor="_kq82gvu7xixn">
            <w:r w:rsidRPr="00F91756">
              <w:rPr>
                <w:rFonts w:ascii="Arial" w:hAnsi="Arial" w:cs="Arial"/>
                <w:color w:val="000000"/>
              </w:rPr>
              <w:t>5.1.  Balanced Scorecard</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_kq82gvu7xixn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22</w:t>
          </w:r>
          <w:r w:rsidR="00000000" w:rsidRPr="00F91756">
            <w:rPr>
              <w:rFonts w:ascii="Arial" w:hAnsi="Arial" w:cs="Arial"/>
            </w:rPr>
            <w:fldChar w:fldCharType="end"/>
          </w:r>
        </w:p>
        <w:p w14:paraId="08DE7C9A" w14:textId="77777777" w:rsidR="003A28C2" w:rsidRPr="00F91756" w:rsidRDefault="003A28C2">
          <w:pPr>
            <w:widowControl w:val="0"/>
            <w:tabs>
              <w:tab w:val="right" w:pos="9360"/>
            </w:tabs>
            <w:spacing w:before="60" w:after="0"/>
            <w:ind w:left="360"/>
            <w:rPr>
              <w:rFonts w:ascii="Arial" w:hAnsi="Arial" w:cs="Arial"/>
              <w:color w:val="000000"/>
            </w:rPr>
          </w:pPr>
          <w:hyperlink w:anchor="_xrlu3e9zudtn">
            <w:r w:rsidRPr="00F91756">
              <w:rPr>
                <w:rFonts w:ascii="Arial" w:hAnsi="Arial" w:cs="Arial"/>
                <w:color w:val="000000"/>
              </w:rPr>
              <w:t>5.2. Triple Bottom Line (TBL)</w:t>
            </w:r>
            <w:r w:rsidRPr="00F91756">
              <w:rPr>
                <w:rFonts w:ascii="Arial" w:hAnsi="Arial" w:cs="Arial"/>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_xrlu3e9zudtn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rPr>
            <w:t>25</w:t>
          </w:r>
          <w:r w:rsidR="00000000" w:rsidRPr="00F91756">
            <w:rPr>
              <w:rFonts w:ascii="Arial" w:hAnsi="Arial" w:cs="Arial"/>
            </w:rPr>
            <w:fldChar w:fldCharType="end"/>
          </w:r>
        </w:p>
        <w:p w14:paraId="5A5EC6FB" w14:textId="77777777" w:rsidR="003A28C2" w:rsidRPr="00F91756" w:rsidRDefault="003A28C2">
          <w:pPr>
            <w:widowControl w:val="0"/>
            <w:tabs>
              <w:tab w:val="right" w:pos="9360"/>
            </w:tabs>
            <w:spacing w:before="60" w:after="0"/>
            <w:rPr>
              <w:rFonts w:ascii="Arial" w:hAnsi="Arial" w:cs="Arial"/>
              <w:b/>
              <w:bCs/>
              <w:color w:val="000000"/>
            </w:rPr>
          </w:pPr>
          <w:hyperlink w:anchor="_mthuo6z3sun6">
            <w:r w:rsidRPr="00F91756">
              <w:rPr>
                <w:rFonts w:ascii="Arial" w:hAnsi="Arial" w:cs="Arial"/>
                <w:b/>
                <w:bCs/>
                <w:color w:val="000000"/>
              </w:rPr>
              <w:t>6. Conclusion</w:t>
            </w:r>
            <w:r w:rsidRPr="00F91756">
              <w:rPr>
                <w:rFonts w:ascii="Arial" w:hAnsi="Arial" w:cs="Arial"/>
                <w:b/>
                <w:bCs/>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_mthuo6z3sun6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b/>
              <w:bCs/>
            </w:rPr>
            <w:t>26</w:t>
          </w:r>
          <w:r w:rsidR="00000000" w:rsidRPr="00F91756">
            <w:rPr>
              <w:rFonts w:ascii="Arial" w:hAnsi="Arial" w:cs="Arial"/>
            </w:rPr>
            <w:fldChar w:fldCharType="end"/>
          </w:r>
        </w:p>
        <w:p w14:paraId="01047D61" w14:textId="77777777" w:rsidR="003A28C2" w:rsidRPr="00F91756" w:rsidRDefault="003A28C2">
          <w:pPr>
            <w:widowControl w:val="0"/>
            <w:tabs>
              <w:tab w:val="right" w:pos="9360"/>
            </w:tabs>
            <w:spacing w:before="60" w:after="0"/>
            <w:rPr>
              <w:rFonts w:ascii="Arial" w:hAnsi="Arial" w:cs="Arial"/>
              <w:b/>
              <w:bCs/>
              <w:color w:val="000000"/>
            </w:rPr>
          </w:pPr>
          <w:hyperlink w:anchor="_l9he5hwviy4h">
            <w:r w:rsidRPr="00F91756">
              <w:rPr>
                <w:rFonts w:ascii="Arial" w:hAnsi="Arial" w:cs="Arial"/>
                <w:b/>
                <w:bCs/>
                <w:color w:val="000000"/>
              </w:rPr>
              <w:t>7. Reference</w:t>
            </w:r>
            <w:r w:rsidRPr="00F91756">
              <w:rPr>
                <w:rFonts w:ascii="Arial" w:hAnsi="Arial" w:cs="Arial"/>
                <w:b/>
                <w:bCs/>
                <w:color w:val="000000"/>
              </w:rPr>
              <w:tab/>
            </w:r>
          </w:hyperlink>
          <w:r w:rsidR="00000000" w:rsidRPr="00F91756">
            <w:rPr>
              <w:rFonts w:ascii="Arial" w:hAnsi="Arial" w:cs="Arial"/>
            </w:rPr>
            <w:fldChar w:fldCharType="begin"/>
          </w:r>
          <w:r w:rsidR="00000000" w:rsidRPr="00F91756">
            <w:rPr>
              <w:rFonts w:ascii="Arial" w:hAnsi="Arial" w:cs="Arial"/>
            </w:rPr>
            <w:instrText xml:space="preserve"> PAGEREF _l9he5hwviy4h \h </w:instrText>
          </w:r>
          <w:r w:rsidR="00000000" w:rsidRPr="00F91756">
            <w:rPr>
              <w:rFonts w:ascii="Arial" w:hAnsi="Arial" w:cs="Arial"/>
            </w:rPr>
          </w:r>
          <w:r w:rsidR="00000000" w:rsidRPr="00F91756">
            <w:rPr>
              <w:rFonts w:ascii="Arial" w:hAnsi="Arial" w:cs="Arial"/>
            </w:rPr>
            <w:fldChar w:fldCharType="separate"/>
          </w:r>
          <w:r w:rsidR="00000000" w:rsidRPr="00F91756">
            <w:rPr>
              <w:rFonts w:ascii="Arial" w:hAnsi="Arial" w:cs="Arial"/>
              <w:b/>
              <w:bCs/>
            </w:rPr>
            <w:t>28</w:t>
          </w:r>
          <w:r w:rsidR="00000000" w:rsidRPr="00F91756">
            <w:rPr>
              <w:rFonts w:ascii="Arial" w:hAnsi="Arial" w:cs="Arial"/>
            </w:rPr>
            <w:fldChar w:fldCharType="end"/>
          </w:r>
          <w:r w:rsidR="00000000" w:rsidRPr="00F91756">
            <w:rPr>
              <w:rFonts w:ascii="Arial" w:hAnsi="Arial" w:cs="Arial"/>
            </w:rPr>
            <w:fldChar w:fldCharType="end"/>
          </w:r>
        </w:p>
      </w:sdtContent>
    </w:sdt>
    <w:p w14:paraId="244A9ED3" w14:textId="77777777" w:rsidR="003A28C2" w:rsidRPr="00F91756" w:rsidRDefault="003A28C2">
      <w:pPr>
        <w:spacing w:before="200"/>
        <w:rPr>
          <w:rFonts w:ascii="Arial" w:hAnsi="Arial" w:cs="Arial"/>
        </w:rPr>
      </w:pPr>
    </w:p>
    <w:p w14:paraId="5DBBBB0D" w14:textId="77777777" w:rsidR="003A28C2" w:rsidRPr="00F91756" w:rsidRDefault="00000000">
      <w:pPr>
        <w:pStyle w:val="Heading1"/>
        <w:spacing w:before="200"/>
        <w:rPr>
          <w:rFonts w:ascii="Arial" w:hAnsi="Arial" w:cs="Arial"/>
          <w:color w:val="000000"/>
        </w:rPr>
      </w:pPr>
      <w:bookmarkStart w:id="1" w:name="_nitn1mnt2htd" w:colFirst="0" w:colLast="0"/>
      <w:bookmarkEnd w:id="1"/>
      <w:r w:rsidRPr="00F91756">
        <w:rPr>
          <w:rFonts w:ascii="Arial" w:hAnsi="Arial" w:cs="Arial"/>
          <w:color w:val="000000"/>
        </w:rPr>
        <w:t>1. Introduction</w:t>
      </w:r>
    </w:p>
    <w:p w14:paraId="0603C21F" w14:textId="77777777" w:rsidR="003A28C2" w:rsidRPr="00F91756" w:rsidRDefault="00000000">
      <w:pPr>
        <w:spacing w:before="200"/>
        <w:rPr>
          <w:rFonts w:ascii="Arial" w:hAnsi="Arial" w:cs="Arial"/>
        </w:rPr>
      </w:pPr>
      <w:r w:rsidRPr="00F91756">
        <w:rPr>
          <w:rFonts w:ascii="Arial" w:hAnsi="Arial" w:cs="Arial"/>
        </w:rPr>
        <w:t xml:space="preserve">AstraZeneca is a global, science-based biopharmaceutical company formed under the merger of Swedish and UK firms. The company primarily focuses on </w:t>
      </w:r>
      <w:proofErr w:type="spellStart"/>
      <w:r w:rsidRPr="00F91756">
        <w:rPr>
          <w:rFonts w:ascii="Arial" w:hAnsi="Arial" w:cs="Arial"/>
        </w:rPr>
        <w:t>commercialising</w:t>
      </w:r>
      <w:proofErr w:type="spellEnd"/>
      <w:r w:rsidRPr="00F91756">
        <w:rPr>
          <w:rFonts w:ascii="Arial" w:hAnsi="Arial" w:cs="Arial"/>
        </w:rPr>
        <w:t xml:space="preserve"> medicines for oncology, rare diseases, cardiovascular, renal, metabolic, respiratory, and immunology areas. The company is a major player in the pharma world, driven by scientific innovation to tackle some of the world's most pressing diseases (AstraZeneca, 2024). The company has three major strategies that include science, innovation, growth and therapy area leadership, and people sustainability. The company's innovative ideas primarily leverage digital, data, and AI to accelerate drug discovery and development, including pioneering cancer treatments and developing a COVID-19 vaccine. </w:t>
      </w:r>
    </w:p>
    <w:p w14:paraId="593AD9B4" w14:textId="77777777" w:rsidR="003A28C2" w:rsidRPr="00F91756" w:rsidRDefault="00000000">
      <w:pPr>
        <w:spacing w:before="200"/>
        <w:rPr>
          <w:rFonts w:ascii="Arial" w:hAnsi="Arial" w:cs="Arial"/>
        </w:rPr>
      </w:pPr>
      <w:r w:rsidRPr="00F91756">
        <w:rPr>
          <w:rFonts w:ascii="Arial" w:hAnsi="Arial" w:cs="Arial"/>
        </w:rPr>
        <w:t xml:space="preserve">AstraZeneca is known for manufacturing the popular proton pump inhibitor drugs Nexium and Prilosec, which are used to treat gastroesophageal reflux disease. The mission of the </w:t>
      </w:r>
      <w:proofErr w:type="spellStart"/>
      <w:r w:rsidRPr="00F91756">
        <w:rPr>
          <w:rFonts w:ascii="Arial" w:hAnsi="Arial" w:cs="Arial"/>
        </w:rPr>
        <w:t>organisation</w:t>
      </w:r>
      <w:proofErr w:type="spellEnd"/>
      <w:r w:rsidRPr="00F91756">
        <w:rPr>
          <w:rFonts w:ascii="Arial" w:hAnsi="Arial" w:cs="Arial"/>
        </w:rPr>
        <w:t xml:space="preserve"> is to help create new medicines and digitally share clinical trial information. The company collaborated with the University of Oxford to create a vaccine for COVID-19 (AstraZeneca, 2025). The company operates in over 100 countries, with significant R&amp;D in Sweden and the US.</w:t>
      </w:r>
    </w:p>
    <w:p w14:paraId="41BEC24E" w14:textId="77777777" w:rsidR="003A28C2" w:rsidRPr="00F91756" w:rsidRDefault="00000000">
      <w:pPr>
        <w:spacing w:before="200"/>
        <w:jc w:val="center"/>
        <w:rPr>
          <w:rFonts w:ascii="Arial" w:hAnsi="Arial" w:cs="Arial"/>
        </w:rPr>
      </w:pPr>
      <w:r w:rsidRPr="00F91756">
        <w:rPr>
          <w:rFonts w:ascii="Arial" w:hAnsi="Arial" w:cs="Arial"/>
          <w:noProof/>
        </w:rPr>
        <w:lastRenderedPageBreak/>
        <w:drawing>
          <wp:inline distT="114300" distB="114300" distL="114300" distR="114300" wp14:anchorId="50439F84" wp14:editId="4D4B71F1">
            <wp:extent cx="3452378" cy="3452378"/>
            <wp:effectExtent l="25400" t="25400" r="25400" b="2540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3452378" cy="3452378"/>
                    </a:xfrm>
                    <a:prstGeom prst="rect">
                      <a:avLst/>
                    </a:prstGeom>
                    <a:ln w="25400">
                      <a:solidFill>
                        <a:srgbClr val="000000"/>
                      </a:solidFill>
                      <a:prstDash val="solid"/>
                    </a:ln>
                  </pic:spPr>
                </pic:pic>
              </a:graphicData>
            </a:graphic>
          </wp:inline>
        </w:drawing>
      </w:r>
    </w:p>
    <w:p w14:paraId="4E310419" w14:textId="77777777" w:rsidR="003A28C2" w:rsidRPr="00F91756" w:rsidRDefault="00000000">
      <w:pPr>
        <w:spacing w:before="200"/>
        <w:jc w:val="center"/>
        <w:rPr>
          <w:rFonts w:ascii="Arial" w:hAnsi="Arial" w:cs="Arial"/>
          <w:b/>
          <w:bCs/>
        </w:rPr>
      </w:pPr>
      <w:r w:rsidRPr="00F91756">
        <w:rPr>
          <w:rFonts w:ascii="Arial" w:hAnsi="Arial" w:cs="Arial"/>
          <w:b/>
          <w:bCs/>
        </w:rPr>
        <w:t>Figure 1: AstraZeneca’s Approach to Sustainability</w:t>
      </w:r>
    </w:p>
    <w:p w14:paraId="49772426" w14:textId="77777777" w:rsidR="003A28C2" w:rsidRPr="00F91756" w:rsidRDefault="00000000">
      <w:pPr>
        <w:spacing w:before="200"/>
        <w:jc w:val="center"/>
        <w:rPr>
          <w:rFonts w:ascii="Arial" w:hAnsi="Arial" w:cs="Arial"/>
        </w:rPr>
      </w:pPr>
      <w:r w:rsidRPr="00F91756">
        <w:rPr>
          <w:rFonts w:ascii="Arial" w:hAnsi="Arial" w:cs="Arial"/>
        </w:rPr>
        <w:t>(Source: AstraZeneca, 2025)</w:t>
      </w:r>
    </w:p>
    <w:p w14:paraId="7AB2A350" w14:textId="77777777" w:rsidR="003A28C2" w:rsidRPr="00F91756" w:rsidRDefault="00000000">
      <w:pPr>
        <w:pStyle w:val="Heading1"/>
        <w:spacing w:before="200"/>
        <w:rPr>
          <w:rFonts w:ascii="Arial" w:hAnsi="Arial" w:cs="Arial"/>
          <w:color w:val="000000"/>
        </w:rPr>
      </w:pPr>
      <w:bookmarkStart w:id="2" w:name="_3bl0kzvm15rb" w:colFirst="0" w:colLast="0"/>
      <w:bookmarkEnd w:id="2"/>
      <w:r w:rsidRPr="00F91756">
        <w:rPr>
          <w:rFonts w:ascii="Arial" w:hAnsi="Arial" w:cs="Arial"/>
          <w:color w:val="000000"/>
        </w:rPr>
        <w:t xml:space="preserve">2. Selection of </w:t>
      </w:r>
      <w:proofErr w:type="spellStart"/>
      <w:r w:rsidRPr="00F91756">
        <w:rPr>
          <w:rFonts w:ascii="Arial" w:hAnsi="Arial" w:cs="Arial"/>
          <w:color w:val="000000"/>
        </w:rPr>
        <w:t>Organisation</w:t>
      </w:r>
      <w:proofErr w:type="spellEnd"/>
      <w:r w:rsidRPr="00F91756">
        <w:rPr>
          <w:rFonts w:ascii="Arial" w:hAnsi="Arial" w:cs="Arial"/>
          <w:color w:val="000000"/>
        </w:rPr>
        <w:t xml:space="preserve"> and Target Market</w:t>
      </w:r>
    </w:p>
    <w:p w14:paraId="32302847" w14:textId="77777777" w:rsidR="003A28C2" w:rsidRPr="00F91756" w:rsidRDefault="00000000">
      <w:pPr>
        <w:pStyle w:val="Heading2"/>
        <w:spacing w:before="200"/>
        <w:rPr>
          <w:rFonts w:ascii="Arial" w:hAnsi="Arial" w:cs="Arial"/>
          <w:color w:val="000000"/>
        </w:rPr>
      </w:pPr>
      <w:bookmarkStart w:id="3" w:name="_gr76ghcxngf7" w:colFirst="0" w:colLast="0"/>
      <w:bookmarkEnd w:id="3"/>
      <w:r w:rsidRPr="00F91756">
        <w:rPr>
          <w:rFonts w:ascii="Arial" w:hAnsi="Arial" w:cs="Arial"/>
          <w:color w:val="000000"/>
        </w:rPr>
        <w:t xml:space="preserve">2.1. Overview of </w:t>
      </w:r>
      <w:proofErr w:type="spellStart"/>
      <w:r w:rsidRPr="00F91756">
        <w:rPr>
          <w:rFonts w:ascii="Arial" w:hAnsi="Arial" w:cs="Arial"/>
          <w:color w:val="000000"/>
        </w:rPr>
        <w:t>Organisation</w:t>
      </w:r>
      <w:proofErr w:type="spellEnd"/>
    </w:p>
    <w:p w14:paraId="7C85FB23" w14:textId="77777777" w:rsidR="003A28C2" w:rsidRPr="00F91756" w:rsidRDefault="00000000">
      <w:pPr>
        <w:widowControl w:val="0"/>
        <w:spacing w:before="200"/>
        <w:rPr>
          <w:rFonts w:ascii="Arial" w:hAnsi="Arial" w:cs="Arial"/>
        </w:rPr>
      </w:pPr>
      <w:r w:rsidRPr="00F91756">
        <w:rPr>
          <w:rFonts w:ascii="Arial" w:hAnsi="Arial" w:cs="Arial"/>
        </w:rPr>
        <w:t xml:space="preserve">AstraZeneca is a global and science-led biopharmaceutical giant. This company focused on discovering, developing, and selling innovative medicines for serious health conditions such as oncology, rare diseases, cardiovascular, renal, metabolic, respiratory, and immunology. AstraZeneca is also referred to as one of </w:t>
      </w:r>
      <w:r w:rsidRPr="00F91756">
        <w:rPr>
          <w:rFonts w:ascii="Arial" w:hAnsi="Arial" w:cs="Arial"/>
          <w:b/>
          <w:bCs/>
          <w:i/>
          <w:iCs/>
        </w:rPr>
        <w:t>Europe's largest pharma mergers</w:t>
      </w:r>
      <w:r w:rsidRPr="00F91756">
        <w:rPr>
          <w:rFonts w:ascii="Arial" w:hAnsi="Arial" w:cs="Arial"/>
        </w:rPr>
        <w:t xml:space="preserve">. This company was founded in 1999 by merging </w:t>
      </w:r>
      <w:r w:rsidRPr="00F91756">
        <w:rPr>
          <w:rFonts w:ascii="Arial" w:hAnsi="Arial" w:cs="Arial"/>
          <w:b/>
          <w:bCs/>
          <w:i/>
          <w:iCs/>
        </w:rPr>
        <w:t>Swedish Astra AB and UK's Zeneca</w:t>
      </w:r>
      <w:r w:rsidRPr="00F91756">
        <w:rPr>
          <w:rFonts w:ascii="Arial" w:hAnsi="Arial" w:cs="Arial"/>
        </w:rPr>
        <w:t xml:space="preserve">. </w:t>
      </w:r>
      <w:proofErr w:type="gramStart"/>
      <w:r w:rsidRPr="00F91756">
        <w:rPr>
          <w:rFonts w:ascii="Arial" w:hAnsi="Arial" w:cs="Arial"/>
        </w:rPr>
        <w:t>It’s  headquartered</w:t>
      </w:r>
      <w:proofErr w:type="gramEnd"/>
      <w:r w:rsidRPr="00F91756">
        <w:rPr>
          <w:rFonts w:ascii="Arial" w:hAnsi="Arial" w:cs="Arial"/>
        </w:rPr>
        <w:t xml:space="preserve"> in Cambridge, UK. This company offers data, AI and digital tech which implements life-changing treatments with a strong global presence by highlighting its commitment to patient access and scientific advancement (AstraZeneca, 2025). </w:t>
      </w:r>
    </w:p>
    <w:p w14:paraId="3B007BA1" w14:textId="77777777" w:rsidR="003A28C2" w:rsidRPr="00F91756" w:rsidRDefault="00000000">
      <w:pPr>
        <w:widowControl w:val="0"/>
        <w:spacing w:before="200"/>
        <w:jc w:val="center"/>
        <w:rPr>
          <w:rFonts w:ascii="Arial" w:hAnsi="Arial" w:cs="Arial"/>
        </w:rPr>
      </w:pPr>
      <w:r w:rsidRPr="00F91756">
        <w:rPr>
          <w:rFonts w:ascii="Arial" w:hAnsi="Arial" w:cs="Arial"/>
          <w:noProof/>
        </w:rPr>
        <w:lastRenderedPageBreak/>
        <w:drawing>
          <wp:inline distT="114300" distB="114300" distL="114300" distR="114300" wp14:anchorId="625F0AC2" wp14:editId="732C9701">
            <wp:extent cx="5943600" cy="3340100"/>
            <wp:effectExtent l="25400" t="25400" r="25400" b="25400"/>
            <wp:docPr id="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1C93AA87" w14:textId="77777777" w:rsidR="003A28C2" w:rsidRPr="00F91756" w:rsidRDefault="00000000">
      <w:pPr>
        <w:widowControl w:val="0"/>
        <w:spacing w:before="200"/>
        <w:jc w:val="center"/>
        <w:rPr>
          <w:rFonts w:ascii="Arial" w:hAnsi="Arial" w:cs="Arial"/>
          <w:b/>
          <w:bCs/>
        </w:rPr>
      </w:pPr>
      <w:r w:rsidRPr="00F91756">
        <w:rPr>
          <w:rFonts w:ascii="Arial" w:hAnsi="Arial" w:cs="Arial"/>
          <w:b/>
          <w:bCs/>
        </w:rPr>
        <w:t>Figure 2: Overview of AstraZeneca</w:t>
      </w:r>
    </w:p>
    <w:p w14:paraId="6801CB1E" w14:textId="77777777" w:rsidR="003A28C2" w:rsidRPr="00F91756" w:rsidRDefault="00000000">
      <w:pPr>
        <w:widowControl w:val="0"/>
        <w:spacing w:before="200"/>
        <w:jc w:val="center"/>
        <w:rPr>
          <w:rFonts w:ascii="Arial" w:hAnsi="Arial" w:cs="Arial"/>
          <w:i/>
          <w:iCs/>
        </w:rPr>
      </w:pPr>
      <w:r w:rsidRPr="00F91756">
        <w:rPr>
          <w:rFonts w:ascii="Arial" w:hAnsi="Arial" w:cs="Arial"/>
          <w:i/>
          <w:iCs/>
        </w:rPr>
        <w:t xml:space="preserve">(Source: </w:t>
      </w:r>
      <w:proofErr w:type="spellStart"/>
      <w:r w:rsidRPr="00F91756">
        <w:rPr>
          <w:rFonts w:ascii="Arial" w:hAnsi="Arial" w:cs="Arial"/>
          <w:i/>
          <w:iCs/>
        </w:rPr>
        <w:t>Slideteam</w:t>
      </w:r>
      <w:proofErr w:type="spellEnd"/>
      <w:r w:rsidRPr="00F91756">
        <w:rPr>
          <w:rFonts w:ascii="Arial" w:hAnsi="Arial" w:cs="Arial"/>
          <w:i/>
          <w:iCs/>
        </w:rPr>
        <w:t>, 2025)</w:t>
      </w:r>
    </w:p>
    <w:p w14:paraId="27DA2214" w14:textId="77777777" w:rsidR="003A28C2" w:rsidRPr="00F91756" w:rsidRDefault="00000000">
      <w:pPr>
        <w:widowControl w:val="0"/>
        <w:spacing w:before="200"/>
        <w:rPr>
          <w:rFonts w:ascii="Arial" w:hAnsi="Arial" w:cs="Arial"/>
        </w:rPr>
      </w:pPr>
      <w:r w:rsidRPr="00F91756">
        <w:rPr>
          <w:rFonts w:ascii="Arial" w:hAnsi="Arial" w:cs="Arial"/>
        </w:rPr>
        <w:t xml:space="preserve">AstraZeneca emphasizes science, digital, and AI to accelerate drug discovery and development by pioneering this market. Its core focus on therapeutic areas can be considered on Oncology, Rare Diseases, Cardiovascular, Renal &amp; Metabolism (CVRM), and Respiratory and Immunology. This company operates across the whole world by selling medicines in more than one hundred and thirty countries with its R&amp;D in Sweden and HQ in the UK. This company also develops biologics, vaccines such as COVID-19 vaccine and other prescription drugs by distributing through various channels. The aim of AstraZeneca is to create value for patients, society and the planet which is enduring by improving access to treatments (AstraZeneca, 2024a). </w:t>
      </w:r>
    </w:p>
    <w:p w14:paraId="765A2D7B" w14:textId="77777777" w:rsidR="003A28C2" w:rsidRPr="00F91756" w:rsidRDefault="00000000">
      <w:pPr>
        <w:pStyle w:val="Heading2"/>
        <w:spacing w:before="200"/>
        <w:rPr>
          <w:rFonts w:ascii="Arial" w:hAnsi="Arial" w:cs="Arial"/>
          <w:color w:val="000000"/>
        </w:rPr>
      </w:pPr>
      <w:bookmarkStart w:id="4" w:name="_vj3o4gt7k4b7" w:colFirst="0" w:colLast="0"/>
      <w:bookmarkEnd w:id="4"/>
      <w:r w:rsidRPr="00F91756">
        <w:rPr>
          <w:rFonts w:ascii="Arial" w:hAnsi="Arial" w:cs="Arial"/>
          <w:color w:val="000000"/>
        </w:rPr>
        <w:t>2.2. Analysis of Target Market</w:t>
      </w:r>
    </w:p>
    <w:p w14:paraId="7C8FCE2D" w14:textId="77777777" w:rsidR="003A28C2" w:rsidRPr="00F91756" w:rsidRDefault="00000000">
      <w:pPr>
        <w:spacing w:before="200"/>
        <w:rPr>
          <w:rFonts w:ascii="Arial" w:hAnsi="Arial" w:cs="Arial"/>
        </w:rPr>
      </w:pPr>
      <w:r w:rsidRPr="00F91756">
        <w:rPr>
          <w:rFonts w:ascii="Arial" w:hAnsi="Arial" w:cs="Arial"/>
        </w:rPr>
        <w:t xml:space="preserve">AstraZeneca's target market involves various types of patients with chronic and rare diseases such as oncology, cardiovascular and rare disease therapy areas This organization also highlights its significant and growing focus on the emerging markets </w:t>
      </w:r>
      <w:r w:rsidRPr="00F91756">
        <w:rPr>
          <w:rFonts w:ascii="Arial" w:hAnsi="Arial" w:cs="Arial"/>
        </w:rPr>
        <w:lastRenderedPageBreak/>
        <w:t>(</w:t>
      </w:r>
      <w:proofErr w:type="spellStart"/>
      <w:r w:rsidRPr="00F91756">
        <w:rPr>
          <w:rFonts w:ascii="Arial" w:hAnsi="Arial" w:cs="Arial"/>
        </w:rPr>
        <w:t>Astrazeneca</w:t>
      </w:r>
      <w:proofErr w:type="spellEnd"/>
      <w:r w:rsidRPr="00F91756">
        <w:rPr>
          <w:rFonts w:ascii="Arial" w:hAnsi="Arial" w:cs="Arial"/>
        </w:rPr>
        <w:t>, 2024). The company also targets healthcare providers, governments and researchers with its R&amp;D, clinical trials and commercialization efforts. According to AstraZeneca-US (2025), This company reaches its eligible patients through its new direct-to-consumer platform which is only for specific medications directly.</w:t>
      </w:r>
    </w:p>
    <w:p w14:paraId="33E59659" w14:textId="77777777" w:rsidR="003A28C2" w:rsidRPr="00F91756" w:rsidRDefault="00000000">
      <w:pPr>
        <w:spacing w:before="200"/>
        <w:jc w:val="center"/>
        <w:rPr>
          <w:rFonts w:ascii="Arial" w:hAnsi="Arial" w:cs="Arial"/>
        </w:rPr>
      </w:pPr>
      <w:r w:rsidRPr="00F91756">
        <w:rPr>
          <w:rFonts w:ascii="Arial" w:hAnsi="Arial" w:cs="Arial"/>
          <w:noProof/>
        </w:rPr>
        <w:drawing>
          <wp:inline distT="114300" distB="114300" distL="114300" distR="114300" wp14:anchorId="10A9FC19" wp14:editId="643912F0">
            <wp:extent cx="4800600" cy="2611959"/>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l="1842" r="2403" b="7282"/>
                    <a:stretch>
                      <a:fillRect/>
                    </a:stretch>
                  </pic:blipFill>
                  <pic:spPr>
                    <a:xfrm>
                      <a:off x="0" y="0"/>
                      <a:ext cx="4800600" cy="2611959"/>
                    </a:xfrm>
                    <a:prstGeom prst="rect">
                      <a:avLst/>
                    </a:prstGeom>
                    <a:ln w="25400">
                      <a:solidFill>
                        <a:srgbClr val="000000"/>
                      </a:solidFill>
                      <a:prstDash val="solid"/>
                    </a:ln>
                  </pic:spPr>
                </pic:pic>
              </a:graphicData>
            </a:graphic>
          </wp:inline>
        </w:drawing>
      </w:r>
    </w:p>
    <w:p w14:paraId="09C5B3DF" w14:textId="77777777" w:rsidR="003A28C2" w:rsidRPr="00F91756" w:rsidRDefault="00000000">
      <w:pPr>
        <w:spacing w:before="200"/>
        <w:jc w:val="center"/>
        <w:rPr>
          <w:rFonts w:ascii="Arial" w:hAnsi="Arial" w:cs="Arial"/>
          <w:b/>
          <w:bCs/>
        </w:rPr>
      </w:pPr>
      <w:r w:rsidRPr="00F91756">
        <w:rPr>
          <w:rFonts w:ascii="Arial" w:hAnsi="Arial" w:cs="Arial"/>
          <w:b/>
          <w:bCs/>
        </w:rPr>
        <w:t>Figure 3: Market Research Report of AstraZeneca</w:t>
      </w:r>
    </w:p>
    <w:p w14:paraId="009215D5" w14:textId="77777777" w:rsidR="003A28C2" w:rsidRPr="00F91756" w:rsidRDefault="00000000">
      <w:pPr>
        <w:spacing w:before="200"/>
        <w:jc w:val="center"/>
        <w:rPr>
          <w:rFonts w:ascii="Arial" w:hAnsi="Arial" w:cs="Arial"/>
          <w:i/>
          <w:iCs/>
        </w:rPr>
      </w:pPr>
      <w:r w:rsidRPr="00F91756">
        <w:rPr>
          <w:rFonts w:ascii="Arial" w:hAnsi="Arial" w:cs="Arial"/>
          <w:i/>
          <w:iCs/>
        </w:rPr>
        <w:t xml:space="preserve">(Source: </w:t>
      </w:r>
      <w:proofErr w:type="spellStart"/>
      <w:r w:rsidRPr="00F91756">
        <w:rPr>
          <w:rFonts w:ascii="Arial" w:hAnsi="Arial" w:cs="Arial"/>
          <w:i/>
          <w:iCs/>
        </w:rPr>
        <w:t>Insightace</w:t>
      </w:r>
      <w:proofErr w:type="spellEnd"/>
      <w:r w:rsidRPr="00F91756">
        <w:rPr>
          <w:rFonts w:ascii="Arial" w:hAnsi="Arial" w:cs="Arial"/>
          <w:i/>
          <w:iCs/>
        </w:rPr>
        <w:t xml:space="preserve"> Analytic Pvt Ltd, 2025)</w:t>
      </w:r>
    </w:p>
    <w:p w14:paraId="7F5C391C" w14:textId="77777777" w:rsidR="003A28C2" w:rsidRPr="00F91756" w:rsidRDefault="00000000">
      <w:pPr>
        <w:spacing w:before="200"/>
        <w:rPr>
          <w:rFonts w:ascii="Arial" w:hAnsi="Arial" w:cs="Arial"/>
        </w:rPr>
      </w:pPr>
      <w:r w:rsidRPr="00F91756">
        <w:rPr>
          <w:rFonts w:ascii="Arial" w:hAnsi="Arial" w:cs="Arial"/>
        </w:rPr>
        <w:t>The primary market segments of AstraZeneca may involve patients, healthcare providers, government and public health organizations, researchers and academic institutions. This company focuses on those individuals with chronic diseases such as cardiovascular or respiratory conditions. It also highlights its focus on those patients with rare conditions such as various types of cancer who need pharmaceutical treatments (</w:t>
      </w:r>
      <w:proofErr w:type="spellStart"/>
      <w:r w:rsidRPr="00F91756">
        <w:rPr>
          <w:rFonts w:ascii="Arial" w:hAnsi="Arial" w:cs="Arial"/>
        </w:rPr>
        <w:t>Astrazeneca</w:t>
      </w:r>
      <w:proofErr w:type="spellEnd"/>
      <w:r w:rsidRPr="00F91756">
        <w:rPr>
          <w:rFonts w:ascii="Arial" w:hAnsi="Arial" w:cs="Arial"/>
        </w:rPr>
        <w:t>, 2024). AstraZeneca’s key growth area can be considered with a strategic emphasis on expanding market share. The aim of AstraZeneca is to serve patients worldwide with its diversified portfolio of medicines and strategic partnerships.</w:t>
      </w:r>
    </w:p>
    <w:p w14:paraId="1007D1E0" w14:textId="77777777" w:rsidR="003A28C2" w:rsidRPr="00F91756" w:rsidRDefault="00000000">
      <w:pPr>
        <w:pStyle w:val="Heading3"/>
        <w:spacing w:before="200"/>
        <w:rPr>
          <w:rFonts w:ascii="Arial" w:hAnsi="Arial" w:cs="Arial"/>
          <w:color w:val="000000"/>
        </w:rPr>
      </w:pPr>
      <w:bookmarkStart w:id="5" w:name="_ehkv2zs1k60d" w:colFirst="0" w:colLast="0"/>
      <w:bookmarkEnd w:id="5"/>
      <w:r w:rsidRPr="00F91756">
        <w:rPr>
          <w:rFonts w:ascii="Arial" w:hAnsi="Arial" w:cs="Arial"/>
          <w:color w:val="000000"/>
        </w:rPr>
        <w:t>2.2.1 Segmentation</w:t>
      </w:r>
    </w:p>
    <w:p w14:paraId="170B3035" w14:textId="77777777" w:rsidR="003A28C2" w:rsidRPr="00F91756" w:rsidRDefault="00000000">
      <w:pPr>
        <w:spacing w:before="200"/>
        <w:rPr>
          <w:rFonts w:ascii="Arial" w:hAnsi="Arial" w:cs="Arial"/>
        </w:rPr>
      </w:pPr>
      <w:r w:rsidRPr="00F91756">
        <w:rPr>
          <w:rFonts w:ascii="Arial" w:hAnsi="Arial" w:cs="Arial"/>
        </w:rPr>
        <w:t xml:space="preserve">AstraZeneca segments its target market by therapies, disease areas and patient needs in primary care, specialty care and rare diseases (AstraZeneca, 2024b). This organization also uses a combination of patient and product-specific targeting. It </w:t>
      </w:r>
      <w:proofErr w:type="spellStart"/>
      <w:r w:rsidRPr="00F91756">
        <w:rPr>
          <w:rFonts w:ascii="Arial" w:hAnsi="Arial" w:cs="Arial"/>
        </w:rPr>
        <w:t>emphasises</w:t>
      </w:r>
      <w:proofErr w:type="spellEnd"/>
      <w:r w:rsidRPr="00F91756">
        <w:rPr>
          <w:rFonts w:ascii="Arial" w:hAnsi="Arial" w:cs="Arial"/>
        </w:rPr>
        <w:t xml:space="preserve"> its direct-</w:t>
      </w:r>
      <w:r w:rsidRPr="00F91756">
        <w:rPr>
          <w:rFonts w:ascii="Arial" w:hAnsi="Arial" w:cs="Arial"/>
        </w:rPr>
        <w:lastRenderedPageBreak/>
        <w:t xml:space="preserve">to-consumer platform for the specific medications like </w:t>
      </w:r>
      <w:r w:rsidRPr="00F91756">
        <w:rPr>
          <w:rFonts w:ascii="Arial" w:hAnsi="Arial" w:cs="Arial"/>
          <w:b/>
          <w:bCs/>
          <w:i/>
          <w:iCs/>
        </w:rPr>
        <w:t>AIRSUPRA</w:t>
      </w:r>
      <w:r w:rsidRPr="00F91756">
        <w:rPr>
          <w:rFonts w:ascii="Arial" w:hAnsi="Arial" w:cs="Arial"/>
        </w:rPr>
        <w:t xml:space="preserve"> and </w:t>
      </w:r>
      <w:r w:rsidRPr="00F91756">
        <w:rPr>
          <w:rFonts w:ascii="Arial" w:hAnsi="Arial" w:cs="Arial"/>
          <w:b/>
          <w:bCs/>
          <w:i/>
          <w:iCs/>
        </w:rPr>
        <w:t>FARXIGA</w:t>
      </w:r>
      <w:r w:rsidRPr="00F91756">
        <w:rPr>
          <w:rFonts w:ascii="Arial" w:hAnsi="Arial" w:cs="Arial"/>
        </w:rPr>
        <w:t>. This company focuses on a variety of cancer treatments which include adjuvant lung cancer. It also includes its focus on the treatments for cardiovascular, renal and metabolic diseases with respiratory and immunology conditions. AstraZeneca also fosters its growth and development in the biopharmaceutical sector. This company also prioritizes its therapeutic areas which highlights its significant impact on these areas such as lung conditions, cancer, and cardiovascular, renal, and metabolic diseases.</w:t>
      </w:r>
    </w:p>
    <w:p w14:paraId="23450CB7" w14:textId="77777777" w:rsidR="003A28C2" w:rsidRPr="00F91756" w:rsidRDefault="00000000">
      <w:pPr>
        <w:spacing w:before="200"/>
        <w:rPr>
          <w:rFonts w:ascii="Arial" w:hAnsi="Arial" w:cs="Arial"/>
        </w:rPr>
      </w:pPr>
      <w:r w:rsidRPr="00F91756">
        <w:rPr>
          <w:rFonts w:ascii="Arial" w:hAnsi="Arial" w:cs="Arial"/>
        </w:rPr>
        <w:t xml:space="preserve">Its target market also can be </w:t>
      </w:r>
      <w:proofErr w:type="spellStart"/>
      <w:r w:rsidRPr="00F91756">
        <w:rPr>
          <w:rFonts w:ascii="Arial" w:hAnsi="Arial" w:cs="Arial"/>
        </w:rPr>
        <w:t>emphasised</w:t>
      </w:r>
      <w:proofErr w:type="spellEnd"/>
      <w:r w:rsidRPr="00F91756">
        <w:rPr>
          <w:rFonts w:ascii="Arial" w:hAnsi="Arial" w:cs="Arial"/>
        </w:rPr>
        <w:t xml:space="preserve"> by focusing on the patient and market needs with primary care and specialty care, global and local market. This company addresses a broad spectrum of patients who need across diverse levels of care such as primary or specialty care (</w:t>
      </w:r>
      <w:proofErr w:type="spellStart"/>
      <w:r w:rsidRPr="00F91756">
        <w:rPr>
          <w:rFonts w:ascii="Arial" w:hAnsi="Arial" w:cs="Arial"/>
        </w:rPr>
        <w:t>Astrazeneca</w:t>
      </w:r>
      <w:proofErr w:type="spellEnd"/>
      <w:r w:rsidRPr="00F91756">
        <w:rPr>
          <w:rFonts w:ascii="Arial" w:hAnsi="Arial" w:cs="Arial"/>
        </w:rPr>
        <w:t xml:space="preserve">, 2025). It modifies its specific market approach for Japan where it needs to transform its medical practice. It helps to focus on the patient's solutions by including diagnostics, devices and digital technologies. It adopts strategic initiatives which can be emphasized in the innovation and implementation of technology. </w:t>
      </w:r>
    </w:p>
    <w:p w14:paraId="2B058972" w14:textId="77777777" w:rsidR="003A28C2" w:rsidRPr="00F91756" w:rsidRDefault="00000000">
      <w:pPr>
        <w:spacing w:before="200"/>
        <w:jc w:val="center"/>
        <w:rPr>
          <w:rFonts w:ascii="Arial" w:hAnsi="Arial" w:cs="Arial"/>
        </w:rPr>
      </w:pPr>
      <w:r w:rsidRPr="00F91756">
        <w:rPr>
          <w:rFonts w:ascii="Arial" w:hAnsi="Arial" w:cs="Arial"/>
          <w:noProof/>
        </w:rPr>
        <w:drawing>
          <wp:inline distT="114300" distB="114300" distL="114300" distR="114300" wp14:anchorId="7C986271" wp14:editId="7D058068">
            <wp:extent cx="5943600" cy="2336800"/>
            <wp:effectExtent l="25400" t="25400" r="25400" b="254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2336800"/>
                    </a:xfrm>
                    <a:prstGeom prst="rect">
                      <a:avLst/>
                    </a:prstGeom>
                    <a:ln w="25400">
                      <a:solidFill>
                        <a:srgbClr val="000000"/>
                      </a:solidFill>
                      <a:prstDash val="solid"/>
                    </a:ln>
                  </pic:spPr>
                </pic:pic>
              </a:graphicData>
            </a:graphic>
          </wp:inline>
        </w:drawing>
      </w:r>
    </w:p>
    <w:p w14:paraId="0E76A067" w14:textId="77777777" w:rsidR="003A28C2" w:rsidRPr="00F91756" w:rsidRDefault="00000000">
      <w:pPr>
        <w:spacing w:before="200"/>
        <w:jc w:val="center"/>
        <w:rPr>
          <w:rFonts w:ascii="Arial" w:hAnsi="Arial" w:cs="Arial"/>
          <w:b/>
          <w:bCs/>
        </w:rPr>
      </w:pPr>
      <w:r w:rsidRPr="00F91756">
        <w:rPr>
          <w:rFonts w:ascii="Arial" w:hAnsi="Arial" w:cs="Arial"/>
          <w:b/>
          <w:bCs/>
        </w:rPr>
        <w:t>Figure 4: Total Revenue of AstraZeneca</w:t>
      </w:r>
    </w:p>
    <w:p w14:paraId="77F4358E" w14:textId="77777777" w:rsidR="003A28C2" w:rsidRPr="00F91756" w:rsidRDefault="00000000">
      <w:pPr>
        <w:spacing w:before="200"/>
        <w:jc w:val="center"/>
        <w:rPr>
          <w:rFonts w:ascii="Arial" w:hAnsi="Arial" w:cs="Arial"/>
          <w:i/>
          <w:iCs/>
        </w:rPr>
      </w:pPr>
      <w:r w:rsidRPr="00F91756">
        <w:rPr>
          <w:rFonts w:ascii="Arial" w:hAnsi="Arial" w:cs="Arial"/>
          <w:i/>
          <w:iCs/>
        </w:rPr>
        <w:t>(Source: Seeking Alpha, 2025)</w:t>
      </w:r>
    </w:p>
    <w:p w14:paraId="6EB773E1" w14:textId="77777777" w:rsidR="003A28C2" w:rsidRPr="00F91756" w:rsidRDefault="00000000">
      <w:pPr>
        <w:pStyle w:val="Heading3"/>
        <w:spacing w:before="200"/>
        <w:rPr>
          <w:rFonts w:ascii="Arial" w:hAnsi="Arial" w:cs="Arial"/>
          <w:color w:val="000000"/>
        </w:rPr>
      </w:pPr>
      <w:bookmarkStart w:id="6" w:name="_b3flip1stc26" w:colFirst="0" w:colLast="0"/>
      <w:bookmarkEnd w:id="6"/>
      <w:r w:rsidRPr="00F91756">
        <w:rPr>
          <w:rFonts w:ascii="Arial" w:hAnsi="Arial" w:cs="Arial"/>
          <w:color w:val="000000"/>
        </w:rPr>
        <w:t>2.2.2. Targeting</w:t>
      </w:r>
    </w:p>
    <w:p w14:paraId="0EE58324" w14:textId="77777777" w:rsidR="003A28C2" w:rsidRPr="00F91756" w:rsidRDefault="00000000">
      <w:pPr>
        <w:rPr>
          <w:rFonts w:ascii="Arial" w:hAnsi="Arial" w:cs="Arial"/>
        </w:rPr>
      </w:pPr>
      <w:r w:rsidRPr="00F91756">
        <w:rPr>
          <w:rFonts w:ascii="Arial" w:hAnsi="Arial" w:cs="Arial"/>
        </w:rPr>
        <w:t xml:space="preserve">This company targets both healthcare providers and patients which focuses on specific disease areas and patient needs. It also focuses on Oncology, Cardiovascular, Renal &amp; </w:t>
      </w:r>
      <w:r w:rsidRPr="00F91756">
        <w:rPr>
          <w:rFonts w:ascii="Arial" w:hAnsi="Arial" w:cs="Arial"/>
        </w:rPr>
        <w:lastRenderedPageBreak/>
        <w:t xml:space="preserve">Metabolism, Respiratory &amp; Immunology, Rare Disease, and Vaccine &amp; Immune Therapies (AstraZeneca, 2024b). The company involves its strategies in identifying the original novel targets by using advanced science, developing innovative medicines and expanding access to care through partnerships and direct-to-consumer platforms. Its target market also can be </w:t>
      </w:r>
      <w:proofErr w:type="spellStart"/>
      <w:r w:rsidRPr="00F91756">
        <w:rPr>
          <w:rFonts w:ascii="Arial" w:hAnsi="Arial" w:cs="Arial"/>
        </w:rPr>
        <w:t>emphasised</w:t>
      </w:r>
      <w:proofErr w:type="spellEnd"/>
      <w:r w:rsidRPr="00F91756">
        <w:rPr>
          <w:rFonts w:ascii="Arial" w:hAnsi="Arial" w:cs="Arial"/>
        </w:rPr>
        <w:t xml:space="preserve"> by focusing on the patient and market needs with primary care and specialty care, global and local market. It focuses on developing and providing the treatments which help to address the evolving medical needs and demographic changes.</w:t>
      </w:r>
    </w:p>
    <w:p w14:paraId="15E4AE0F" w14:textId="77777777" w:rsidR="003A28C2" w:rsidRPr="00F91756" w:rsidRDefault="00000000">
      <w:pPr>
        <w:rPr>
          <w:rFonts w:ascii="Arial" w:hAnsi="Arial" w:cs="Arial"/>
        </w:rPr>
      </w:pPr>
      <w:r w:rsidRPr="00F91756">
        <w:rPr>
          <w:rFonts w:ascii="Arial" w:hAnsi="Arial" w:cs="Arial"/>
        </w:rPr>
        <w:t>The strategic approaches of AstraZeneca may include its science-led innovation, partnerships and collaboration and lastly end-to-end solutions by expanding access. The science-led innovation crosses the boundaries of science which helps to discover and develop new medicines by focusing on the identified novel targets. This company also works with external partners which include academic, tech and other industry tycoons. It highlights scientific discovery and development of the company (AstraZeneca, 2019). AstraZeneca implements some strategies including the AstraZeneca Direct platform which provides more convenient and affordable access to its medicines.</w:t>
      </w:r>
    </w:p>
    <w:p w14:paraId="00F62ED9" w14:textId="77777777" w:rsidR="003A28C2" w:rsidRPr="00F91756" w:rsidRDefault="00000000">
      <w:pPr>
        <w:jc w:val="center"/>
        <w:rPr>
          <w:rFonts w:ascii="Arial" w:hAnsi="Arial" w:cs="Arial"/>
        </w:rPr>
      </w:pPr>
      <w:r w:rsidRPr="00F91756">
        <w:rPr>
          <w:rFonts w:ascii="Arial" w:hAnsi="Arial" w:cs="Arial"/>
          <w:noProof/>
        </w:rPr>
        <w:drawing>
          <wp:inline distT="114300" distB="114300" distL="114300" distR="114300" wp14:anchorId="571C239F" wp14:editId="6D8F5EC1">
            <wp:extent cx="3486150" cy="3276922"/>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t="3287" b="2207"/>
                    <a:stretch>
                      <a:fillRect/>
                    </a:stretch>
                  </pic:blipFill>
                  <pic:spPr>
                    <a:xfrm>
                      <a:off x="0" y="0"/>
                      <a:ext cx="3486150" cy="3276922"/>
                    </a:xfrm>
                    <a:prstGeom prst="rect">
                      <a:avLst/>
                    </a:prstGeom>
                    <a:ln w="25400">
                      <a:solidFill>
                        <a:srgbClr val="000000"/>
                      </a:solidFill>
                      <a:prstDash val="solid"/>
                    </a:ln>
                  </pic:spPr>
                </pic:pic>
              </a:graphicData>
            </a:graphic>
          </wp:inline>
        </w:drawing>
      </w:r>
    </w:p>
    <w:p w14:paraId="7F6FF38D" w14:textId="77777777" w:rsidR="003A28C2" w:rsidRPr="00F91756" w:rsidRDefault="00000000">
      <w:pPr>
        <w:jc w:val="center"/>
        <w:rPr>
          <w:rFonts w:ascii="Arial" w:hAnsi="Arial" w:cs="Arial"/>
          <w:b/>
          <w:bCs/>
        </w:rPr>
      </w:pPr>
      <w:r w:rsidRPr="00F91756">
        <w:rPr>
          <w:rFonts w:ascii="Arial" w:hAnsi="Arial" w:cs="Arial"/>
          <w:b/>
          <w:bCs/>
        </w:rPr>
        <w:t>Figure 5: Diverse Geographic Footprint of AstraZeneca</w:t>
      </w:r>
    </w:p>
    <w:p w14:paraId="04DF5553" w14:textId="77777777" w:rsidR="003A28C2" w:rsidRPr="00F91756" w:rsidRDefault="00000000">
      <w:pPr>
        <w:jc w:val="center"/>
        <w:rPr>
          <w:rFonts w:ascii="Arial" w:hAnsi="Arial" w:cs="Arial"/>
          <w:i/>
          <w:iCs/>
        </w:rPr>
      </w:pPr>
      <w:r w:rsidRPr="00F91756">
        <w:rPr>
          <w:rFonts w:ascii="Arial" w:hAnsi="Arial" w:cs="Arial"/>
          <w:i/>
          <w:iCs/>
        </w:rPr>
        <w:lastRenderedPageBreak/>
        <w:t>(Source: Carman, 2023)</w:t>
      </w:r>
    </w:p>
    <w:p w14:paraId="06D8FBCA" w14:textId="77777777" w:rsidR="003A28C2" w:rsidRPr="00F91756" w:rsidRDefault="00000000">
      <w:pPr>
        <w:pStyle w:val="Heading3"/>
        <w:spacing w:before="200"/>
        <w:rPr>
          <w:rFonts w:ascii="Arial" w:hAnsi="Arial" w:cs="Arial"/>
          <w:color w:val="000000"/>
        </w:rPr>
      </w:pPr>
      <w:bookmarkStart w:id="7" w:name="_zb2xln3kpxfs" w:colFirst="0" w:colLast="0"/>
      <w:bookmarkEnd w:id="7"/>
      <w:r w:rsidRPr="00F91756">
        <w:rPr>
          <w:rFonts w:ascii="Arial" w:hAnsi="Arial" w:cs="Arial"/>
          <w:color w:val="000000"/>
        </w:rPr>
        <w:t xml:space="preserve">2.2.3. Positioning </w:t>
      </w:r>
    </w:p>
    <w:p w14:paraId="4D40356C" w14:textId="77777777" w:rsidR="003A28C2" w:rsidRPr="00F91756" w:rsidRDefault="00000000">
      <w:pPr>
        <w:widowControl w:val="0"/>
        <w:rPr>
          <w:rFonts w:ascii="Arial" w:hAnsi="Arial" w:cs="Arial"/>
        </w:rPr>
      </w:pPr>
      <w:r w:rsidRPr="00F91756">
        <w:rPr>
          <w:rFonts w:ascii="Arial" w:hAnsi="Arial" w:cs="Arial"/>
        </w:rPr>
        <w:t xml:space="preserve">AstraZeneca </w:t>
      </w:r>
      <w:proofErr w:type="spellStart"/>
      <w:r w:rsidRPr="00F91756">
        <w:rPr>
          <w:rFonts w:ascii="Arial" w:hAnsi="Arial" w:cs="Arial"/>
        </w:rPr>
        <w:t>emphasises</w:t>
      </w:r>
      <w:proofErr w:type="spellEnd"/>
      <w:r w:rsidRPr="00F91756">
        <w:rPr>
          <w:rFonts w:ascii="Arial" w:hAnsi="Arial" w:cs="Arial"/>
        </w:rPr>
        <w:t xml:space="preserve"> its positioning strategy by building on scientific innovation in India. It also focuses on the transformation of healthcare in specific therapeutic areas such as oncology, chronic diseases and other rare diseases. The aim of this company is to be a patient-focused leader by advancing its pipeline with cutting-edge science in India. It also integrates the data and technology such as AI by ensuring improved access to its medicines (AstraZeneca, 2023b). This company focuses on science and innovation by developing next-generation therapies and including advanced biologics, nucleotide-based and cell therapies. It also emphasizes the power of AI and data science which accelerates drug discovery and development by focusing R&amp;D efforts on therapeutic areas with significant unmet medical need.</w:t>
      </w:r>
    </w:p>
    <w:p w14:paraId="334E3D30" w14:textId="77777777" w:rsidR="003A28C2" w:rsidRPr="00F91756" w:rsidRDefault="00000000">
      <w:pPr>
        <w:widowControl w:val="0"/>
        <w:rPr>
          <w:rFonts w:ascii="Arial" w:hAnsi="Arial" w:cs="Arial"/>
        </w:rPr>
      </w:pPr>
      <w:r w:rsidRPr="00F91756">
        <w:rPr>
          <w:rFonts w:ascii="Arial" w:hAnsi="Arial" w:cs="Arial"/>
        </w:rPr>
        <w:t>The therapeutic area leadership of this company establishes the leadership in oncology with a hope to remove cancer which is a cause of death in India. It also transforms care for chronic diseases in the bio-pharmaceuticals area by improving the lives of those with rare diseases (Alajmi, 2023). AstraZeneca engages with the entire healthcare ecosystem which drives the positive change by forming visionary partnerships to improve access to innovative medicines in India.</w:t>
      </w:r>
    </w:p>
    <w:p w14:paraId="5B8E22D1" w14:textId="77777777" w:rsidR="003A28C2" w:rsidRPr="00F91756" w:rsidRDefault="00000000">
      <w:pPr>
        <w:widowControl w:val="0"/>
        <w:jc w:val="center"/>
        <w:rPr>
          <w:rFonts w:ascii="Arial" w:hAnsi="Arial" w:cs="Arial"/>
        </w:rPr>
      </w:pPr>
      <w:r w:rsidRPr="00F91756">
        <w:rPr>
          <w:rFonts w:ascii="Arial" w:hAnsi="Arial" w:cs="Arial"/>
          <w:noProof/>
        </w:rPr>
        <w:drawing>
          <wp:inline distT="114300" distB="114300" distL="114300" distR="114300" wp14:anchorId="303303B5" wp14:editId="3021F851">
            <wp:extent cx="5969021" cy="2453022"/>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69021" cy="2453022"/>
                    </a:xfrm>
                    <a:prstGeom prst="rect">
                      <a:avLst/>
                    </a:prstGeom>
                    <a:ln w="25400">
                      <a:solidFill>
                        <a:srgbClr val="000000"/>
                      </a:solidFill>
                      <a:prstDash val="solid"/>
                    </a:ln>
                  </pic:spPr>
                </pic:pic>
              </a:graphicData>
            </a:graphic>
          </wp:inline>
        </w:drawing>
      </w:r>
    </w:p>
    <w:p w14:paraId="76DA9798" w14:textId="77777777" w:rsidR="003A28C2" w:rsidRPr="00F91756" w:rsidRDefault="00000000">
      <w:pPr>
        <w:widowControl w:val="0"/>
        <w:jc w:val="center"/>
        <w:rPr>
          <w:rFonts w:ascii="Arial" w:hAnsi="Arial" w:cs="Arial"/>
          <w:b/>
          <w:bCs/>
        </w:rPr>
      </w:pPr>
      <w:r w:rsidRPr="00F91756">
        <w:rPr>
          <w:rFonts w:ascii="Arial" w:hAnsi="Arial" w:cs="Arial"/>
          <w:b/>
          <w:bCs/>
        </w:rPr>
        <w:t>Figure 6: Performance in the 2024 Index of AstraZeneca</w:t>
      </w:r>
    </w:p>
    <w:p w14:paraId="3AF6A319" w14:textId="77777777" w:rsidR="003A28C2" w:rsidRPr="00F91756" w:rsidRDefault="00000000">
      <w:pPr>
        <w:widowControl w:val="0"/>
        <w:jc w:val="center"/>
        <w:rPr>
          <w:rFonts w:ascii="Arial" w:hAnsi="Arial" w:cs="Arial"/>
          <w:i/>
          <w:iCs/>
        </w:rPr>
      </w:pPr>
      <w:r w:rsidRPr="00F91756">
        <w:rPr>
          <w:rFonts w:ascii="Arial" w:hAnsi="Arial" w:cs="Arial"/>
          <w:i/>
          <w:iCs/>
        </w:rPr>
        <w:lastRenderedPageBreak/>
        <w:t>(Source: AstraZeneca plc, 2025)</w:t>
      </w:r>
    </w:p>
    <w:p w14:paraId="22DBB9BF" w14:textId="77777777" w:rsidR="003A28C2" w:rsidRPr="00F91756" w:rsidRDefault="00000000">
      <w:pPr>
        <w:pStyle w:val="Heading1"/>
        <w:spacing w:before="200"/>
        <w:rPr>
          <w:rFonts w:ascii="Arial" w:hAnsi="Arial" w:cs="Arial"/>
          <w:color w:val="000000"/>
        </w:rPr>
      </w:pPr>
      <w:bookmarkStart w:id="8" w:name="_2sb6v5bbmri1" w:colFirst="0" w:colLast="0"/>
      <w:bookmarkEnd w:id="8"/>
      <w:r w:rsidRPr="00F91756">
        <w:rPr>
          <w:rFonts w:ascii="Arial" w:hAnsi="Arial" w:cs="Arial"/>
          <w:color w:val="000000"/>
        </w:rPr>
        <w:t>3. Comprehensive Strategic Analysis</w:t>
      </w:r>
    </w:p>
    <w:p w14:paraId="627188AF" w14:textId="77777777" w:rsidR="003A28C2" w:rsidRPr="00F91756" w:rsidRDefault="00000000">
      <w:pPr>
        <w:pStyle w:val="Heading2"/>
        <w:spacing w:before="200"/>
        <w:rPr>
          <w:rFonts w:ascii="Arial" w:hAnsi="Arial" w:cs="Arial"/>
          <w:b w:val="0"/>
          <w:bCs w:val="0"/>
          <w:color w:val="000000"/>
        </w:rPr>
      </w:pPr>
      <w:bookmarkStart w:id="9" w:name="_cu0dxgducz57" w:colFirst="0" w:colLast="0"/>
      <w:bookmarkEnd w:id="9"/>
      <w:r w:rsidRPr="00F91756">
        <w:rPr>
          <w:rFonts w:ascii="Arial" w:hAnsi="Arial" w:cs="Arial"/>
          <w:color w:val="000000"/>
        </w:rPr>
        <w:t>3.1. PESTLE Analysis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A28C2" w:rsidRPr="00F91756" w14:paraId="6FF7FD25" w14:textId="77777777">
        <w:tc>
          <w:tcPr>
            <w:tcW w:w="4680" w:type="dxa"/>
            <w:shd w:val="clear" w:color="auto" w:fill="00FFFF"/>
            <w:tcMar>
              <w:top w:w="100" w:type="dxa"/>
              <w:left w:w="100" w:type="dxa"/>
              <w:bottom w:w="100" w:type="dxa"/>
              <w:right w:w="100" w:type="dxa"/>
            </w:tcMar>
          </w:tcPr>
          <w:p w14:paraId="38959989" w14:textId="77777777" w:rsidR="003A28C2" w:rsidRPr="00F91756" w:rsidRDefault="00000000">
            <w:pPr>
              <w:widowControl w:val="0"/>
              <w:spacing w:after="0"/>
              <w:jc w:val="center"/>
              <w:rPr>
                <w:rFonts w:ascii="Arial" w:hAnsi="Arial" w:cs="Arial"/>
                <w:b/>
                <w:bCs/>
              </w:rPr>
            </w:pPr>
            <w:r w:rsidRPr="00F91756">
              <w:rPr>
                <w:rFonts w:ascii="Arial" w:hAnsi="Arial" w:cs="Arial"/>
                <w:b/>
                <w:bCs/>
              </w:rPr>
              <w:t>PESTEL</w:t>
            </w:r>
          </w:p>
        </w:tc>
        <w:tc>
          <w:tcPr>
            <w:tcW w:w="4680" w:type="dxa"/>
            <w:shd w:val="clear" w:color="auto" w:fill="00FFFF"/>
            <w:tcMar>
              <w:top w:w="100" w:type="dxa"/>
              <w:left w:w="100" w:type="dxa"/>
              <w:bottom w:w="100" w:type="dxa"/>
              <w:right w:w="100" w:type="dxa"/>
            </w:tcMar>
          </w:tcPr>
          <w:p w14:paraId="5E2FEF30" w14:textId="77777777" w:rsidR="003A28C2" w:rsidRPr="00F91756" w:rsidRDefault="00000000">
            <w:pPr>
              <w:widowControl w:val="0"/>
              <w:spacing w:after="0"/>
              <w:jc w:val="center"/>
              <w:rPr>
                <w:rFonts w:ascii="Arial" w:hAnsi="Arial" w:cs="Arial"/>
                <w:b/>
                <w:bCs/>
              </w:rPr>
            </w:pPr>
            <w:r w:rsidRPr="00F91756">
              <w:rPr>
                <w:rFonts w:ascii="Arial" w:hAnsi="Arial" w:cs="Arial"/>
                <w:b/>
                <w:bCs/>
              </w:rPr>
              <w:t>Description</w:t>
            </w:r>
          </w:p>
        </w:tc>
      </w:tr>
      <w:tr w:rsidR="003A28C2" w:rsidRPr="00F91756" w14:paraId="0307DE46" w14:textId="77777777">
        <w:tc>
          <w:tcPr>
            <w:tcW w:w="4680" w:type="dxa"/>
            <w:tcMar>
              <w:top w:w="100" w:type="dxa"/>
              <w:left w:w="100" w:type="dxa"/>
              <w:bottom w:w="100" w:type="dxa"/>
              <w:right w:w="100" w:type="dxa"/>
            </w:tcMar>
          </w:tcPr>
          <w:p w14:paraId="17B7662F" w14:textId="77777777" w:rsidR="003A28C2" w:rsidRPr="00F91756" w:rsidRDefault="00000000">
            <w:pPr>
              <w:widowControl w:val="0"/>
              <w:spacing w:after="0"/>
              <w:rPr>
                <w:rFonts w:ascii="Arial" w:hAnsi="Arial" w:cs="Arial"/>
                <w:b/>
                <w:bCs/>
              </w:rPr>
            </w:pPr>
            <w:r w:rsidRPr="00F91756">
              <w:rPr>
                <w:rFonts w:ascii="Arial" w:hAnsi="Arial" w:cs="Arial"/>
                <w:b/>
                <w:bCs/>
              </w:rPr>
              <w:t>Political</w:t>
            </w:r>
          </w:p>
        </w:tc>
        <w:tc>
          <w:tcPr>
            <w:tcW w:w="4680" w:type="dxa"/>
            <w:tcMar>
              <w:top w:w="100" w:type="dxa"/>
              <w:left w:w="100" w:type="dxa"/>
              <w:bottom w:w="100" w:type="dxa"/>
              <w:right w:w="100" w:type="dxa"/>
            </w:tcMar>
          </w:tcPr>
          <w:p w14:paraId="71D7E8B8" w14:textId="77777777" w:rsidR="003A28C2" w:rsidRPr="00F91756" w:rsidRDefault="00000000">
            <w:pPr>
              <w:widowControl w:val="0"/>
              <w:spacing w:after="0"/>
              <w:rPr>
                <w:rFonts w:ascii="Arial" w:hAnsi="Arial" w:cs="Arial"/>
              </w:rPr>
            </w:pPr>
            <w:r w:rsidRPr="00F91756">
              <w:rPr>
                <w:rFonts w:ascii="Arial" w:hAnsi="Arial" w:cs="Arial"/>
              </w:rPr>
              <w:t xml:space="preserve">The </w:t>
            </w:r>
            <w:proofErr w:type="spellStart"/>
            <w:r w:rsidRPr="00F91756">
              <w:rPr>
                <w:rFonts w:ascii="Arial" w:hAnsi="Arial" w:cs="Arial"/>
              </w:rPr>
              <w:t>organisation</w:t>
            </w:r>
            <w:proofErr w:type="spellEnd"/>
            <w:r w:rsidRPr="00F91756">
              <w:rPr>
                <w:rFonts w:ascii="Arial" w:hAnsi="Arial" w:cs="Arial"/>
              </w:rPr>
              <w:t xml:space="preserve"> relates to government policies and regulations that may or may not impact its business environment in India. </w:t>
            </w:r>
          </w:p>
        </w:tc>
      </w:tr>
      <w:tr w:rsidR="003A28C2" w:rsidRPr="00F91756" w14:paraId="0DB84657" w14:textId="77777777">
        <w:tc>
          <w:tcPr>
            <w:tcW w:w="4680" w:type="dxa"/>
            <w:tcMar>
              <w:top w:w="100" w:type="dxa"/>
              <w:left w:w="100" w:type="dxa"/>
              <w:bottom w:w="100" w:type="dxa"/>
              <w:right w:w="100" w:type="dxa"/>
            </w:tcMar>
          </w:tcPr>
          <w:p w14:paraId="5FE6C79E" w14:textId="77777777" w:rsidR="003A28C2" w:rsidRPr="00F91756" w:rsidRDefault="00000000">
            <w:pPr>
              <w:widowControl w:val="0"/>
              <w:spacing w:after="0"/>
              <w:rPr>
                <w:rFonts w:ascii="Arial" w:hAnsi="Arial" w:cs="Arial"/>
                <w:b/>
                <w:bCs/>
              </w:rPr>
            </w:pPr>
            <w:r w:rsidRPr="00F91756">
              <w:rPr>
                <w:rFonts w:ascii="Arial" w:hAnsi="Arial" w:cs="Arial"/>
                <w:b/>
                <w:bCs/>
              </w:rPr>
              <w:t>Economic</w:t>
            </w:r>
          </w:p>
        </w:tc>
        <w:tc>
          <w:tcPr>
            <w:tcW w:w="4680" w:type="dxa"/>
            <w:tcMar>
              <w:top w:w="100" w:type="dxa"/>
              <w:left w:w="100" w:type="dxa"/>
              <w:bottom w:w="100" w:type="dxa"/>
              <w:right w:w="100" w:type="dxa"/>
            </w:tcMar>
          </w:tcPr>
          <w:p w14:paraId="3384EE57" w14:textId="77777777" w:rsidR="003A28C2" w:rsidRPr="00F91756" w:rsidRDefault="00000000">
            <w:pPr>
              <w:widowControl w:val="0"/>
              <w:spacing w:after="0"/>
              <w:rPr>
                <w:rFonts w:ascii="Arial" w:hAnsi="Arial" w:cs="Arial"/>
              </w:rPr>
            </w:pPr>
            <w:r w:rsidRPr="00F91756">
              <w:rPr>
                <w:rFonts w:ascii="Arial" w:hAnsi="Arial" w:cs="Arial"/>
              </w:rPr>
              <w:t xml:space="preserve">It deals with economic conditions and affects its operations and growth (The Strategy Story, 2023). </w:t>
            </w:r>
          </w:p>
        </w:tc>
      </w:tr>
      <w:tr w:rsidR="003A28C2" w:rsidRPr="00F91756" w14:paraId="689A2745" w14:textId="77777777">
        <w:tc>
          <w:tcPr>
            <w:tcW w:w="4680" w:type="dxa"/>
            <w:tcMar>
              <w:top w:w="100" w:type="dxa"/>
              <w:left w:w="100" w:type="dxa"/>
              <w:bottom w:w="100" w:type="dxa"/>
              <w:right w:w="100" w:type="dxa"/>
            </w:tcMar>
          </w:tcPr>
          <w:p w14:paraId="716F3D10" w14:textId="77777777" w:rsidR="003A28C2" w:rsidRPr="00F91756" w:rsidRDefault="00000000">
            <w:pPr>
              <w:widowControl w:val="0"/>
              <w:spacing w:after="0"/>
              <w:rPr>
                <w:rFonts w:ascii="Arial" w:hAnsi="Arial" w:cs="Arial"/>
                <w:b/>
                <w:bCs/>
              </w:rPr>
            </w:pPr>
            <w:r w:rsidRPr="00F91756">
              <w:rPr>
                <w:rFonts w:ascii="Arial" w:hAnsi="Arial" w:cs="Arial"/>
                <w:b/>
                <w:bCs/>
              </w:rPr>
              <w:t>Social</w:t>
            </w:r>
          </w:p>
        </w:tc>
        <w:tc>
          <w:tcPr>
            <w:tcW w:w="4680" w:type="dxa"/>
            <w:tcMar>
              <w:top w:w="100" w:type="dxa"/>
              <w:left w:w="100" w:type="dxa"/>
              <w:bottom w:w="100" w:type="dxa"/>
              <w:right w:w="100" w:type="dxa"/>
            </w:tcMar>
          </w:tcPr>
          <w:p w14:paraId="53867743" w14:textId="77777777" w:rsidR="003A28C2" w:rsidRPr="00F91756" w:rsidRDefault="00000000">
            <w:pPr>
              <w:widowControl w:val="0"/>
              <w:spacing w:after="0"/>
              <w:rPr>
                <w:rFonts w:ascii="Arial" w:hAnsi="Arial" w:cs="Arial"/>
              </w:rPr>
            </w:pPr>
            <w:r w:rsidRPr="00F91756">
              <w:rPr>
                <w:rFonts w:ascii="Arial" w:hAnsi="Arial" w:cs="Arial"/>
              </w:rPr>
              <w:t xml:space="preserve">It relates to both social and cultural aspects that influence the customer preferences, lifestyles, demographics, and market trends of the pharmaceutical industry. </w:t>
            </w:r>
          </w:p>
        </w:tc>
      </w:tr>
      <w:tr w:rsidR="003A28C2" w:rsidRPr="00F91756" w14:paraId="08A79D7A" w14:textId="77777777">
        <w:tc>
          <w:tcPr>
            <w:tcW w:w="4680" w:type="dxa"/>
            <w:tcMar>
              <w:top w:w="100" w:type="dxa"/>
              <w:left w:w="100" w:type="dxa"/>
              <w:bottom w:w="100" w:type="dxa"/>
              <w:right w:w="100" w:type="dxa"/>
            </w:tcMar>
          </w:tcPr>
          <w:p w14:paraId="7CE16B6A" w14:textId="77777777" w:rsidR="003A28C2" w:rsidRPr="00F91756" w:rsidRDefault="00000000">
            <w:pPr>
              <w:widowControl w:val="0"/>
              <w:spacing w:after="0"/>
              <w:rPr>
                <w:rFonts w:ascii="Arial" w:hAnsi="Arial" w:cs="Arial"/>
                <w:b/>
                <w:bCs/>
              </w:rPr>
            </w:pPr>
            <w:r w:rsidRPr="00F91756">
              <w:rPr>
                <w:rFonts w:ascii="Arial" w:hAnsi="Arial" w:cs="Arial"/>
                <w:b/>
                <w:bCs/>
              </w:rPr>
              <w:t>Technological</w:t>
            </w:r>
          </w:p>
        </w:tc>
        <w:tc>
          <w:tcPr>
            <w:tcW w:w="4680" w:type="dxa"/>
            <w:tcMar>
              <w:top w:w="100" w:type="dxa"/>
              <w:left w:w="100" w:type="dxa"/>
              <w:bottom w:w="100" w:type="dxa"/>
              <w:right w:w="100" w:type="dxa"/>
            </w:tcMar>
          </w:tcPr>
          <w:p w14:paraId="6EE2AA2E" w14:textId="77777777" w:rsidR="003A28C2" w:rsidRPr="00F91756" w:rsidRDefault="00000000">
            <w:pPr>
              <w:widowControl w:val="0"/>
              <w:spacing w:after="0"/>
              <w:rPr>
                <w:rFonts w:ascii="Arial" w:hAnsi="Arial" w:cs="Arial"/>
              </w:rPr>
            </w:pPr>
            <w:r w:rsidRPr="00F91756">
              <w:rPr>
                <w:rFonts w:ascii="Arial" w:hAnsi="Arial" w:cs="Arial"/>
              </w:rPr>
              <w:t xml:space="preserve">It applies new technologies, innovations and tends to impact the industry in India. </w:t>
            </w:r>
          </w:p>
        </w:tc>
      </w:tr>
      <w:tr w:rsidR="003A28C2" w:rsidRPr="00F91756" w14:paraId="556F3E83" w14:textId="77777777">
        <w:tc>
          <w:tcPr>
            <w:tcW w:w="4680" w:type="dxa"/>
            <w:tcMar>
              <w:top w:w="100" w:type="dxa"/>
              <w:left w:w="100" w:type="dxa"/>
              <w:bottom w:w="100" w:type="dxa"/>
              <w:right w:w="100" w:type="dxa"/>
            </w:tcMar>
          </w:tcPr>
          <w:p w14:paraId="2151010D" w14:textId="77777777" w:rsidR="003A28C2" w:rsidRPr="00F91756" w:rsidRDefault="00000000">
            <w:pPr>
              <w:widowControl w:val="0"/>
              <w:spacing w:after="0"/>
              <w:rPr>
                <w:rFonts w:ascii="Arial" w:hAnsi="Arial" w:cs="Arial"/>
                <w:b/>
                <w:bCs/>
              </w:rPr>
            </w:pPr>
            <w:r w:rsidRPr="00F91756">
              <w:rPr>
                <w:rFonts w:ascii="Arial" w:hAnsi="Arial" w:cs="Arial"/>
                <w:b/>
                <w:bCs/>
              </w:rPr>
              <w:t>Environmental</w:t>
            </w:r>
          </w:p>
        </w:tc>
        <w:tc>
          <w:tcPr>
            <w:tcW w:w="4680" w:type="dxa"/>
            <w:tcMar>
              <w:top w:w="100" w:type="dxa"/>
              <w:left w:w="100" w:type="dxa"/>
              <w:bottom w:w="100" w:type="dxa"/>
              <w:right w:w="100" w:type="dxa"/>
            </w:tcMar>
          </w:tcPr>
          <w:p w14:paraId="3BA21E40" w14:textId="77777777" w:rsidR="003A28C2" w:rsidRPr="00F91756" w:rsidRDefault="00000000">
            <w:pPr>
              <w:widowControl w:val="0"/>
              <w:spacing w:after="0"/>
              <w:rPr>
                <w:rFonts w:ascii="Arial" w:hAnsi="Arial" w:cs="Arial"/>
              </w:rPr>
            </w:pPr>
            <w:r w:rsidRPr="00F91756">
              <w:rPr>
                <w:rFonts w:ascii="Arial" w:hAnsi="Arial" w:cs="Arial"/>
              </w:rPr>
              <w:t xml:space="preserve">The ecological and environmental concerns affect the operations and decision-making process of the company. </w:t>
            </w:r>
          </w:p>
        </w:tc>
      </w:tr>
      <w:tr w:rsidR="003A28C2" w:rsidRPr="00F91756" w14:paraId="1F92248B" w14:textId="77777777">
        <w:tc>
          <w:tcPr>
            <w:tcW w:w="4680" w:type="dxa"/>
            <w:tcMar>
              <w:top w:w="100" w:type="dxa"/>
              <w:left w:w="100" w:type="dxa"/>
              <w:bottom w:w="100" w:type="dxa"/>
              <w:right w:w="100" w:type="dxa"/>
            </w:tcMar>
          </w:tcPr>
          <w:p w14:paraId="27BE0973" w14:textId="77777777" w:rsidR="003A28C2" w:rsidRPr="00F91756" w:rsidRDefault="00000000">
            <w:pPr>
              <w:widowControl w:val="0"/>
              <w:spacing w:after="0"/>
              <w:rPr>
                <w:rFonts w:ascii="Arial" w:hAnsi="Arial" w:cs="Arial"/>
                <w:b/>
                <w:bCs/>
              </w:rPr>
            </w:pPr>
            <w:r w:rsidRPr="00F91756">
              <w:rPr>
                <w:rFonts w:ascii="Arial" w:hAnsi="Arial" w:cs="Arial"/>
                <w:b/>
                <w:bCs/>
              </w:rPr>
              <w:t>Legal</w:t>
            </w:r>
          </w:p>
        </w:tc>
        <w:tc>
          <w:tcPr>
            <w:tcW w:w="4680" w:type="dxa"/>
            <w:tcMar>
              <w:top w:w="100" w:type="dxa"/>
              <w:left w:w="100" w:type="dxa"/>
              <w:bottom w:w="100" w:type="dxa"/>
              <w:right w:w="100" w:type="dxa"/>
            </w:tcMar>
          </w:tcPr>
          <w:p w14:paraId="407D3CCC" w14:textId="77777777" w:rsidR="003A28C2" w:rsidRPr="00F91756" w:rsidRDefault="00000000">
            <w:pPr>
              <w:widowControl w:val="0"/>
              <w:spacing w:after="0"/>
              <w:rPr>
                <w:rFonts w:ascii="Arial" w:hAnsi="Arial" w:cs="Arial"/>
              </w:rPr>
            </w:pPr>
            <w:r w:rsidRPr="00F91756">
              <w:rPr>
                <w:rFonts w:ascii="Arial" w:hAnsi="Arial" w:cs="Arial"/>
              </w:rPr>
              <w:t xml:space="preserve">It refers to various laws and regulations governed by the company for its business in the industry. </w:t>
            </w:r>
          </w:p>
        </w:tc>
      </w:tr>
    </w:tbl>
    <w:p w14:paraId="4490B872" w14:textId="77777777" w:rsidR="003A28C2" w:rsidRPr="00F91756" w:rsidRDefault="00000000">
      <w:pPr>
        <w:spacing w:before="200" w:after="0"/>
        <w:jc w:val="center"/>
        <w:rPr>
          <w:rFonts w:ascii="Arial" w:hAnsi="Arial" w:cs="Arial"/>
          <w:b/>
          <w:bCs/>
        </w:rPr>
      </w:pPr>
      <w:r w:rsidRPr="00F91756">
        <w:rPr>
          <w:rFonts w:ascii="Arial" w:hAnsi="Arial" w:cs="Arial"/>
          <w:b/>
          <w:bCs/>
        </w:rPr>
        <w:t>Table 1: PESTEL Analysis of AstraZeneca</w:t>
      </w:r>
    </w:p>
    <w:p w14:paraId="7F00BFFB" w14:textId="77777777" w:rsidR="003A28C2" w:rsidRPr="00F91756" w:rsidRDefault="00000000">
      <w:pPr>
        <w:spacing w:before="200" w:after="0"/>
        <w:jc w:val="center"/>
        <w:rPr>
          <w:rFonts w:ascii="Arial" w:hAnsi="Arial" w:cs="Arial"/>
        </w:rPr>
      </w:pPr>
      <w:r w:rsidRPr="00F91756">
        <w:rPr>
          <w:rFonts w:ascii="Arial" w:hAnsi="Arial" w:cs="Arial"/>
        </w:rPr>
        <w:lastRenderedPageBreak/>
        <w:t>(Source: Self-created)</w:t>
      </w:r>
    </w:p>
    <w:p w14:paraId="5AD206D4" w14:textId="77777777" w:rsidR="003A28C2" w:rsidRPr="00F91756" w:rsidRDefault="00000000">
      <w:pPr>
        <w:spacing w:before="200" w:after="0"/>
        <w:rPr>
          <w:rFonts w:ascii="Arial" w:hAnsi="Arial" w:cs="Arial"/>
          <w:b/>
          <w:bCs/>
        </w:rPr>
      </w:pPr>
      <w:r w:rsidRPr="00F91756">
        <w:rPr>
          <w:rFonts w:ascii="Arial" w:hAnsi="Arial" w:cs="Arial"/>
          <w:b/>
          <w:bCs/>
        </w:rPr>
        <w:t>Analysis:</w:t>
      </w:r>
    </w:p>
    <w:p w14:paraId="465CDC97" w14:textId="77777777" w:rsidR="003A28C2" w:rsidRPr="00F91756" w:rsidRDefault="00000000">
      <w:pPr>
        <w:spacing w:before="200" w:after="0"/>
        <w:rPr>
          <w:rFonts w:ascii="Arial" w:hAnsi="Arial" w:cs="Arial"/>
        </w:rPr>
      </w:pPr>
      <w:r w:rsidRPr="00F91756">
        <w:rPr>
          <w:rFonts w:ascii="Arial" w:hAnsi="Arial" w:cs="Arial"/>
        </w:rPr>
        <w:t xml:space="preserve">The Pestle analysis of AstraZeneca depicts a competitive industry for it, with full of opportunities. The Political factors of this company focus on the stability of the market, most importantly in countries such as the USA and the UK. Government support is evident for science-based pharmaceutical research. However, the company also faces significant challenges regarding this factor, as political changes, trade policies and government regulations significantly impact the operations and profitability of the company (The Strategy Story, 2023). The economic factors impacting the company assess its growth in emerging markets offer opportunities to diversify revenue streams and expand market share. However, it faces challenges regarding high costs, inflation, and economic downturns in the industry that can affect the financial performance of the company. </w:t>
      </w:r>
    </w:p>
    <w:p w14:paraId="73876412" w14:textId="77777777" w:rsidR="003A28C2" w:rsidRPr="00F91756" w:rsidRDefault="00000000">
      <w:pPr>
        <w:spacing w:before="200" w:after="0"/>
        <w:rPr>
          <w:rFonts w:ascii="Arial" w:hAnsi="Arial" w:cs="Arial"/>
        </w:rPr>
      </w:pPr>
      <w:r w:rsidRPr="00F91756">
        <w:rPr>
          <w:rFonts w:ascii="Arial" w:hAnsi="Arial" w:cs="Arial"/>
        </w:rPr>
        <w:t xml:space="preserve">Due to the increasing population of aged people, it has become a prominent social factor for the company. It focuses on rare diseases and </w:t>
      </w:r>
      <w:proofErr w:type="spellStart"/>
      <w:r w:rsidRPr="00F91756">
        <w:rPr>
          <w:rFonts w:ascii="Arial" w:hAnsi="Arial" w:cs="Arial"/>
        </w:rPr>
        <w:t>personalised</w:t>
      </w:r>
      <w:proofErr w:type="spellEnd"/>
      <w:r w:rsidRPr="00F91756">
        <w:rPr>
          <w:rFonts w:ascii="Arial" w:hAnsi="Arial" w:cs="Arial"/>
        </w:rPr>
        <w:t xml:space="preserve"> medicine that aligns with the evolving needs of the patient. However, the attitude of the patients can shift, and it can bring a differing perception regarding healthcare and medicine in the industry. The technological factors mostly consist of the usage of new technologies, such as AI, ML, and various digital platforms that can offer significant potential to accelerate drug discovery, improve clinical trial efficiency, and enhance patient outcomes (Swotandpestle.com, 2025). However, High investment in R&amp;D is required to keep pace with rapid technological developments. The environmental factor refers to its commitment to sustainability, but issues, such as climate change, can impact its supply chain management and reduce its environmental footprint. To gain a significant legal advantage, it needs to implement strong intellectual properties, but it can face challenges regarding data privacy laws and rug approvals. </w:t>
      </w:r>
    </w:p>
    <w:p w14:paraId="2C16F0DD" w14:textId="77777777" w:rsidR="003A28C2" w:rsidRPr="00F91756" w:rsidRDefault="00000000">
      <w:pPr>
        <w:pStyle w:val="Heading2"/>
        <w:spacing w:before="200"/>
        <w:rPr>
          <w:rFonts w:ascii="Arial" w:hAnsi="Arial" w:cs="Arial"/>
          <w:b w:val="0"/>
          <w:bCs w:val="0"/>
          <w:color w:val="000000"/>
        </w:rPr>
      </w:pPr>
      <w:bookmarkStart w:id="10" w:name="_vdvjzsubvals" w:colFirst="0" w:colLast="0"/>
      <w:bookmarkEnd w:id="10"/>
      <w:r w:rsidRPr="00F91756">
        <w:rPr>
          <w:rFonts w:ascii="Arial" w:hAnsi="Arial" w:cs="Arial"/>
          <w:color w:val="000000"/>
        </w:rPr>
        <w:t>3.2. Porter’s Five Forces</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A28C2" w:rsidRPr="00F91756" w14:paraId="51B9BBFE" w14:textId="77777777">
        <w:tc>
          <w:tcPr>
            <w:tcW w:w="4680" w:type="dxa"/>
            <w:shd w:val="clear" w:color="auto" w:fill="FFF2CC"/>
            <w:tcMar>
              <w:top w:w="100" w:type="dxa"/>
              <w:left w:w="100" w:type="dxa"/>
              <w:bottom w:w="100" w:type="dxa"/>
              <w:right w:w="100" w:type="dxa"/>
            </w:tcMar>
          </w:tcPr>
          <w:p w14:paraId="07231E8A" w14:textId="77777777" w:rsidR="003A28C2" w:rsidRPr="00F91756" w:rsidRDefault="00000000">
            <w:pPr>
              <w:widowControl w:val="0"/>
              <w:spacing w:after="0"/>
              <w:jc w:val="center"/>
              <w:rPr>
                <w:rFonts w:ascii="Arial" w:hAnsi="Arial" w:cs="Arial"/>
                <w:b/>
                <w:bCs/>
              </w:rPr>
            </w:pPr>
            <w:r w:rsidRPr="00F91756">
              <w:rPr>
                <w:rFonts w:ascii="Arial" w:hAnsi="Arial" w:cs="Arial"/>
                <w:b/>
                <w:bCs/>
              </w:rPr>
              <w:t>Porter’s Five Forces</w:t>
            </w:r>
          </w:p>
        </w:tc>
        <w:tc>
          <w:tcPr>
            <w:tcW w:w="4680" w:type="dxa"/>
            <w:shd w:val="clear" w:color="auto" w:fill="FFF2CC"/>
            <w:tcMar>
              <w:top w:w="100" w:type="dxa"/>
              <w:left w:w="100" w:type="dxa"/>
              <w:bottom w:w="100" w:type="dxa"/>
              <w:right w:w="100" w:type="dxa"/>
            </w:tcMar>
          </w:tcPr>
          <w:p w14:paraId="695735D9" w14:textId="77777777" w:rsidR="003A28C2" w:rsidRPr="00F91756" w:rsidRDefault="00000000">
            <w:pPr>
              <w:widowControl w:val="0"/>
              <w:spacing w:after="0"/>
              <w:jc w:val="center"/>
              <w:rPr>
                <w:rFonts w:ascii="Arial" w:hAnsi="Arial" w:cs="Arial"/>
                <w:b/>
                <w:bCs/>
              </w:rPr>
            </w:pPr>
            <w:r w:rsidRPr="00F91756">
              <w:rPr>
                <w:rFonts w:ascii="Arial" w:hAnsi="Arial" w:cs="Arial"/>
                <w:b/>
                <w:bCs/>
              </w:rPr>
              <w:t>Level of Threat</w:t>
            </w:r>
          </w:p>
        </w:tc>
      </w:tr>
      <w:tr w:rsidR="003A28C2" w:rsidRPr="00F91756" w14:paraId="7CFE269A" w14:textId="77777777">
        <w:tc>
          <w:tcPr>
            <w:tcW w:w="4680" w:type="dxa"/>
            <w:tcMar>
              <w:top w:w="100" w:type="dxa"/>
              <w:left w:w="100" w:type="dxa"/>
              <w:bottom w:w="100" w:type="dxa"/>
              <w:right w:w="100" w:type="dxa"/>
            </w:tcMar>
          </w:tcPr>
          <w:p w14:paraId="5D6DEA45" w14:textId="77777777" w:rsidR="003A28C2" w:rsidRPr="00F91756" w:rsidRDefault="00000000">
            <w:pPr>
              <w:widowControl w:val="0"/>
              <w:spacing w:after="0"/>
              <w:rPr>
                <w:rFonts w:ascii="Arial" w:hAnsi="Arial" w:cs="Arial"/>
                <w:b/>
                <w:bCs/>
              </w:rPr>
            </w:pPr>
            <w:r w:rsidRPr="00F91756">
              <w:rPr>
                <w:rFonts w:ascii="Arial" w:hAnsi="Arial" w:cs="Arial"/>
                <w:b/>
                <w:bCs/>
              </w:rPr>
              <w:lastRenderedPageBreak/>
              <w:t>Threat of New Entrants</w:t>
            </w:r>
          </w:p>
        </w:tc>
        <w:tc>
          <w:tcPr>
            <w:tcW w:w="4680" w:type="dxa"/>
            <w:tcMar>
              <w:top w:w="100" w:type="dxa"/>
              <w:left w:w="100" w:type="dxa"/>
              <w:bottom w:w="100" w:type="dxa"/>
              <w:right w:w="100" w:type="dxa"/>
            </w:tcMar>
          </w:tcPr>
          <w:p w14:paraId="5CC14197" w14:textId="77777777" w:rsidR="003A28C2" w:rsidRPr="00F91756" w:rsidRDefault="00000000">
            <w:pPr>
              <w:widowControl w:val="0"/>
              <w:spacing w:after="0"/>
              <w:rPr>
                <w:rFonts w:ascii="Arial" w:hAnsi="Arial" w:cs="Arial"/>
              </w:rPr>
            </w:pPr>
            <w:r w:rsidRPr="00F91756">
              <w:rPr>
                <w:rFonts w:ascii="Arial" w:hAnsi="Arial" w:cs="Arial"/>
              </w:rPr>
              <w:t>Moderate</w:t>
            </w:r>
          </w:p>
        </w:tc>
      </w:tr>
      <w:tr w:rsidR="003A28C2" w:rsidRPr="00F91756" w14:paraId="39B1FA4C" w14:textId="77777777">
        <w:tc>
          <w:tcPr>
            <w:tcW w:w="4680" w:type="dxa"/>
            <w:tcMar>
              <w:top w:w="100" w:type="dxa"/>
              <w:left w:w="100" w:type="dxa"/>
              <w:bottom w:w="100" w:type="dxa"/>
              <w:right w:w="100" w:type="dxa"/>
            </w:tcMar>
          </w:tcPr>
          <w:p w14:paraId="3D1BDF9A" w14:textId="77777777" w:rsidR="003A28C2" w:rsidRPr="00F91756" w:rsidRDefault="00000000">
            <w:pPr>
              <w:widowControl w:val="0"/>
              <w:spacing w:after="0"/>
              <w:rPr>
                <w:rFonts w:ascii="Arial" w:hAnsi="Arial" w:cs="Arial"/>
                <w:b/>
                <w:bCs/>
              </w:rPr>
            </w:pPr>
            <w:r w:rsidRPr="00F91756">
              <w:rPr>
                <w:rFonts w:ascii="Arial" w:hAnsi="Arial" w:cs="Arial"/>
                <w:b/>
                <w:bCs/>
              </w:rPr>
              <w:t>Bargaining Power of Buyer’s</w:t>
            </w:r>
          </w:p>
        </w:tc>
        <w:tc>
          <w:tcPr>
            <w:tcW w:w="4680" w:type="dxa"/>
            <w:tcMar>
              <w:top w:w="100" w:type="dxa"/>
              <w:left w:w="100" w:type="dxa"/>
              <w:bottom w:w="100" w:type="dxa"/>
              <w:right w:w="100" w:type="dxa"/>
            </w:tcMar>
          </w:tcPr>
          <w:p w14:paraId="715DE1F2" w14:textId="77777777" w:rsidR="003A28C2" w:rsidRPr="00F91756" w:rsidRDefault="00000000">
            <w:pPr>
              <w:widowControl w:val="0"/>
              <w:spacing w:after="0"/>
              <w:rPr>
                <w:rFonts w:ascii="Arial" w:hAnsi="Arial" w:cs="Arial"/>
              </w:rPr>
            </w:pPr>
            <w:r w:rsidRPr="00F91756">
              <w:rPr>
                <w:rFonts w:ascii="Arial" w:hAnsi="Arial" w:cs="Arial"/>
              </w:rPr>
              <w:t>Moderate</w:t>
            </w:r>
          </w:p>
        </w:tc>
      </w:tr>
      <w:tr w:rsidR="003A28C2" w:rsidRPr="00F91756" w14:paraId="2F202EE3" w14:textId="77777777">
        <w:tc>
          <w:tcPr>
            <w:tcW w:w="4680" w:type="dxa"/>
            <w:tcMar>
              <w:top w:w="100" w:type="dxa"/>
              <w:left w:w="100" w:type="dxa"/>
              <w:bottom w:w="100" w:type="dxa"/>
              <w:right w:w="100" w:type="dxa"/>
            </w:tcMar>
          </w:tcPr>
          <w:p w14:paraId="7BDC1956" w14:textId="77777777" w:rsidR="003A28C2" w:rsidRPr="00F91756" w:rsidRDefault="00000000">
            <w:pPr>
              <w:widowControl w:val="0"/>
              <w:spacing w:after="0"/>
              <w:rPr>
                <w:rFonts w:ascii="Arial" w:hAnsi="Arial" w:cs="Arial"/>
                <w:b/>
                <w:bCs/>
              </w:rPr>
            </w:pPr>
            <w:r w:rsidRPr="00F91756">
              <w:rPr>
                <w:rFonts w:ascii="Arial" w:hAnsi="Arial" w:cs="Arial"/>
                <w:b/>
                <w:bCs/>
              </w:rPr>
              <w:t>Bargaining Power of Suppliers</w:t>
            </w:r>
          </w:p>
        </w:tc>
        <w:tc>
          <w:tcPr>
            <w:tcW w:w="4680" w:type="dxa"/>
            <w:tcMar>
              <w:top w:w="100" w:type="dxa"/>
              <w:left w:w="100" w:type="dxa"/>
              <w:bottom w:w="100" w:type="dxa"/>
              <w:right w:w="100" w:type="dxa"/>
            </w:tcMar>
          </w:tcPr>
          <w:p w14:paraId="45C4EF61" w14:textId="77777777" w:rsidR="003A28C2" w:rsidRPr="00F91756" w:rsidRDefault="00000000">
            <w:pPr>
              <w:widowControl w:val="0"/>
              <w:spacing w:after="0"/>
              <w:rPr>
                <w:rFonts w:ascii="Arial" w:hAnsi="Arial" w:cs="Arial"/>
              </w:rPr>
            </w:pPr>
            <w:r w:rsidRPr="00F91756">
              <w:rPr>
                <w:rFonts w:ascii="Arial" w:hAnsi="Arial" w:cs="Arial"/>
              </w:rPr>
              <w:t>Low</w:t>
            </w:r>
          </w:p>
        </w:tc>
      </w:tr>
      <w:tr w:rsidR="003A28C2" w:rsidRPr="00F91756" w14:paraId="31EBD687" w14:textId="77777777">
        <w:tc>
          <w:tcPr>
            <w:tcW w:w="4680" w:type="dxa"/>
            <w:tcMar>
              <w:top w:w="100" w:type="dxa"/>
              <w:left w:w="100" w:type="dxa"/>
              <w:bottom w:w="100" w:type="dxa"/>
              <w:right w:w="100" w:type="dxa"/>
            </w:tcMar>
          </w:tcPr>
          <w:p w14:paraId="00B37B5B" w14:textId="77777777" w:rsidR="003A28C2" w:rsidRPr="00F91756" w:rsidRDefault="00000000">
            <w:pPr>
              <w:widowControl w:val="0"/>
              <w:spacing w:after="0"/>
              <w:rPr>
                <w:rFonts w:ascii="Arial" w:hAnsi="Arial" w:cs="Arial"/>
                <w:b/>
                <w:bCs/>
              </w:rPr>
            </w:pPr>
            <w:r w:rsidRPr="00F91756">
              <w:rPr>
                <w:rFonts w:ascii="Arial" w:hAnsi="Arial" w:cs="Arial"/>
                <w:b/>
                <w:bCs/>
              </w:rPr>
              <w:t>Threat of Substitute Products</w:t>
            </w:r>
          </w:p>
        </w:tc>
        <w:tc>
          <w:tcPr>
            <w:tcW w:w="4680" w:type="dxa"/>
            <w:tcMar>
              <w:top w:w="100" w:type="dxa"/>
              <w:left w:w="100" w:type="dxa"/>
              <w:bottom w:w="100" w:type="dxa"/>
              <w:right w:w="100" w:type="dxa"/>
            </w:tcMar>
          </w:tcPr>
          <w:p w14:paraId="00901114" w14:textId="77777777" w:rsidR="003A28C2" w:rsidRPr="00F91756" w:rsidRDefault="00000000">
            <w:pPr>
              <w:widowControl w:val="0"/>
              <w:spacing w:after="0"/>
              <w:rPr>
                <w:rFonts w:ascii="Arial" w:hAnsi="Arial" w:cs="Arial"/>
              </w:rPr>
            </w:pPr>
            <w:r w:rsidRPr="00F91756">
              <w:rPr>
                <w:rFonts w:ascii="Arial" w:hAnsi="Arial" w:cs="Arial"/>
              </w:rPr>
              <w:t>High</w:t>
            </w:r>
          </w:p>
        </w:tc>
      </w:tr>
      <w:tr w:rsidR="003A28C2" w:rsidRPr="00F91756" w14:paraId="6E4A8753" w14:textId="77777777">
        <w:tc>
          <w:tcPr>
            <w:tcW w:w="4680" w:type="dxa"/>
            <w:tcMar>
              <w:top w:w="100" w:type="dxa"/>
              <w:left w:w="100" w:type="dxa"/>
              <w:bottom w:w="100" w:type="dxa"/>
              <w:right w:w="100" w:type="dxa"/>
            </w:tcMar>
          </w:tcPr>
          <w:p w14:paraId="3F91C91A" w14:textId="77777777" w:rsidR="003A28C2" w:rsidRPr="00F91756" w:rsidRDefault="00000000">
            <w:pPr>
              <w:widowControl w:val="0"/>
              <w:spacing w:after="0"/>
              <w:rPr>
                <w:rFonts w:ascii="Arial" w:hAnsi="Arial" w:cs="Arial"/>
                <w:b/>
                <w:bCs/>
              </w:rPr>
            </w:pPr>
            <w:r w:rsidRPr="00F91756">
              <w:rPr>
                <w:rFonts w:ascii="Arial" w:hAnsi="Arial" w:cs="Arial"/>
                <w:b/>
                <w:bCs/>
              </w:rPr>
              <w:t>Rivalry Among Existing Companies</w:t>
            </w:r>
          </w:p>
        </w:tc>
        <w:tc>
          <w:tcPr>
            <w:tcW w:w="4680" w:type="dxa"/>
            <w:tcMar>
              <w:top w:w="100" w:type="dxa"/>
              <w:left w:w="100" w:type="dxa"/>
              <w:bottom w:w="100" w:type="dxa"/>
              <w:right w:w="100" w:type="dxa"/>
            </w:tcMar>
          </w:tcPr>
          <w:p w14:paraId="56DCC3A5" w14:textId="77777777" w:rsidR="003A28C2" w:rsidRPr="00F91756" w:rsidRDefault="00000000">
            <w:pPr>
              <w:widowControl w:val="0"/>
              <w:spacing w:after="0"/>
              <w:rPr>
                <w:rFonts w:ascii="Arial" w:hAnsi="Arial" w:cs="Arial"/>
              </w:rPr>
            </w:pPr>
            <w:r w:rsidRPr="00F91756">
              <w:rPr>
                <w:rFonts w:ascii="Arial" w:hAnsi="Arial" w:cs="Arial"/>
              </w:rPr>
              <w:t>High</w:t>
            </w:r>
          </w:p>
        </w:tc>
      </w:tr>
    </w:tbl>
    <w:p w14:paraId="3C367B0E" w14:textId="77777777" w:rsidR="003A28C2" w:rsidRPr="00F91756" w:rsidRDefault="00000000">
      <w:pPr>
        <w:spacing w:before="200" w:after="0"/>
        <w:jc w:val="center"/>
        <w:rPr>
          <w:rFonts w:ascii="Arial" w:hAnsi="Arial" w:cs="Arial"/>
          <w:b/>
          <w:bCs/>
        </w:rPr>
      </w:pPr>
      <w:r w:rsidRPr="00F91756">
        <w:rPr>
          <w:rFonts w:ascii="Arial" w:hAnsi="Arial" w:cs="Arial"/>
          <w:b/>
          <w:bCs/>
        </w:rPr>
        <w:t>Table 2: Porter’s Five Forces of AstraZeneca</w:t>
      </w:r>
    </w:p>
    <w:p w14:paraId="111BA453" w14:textId="77777777" w:rsidR="003A28C2" w:rsidRPr="00F91756" w:rsidRDefault="00000000">
      <w:pPr>
        <w:spacing w:before="200" w:after="0"/>
        <w:jc w:val="center"/>
        <w:rPr>
          <w:rFonts w:ascii="Arial" w:hAnsi="Arial" w:cs="Arial"/>
        </w:rPr>
      </w:pPr>
      <w:r w:rsidRPr="00F91756">
        <w:rPr>
          <w:rFonts w:ascii="Arial" w:hAnsi="Arial" w:cs="Arial"/>
        </w:rPr>
        <w:t>(Source: Self-created)</w:t>
      </w:r>
    </w:p>
    <w:p w14:paraId="6C7BCEA1" w14:textId="77777777" w:rsidR="003A28C2" w:rsidRPr="00F91756" w:rsidRDefault="00000000">
      <w:pPr>
        <w:spacing w:before="200" w:after="0"/>
        <w:rPr>
          <w:rFonts w:ascii="Arial" w:hAnsi="Arial" w:cs="Arial"/>
          <w:b/>
          <w:bCs/>
        </w:rPr>
      </w:pPr>
      <w:r w:rsidRPr="00F91756">
        <w:rPr>
          <w:rFonts w:ascii="Arial" w:hAnsi="Arial" w:cs="Arial"/>
          <w:b/>
          <w:bCs/>
        </w:rPr>
        <w:t xml:space="preserve">Analysis: </w:t>
      </w:r>
    </w:p>
    <w:p w14:paraId="64B2E575" w14:textId="77777777" w:rsidR="003A28C2" w:rsidRPr="00F91756" w:rsidRDefault="00000000">
      <w:pPr>
        <w:spacing w:before="200" w:after="0"/>
        <w:rPr>
          <w:rFonts w:ascii="Arial" w:hAnsi="Arial" w:cs="Arial"/>
        </w:rPr>
      </w:pPr>
      <w:r w:rsidRPr="00F91756">
        <w:rPr>
          <w:rFonts w:ascii="Arial" w:hAnsi="Arial" w:cs="Arial"/>
        </w:rPr>
        <w:t>The Porter’s Five Forces Analysis of AstraZeneca describes its highly competitive position in the pharmaceutical industry. It faces a moderate level of threat from the new entrants, as the company already has an established reputation in the industry, and it is hard for any new company to challenge it immediately (</w:t>
      </w:r>
      <w:proofErr w:type="spellStart"/>
      <w:r w:rsidRPr="00F91756">
        <w:rPr>
          <w:rFonts w:ascii="Arial" w:hAnsi="Arial" w:cs="Arial"/>
        </w:rPr>
        <w:t>Olatoye</w:t>
      </w:r>
      <w:proofErr w:type="spellEnd"/>
      <w:r w:rsidRPr="00F91756">
        <w:rPr>
          <w:rFonts w:ascii="Arial" w:hAnsi="Arial" w:cs="Arial"/>
        </w:rPr>
        <w:t xml:space="preserve">, 2024). Even if the global pharmaceutical industry is highly competitive, with </w:t>
      </w:r>
      <w:proofErr w:type="spellStart"/>
      <w:r w:rsidRPr="00F91756">
        <w:rPr>
          <w:rFonts w:ascii="Arial" w:hAnsi="Arial" w:cs="Arial"/>
        </w:rPr>
        <w:t>specialised</w:t>
      </w:r>
      <w:proofErr w:type="spellEnd"/>
      <w:r w:rsidRPr="00F91756">
        <w:rPr>
          <w:rFonts w:ascii="Arial" w:hAnsi="Arial" w:cs="Arial"/>
        </w:rPr>
        <w:t xml:space="preserve"> branded drugs that are hard to substitute, the threat from cheaper generic alternatives is growing. The buyers also pose a moderate threat to the company as their impact is significantly less. Government agencies or large healthcare systems have more negotiating leverage than individual patients; thus, it impacts the company since the buyers can exert pressure on prices, most importantly for high-volume drugs. </w:t>
      </w:r>
    </w:p>
    <w:p w14:paraId="3E1993CB" w14:textId="77777777" w:rsidR="003A28C2" w:rsidRPr="00F91756" w:rsidRDefault="00000000">
      <w:pPr>
        <w:spacing w:before="200" w:after="0"/>
        <w:rPr>
          <w:rFonts w:ascii="Arial" w:hAnsi="Arial" w:cs="Arial"/>
        </w:rPr>
      </w:pPr>
      <w:r w:rsidRPr="00F91756">
        <w:rPr>
          <w:rFonts w:ascii="Arial" w:hAnsi="Arial" w:cs="Arial"/>
        </w:rPr>
        <w:t xml:space="preserve">The Suppliers, however, have a low threat, since the company has many suppliers available in the industry. The individual suppliers' power is often weak, as many of them </w:t>
      </w:r>
      <w:proofErr w:type="spellStart"/>
      <w:r w:rsidRPr="00F91756">
        <w:rPr>
          <w:rFonts w:ascii="Arial" w:hAnsi="Arial" w:cs="Arial"/>
        </w:rPr>
        <w:t>specialise</w:t>
      </w:r>
      <w:proofErr w:type="spellEnd"/>
      <w:r w:rsidRPr="00F91756">
        <w:rPr>
          <w:rFonts w:ascii="Arial" w:hAnsi="Arial" w:cs="Arial"/>
        </w:rPr>
        <w:t xml:space="preserve"> in specific products or materials. However, a reliance on specific regions for key inputs or </w:t>
      </w:r>
      <w:proofErr w:type="spellStart"/>
      <w:r w:rsidRPr="00F91756">
        <w:rPr>
          <w:rFonts w:ascii="Arial" w:hAnsi="Arial" w:cs="Arial"/>
        </w:rPr>
        <w:t>specialised</w:t>
      </w:r>
      <w:proofErr w:type="spellEnd"/>
      <w:r w:rsidRPr="00F91756">
        <w:rPr>
          <w:rFonts w:ascii="Arial" w:hAnsi="Arial" w:cs="Arial"/>
        </w:rPr>
        <w:t xml:space="preserve"> APIs can increase supplier leverage, creating supply chain vulnerabilities. The threat of substitute products is high (Nutan, 2025). In recent times, there has been a rise in cheaper alternatives in the market. Even though </w:t>
      </w:r>
      <w:proofErr w:type="spellStart"/>
      <w:r w:rsidRPr="00F91756">
        <w:rPr>
          <w:rFonts w:ascii="Arial" w:hAnsi="Arial" w:cs="Arial"/>
        </w:rPr>
        <w:t>specialised</w:t>
      </w:r>
      <w:proofErr w:type="spellEnd"/>
      <w:r w:rsidRPr="00F91756">
        <w:rPr>
          <w:rFonts w:ascii="Arial" w:hAnsi="Arial" w:cs="Arial"/>
        </w:rPr>
        <w:t xml:space="preserve"> brands are hard to substitute, generics can erode the market share of branded drugs, particularly after patent expiry, which impacts the profitability of the company. The rivalry </w:t>
      </w:r>
      <w:r w:rsidRPr="00F91756">
        <w:rPr>
          <w:rFonts w:ascii="Arial" w:hAnsi="Arial" w:cs="Arial"/>
        </w:rPr>
        <w:lastRenderedPageBreak/>
        <w:t xml:space="preserve">in the industry is intense (High) with major players, such as Pfizer and Johnson &amp; Johnson, who have a significant market share. Thus, a high level of intensity can lead to pressure on prices and profit margins. </w:t>
      </w:r>
    </w:p>
    <w:p w14:paraId="7647A7DD" w14:textId="77777777" w:rsidR="003A28C2" w:rsidRPr="00F91756" w:rsidRDefault="00000000">
      <w:pPr>
        <w:pStyle w:val="Heading2"/>
        <w:spacing w:before="200"/>
        <w:rPr>
          <w:rFonts w:ascii="Arial" w:hAnsi="Arial" w:cs="Arial"/>
          <w:color w:val="000000"/>
        </w:rPr>
      </w:pPr>
      <w:bookmarkStart w:id="11" w:name="_dzlv95bppyvu" w:colFirst="0" w:colLast="0"/>
      <w:bookmarkEnd w:id="11"/>
      <w:r w:rsidRPr="00F91756">
        <w:rPr>
          <w:rFonts w:ascii="Arial" w:hAnsi="Arial" w:cs="Arial"/>
          <w:color w:val="000000"/>
        </w:rPr>
        <w:t>3.3. Porter’s Diamond Model</w:t>
      </w:r>
    </w:p>
    <w:p w14:paraId="35FFB050" w14:textId="77777777" w:rsidR="003A28C2" w:rsidRPr="00F91756" w:rsidRDefault="00000000">
      <w:pPr>
        <w:spacing w:after="0" w:line="276" w:lineRule="auto"/>
        <w:jc w:val="center"/>
        <w:rPr>
          <w:rFonts w:ascii="Arial" w:eastAsia="Arial" w:hAnsi="Arial" w:cs="Arial"/>
          <w:sz w:val="22"/>
          <w:szCs w:val="22"/>
        </w:rPr>
      </w:pPr>
      <w:r w:rsidRPr="00F91756">
        <w:rPr>
          <w:rFonts w:ascii="Arial" w:eastAsia="Arial" w:hAnsi="Arial" w:cs="Arial"/>
          <w:noProof/>
          <w:sz w:val="22"/>
          <w:szCs w:val="22"/>
        </w:rPr>
        <w:drawing>
          <wp:inline distT="114300" distB="114300" distL="114300" distR="114300" wp14:anchorId="224012CB" wp14:editId="0F1DC7A5">
            <wp:extent cx="5016992" cy="4188867"/>
            <wp:effectExtent l="25400" t="25400" r="25400" b="2540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016992" cy="4188867"/>
                    </a:xfrm>
                    <a:prstGeom prst="rect">
                      <a:avLst/>
                    </a:prstGeom>
                    <a:ln w="25400">
                      <a:solidFill>
                        <a:srgbClr val="000000"/>
                      </a:solidFill>
                      <a:prstDash val="solid"/>
                    </a:ln>
                  </pic:spPr>
                </pic:pic>
              </a:graphicData>
            </a:graphic>
          </wp:inline>
        </w:drawing>
      </w:r>
    </w:p>
    <w:p w14:paraId="2D1BBD9D" w14:textId="77777777" w:rsidR="003A28C2" w:rsidRPr="00F91756" w:rsidRDefault="00000000">
      <w:pPr>
        <w:spacing w:before="200" w:after="0"/>
        <w:jc w:val="center"/>
        <w:rPr>
          <w:rFonts w:ascii="Arial" w:hAnsi="Arial" w:cs="Arial"/>
          <w:b/>
          <w:bCs/>
        </w:rPr>
      </w:pPr>
      <w:r w:rsidRPr="00F91756">
        <w:rPr>
          <w:rFonts w:ascii="Arial" w:hAnsi="Arial" w:cs="Arial"/>
          <w:b/>
          <w:bCs/>
        </w:rPr>
        <w:t>Figure 7: Porter’s Diamond Model</w:t>
      </w:r>
    </w:p>
    <w:p w14:paraId="1C45EDA1" w14:textId="77777777" w:rsidR="003A28C2" w:rsidRPr="00F91756" w:rsidRDefault="00000000">
      <w:pPr>
        <w:spacing w:before="200" w:after="0"/>
        <w:jc w:val="center"/>
        <w:rPr>
          <w:rFonts w:ascii="Arial" w:hAnsi="Arial" w:cs="Arial"/>
        </w:rPr>
      </w:pPr>
      <w:r w:rsidRPr="00F91756">
        <w:rPr>
          <w:rFonts w:ascii="Arial" w:hAnsi="Arial" w:cs="Arial"/>
        </w:rPr>
        <w:t>(Source: Bruin, 2018)</w:t>
      </w:r>
    </w:p>
    <w:p w14:paraId="41B9F8CE" w14:textId="77777777" w:rsidR="003A28C2" w:rsidRPr="00F91756" w:rsidRDefault="00000000">
      <w:pPr>
        <w:pStyle w:val="Heading3"/>
        <w:spacing w:before="200" w:after="0"/>
        <w:rPr>
          <w:rFonts w:ascii="Arial" w:hAnsi="Arial" w:cs="Arial"/>
          <w:color w:val="000000"/>
        </w:rPr>
      </w:pPr>
      <w:bookmarkStart w:id="12" w:name="_98d8mwbfpqbt" w:colFirst="0" w:colLast="0"/>
      <w:bookmarkEnd w:id="12"/>
      <w:r w:rsidRPr="00F91756">
        <w:rPr>
          <w:rFonts w:ascii="Arial" w:hAnsi="Arial" w:cs="Arial"/>
          <w:color w:val="000000"/>
        </w:rPr>
        <w:t>3.3.1 Factor Condition</w:t>
      </w:r>
    </w:p>
    <w:p w14:paraId="168ABCF9" w14:textId="77777777" w:rsidR="003A28C2" w:rsidRPr="00F91756" w:rsidRDefault="00000000">
      <w:pPr>
        <w:spacing w:before="200" w:after="0"/>
        <w:rPr>
          <w:rFonts w:ascii="Arial" w:hAnsi="Arial" w:cs="Arial"/>
        </w:rPr>
      </w:pPr>
      <w:r w:rsidRPr="00F91756">
        <w:rPr>
          <w:rFonts w:ascii="Arial" w:hAnsi="Arial" w:cs="Arial"/>
        </w:rPr>
        <w:t xml:space="preserve">The factor condition of the company focuses on three major factors: skilled workforce, R&amp;D infrastructure, and company capital. Having a skilled workforce in the company can help it benefit from them. The company benefits from a deep pool of highly skilled scientists, researchers, and medical professionals in its home countries, the UK and Sweden, and other key global locations (Wang and </w:t>
      </w:r>
      <w:proofErr w:type="spellStart"/>
      <w:r w:rsidRPr="00F91756">
        <w:rPr>
          <w:rFonts w:ascii="Arial" w:hAnsi="Arial" w:cs="Arial"/>
        </w:rPr>
        <w:t>Solovieva</w:t>
      </w:r>
      <w:proofErr w:type="spellEnd"/>
      <w:r w:rsidRPr="00F91756">
        <w:rPr>
          <w:rFonts w:ascii="Arial" w:hAnsi="Arial" w:cs="Arial"/>
        </w:rPr>
        <w:t xml:space="preserve">, 2023). The R&amp;D </w:t>
      </w:r>
      <w:r w:rsidRPr="00F91756">
        <w:rPr>
          <w:rFonts w:ascii="Arial" w:hAnsi="Arial" w:cs="Arial"/>
        </w:rPr>
        <w:lastRenderedPageBreak/>
        <w:t xml:space="preserve">infrastructure of the company has strong access to capabilities, research institutions and technological infrastructure, which can be crucial to achieve innovation in the pharmaceutical industry. Company capital is another key factor that supports the capital market in its home country. </w:t>
      </w:r>
    </w:p>
    <w:p w14:paraId="63805088" w14:textId="77777777" w:rsidR="003A28C2" w:rsidRPr="00F91756" w:rsidRDefault="00000000">
      <w:pPr>
        <w:pStyle w:val="Heading3"/>
        <w:spacing w:before="200" w:after="0"/>
        <w:rPr>
          <w:rFonts w:ascii="Arial" w:hAnsi="Arial" w:cs="Arial"/>
          <w:color w:val="000000"/>
        </w:rPr>
      </w:pPr>
      <w:bookmarkStart w:id="13" w:name="_q9v8ifri384" w:colFirst="0" w:colLast="0"/>
      <w:bookmarkEnd w:id="13"/>
      <w:r w:rsidRPr="00F91756">
        <w:rPr>
          <w:rFonts w:ascii="Arial" w:hAnsi="Arial" w:cs="Arial"/>
          <w:color w:val="000000"/>
        </w:rPr>
        <w:t>3.3.2 Demand Condition</w:t>
      </w:r>
    </w:p>
    <w:p w14:paraId="4C9E5476" w14:textId="77777777" w:rsidR="003A28C2" w:rsidRPr="00F91756" w:rsidRDefault="00000000">
      <w:pPr>
        <w:spacing w:before="200" w:after="0"/>
        <w:rPr>
          <w:rFonts w:ascii="Arial" w:hAnsi="Arial" w:cs="Arial"/>
        </w:rPr>
      </w:pPr>
      <w:r w:rsidRPr="00F91756">
        <w:rPr>
          <w:rFonts w:ascii="Arial" w:hAnsi="Arial" w:cs="Arial"/>
        </w:rPr>
        <w:t xml:space="preserve">The demand condition </w:t>
      </w:r>
      <w:proofErr w:type="spellStart"/>
      <w:r w:rsidRPr="00F91756">
        <w:rPr>
          <w:rFonts w:ascii="Arial" w:hAnsi="Arial" w:cs="Arial"/>
        </w:rPr>
        <w:t>utilises</w:t>
      </w:r>
      <w:proofErr w:type="spellEnd"/>
      <w:r w:rsidRPr="00F91756">
        <w:rPr>
          <w:rFonts w:ascii="Arial" w:hAnsi="Arial" w:cs="Arial"/>
        </w:rPr>
        <w:t xml:space="preserve"> three types of demand for the industry: global demand, home demand, and anticipating trends. AstraZeneca serves a massive global market with increasing demand for innovative medicines for chronic and acute diseases, which drives growth (Mindtools, 2024). The home demand refers to the sophisticated and discerning home market in the UK and Sweden, which pushes the company to opt for innovative ideas to meet the higher standards of the pharmaceutical industry, gaining in significant global advantage as well. If the company also has the ability to anticipate various trends in the industry, it can respond to evolving healthcare needs globally and gain a significant competitive advantage. </w:t>
      </w:r>
    </w:p>
    <w:p w14:paraId="711B11A6" w14:textId="77777777" w:rsidR="003A28C2" w:rsidRPr="00F91756" w:rsidRDefault="00000000">
      <w:pPr>
        <w:pStyle w:val="Heading3"/>
        <w:spacing w:before="200" w:after="0"/>
        <w:rPr>
          <w:rFonts w:ascii="Arial" w:hAnsi="Arial" w:cs="Arial"/>
          <w:color w:val="000000"/>
        </w:rPr>
      </w:pPr>
      <w:bookmarkStart w:id="14" w:name="_zce2jo2wvpo1" w:colFirst="0" w:colLast="0"/>
      <w:bookmarkEnd w:id="14"/>
      <w:r w:rsidRPr="00F91756">
        <w:rPr>
          <w:rFonts w:ascii="Arial" w:hAnsi="Arial" w:cs="Arial"/>
          <w:color w:val="000000"/>
        </w:rPr>
        <w:t>3.3.3 Related and Supporting Industry</w:t>
      </w:r>
    </w:p>
    <w:p w14:paraId="368104E4" w14:textId="77777777" w:rsidR="003A28C2" w:rsidRPr="00F91756" w:rsidRDefault="00000000">
      <w:pPr>
        <w:spacing w:before="200" w:after="0"/>
        <w:rPr>
          <w:rFonts w:ascii="Arial" w:hAnsi="Arial" w:cs="Arial"/>
        </w:rPr>
      </w:pPr>
      <w:r w:rsidRPr="00F91756">
        <w:rPr>
          <w:rFonts w:ascii="Arial" w:hAnsi="Arial" w:cs="Arial"/>
        </w:rPr>
        <w:t xml:space="preserve">The global supply chain is the most significant supporting factor for the company, as it relies heavily on the global suppliers for products, </w:t>
      </w:r>
      <w:proofErr w:type="spellStart"/>
      <w:r w:rsidRPr="00F91756">
        <w:rPr>
          <w:rFonts w:ascii="Arial" w:hAnsi="Arial" w:cs="Arial"/>
        </w:rPr>
        <w:t>specialised</w:t>
      </w:r>
      <w:proofErr w:type="spellEnd"/>
      <w:r w:rsidRPr="00F91756">
        <w:rPr>
          <w:rFonts w:ascii="Arial" w:hAnsi="Arial" w:cs="Arial"/>
        </w:rPr>
        <w:t xml:space="preserve"> equipment, and raw materials, and develops a connection with the contract research </w:t>
      </w:r>
      <w:proofErr w:type="spellStart"/>
      <w:r w:rsidRPr="00F91756">
        <w:rPr>
          <w:rFonts w:ascii="Arial" w:hAnsi="Arial" w:cs="Arial"/>
        </w:rPr>
        <w:t>organisations</w:t>
      </w:r>
      <w:proofErr w:type="spellEnd"/>
      <w:r w:rsidRPr="00F91756">
        <w:rPr>
          <w:rFonts w:ascii="Arial" w:hAnsi="Arial" w:cs="Arial"/>
        </w:rPr>
        <w:t>. The pharmaceutical industry benefits from supporting industries like logistics, distribution, and healthcare providers who implement its products (Nayal, 2020). It can foster academic and research collaborations with various researchers, create strong relationships and links with various universities and research facilities, and provide them with a foundation for scientific discoveries and innovative ideas, which become a crucial supporting element for the company. All these supporting industries create several benefits for the company and help it gain a significant advantage in the industry. It also focuses on complementary services and supports other industries, such as logistics, distribution, and healthcare providers.</w:t>
      </w:r>
    </w:p>
    <w:p w14:paraId="0EA574C6" w14:textId="77777777" w:rsidR="003A28C2" w:rsidRPr="00F91756" w:rsidRDefault="00000000">
      <w:pPr>
        <w:pStyle w:val="Heading3"/>
        <w:spacing w:before="200" w:after="0"/>
        <w:rPr>
          <w:rFonts w:ascii="Arial" w:hAnsi="Arial" w:cs="Arial"/>
          <w:color w:val="000000"/>
        </w:rPr>
      </w:pPr>
      <w:bookmarkStart w:id="15" w:name="_tlb9p03y8r9w" w:colFirst="0" w:colLast="0"/>
      <w:bookmarkEnd w:id="15"/>
      <w:r w:rsidRPr="00F91756">
        <w:rPr>
          <w:rFonts w:ascii="Arial" w:hAnsi="Arial" w:cs="Arial"/>
          <w:color w:val="000000"/>
        </w:rPr>
        <w:lastRenderedPageBreak/>
        <w:t>3.3.4 Firm Strategy, Structure, and Rivalry</w:t>
      </w:r>
    </w:p>
    <w:p w14:paraId="7C7D9084" w14:textId="77777777" w:rsidR="003A28C2" w:rsidRPr="00F91756" w:rsidRDefault="00000000">
      <w:pPr>
        <w:spacing w:before="200" w:after="0"/>
        <w:rPr>
          <w:rFonts w:ascii="Arial" w:hAnsi="Arial" w:cs="Arial"/>
        </w:rPr>
      </w:pPr>
      <w:r w:rsidRPr="00F91756">
        <w:rPr>
          <w:rFonts w:ascii="Arial" w:hAnsi="Arial" w:cs="Arial"/>
        </w:rPr>
        <w:t xml:space="preserve">AstraZeneca has a robust internal strategy along with a global strategy that focuses on R&amp;D-driven innovation, mergers and acquisitions, and expanding its product portfolio in therapeutic areas like oncology and cardiovascular diseases. It has a large corporate structure that allows for scaling its economy and coordinates the global strategy, while maintaining the complexities of a highly regulated industry (Anand, 2023). The company operates in a highly competitive global market with major rivals like Pfizer, Roche, and Novartis, which intensifies the need for constant innovation and cost-efficiency. There are also government policies that the company follows to fund research and protect intellectual properties. </w:t>
      </w:r>
    </w:p>
    <w:p w14:paraId="781E07D1" w14:textId="77777777" w:rsidR="003A28C2" w:rsidRPr="00F91756" w:rsidRDefault="00000000">
      <w:pPr>
        <w:pStyle w:val="Heading2"/>
        <w:spacing w:before="200"/>
        <w:rPr>
          <w:rFonts w:ascii="Arial" w:hAnsi="Arial" w:cs="Arial"/>
          <w:b w:val="0"/>
          <w:bCs w:val="0"/>
          <w:color w:val="000000"/>
        </w:rPr>
      </w:pPr>
      <w:bookmarkStart w:id="16" w:name="_k7sm107vjopc" w:colFirst="0" w:colLast="0"/>
      <w:bookmarkEnd w:id="16"/>
      <w:r w:rsidRPr="00F91756">
        <w:rPr>
          <w:rFonts w:ascii="Arial" w:hAnsi="Arial" w:cs="Arial"/>
          <w:color w:val="000000"/>
        </w:rPr>
        <w:t>3.4. VRIO Analysis</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3A28C2" w:rsidRPr="00F91756" w14:paraId="52040241" w14:textId="77777777">
        <w:tc>
          <w:tcPr>
            <w:tcW w:w="1560" w:type="dxa"/>
            <w:shd w:val="clear" w:color="auto" w:fill="C9DAF8"/>
            <w:tcMar>
              <w:top w:w="100" w:type="dxa"/>
              <w:left w:w="100" w:type="dxa"/>
              <w:bottom w:w="100" w:type="dxa"/>
              <w:right w:w="100" w:type="dxa"/>
            </w:tcMar>
          </w:tcPr>
          <w:p w14:paraId="331EE479" w14:textId="77777777" w:rsidR="003A28C2" w:rsidRPr="00F91756" w:rsidRDefault="00000000">
            <w:pPr>
              <w:widowControl w:val="0"/>
              <w:spacing w:after="0"/>
              <w:jc w:val="center"/>
              <w:rPr>
                <w:rFonts w:ascii="Arial" w:hAnsi="Arial" w:cs="Arial"/>
                <w:b/>
                <w:bCs/>
              </w:rPr>
            </w:pPr>
            <w:r w:rsidRPr="00F91756">
              <w:rPr>
                <w:rFonts w:ascii="Arial" w:hAnsi="Arial" w:cs="Arial"/>
                <w:b/>
                <w:bCs/>
              </w:rPr>
              <w:t>Resource</w:t>
            </w:r>
          </w:p>
        </w:tc>
        <w:tc>
          <w:tcPr>
            <w:tcW w:w="1560" w:type="dxa"/>
            <w:shd w:val="clear" w:color="auto" w:fill="C9DAF8"/>
            <w:tcMar>
              <w:top w:w="100" w:type="dxa"/>
              <w:left w:w="100" w:type="dxa"/>
              <w:bottom w:w="100" w:type="dxa"/>
              <w:right w:w="100" w:type="dxa"/>
            </w:tcMar>
          </w:tcPr>
          <w:p w14:paraId="432FC010" w14:textId="77777777" w:rsidR="003A28C2" w:rsidRPr="00F91756" w:rsidRDefault="00000000">
            <w:pPr>
              <w:widowControl w:val="0"/>
              <w:spacing w:after="0"/>
              <w:jc w:val="center"/>
              <w:rPr>
                <w:rFonts w:ascii="Arial" w:hAnsi="Arial" w:cs="Arial"/>
                <w:b/>
                <w:bCs/>
              </w:rPr>
            </w:pPr>
            <w:r w:rsidRPr="00F91756">
              <w:rPr>
                <w:rFonts w:ascii="Arial" w:hAnsi="Arial" w:cs="Arial"/>
                <w:b/>
                <w:bCs/>
              </w:rPr>
              <w:t>Value</w:t>
            </w:r>
          </w:p>
        </w:tc>
        <w:tc>
          <w:tcPr>
            <w:tcW w:w="1560" w:type="dxa"/>
            <w:shd w:val="clear" w:color="auto" w:fill="C9DAF8"/>
            <w:tcMar>
              <w:top w:w="100" w:type="dxa"/>
              <w:left w:w="100" w:type="dxa"/>
              <w:bottom w:w="100" w:type="dxa"/>
              <w:right w:w="100" w:type="dxa"/>
            </w:tcMar>
          </w:tcPr>
          <w:p w14:paraId="19E7F1F1" w14:textId="77777777" w:rsidR="003A28C2" w:rsidRPr="00F91756" w:rsidRDefault="00000000">
            <w:pPr>
              <w:widowControl w:val="0"/>
              <w:spacing w:after="0"/>
              <w:jc w:val="center"/>
              <w:rPr>
                <w:rFonts w:ascii="Arial" w:hAnsi="Arial" w:cs="Arial"/>
                <w:b/>
                <w:bCs/>
              </w:rPr>
            </w:pPr>
            <w:r w:rsidRPr="00F91756">
              <w:rPr>
                <w:rFonts w:ascii="Arial" w:hAnsi="Arial" w:cs="Arial"/>
                <w:b/>
                <w:bCs/>
              </w:rPr>
              <w:t>Rarity</w:t>
            </w:r>
          </w:p>
        </w:tc>
        <w:tc>
          <w:tcPr>
            <w:tcW w:w="1560" w:type="dxa"/>
            <w:shd w:val="clear" w:color="auto" w:fill="C9DAF8"/>
            <w:tcMar>
              <w:top w:w="100" w:type="dxa"/>
              <w:left w:w="100" w:type="dxa"/>
              <w:bottom w:w="100" w:type="dxa"/>
              <w:right w:w="100" w:type="dxa"/>
            </w:tcMar>
          </w:tcPr>
          <w:p w14:paraId="72397301" w14:textId="77777777" w:rsidR="003A28C2" w:rsidRPr="00F91756" w:rsidRDefault="00000000">
            <w:pPr>
              <w:widowControl w:val="0"/>
              <w:spacing w:after="0"/>
              <w:jc w:val="center"/>
              <w:rPr>
                <w:rFonts w:ascii="Arial" w:hAnsi="Arial" w:cs="Arial"/>
                <w:b/>
                <w:bCs/>
              </w:rPr>
            </w:pPr>
            <w:proofErr w:type="spellStart"/>
            <w:r w:rsidRPr="00F91756">
              <w:rPr>
                <w:rFonts w:ascii="Arial" w:hAnsi="Arial" w:cs="Arial"/>
                <w:b/>
                <w:bCs/>
              </w:rPr>
              <w:t>Inmitability</w:t>
            </w:r>
            <w:proofErr w:type="spellEnd"/>
          </w:p>
        </w:tc>
        <w:tc>
          <w:tcPr>
            <w:tcW w:w="1560" w:type="dxa"/>
            <w:shd w:val="clear" w:color="auto" w:fill="C9DAF8"/>
            <w:tcMar>
              <w:top w:w="100" w:type="dxa"/>
              <w:left w:w="100" w:type="dxa"/>
              <w:bottom w:w="100" w:type="dxa"/>
              <w:right w:w="100" w:type="dxa"/>
            </w:tcMar>
          </w:tcPr>
          <w:p w14:paraId="20FDE001" w14:textId="77777777" w:rsidR="003A28C2" w:rsidRPr="00F91756" w:rsidRDefault="00000000">
            <w:pPr>
              <w:widowControl w:val="0"/>
              <w:spacing w:after="0"/>
              <w:jc w:val="center"/>
              <w:rPr>
                <w:rFonts w:ascii="Arial" w:hAnsi="Arial" w:cs="Arial"/>
                <w:b/>
                <w:bCs/>
              </w:rPr>
            </w:pPr>
            <w:proofErr w:type="spellStart"/>
            <w:r w:rsidRPr="00F91756">
              <w:rPr>
                <w:rFonts w:ascii="Arial" w:hAnsi="Arial" w:cs="Arial"/>
                <w:b/>
                <w:bCs/>
              </w:rPr>
              <w:t>Organisation</w:t>
            </w:r>
            <w:proofErr w:type="spellEnd"/>
          </w:p>
        </w:tc>
        <w:tc>
          <w:tcPr>
            <w:tcW w:w="1560" w:type="dxa"/>
            <w:shd w:val="clear" w:color="auto" w:fill="C9DAF8"/>
            <w:tcMar>
              <w:top w:w="100" w:type="dxa"/>
              <w:left w:w="100" w:type="dxa"/>
              <w:bottom w:w="100" w:type="dxa"/>
              <w:right w:w="100" w:type="dxa"/>
            </w:tcMar>
          </w:tcPr>
          <w:p w14:paraId="46875CE8" w14:textId="77777777" w:rsidR="003A28C2" w:rsidRPr="00F91756" w:rsidRDefault="00000000">
            <w:pPr>
              <w:widowControl w:val="0"/>
              <w:spacing w:after="0"/>
              <w:jc w:val="center"/>
              <w:rPr>
                <w:rFonts w:ascii="Arial" w:hAnsi="Arial" w:cs="Arial"/>
                <w:b/>
                <w:bCs/>
              </w:rPr>
            </w:pPr>
            <w:r w:rsidRPr="00F91756">
              <w:rPr>
                <w:rFonts w:ascii="Arial" w:hAnsi="Arial" w:cs="Arial"/>
                <w:b/>
                <w:bCs/>
              </w:rPr>
              <w:t>Advantage</w:t>
            </w:r>
          </w:p>
        </w:tc>
      </w:tr>
      <w:tr w:rsidR="003A28C2" w:rsidRPr="00F91756" w14:paraId="1076A607" w14:textId="77777777">
        <w:tc>
          <w:tcPr>
            <w:tcW w:w="1560" w:type="dxa"/>
            <w:tcMar>
              <w:top w:w="100" w:type="dxa"/>
              <w:left w:w="100" w:type="dxa"/>
              <w:bottom w:w="100" w:type="dxa"/>
              <w:right w:w="100" w:type="dxa"/>
            </w:tcMar>
          </w:tcPr>
          <w:p w14:paraId="7ED74682" w14:textId="77777777" w:rsidR="003A28C2" w:rsidRPr="00F91756" w:rsidRDefault="00000000">
            <w:pPr>
              <w:widowControl w:val="0"/>
              <w:spacing w:after="0"/>
              <w:rPr>
                <w:rFonts w:ascii="Arial" w:hAnsi="Arial" w:cs="Arial"/>
              </w:rPr>
            </w:pPr>
            <w:r w:rsidRPr="00F91756">
              <w:rPr>
                <w:rFonts w:ascii="Arial" w:hAnsi="Arial" w:cs="Arial"/>
              </w:rPr>
              <w:t>Research and Development</w:t>
            </w:r>
          </w:p>
        </w:tc>
        <w:tc>
          <w:tcPr>
            <w:tcW w:w="1560" w:type="dxa"/>
            <w:tcMar>
              <w:top w:w="100" w:type="dxa"/>
              <w:left w:w="100" w:type="dxa"/>
              <w:bottom w:w="100" w:type="dxa"/>
              <w:right w:w="100" w:type="dxa"/>
            </w:tcMar>
          </w:tcPr>
          <w:p w14:paraId="23B8F3B2"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0969C0EB" w14:textId="77777777" w:rsidR="003A28C2" w:rsidRPr="00F91756" w:rsidRDefault="00000000">
            <w:pPr>
              <w:widowControl w:val="0"/>
              <w:spacing w:after="0"/>
              <w:rPr>
                <w:rFonts w:ascii="Arial" w:hAnsi="Arial" w:cs="Arial"/>
              </w:rPr>
            </w:pPr>
            <w:r w:rsidRPr="00F91756">
              <w:rPr>
                <w:rFonts w:ascii="Arial" w:hAnsi="Arial" w:cs="Arial"/>
              </w:rPr>
              <w:t>No</w:t>
            </w:r>
          </w:p>
        </w:tc>
        <w:tc>
          <w:tcPr>
            <w:tcW w:w="1560" w:type="dxa"/>
            <w:tcMar>
              <w:top w:w="100" w:type="dxa"/>
              <w:left w:w="100" w:type="dxa"/>
              <w:bottom w:w="100" w:type="dxa"/>
              <w:right w:w="100" w:type="dxa"/>
            </w:tcMar>
          </w:tcPr>
          <w:p w14:paraId="391AB543"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50A8A687"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7109650D" w14:textId="77777777" w:rsidR="003A28C2" w:rsidRPr="00F91756" w:rsidRDefault="00000000">
            <w:pPr>
              <w:widowControl w:val="0"/>
              <w:spacing w:after="0"/>
              <w:rPr>
                <w:rFonts w:ascii="Arial" w:hAnsi="Arial" w:cs="Arial"/>
              </w:rPr>
            </w:pPr>
            <w:r w:rsidRPr="00F91756">
              <w:rPr>
                <w:rFonts w:ascii="Arial" w:hAnsi="Arial" w:cs="Arial"/>
              </w:rPr>
              <w:t>Competitive Parity</w:t>
            </w:r>
          </w:p>
        </w:tc>
      </w:tr>
      <w:tr w:rsidR="003A28C2" w:rsidRPr="00F91756" w14:paraId="6C8D6CD9" w14:textId="77777777">
        <w:tc>
          <w:tcPr>
            <w:tcW w:w="1560" w:type="dxa"/>
            <w:tcMar>
              <w:top w:w="100" w:type="dxa"/>
              <w:left w:w="100" w:type="dxa"/>
              <w:bottom w:w="100" w:type="dxa"/>
              <w:right w:w="100" w:type="dxa"/>
            </w:tcMar>
          </w:tcPr>
          <w:p w14:paraId="32CC0939" w14:textId="77777777" w:rsidR="003A28C2" w:rsidRPr="00F91756" w:rsidRDefault="00000000">
            <w:pPr>
              <w:widowControl w:val="0"/>
              <w:spacing w:after="0"/>
              <w:rPr>
                <w:rFonts w:ascii="Arial" w:hAnsi="Arial" w:cs="Arial"/>
              </w:rPr>
            </w:pPr>
            <w:r w:rsidRPr="00F91756">
              <w:rPr>
                <w:rFonts w:ascii="Arial" w:hAnsi="Arial" w:cs="Arial"/>
              </w:rPr>
              <w:t>Brand Portfolio</w:t>
            </w:r>
          </w:p>
        </w:tc>
        <w:tc>
          <w:tcPr>
            <w:tcW w:w="1560" w:type="dxa"/>
            <w:tcMar>
              <w:top w:w="100" w:type="dxa"/>
              <w:left w:w="100" w:type="dxa"/>
              <w:bottom w:w="100" w:type="dxa"/>
              <w:right w:w="100" w:type="dxa"/>
            </w:tcMar>
          </w:tcPr>
          <w:p w14:paraId="588AAFC4"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5B85C6CC"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36285CB9" w14:textId="77777777" w:rsidR="003A28C2" w:rsidRPr="00F91756" w:rsidRDefault="00000000">
            <w:pPr>
              <w:widowControl w:val="0"/>
              <w:spacing w:after="0"/>
              <w:rPr>
                <w:rFonts w:ascii="Arial" w:hAnsi="Arial" w:cs="Arial"/>
              </w:rPr>
            </w:pPr>
            <w:r w:rsidRPr="00F91756">
              <w:rPr>
                <w:rFonts w:ascii="Arial" w:hAnsi="Arial" w:cs="Arial"/>
              </w:rPr>
              <w:t>No</w:t>
            </w:r>
          </w:p>
        </w:tc>
        <w:tc>
          <w:tcPr>
            <w:tcW w:w="1560" w:type="dxa"/>
            <w:tcMar>
              <w:top w:w="100" w:type="dxa"/>
              <w:left w:w="100" w:type="dxa"/>
              <w:bottom w:w="100" w:type="dxa"/>
              <w:right w:w="100" w:type="dxa"/>
            </w:tcMar>
          </w:tcPr>
          <w:p w14:paraId="4579EC2A"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7165E19E" w14:textId="77777777" w:rsidR="003A28C2" w:rsidRPr="00F91756" w:rsidRDefault="00000000">
            <w:pPr>
              <w:widowControl w:val="0"/>
              <w:spacing w:after="0"/>
              <w:rPr>
                <w:rFonts w:ascii="Arial" w:hAnsi="Arial" w:cs="Arial"/>
              </w:rPr>
            </w:pPr>
            <w:r w:rsidRPr="00F91756">
              <w:rPr>
                <w:rFonts w:ascii="Arial" w:hAnsi="Arial" w:cs="Arial"/>
              </w:rPr>
              <w:t>Competitive Parity</w:t>
            </w:r>
          </w:p>
        </w:tc>
      </w:tr>
      <w:tr w:rsidR="003A28C2" w:rsidRPr="00F91756" w14:paraId="6BC67888" w14:textId="77777777">
        <w:tc>
          <w:tcPr>
            <w:tcW w:w="1560" w:type="dxa"/>
            <w:tcMar>
              <w:top w:w="100" w:type="dxa"/>
              <w:left w:w="100" w:type="dxa"/>
              <w:bottom w:w="100" w:type="dxa"/>
              <w:right w:w="100" w:type="dxa"/>
            </w:tcMar>
          </w:tcPr>
          <w:p w14:paraId="0895A3D1" w14:textId="77777777" w:rsidR="003A28C2" w:rsidRPr="00F91756" w:rsidRDefault="00000000">
            <w:pPr>
              <w:widowControl w:val="0"/>
              <w:spacing w:after="0"/>
              <w:rPr>
                <w:rFonts w:ascii="Arial" w:hAnsi="Arial" w:cs="Arial"/>
              </w:rPr>
            </w:pPr>
            <w:r w:rsidRPr="00F91756">
              <w:rPr>
                <w:rFonts w:ascii="Arial" w:hAnsi="Arial" w:cs="Arial"/>
              </w:rPr>
              <w:t>Scientific Innovation</w:t>
            </w:r>
          </w:p>
        </w:tc>
        <w:tc>
          <w:tcPr>
            <w:tcW w:w="1560" w:type="dxa"/>
            <w:tcMar>
              <w:top w:w="100" w:type="dxa"/>
              <w:left w:w="100" w:type="dxa"/>
              <w:bottom w:w="100" w:type="dxa"/>
              <w:right w:w="100" w:type="dxa"/>
            </w:tcMar>
          </w:tcPr>
          <w:p w14:paraId="6FBA3A73"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56615074"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6E584396"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4B25BC57"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01B73059" w14:textId="77777777" w:rsidR="003A28C2" w:rsidRPr="00F91756" w:rsidRDefault="00000000">
            <w:pPr>
              <w:widowControl w:val="0"/>
              <w:spacing w:after="0"/>
              <w:rPr>
                <w:rFonts w:ascii="Arial" w:hAnsi="Arial" w:cs="Arial"/>
              </w:rPr>
            </w:pPr>
            <w:r w:rsidRPr="00F91756">
              <w:rPr>
                <w:rFonts w:ascii="Arial" w:hAnsi="Arial" w:cs="Arial"/>
              </w:rPr>
              <w:t>Sustained Competitive Advantage</w:t>
            </w:r>
          </w:p>
        </w:tc>
      </w:tr>
      <w:tr w:rsidR="003A28C2" w:rsidRPr="00F91756" w14:paraId="55E6CCF8" w14:textId="77777777">
        <w:tc>
          <w:tcPr>
            <w:tcW w:w="1560" w:type="dxa"/>
            <w:tcMar>
              <w:top w:w="100" w:type="dxa"/>
              <w:left w:w="100" w:type="dxa"/>
              <w:bottom w:w="100" w:type="dxa"/>
              <w:right w:w="100" w:type="dxa"/>
            </w:tcMar>
          </w:tcPr>
          <w:p w14:paraId="380AEE13" w14:textId="77777777" w:rsidR="003A28C2" w:rsidRPr="00F91756" w:rsidRDefault="00000000">
            <w:pPr>
              <w:widowControl w:val="0"/>
              <w:spacing w:after="0"/>
              <w:rPr>
                <w:rFonts w:ascii="Arial" w:hAnsi="Arial" w:cs="Arial"/>
              </w:rPr>
            </w:pPr>
            <w:r w:rsidRPr="00F91756">
              <w:rPr>
                <w:rFonts w:ascii="Arial" w:hAnsi="Arial" w:cs="Arial"/>
              </w:rPr>
              <w:t>Advanced Therapeutic Technologies</w:t>
            </w:r>
          </w:p>
        </w:tc>
        <w:tc>
          <w:tcPr>
            <w:tcW w:w="1560" w:type="dxa"/>
            <w:tcMar>
              <w:top w:w="100" w:type="dxa"/>
              <w:left w:w="100" w:type="dxa"/>
              <w:bottom w:w="100" w:type="dxa"/>
              <w:right w:w="100" w:type="dxa"/>
            </w:tcMar>
          </w:tcPr>
          <w:p w14:paraId="165C1244"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6535797E"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4F82B8DB" w14:textId="77777777" w:rsidR="003A28C2" w:rsidRPr="00F91756" w:rsidRDefault="00000000">
            <w:pPr>
              <w:widowControl w:val="0"/>
              <w:spacing w:after="0"/>
              <w:rPr>
                <w:rFonts w:ascii="Arial" w:hAnsi="Arial" w:cs="Arial"/>
              </w:rPr>
            </w:pPr>
            <w:r w:rsidRPr="00F91756">
              <w:rPr>
                <w:rFonts w:ascii="Arial" w:hAnsi="Arial" w:cs="Arial"/>
              </w:rPr>
              <w:t xml:space="preserve">Yes </w:t>
            </w:r>
          </w:p>
        </w:tc>
        <w:tc>
          <w:tcPr>
            <w:tcW w:w="1560" w:type="dxa"/>
            <w:tcMar>
              <w:top w:w="100" w:type="dxa"/>
              <w:left w:w="100" w:type="dxa"/>
              <w:bottom w:w="100" w:type="dxa"/>
              <w:right w:w="100" w:type="dxa"/>
            </w:tcMar>
          </w:tcPr>
          <w:p w14:paraId="64FA7A7B" w14:textId="77777777" w:rsidR="003A28C2" w:rsidRPr="00F91756" w:rsidRDefault="00000000">
            <w:pPr>
              <w:widowControl w:val="0"/>
              <w:spacing w:after="0"/>
              <w:rPr>
                <w:rFonts w:ascii="Arial" w:hAnsi="Arial" w:cs="Arial"/>
              </w:rPr>
            </w:pPr>
            <w:r w:rsidRPr="00F91756">
              <w:rPr>
                <w:rFonts w:ascii="Arial" w:hAnsi="Arial" w:cs="Arial"/>
              </w:rPr>
              <w:t>Yes</w:t>
            </w:r>
          </w:p>
        </w:tc>
        <w:tc>
          <w:tcPr>
            <w:tcW w:w="1560" w:type="dxa"/>
            <w:tcMar>
              <w:top w:w="100" w:type="dxa"/>
              <w:left w:w="100" w:type="dxa"/>
              <w:bottom w:w="100" w:type="dxa"/>
              <w:right w:w="100" w:type="dxa"/>
            </w:tcMar>
          </w:tcPr>
          <w:p w14:paraId="7839A11D" w14:textId="77777777" w:rsidR="003A28C2" w:rsidRPr="00F91756" w:rsidRDefault="00000000">
            <w:pPr>
              <w:widowControl w:val="0"/>
              <w:spacing w:after="0"/>
              <w:rPr>
                <w:rFonts w:ascii="Arial" w:hAnsi="Arial" w:cs="Arial"/>
              </w:rPr>
            </w:pPr>
            <w:r w:rsidRPr="00F91756">
              <w:rPr>
                <w:rFonts w:ascii="Arial" w:hAnsi="Arial" w:cs="Arial"/>
              </w:rPr>
              <w:t>Sustained Competitive Advantage</w:t>
            </w:r>
          </w:p>
        </w:tc>
      </w:tr>
    </w:tbl>
    <w:p w14:paraId="1252349E" w14:textId="77777777" w:rsidR="003A28C2" w:rsidRPr="00F91756" w:rsidRDefault="00000000">
      <w:pPr>
        <w:spacing w:before="200" w:after="0"/>
        <w:jc w:val="center"/>
        <w:rPr>
          <w:rFonts w:ascii="Arial" w:hAnsi="Arial" w:cs="Arial"/>
          <w:b/>
          <w:bCs/>
        </w:rPr>
      </w:pPr>
      <w:r w:rsidRPr="00F91756">
        <w:rPr>
          <w:rFonts w:ascii="Arial" w:hAnsi="Arial" w:cs="Arial"/>
          <w:b/>
          <w:bCs/>
        </w:rPr>
        <w:t>Table 3: VRIO Analysis of AstraZeneca</w:t>
      </w:r>
    </w:p>
    <w:p w14:paraId="76B941CD" w14:textId="77777777" w:rsidR="003A28C2" w:rsidRPr="00F91756" w:rsidRDefault="00000000">
      <w:pPr>
        <w:spacing w:before="200" w:after="0"/>
        <w:jc w:val="center"/>
        <w:rPr>
          <w:rFonts w:ascii="Arial" w:hAnsi="Arial" w:cs="Arial"/>
        </w:rPr>
      </w:pPr>
      <w:r w:rsidRPr="00F91756">
        <w:rPr>
          <w:rFonts w:ascii="Arial" w:hAnsi="Arial" w:cs="Arial"/>
        </w:rPr>
        <w:lastRenderedPageBreak/>
        <w:t>(Source: Self-created)</w:t>
      </w:r>
    </w:p>
    <w:p w14:paraId="3C1E3C5A" w14:textId="77777777" w:rsidR="003A28C2" w:rsidRPr="00F91756" w:rsidRDefault="00000000">
      <w:pPr>
        <w:spacing w:before="200" w:after="0"/>
        <w:rPr>
          <w:rFonts w:ascii="Arial" w:hAnsi="Arial" w:cs="Arial"/>
          <w:b/>
          <w:bCs/>
        </w:rPr>
      </w:pPr>
      <w:r w:rsidRPr="00F91756">
        <w:rPr>
          <w:rFonts w:ascii="Arial" w:hAnsi="Arial" w:cs="Arial"/>
          <w:b/>
          <w:bCs/>
        </w:rPr>
        <w:t>Analysis:</w:t>
      </w:r>
    </w:p>
    <w:p w14:paraId="6EFE0B4E" w14:textId="77777777" w:rsidR="003A28C2" w:rsidRPr="00F91756" w:rsidRDefault="00000000">
      <w:pPr>
        <w:spacing w:before="200" w:after="0"/>
        <w:rPr>
          <w:rFonts w:ascii="Arial" w:hAnsi="Arial" w:cs="Arial"/>
        </w:rPr>
      </w:pPr>
      <w:r w:rsidRPr="00F91756">
        <w:rPr>
          <w:rFonts w:ascii="Arial" w:hAnsi="Arial" w:cs="Arial"/>
        </w:rPr>
        <w:t xml:space="preserve">The VRIO analysis of AstraZeneca assesses its resources and whether they follow the 4 factors of the model. The combination of valuable, rare, and inimitable </w:t>
      </w:r>
      <w:proofErr w:type="spellStart"/>
      <w:r w:rsidRPr="00F91756">
        <w:rPr>
          <w:rFonts w:ascii="Arial" w:hAnsi="Arial" w:cs="Arial"/>
        </w:rPr>
        <w:t>resourcescombined</w:t>
      </w:r>
      <w:proofErr w:type="spellEnd"/>
      <w:r w:rsidRPr="00F91756">
        <w:rPr>
          <w:rFonts w:ascii="Arial" w:hAnsi="Arial" w:cs="Arial"/>
        </w:rPr>
        <w:t xml:space="preserve"> with effective </w:t>
      </w:r>
      <w:proofErr w:type="spellStart"/>
      <w:r w:rsidRPr="00F91756">
        <w:rPr>
          <w:rFonts w:ascii="Arial" w:hAnsi="Arial" w:cs="Arial"/>
        </w:rPr>
        <w:t>organisation</w:t>
      </w:r>
      <w:proofErr w:type="spellEnd"/>
      <w:r w:rsidRPr="00F91756">
        <w:rPr>
          <w:rFonts w:ascii="Arial" w:hAnsi="Arial" w:cs="Arial"/>
        </w:rPr>
        <w:t xml:space="preserve">, provides the company with a sustained competitive advantage. However, when only some of its resources follow some of the 4 factors, it becomes competitive parity. If there are several disadvantages in the analysis, such as weaknesses in diversification, it becomes a competitive disadvantage (Harvey, 2020). The first resource of the analysis is its focus on research and development (R&amp;D) and its capabilities. The company invests a billion in R&amp;D and drives innovation in biologics and gene therapies. It is only positive in its value, imitability and </w:t>
      </w:r>
      <w:proofErr w:type="spellStart"/>
      <w:r w:rsidRPr="00F91756">
        <w:rPr>
          <w:rFonts w:ascii="Arial" w:hAnsi="Arial" w:cs="Arial"/>
        </w:rPr>
        <w:t>organisation</w:t>
      </w:r>
      <w:proofErr w:type="spellEnd"/>
      <w:r w:rsidRPr="00F91756">
        <w:rPr>
          <w:rFonts w:ascii="Arial" w:hAnsi="Arial" w:cs="Arial"/>
        </w:rPr>
        <w:t xml:space="preserve">, resulting in competitive parity. </w:t>
      </w:r>
    </w:p>
    <w:p w14:paraId="23049B89" w14:textId="77777777" w:rsidR="003A28C2" w:rsidRPr="00F91756" w:rsidRDefault="00000000">
      <w:pPr>
        <w:spacing w:before="200" w:after="0"/>
        <w:rPr>
          <w:rFonts w:ascii="Arial" w:hAnsi="Arial" w:cs="Arial"/>
        </w:rPr>
      </w:pPr>
      <w:r w:rsidRPr="00F91756">
        <w:rPr>
          <w:rFonts w:ascii="Arial" w:hAnsi="Arial" w:cs="Arial"/>
        </w:rPr>
        <w:t xml:space="preserve">The second resource is the brand portfolio, which spans primary and </w:t>
      </w:r>
      <w:proofErr w:type="spellStart"/>
      <w:r w:rsidRPr="00F91756">
        <w:rPr>
          <w:rFonts w:ascii="Arial" w:hAnsi="Arial" w:cs="Arial"/>
        </w:rPr>
        <w:t>speciality</w:t>
      </w:r>
      <w:proofErr w:type="spellEnd"/>
      <w:r w:rsidRPr="00F91756">
        <w:rPr>
          <w:rFonts w:ascii="Arial" w:hAnsi="Arial" w:cs="Arial"/>
        </w:rPr>
        <w:t xml:space="preserve"> care, with a strong global market coverage. It is positive in value, rarity and </w:t>
      </w:r>
      <w:proofErr w:type="spellStart"/>
      <w:r w:rsidRPr="00F91756">
        <w:rPr>
          <w:rFonts w:ascii="Arial" w:hAnsi="Arial" w:cs="Arial"/>
        </w:rPr>
        <w:t>organisation</w:t>
      </w:r>
      <w:proofErr w:type="spellEnd"/>
      <w:r w:rsidRPr="00F91756">
        <w:rPr>
          <w:rFonts w:ascii="Arial" w:hAnsi="Arial" w:cs="Arial"/>
        </w:rPr>
        <w:t xml:space="preserve">, resulting in competitive parity as well. The third resource is scientific innovation that pledges a deeper commitment to science, including advanced therapeutic technologies (Fourth Resource). It forms a core part of its competitive advantage (Swotandpestle.com, 2025). The company's marketing strategy integrates digital change with scientific innovation, further enhancing the effectiveness of its resources. It is positive in all of the factors; thus, it becomes a sustained competitive advantage. Advanced Therapeutic Technologies focuses on biologics and gene therapies, and is a rare and valuable asset in the industry. It is also positive in all the factors; therefore, it also gets a sustained competitive advantage. The combination of valuable, rare, and inimitable resources, combined with effective </w:t>
      </w:r>
      <w:proofErr w:type="spellStart"/>
      <w:r w:rsidRPr="00F91756">
        <w:rPr>
          <w:rFonts w:ascii="Arial" w:hAnsi="Arial" w:cs="Arial"/>
        </w:rPr>
        <w:t>organisation</w:t>
      </w:r>
      <w:proofErr w:type="spellEnd"/>
      <w:r w:rsidRPr="00F91756">
        <w:rPr>
          <w:rFonts w:ascii="Arial" w:hAnsi="Arial" w:cs="Arial"/>
        </w:rPr>
        <w:t xml:space="preserve">, gives AstraZeneca a sustained competitive advantage in the pharmaceutical industry. </w:t>
      </w:r>
    </w:p>
    <w:p w14:paraId="02CF9557" w14:textId="77777777" w:rsidR="003A28C2" w:rsidRPr="00F91756" w:rsidRDefault="00000000">
      <w:pPr>
        <w:spacing w:before="200" w:after="0"/>
        <w:rPr>
          <w:rFonts w:ascii="Arial" w:hAnsi="Arial" w:cs="Arial"/>
        </w:rPr>
      </w:pPr>
      <w:r w:rsidRPr="00F91756">
        <w:rPr>
          <w:rFonts w:ascii="Arial" w:hAnsi="Arial" w:cs="Arial"/>
          <w:noProof/>
        </w:rPr>
        <w:lastRenderedPageBreak/>
        <w:drawing>
          <wp:inline distT="114300" distB="114300" distL="114300" distR="114300" wp14:anchorId="0480CCE0" wp14:editId="5C406F3C">
            <wp:extent cx="5943600" cy="3340100"/>
            <wp:effectExtent l="25400" t="25400" r="25400" b="2540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70A0D16A" w14:textId="77777777" w:rsidR="003A28C2" w:rsidRPr="00F91756" w:rsidRDefault="00000000">
      <w:pPr>
        <w:spacing w:before="200" w:after="0"/>
        <w:jc w:val="center"/>
        <w:rPr>
          <w:rFonts w:ascii="Arial" w:hAnsi="Arial" w:cs="Arial"/>
          <w:b/>
          <w:bCs/>
        </w:rPr>
      </w:pPr>
      <w:r w:rsidRPr="00F91756">
        <w:rPr>
          <w:rFonts w:ascii="Arial" w:hAnsi="Arial" w:cs="Arial"/>
          <w:b/>
          <w:bCs/>
        </w:rPr>
        <w:t>Figure 8: VRIO analysis</w:t>
      </w:r>
    </w:p>
    <w:p w14:paraId="648ED328" w14:textId="77777777" w:rsidR="003A28C2" w:rsidRPr="00F91756" w:rsidRDefault="00000000">
      <w:pPr>
        <w:spacing w:before="200" w:after="0"/>
        <w:jc w:val="center"/>
        <w:rPr>
          <w:rFonts w:ascii="Arial" w:hAnsi="Arial" w:cs="Arial"/>
        </w:rPr>
      </w:pPr>
      <w:r w:rsidRPr="00F91756">
        <w:rPr>
          <w:rFonts w:ascii="Arial" w:hAnsi="Arial" w:cs="Arial"/>
        </w:rPr>
        <w:t>(Source: Bruin, 2019)</w:t>
      </w:r>
    </w:p>
    <w:p w14:paraId="56479BD8" w14:textId="77777777" w:rsidR="003A28C2" w:rsidRPr="00F91756" w:rsidRDefault="00000000">
      <w:pPr>
        <w:pStyle w:val="Heading1"/>
        <w:spacing w:before="200"/>
        <w:rPr>
          <w:rFonts w:ascii="Arial" w:hAnsi="Arial" w:cs="Arial"/>
          <w:color w:val="000000"/>
        </w:rPr>
      </w:pPr>
      <w:bookmarkStart w:id="17" w:name="_xrtpngw0687f" w:colFirst="0" w:colLast="0"/>
      <w:bookmarkEnd w:id="17"/>
      <w:r w:rsidRPr="00F91756">
        <w:rPr>
          <w:rFonts w:ascii="Arial" w:hAnsi="Arial" w:cs="Arial"/>
          <w:color w:val="000000"/>
        </w:rPr>
        <w:lastRenderedPageBreak/>
        <w:t>4. Strategy Development and Formulation</w:t>
      </w:r>
    </w:p>
    <w:p w14:paraId="1432800B" w14:textId="77777777" w:rsidR="003A28C2" w:rsidRPr="00F91756" w:rsidRDefault="00000000">
      <w:pPr>
        <w:pStyle w:val="Heading2"/>
        <w:spacing w:before="200"/>
        <w:rPr>
          <w:rFonts w:ascii="Arial" w:hAnsi="Arial" w:cs="Arial"/>
        </w:rPr>
      </w:pPr>
      <w:bookmarkStart w:id="18" w:name="_9pk4c6r00485" w:colFirst="0" w:colLast="0"/>
      <w:bookmarkEnd w:id="18"/>
      <w:r w:rsidRPr="00F91756">
        <w:rPr>
          <w:rFonts w:ascii="Arial" w:hAnsi="Arial" w:cs="Arial"/>
          <w:color w:val="000000"/>
        </w:rPr>
        <w:t xml:space="preserve">4.1. Strategic Direction: Market development </w:t>
      </w:r>
    </w:p>
    <w:p w14:paraId="7066DFEA" w14:textId="77777777" w:rsidR="003A28C2" w:rsidRPr="00F91756" w:rsidRDefault="00000000">
      <w:pPr>
        <w:jc w:val="center"/>
        <w:rPr>
          <w:rFonts w:ascii="Arial" w:hAnsi="Arial" w:cs="Arial"/>
        </w:rPr>
      </w:pPr>
      <w:r w:rsidRPr="00F91756">
        <w:rPr>
          <w:rFonts w:ascii="Arial" w:hAnsi="Arial" w:cs="Arial"/>
          <w:noProof/>
        </w:rPr>
        <w:drawing>
          <wp:inline distT="114300" distB="114300" distL="114300" distR="114300" wp14:anchorId="2EF8440A" wp14:editId="0556F50D">
            <wp:extent cx="4481513" cy="3733800"/>
            <wp:effectExtent l="25400" t="25400" r="25400" b="254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l="9935" r="14663"/>
                    <a:stretch>
                      <a:fillRect/>
                    </a:stretch>
                  </pic:blipFill>
                  <pic:spPr>
                    <a:xfrm>
                      <a:off x="0" y="0"/>
                      <a:ext cx="4481513" cy="3733800"/>
                    </a:xfrm>
                    <a:prstGeom prst="rect">
                      <a:avLst/>
                    </a:prstGeom>
                    <a:ln w="25400">
                      <a:solidFill>
                        <a:srgbClr val="000000"/>
                      </a:solidFill>
                      <a:prstDash val="solid"/>
                    </a:ln>
                  </pic:spPr>
                </pic:pic>
              </a:graphicData>
            </a:graphic>
          </wp:inline>
        </w:drawing>
      </w:r>
    </w:p>
    <w:p w14:paraId="35A8FD82" w14:textId="77777777" w:rsidR="003A28C2" w:rsidRPr="00F91756" w:rsidRDefault="00000000">
      <w:pPr>
        <w:jc w:val="center"/>
        <w:rPr>
          <w:rFonts w:ascii="Arial" w:hAnsi="Arial" w:cs="Arial"/>
          <w:b/>
          <w:bCs/>
        </w:rPr>
      </w:pPr>
      <w:r w:rsidRPr="00F91756">
        <w:rPr>
          <w:rFonts w:ascii="Arial" w:hAnsi="Arial" w:cs="Arial"/>
          <w:b/>
          <w:bCs/>
        </w:rPr>
        <w:t xml:space="preserve">Figure 9: Ansoff Matrix Model </w:t>
      </w:r>
    </w:p>
    <w:p w14:paraId="2F12347A" w14:textId="77777777" w:rsidR="003A28C2" w:rsidRPr="00F91756" w:rsidRDefault="00000000">
      <w:pPr>
        <w:jc w:val="center"/>
        <w:rPr>
          <w:rFonts w:ascii="Arial" w:hAnsi="Arial" w:cs="Arial"/>
          <w:i/>
          <w:iCs/>
        </w:rPr>
      </w:pPr>
      <w:r w:rsidRPr="00F91756">
        <w:rPr>
          <w:rFonts w:ascii="Arial" w:hAnsi="Arial" w:cs="Arial"/>
          <w:i/>
          <w:iCs/>
        </w:rPr>
        <w:t>(Source: Peter Boolkah, 2024)</w:t>
      </w:r>
    </w:p>
    <w:p w14:paraId="6873F466" w14:textId="77777777" w:rsidR="003A28C2" w:rsidRPr="00F91756" w:rsidRDefault="00000000">
      <w:pPr>
        <w:rPr>
          <w:rFonts w:ascii="Arial" w:hAnsi="Arial" w:cs="Arial"/>
        </w:rPr>
      </w:pPr>
      <w:r w:rsidRPr="00F91756">
        <w:rPr>
          <w:rFonts w:ascii="Arial" w:hAnsi="Arial" w:cs="Arial"/>
        </w:rPr>
        <w:t>By using</w:t>
      </w:r>
      <w:r w:rsidRPr="00F91756">
        <w:rPr>
          <w:rFonts w:ascii="Arial" w:hAnsi="Arial" w:cs="Arial"/>
          <w:b/>
          <w:bCs/>
          <w:i/>
          <w:iCs/>
        </w:rPr>
        <w:t xml:space="preserve"> Ansoff Matrix </w:t>
      </w:r>
      <w:r w:rsidRPr="00F91756">
        <w:rPr>
          <w:rFonts w:ascii="Arial" w:hAnsi="Arial" w:cs="Arial"/>
        </w:rPr>
        <w:t xml:space="preserve">strategies for growth which involves </w:t>
      </w:r>
      <w:r w:rsidRPr="00F91756">
        <w:rPr>
          <w:rFonts w:ascii="Arial" w:hAnsi="Arial" w:cs="Arial"/>
          <w:b/>
          <w:bCs/>
          <w:i/>
          <w:iCs/>
        </w:rPr>
        <w:t>Market Penetration, Market Development, Product Development</w:t>
      </w:r>
      <w:r w:rsidRPr="00F91756">
        <w:rPr>
          <w:rFonts w:ascii="Arial" w:hAnsi="Arial" w:cs="Arial"/>
        </w:rPr>
        <w:t xml:space="preserve"> and </w:t>
      </w:r>
      <w:r w:rsidRPr="00F91756">
        <w:rPr>
          <w:rFonts w:ascii="Arial" w:hAnsi="Arial" w:cs="Arial"/>
          <w:b/>
          <w:bCs/>
          <w:i/>
          <w:iCs/>
        </w:rPr>
        <w:t xml:space="preserve">Diversification </w:t>
      </w:r>
      <w:r w:rsidRPr="00F91756">
        <w:rPr>
          <w:rFonts w:ascii="Arial" w:hAnsi="Arial" w:cs="Arial"/>
        </w:rPr>
        <w:t xml:space="preserve">(Harvey, 2020). AstraZeneca adopts these four strategies which helps to balance the low-risk market focus with its high-risk innovation. It also supports R&amp;D for new drugs which fall under product development. This organization also expands its sales in terms of global market which refers to the market development. While it also maximizes its present products in the market which highlights the market penetration. Lastly, this company also explores new ventures which fosters the strategy as diversification of Ansoff Matrix. </w:t>
      </w:r>
    </w:p>
    <w:p w14:paraId="4373E337" w14:textId="77777777" w:rsidR="003A28C2" w:rsidRPr="00F91756" w:rsidRDefault="00000000">
      <w:pPr>
        <w:rPr>
          <w:rFonts w:ascii="Arial" w:hAnsi="Arial" w:cs="Arial"/>
        </w:rPr>
      </w:pPr>
      <w:r w:rsidRPr="00F91756">
        <w:rPr>
          <w:rFonts w:ascii="Arial" w:hAnsi="Arial" w:cs="Arial"/>
        </w:rPr>
        <w:t xml:space="preserve">In terms of </w:t>
      </w:r>
      <w:r w:rsidRPr="00F91756">
        <w:rPr>
          <w:rFonts w:ascii="Arial" w:hAnsi="Arial" w:cs="Arial"/>
          <w:b/>
          <w:bCs/>
          <w:i/>
          <w:iCs/>
        </w:rPr>
        <w:t>market penetration</w:t>
      </w:r>
      <w:r w:rsidRPr="00F91756">
        <w:rPr>
          <w:rFonts w:ascii="Arial" w:hAnsi="Arial" w:cs="Arial"/>
        </w:rPr>
        <w:t xml:space="preserve">, AstraZeneca focuses on its existing products with existing markets. It increases sales of its current products such as </w:t>
      </w:r>
      <w:proofErr w:type="spellStart"/>
      <w:r w:rsidRPr="00F91756">
        <w:rPr>
          <w:rFonts w:ascii="Arial" w:hAnsi="Arial" w:cs="Arial"/>
        </w:rPr>
        <w:t>Tagrisso</w:t>
      </w:r>
      <w:proofErr w:type="spellEnd"/>
      <w:r w:rsidRPr="00F91756">
        <w:rPr>
          <w:rFonts w:ascii="Arial" w:hAnsi="Arial" w:cs="Arial"/>
        </w:rPr>
        <w:t xml:space="preserve">, Imfinzi, </w:t>
      </w:r>
      <w:r w:rsidRPr="00F91756">
        <w:rPr>
          <w:rFonts w:ascii="Arial" w:hAnsi="Arial" w:cs="Arial"/>
        </w:rPr>
        <w:lastRenderedPageBreak/>
        <w:t>Symbicort by implementing better marketing, distribution, competitive pricing and frequency of use. This company also focuses on its competitors by regaining the market share (</w:t>
      </w:r>
      <w:proofErr w:type="spellStart"/>
      <w:r w:rsidRPr="00F91756">
        <w:rPr>
          <w:rFonts w:ascii="Arial" w:hAnsi="Arial" w:cs="Arial"/>
        </w:rPr>
        <w:t>DelveInsight</w:t>
      </w:r>
      <w:proofErr w:type="spellEnd"/>
      <w:r w:rsidRPr="00F91756">
        <w:rPr>
          <w:rFonts w:ascii="Arial" w:hAnsi="Arial" w:cs="Arial"/>
        </w:rPr>
        <w:t xml:space="preserve"> Business, 2025). The </w:t>
      </w:r>
      <w:r w:rsidRPr="00F91756">
        <w:rPr>
          <w:rFonts w:ascii="Arial" w:hAnsi="Arial" w:cs="Arial"/>
          <w:b/>
          <w:bCs/>
          <w:i/>
          <w:iCs/>
        </w:rPr>
        <w:t>market development</w:t>
      </w:r>
      <w:r w:rsidRPr="00F91756">
        <w:rPr>
          <w:rFonts w:ascii="Arial" w:hAnsi="Arial" w:cs="Arial"/>
        </w:rPr>
        <w:t xml:space="preserve"> of this company focuses on its existing products with new markets. This company also expands new geographical segments by emerging markets across the whole globe (Wani and </w:t>
      </w:r>
      <w:proofErr w:type="spellStart"/>
      <w:r w:rsidRPr="00F91756">
        <w:rPr>
          <w:rFonts w:ascii="Arial" w:hAnsi="Arial" w:cs="Arial"/>
        </w:rPr>
        <w:t>Faizullabhoy</w:t>
      </w:r>
      <w:proofErr w:type="spellEnd"/>
      <w:r w:rsidRPr="00F91756">
        <w:rPr>
          <w:rFonts w:ascii="Arial" w:hAnsi="Arial" w:cs="Arial"/>
        </w:rPr>
        <w:t xml:space="preserve">, 2025). In this strategy, it targets new patient segments and demographics with its established drugs. In terms of </w:t>
      </w:r>
      <w:r w:rsidRPr="00F91756">
        <w:rPr>
          <w:rFonts w:ascii="Arial" w:hAnsi="Arial" w:cs="Arial"/>
          <w:b/>
          <w:bCs/>
          <w:i/>
          <w:iCs/>
        </w:rPr>
        <w:t>product development</w:t>
      </w:r>
      <w:r w:rsidRPr="00F91756">
        <w:rPr>
          <w:rFonts w:ascii="Arial" w:hAnsi="Arial" w:cs="Arial"/>
        </w:rPr>
        <w:t xml:space="preserve"> of AstraZeneca, it highlights its new products with existing markets. It may invest heavily in R&amp;D such as Oncology, vaccines and rare diseases which fosters the launch of new medicines for its existing and core patient base and the market. This strategy also helps to modify the existing products of this company or develop with new formulations (King, 2025). This company also highlights its </w:t>
      </w:r>
      <w:r w:rsidRPr="00F91756">
        <w:rPr>
          <w:rFonts w:ascii="Arial" w:hAnsi="Arial" w:cs="Arial"/>
          <w:b/>
          <w:bCs/>
          <w:i/>
          <w:iCs/>
        </w:rPr>
        <w:t>diversification</w:t>
      </w:r>
      <w:r w:rsidRPr="00F91756">
        <w:rPr>
          <w:rFonts w:ascii="Arial" w:hAnsi="Arial" w:cs="Arial"/>
        </w:rPr>
        <w:t xml:space="preserve"> strategy which involves new products in new markets through exploring new businesses that are suitable for the advanced healthcare services and digital health (Jackson, 2024). This company adopts a </w:t>
      </w:r>
      <w:r w:rsidRPr="00F91756">
        <w:rPr>
          <w:rFonts w:ascii="Arial" w:hAnsi="Arial" w:cs="Arial"/>
          <w:b/>
          <w:bCs/>
          <w:i/>
          <w:iCs/>
        </w:rPr>
        <w:t>market penetration</w:t>
      </w:r>
      <w:r w:rsidRPr="00F91756">
        <w:rPr>
          <w:rFonts w:ascii="Arial" w:hAnsi="Arial" w:cs="Arial"/>
        </w:rPr>
        <w:t xml:space="preserve"> strategy which is applicable for India.</w:t>
      </w:r>
    </w:p>
    <w:p w14:paraId="4FE09FFA" w14:textId="77777777" w:rsidR="003A28C2" w:rsidRPr="00F91756" w:rsidRDefault="00000000">
      <w:pPr>
        <w:pStyle w:val="Heading2"/>
        <w:spacing w:before="200"/>
        <w:rPr>
          <w:rFonts w:ascii="Arial" w:hAnsi="Arial" w:cs="Arial"/>
          <w:color w:val="000000"/>
        </w:rPr>
      </w:pPr>
      <w:bookmarkStart w:id="19" w:name="_mamtlda0qgsj" w:colFirst="0" w:colLast="0"/>
      <w:bookmarkEnd w:id="19"/>
      <w:r w:rsidRPr="00F91756">
        <w:rPr>
          <w:rFonts w:ascii="Arial" w:hAnsi="Arial" w:cs="Arial"/>
          <w:color w:val="000000"/>
        </w:rPr>
        <w:t>4.2. Entry Strategy</w:t>
      </w:r>
    </w:p>
    <w:p w14:paraId="77662258" w14:textId="77777777" w:rsidR="003A28C2" w:rsidRPr="00F91756" w:rsidRDefault="00000000">
      <w:pPr>
        <w:rPr>
          <w:rFonts w:ascii="Arial" w:hAnsi="Arial" w:cs="Arial"/>
        </w:rPr>
      </w:pPr>
      <w:r w:rsidRPr="00F91756">
        <w:rPr>
          <w:rFonts w:ascii="Arial" w:hAnsi="Arial" w:cs="Arial"/>
        </w:rPr>
        <w:t xml:space="preserve">AstraZeneca's entry and sustained presence in India are characterized as a </w:t>
      </w:r>
      <w:r w:rsidRPr="00F91756">
        <w:rPr>
          <w:rFonts w:ascii="Arial" w:hAnsi="Arial" w:cs="Arial"/>
          <w:b/>
          <w:bCs/>
          <w:i/>
          <w:iCs/>
        </w:rPr>
        <w:t>long-term commitment</w:t>
      </w:r>
      <w:r w:rsidRPr="00F91756">
        <w:rPr>
          <w:rFonts w:ascii="Arial" w:hAnsi="Arial" w:cs="Arial"/>
        </w:rPr>
        <w:t xml:space="preserve">. This helped the company to initially establish a local subsidiary in 1979. This company is followed by a multi-pronged strategy which is focused on its innovation, strategic partnerships and significant investment in terms of R&amp;D and technology hubs. This company established a local presence in India by building </w:t>
      </w:r>
      <w:r w:rsidRPr="00F91756">
        <w:rPr>
          <w:rFonts w:ascii="Arial" w:hAnsi="Arial" w:cs="Arial"/>
          <w:b/>
          <w:bCs/>
          <w:i/>
          <w:iCs/>
        </w:rPr>
        <w:t>AstraZeneca Pharma India Limited (AZPIL)</w:t>
      </w:r>
      <w:r w:rsidRPr="00F91756">
        <w:rPr>
          <w:rFonts w:ascii="Arial" w:hAnsi="Arial" w:cs="Arial"/>
        </w:rPr>
        <w:t xml:space="preserve"> in 1979 in Bengaluru. It started serving as a foundation for its Indian operations and in the </w:t>
      </w:r>
      <w:proofErr w:type="gramStart"/>
      <w:r w:rsidRPr="00F91756">
        <w:rPr>
          <w:rFonts w:ascii="Arial" w:hAnsi="Arial" w:cs="Arial"/>
        </w:rPr>
        <w:t>end</w:t>
      </w:r>
      <w:proofErr w:type="gramEnd"/>
      <w:r w:rsidRPr="00F91756">
        <w:rPr>
          <w:rFonts w:ascii="Arial" w:hAnsi="Arial" w:cs="Arial"/>
        </w:rPr>
        <w:t xml:space="preserve"> it expanded its R&amp;D hub in the same city (AstraZeneca India, 2025b). This company focuses on the specialist disease areas where it can </w:t>
      </w:r>
      <w:proofErr w:type="spellStart"/>
      <w:r w:rsidRPr="00F91756">
        <w:rPr>
          <w:rFonts w:ascii="Arial" w:hAnsi="Arial" w:cs="Arial"/>
        </w:rPr>
        <w:t>emphasise</w:t>
      </w:r>
      <w:proofErr w:type="spellEnd"/>
      <w:r w:rsidRPr="00F91756">
        <w:rPr>
          <w:rFonts w:ascii="Arial" w:hAnsi="Arial" w:cs="Arial"/>
        </w:rPr>
        <w:t xml:space="preserve"> its expertise and innovative portfolio by including Oncology, Cardiovascular, Renal &amp; Metabolism, and Respiratory and Rare Disease. This company also creates strategic alliances with the local players which enhances market access and distribution rather than operating a competitive generics market.</w:t>
      </w:r>
    </w:p>
    <w:p w14:paraId="244072B8" w14:textId="77777777" w:rsidR="003A28C2" w:rsidRPr="00F91756" w:rsidRDefault="00000000">
      <w:pPr>
        <w:widowControl w:val="0"/>
        <w:rPr>
          <w:rFonts w:ascii="Arial" w:hAnsi="Arial" w:cs="Arial"/>
        </w:rPr>
      </w:pPr>
      <w:r w:rsidRPr="00F91756">
        <w:rPr>
          <w:rFonts w:ascii="Arial" w:hAnsi="Arial" w:cs="Arial"/>
        </w:rPr>
        <w:t xml:space="preserve">This company also highlights its exclusive partnership with </w:t>
      </w:r>
      <w:r w:rsidRPr="00F91756">
        <w:rPr>
          <w:rFonts w:ascii="Arial" w:hAnsi="Arial" w:cs="Arial"/>
          <w:b/>
          <w:bCs/>
          <w:i/>
          <w:iCs/>
        </w:rPr>
        <w:t xml:space="preserve">“Mankind Pharma” </w:t>
      </w:r>
      <w:r w:rsidRPr="00F91756">
        <w:rPr>
          <w:rFonts w:ascii="Arial" w:hAnsi="Arial" w:cs="Arial"/>
        </w:rPr>
        <w:t xml:space="preserve">by establishing its asthma drug brand Symbicort in India, </w:t>
      </w:r>
      <w:r w:rsidRPr="00F91756">
        <w:rPr>
          <w:rFonts w:ascii="Arial" w:hAnsi="Arial" w:cs="Arial"/>
          <w:b/>
          <w:bCs/>
          <w:i/>
          <w:iCs/>
        </w:rPr>
        <w:t>“Sun Pharma”</w:t>
      </w:r>
      <w:r w:rsidRPr="00F91756">
        <w:rPr>
          <w:rFonts w:ascii="Arial" w:hAnsi="Arial" w:cs="Arial"/>
        </w:rPr>
        <w:t xml:space="preserve"> for </w:t>
      </w:r>
      <w:proofErr w:type="spellStart"/>
      <w:r w:rsidRPr="00F91756">
        <w:rPr>
          <w:rFonts w:ascii="Arial" w:hAnsi="Arial" w:cs="Arial"/>
        </w:rPr>
        <w:t>hyperkalaemia</w:t>
      </w:r>
      <w:proofErr w:type="spellEnd"/>
      <w:r w:rsidRPr="00F91756">
        <w:rPr>
          <w:rFonts w:ascii="Arial" w:hAnsi="Arial" w:cs="Arial"/>
        </w:rPr>
        <w:t xml:space="preserve"> </w:t>
      </w:r>
      <w:r w:rsidRPr="00F91756">
        <w:rPr>
          <w:rFonts w:ascii="Arial" w:hAnsi="Arial" w:cs="Arial"/>
        </w:rPr>
        <w:lastRenderedPageBreak/>
        <w:t xml:space="preserve">and type 2 diabetes. This company also collaborates with Roche Diagnostics India and Rajiv Gandhi Cancer Institute by improving diagnostics and testing for specific cancers (AstraZeneca India, 2025c). AstraZeneca has made substantial investments to create major global capability centers in India by supporting global operations with high-impact, technology-driven solutions. The </w:t>
      </w:r>
      <w:r w:rsidRPr="00F91756">
        <w:rPr>
          <w:rFonts w:ascii="Arial" w:hAnsi="Arial" w:cs="Arial"/>
          <w:b/>
          <w:bCs/>
          <w:i/>
          <w:iCs/>
        </w:rPr>
        <w:t>Global Innovation &amp; Technology Centre (GITC)</w:t>
      </w:r>
      <w:r w:rsidRPr="00F91756">
        <w:rPr>
          <w:rFonts w:ascii="Arial" w:hAnsi="Arial" w:cs="Arial"/>
        </w:rPr>
        <w:t xml:space="preserve"> in Chennai and the Global Hub in Bengaluru which focus on AI, data analytics, R&amp;D and global business services. Recent investments of AstraZeneca </w:t>
      </w:r>
      <w:proofErr w:type="gramStart"/>
      <w:r w:rsidRPr="00F91756">
        <w:rPr>
          <w:rFonts w:ascii="Arial" w:hAnsi="Arial" w:cs="Arial"/>
        </w:rPr>
        <w:t>expands</w:t>
      </w:r>
      <w:proofErr w:type="gramEnd"/>
      <w:r w:rsidRPr="00F91756">
        <w:rPr>
          <w:rFonts w:ascii="Arial" w:hAnsi="Arial" w:cs="Arial"/>
        </w:rPr>
        <w:t xml:space="preserve"> the capabilities and infrastructure of the centers of India by highlighting India's role as a vital innovation hub for the company globally (AstraZeneca India, 2025a). These overall strategies allow AstraZeneca to focus on its </w:t>
      </w:r>
      <w:r w:rsidRPr="00F91756">
        <w:rPr>
          <w:rFonts w:ascii="Arial" w:hAnsi="Arial" w:cs="Arial"/>
          <w:b/>
          <w:bCs/>
          <w:i/>
          <w:iCs/>
        </w:rPr>
        <w:t>"Growth Through Innovation"</w:t>
      </w:r>
      <w:r w:rsidRPr="00F91756">
        <w:rPr>
          <w:rFonts w:ascii="Arial" w:hAnsi="Arial" w:cs="Arial"/>
        </w:rPr>
        <w:t xml:space="preserve"> model in the premium segment which helps in the use of partnerships by increasing the reach and accessibility of its medicines.</w:t>
      </w:r>
    </w:p>
    <w:p w14:paraId="577DD449" w14:textId="77777777" w:rsidR="003A28C2" w:rsidRPr="00F91756" w:rsidRDefault="00000000">
      <w:pPr>
        <w:pStyle w:val="Heading2"/>
        <w:spacing w:before="200"/>
        <w:rPr>
          <w:rFonts w:ascii="Arial" w:hAnsi="Arial" w:cs="Arial"/>
          <w:color w:val="000000"/>
        </w:rPr>
      </w:pPr>
      <w:bookmarkStart w:id="20" w:name="_yqeq7rdj9msm" w:colFirst="0" w:colLast="0"/>
      <w:bookmarkEnd w:id="20"/>
      <w:r w:rsidRPr="00F91756">
        <w:rPr>
          <w:rFonts w:ascii="Arial" w:hAnsi="Arial" w:cs="Arial"/>
          <w:color w:val="000000"/>
        </w:rPr>
        <w:t>4.3. Sustainable Competitive Advantage</w:t>
      </w:r>
    </w:p>
    <w:p w14:paraId="1145CD63" w14:textId="77777777" w:rsidR="003A28C2" w:rsidRPr="00F91756" w:rsidRDefault="00000000">
      <w:pPr>
        <w:rPr>
          <w:rFonts w:ascii="Arial" w:hAnsi="Arial" w:cs="Arial"/>
        </w:rPr>
      </w:pPr>
      <w:r w:rsidRPr="00F91756">
        <w:rPr>
          <w:rFonts w:ascii="Arial" w:hAnsi="Arial" w:cs="Arial"/>
        </w:rPr>
        <w:t>AstraZeneca's sustainable competitive advantages in India can be spotlighted for its strong focus on innovation, science-led medicines, deep investment in local R&amp;D &amp; clinical trials, strategic alignment with India's healthcare needs, robust sustainability initiatives and a highly skilled workforce (</w:t>
      </w:r>
      <w:proofErr w:type="spellStart"/>
      <w:r w:rsidRPr="00F91756">
        <w:rPr>
          <w:rFonts w:ascii="Arial" w:hAnsi="Arial" w:cs="Arial"/>
        </w:rPr>
        <w:t>Astrazeneca</w:t>
      </w:r>
      <w:proofErr w:type="spellEnd"/>
      <w:r w:rsidRPr="00F91756">
        <w:rPr>
          <w:rFonts w:ascii="Arial" w:hAnsi="Arial" w:cs="Arial"/>
        </w:rPr>
        <w:t xml:space="preserve"> India, 2025). This is supported by global technology transfer by creating long-term resilience and market differentiation. Science-Led Innovation of this company leads in terms of high-growth areas such as oncology, cardiovascular and respiratory diseases with differentiated and targeted therapies. India is considered as a major R&amp;D center which helps in conducting numerous clinical trials including Phase 3. This company also modifies the treatments for Indian populations by building local expertise and data. The access and affordability focus of this company can be highlighted by partnering to improve healthcare access and fostering various government initiatives such as reduced GST on cancer drugs. It can implement strategies for affordability which elevates the goodwill and market share. </w:t>
      </w:r>
    </w:p>
    <w:p w14:paraId="3DE512C7" w14:textId="77777777" w:rsidR="003A28C2" w:rsidRPr="00F91756" w:rsidRDefault="00000000">
      <w:pPr>
        <w:widowControl w:val="0"/>
        <w:rPr>
          <w:rFonts w:ascii="Arial" w:hAnsi="Arial" w:cs="Arial"/>
        </w:rPr>
      </w:pPr>
      <w:r w:rsidRPr="00F91756">
        <w:rPr>
          <w:rFonts w:ascii="Arial" w:hAnsi="Arial" w:cs="Arial"/>
        </w:rPr>
        <w:t xml:space="preserve">AstraZeneca maintains its deep commitment to environmental protection such as solar power, reduced emissions with its ethical practices including transparency, employee development. This can help to enhance the brand reputation and long-term viability of the organization (AstraZeneca India Private Limited, 2022). This company’s talent and culture </w:t>
      </w:r>
      <w:r w:rsidRPr="00F91756">
        <w:rPr>
          <w:rFonts w:ascii="Arial" w:hAnsi="Arial" w:cs="Arial"/>
        </w:rPr>
        <w:lastRenderedPageBreak/>
        <w:t>can be identified by employing highly qualified scientists who can foster an innovative, entrepreneurial culture. This can be supported by strong global R&amp;D linkage from its parent company. It can collaborate with the Indian research institutes which emphasize and identify the untouched needs by strengthening the local ecosystem.</w:t>
      </w:r>
    </w:p>
    <w:p w14:paraId="180E1E88" w14:textId="77777777" w:rsidR="003A28C2" w:rsidRPr="00F91756" w:rsidRDefault="00000000">
      <w:pPr>
        <w:widowControl w:val="0"/>
        <w:jc w:val="center"/>
        <w:rPr>
          <w:rFonts w:ascii="Arial" w:hAnsi="Arial" w:cs="Arial"/>
        </w:rPr>
      </w:pPr>
      <w:r w:rsidRPr="00F91756">
        <w:rPr>
          <w:rFonts w:ascii="Arial" w:hAnsi="Arial" w:cs="Arial"/>
          <w:noProof/>
        </w:rPr>
        <w:drawing>
          <wp:inline distT="114300" distB="114300" distL="114300" distR="114300" wp14:anchorId="740396C9" wp14:editId="48BC9D85">
            <wp:extent cx="5091113" cy="4895300"/>
            <wp:effectExtent l="25400" t="25400" r="25400" b="2540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091113" cy="4895300"/>
                    </a:xfrm>
                    <a:prstGeom prst="rect">
                      <a:avLst/>
                    </a:prstGeom>
                    <a:ln w="25400">
                      <a:solidFill>
                        <a:srgbClr val="000000"/>
                      </a:solidFill>
                      <a:prstDash val="solid"/>
                    </a:ln>
                  </pic:spPr>
                </pic:pic>
              </a:graphicData>
            </a:graphic>
          </wp:inline>
        </w:drawing>
      </w:r>
    </w:p>
    <w:p w14:paraId="70B610C2" w14:textId="77777777" w:rsidR="003A28C2" w:rsidRPr="00F91756" w:rsidRDefault="00000000">
      <w:pPr>
        <w:widowControl w:val="0"/>
        <w:jc w:val="center"/>
        <w:rPr>
          <w:rFonts w:ascii="Arial" w:hAnsi="Arial" w:cs="Arial"/>
          <w:b/>
          <w:bCs/>
        </w:rPr>
      </w:pPr>
      <w:r w:rsidRPr="00F91756">
        <w:rPr>
          <w:rFonts w:ascii="Arial" w:hAnsi="Arial" w:cs="Arial"/>
          <w:b/>
          <w:bCs/>
        </w:rPr>
        <w:t>Figure 10: Sustainability at AstraZeneca</w:t>
      </w:r>
    </w:p>
    <w:p w14:paraId="13ADDC03" w14:textId="77777777" w:rsidR="003A28C2" w:rsidRPr="00F91756" w:rsidRDefault="00000000">
      <w:pPr>
        <w:widowControl w:val="0"/>
        <w:jc w:val="center"/>
        <w:rPr>
          <w:rFonts w:ascii="Arial" w:hAnsi="Arial" w:cs="Arial"/>
          <w:i/>
          <w:iCs/>
        </w:rPr>
      </w:pPr>
      <w:r w:rsidRPr="00F91756">
        <w:rPr>
          <w:rFonts w:ascii="Arial" w:hAnsi="Arial" w:cs="Arial"/>
          <w:i/>
          <w:iCs/>
        </w:rPr>
        <w:t>(Source: Vietnam Investment Review, 2025)</w:t>
      </w:r>
    </w:p>
    <w:p w14:paraId="0FDE2A8C" w14:textId="77777777" w:rsidR="003A28C2" w:rsidRPr="00F91756" w:rsidRDefault="00000000">
      <w:pPr>
        <w:pStyle w:val="Heading2"/>
        <w:spacing w:before="200"/>
        <w:rPr>
          <w:rFonts w:ascii="Arial" w:hAnsi="Arial" w:cs="Arial"/>
          <w:color w:val="000000"/>
        </w:rPr>
      </w:pPr>
      <w:bookmarkStart w:id="21" w:name="_m72pepqiimnp" w:colFirst="0" w:colLast="0"/>
      <w:bookmarkEnd w:id="21"/>
      <w:r w:rsidRPr="00F91756">
        <w:rPr>
          <w:rFonts w:ascii="Arial" w:hAnsi="Arial" w:cs="Arial"/>
          <w:color w:val="000000"/>
        </w:rPr>
        <w:t>4.4. CSR and Ethical Strategy</w:t>
      </w:r>
    </w:p>
    <w:p w14:paraId="5912ECF6" w14:textId="77777777" w:rsidR="003A28C2" w:rsidRPr="00F91756" w:rsidRDefault="00000000">
      <w:pPr>
        <w:widowControl w:val="0"/>
        <w:rPr>
          <w:rFonts w:ascii="Arial" w:hAnsi="Arial" w:cs="Arial"/>
        </w:rPr>
      </w:pPr>
      <w:r w:rsidRPr="00F91756">
        <w:rPr>
          <w:rFonts w:ascii="Arial" w:hAnsi="Arial" w:cs="Arial"/>
        </w:rPr>
        <w:t xml:space="preserve">AstraZeneca India's CSR &amp; Ethical Strategy stands on three pillars and these are considered as access to healthcare, environmental protection and ethics and transparency. This helps in aligning with global goals like Net Zero and focusing on </w:t>
      </w:r>
      <w:r w:rsidRPr="00F91756">
        <w:rPr>
          <w:rFonts w:ascii="Arial" w:hAnsi="Arial" w:cs="Arial"/>
        </w:rPr>
        <w:lastRenderedPageBreak/>
        <w:t xml:space="preserve">preventing chronic diseases via screening, prevention and health system strengthening with transparent operations, employee well-being and biodiversity projects such as </w:t>
      </w:r>
      <w:r w:rsidRPr="00F91756">
        <w:rPr>
          <w:rFonts w:ascii="Arial" w:hAnsi="Arial" w:cs="Arial"/>
          <w:b/>
          <w:bCs/>
          <w:i/>
          <w:iCs/>
        </w:rPr>
        <w:t>AZ Forest</w:t>
      </w:r>
      <w:r w:rsidRPr="00F91756">
        <w:rPr>
          <w:rFonts w:ascii="Arial" w:hAnsi="Arial" w:cs="Arial"/>
        </w:rPr>
        <w:t xml:space="preserve"> in India (</w:t>
      </w:r>
      <w:proofErr w:type="spellStart"/>
      <w:r w:rsidRPr="00F91756">
        <w:rPr>
          <w:rFonts w:ascii="Arial" w:hAnsi="Arial" w:cs="Arial"/>
        </w:rPr>
        <w:t>Astrazeneca</w:t>
      </w:r>
      <w:proofErr w:type="spellEnd"/>
      <w:r w:rsidRPr="00F91756">
        <w:rPr>
          <w:rFonts w:ascii="Arial" w:hAnsi="Arial" w:cs="Arial"/>
        </w:rPr>
        <w:t xml:space="preserve"> India, 2025). This company is also aligned with UN Sustainable Development Goals (SDGs) which focuses on </w:t>
      </w:r>
      <w:r w:rsidRPr="00F91756">
        <w:rPr>
          <w:rFonts w:ascii="Arial" w:hAnsi="Arial" w:cs="Arial"/>
          <w:b/>
          <w:bCs/>
          <w:i/>
          <w:iCs/>
        </w:rPr>
        <w:t>Good Health and Wellbeing (SDG 3)</w:t>
      </w:r>
      <w:r w:rsidRPr="00F91756">
        <w:rPr>
          <w:rFonts w:ascii="Arial" w:hAnsi="Arial" w:cs="Arial"/>
        </w:rPr>
        <w:t xml:space="preserve">, </w:t>
      </w:r>
      <w:r w:rsidRPr="00F91756">
        <w:rPr>
          <w:rFonts w:ascii="Arial" w:hAnsi="Arial" w:cs="Arial"/>
          <w:b/>
          <w:bCs/>
          <w:i/>
          <w:iCs/>
        </w:rPr>
        <w:t>Gender Equality (SDG 5)</w:t>
      </w:r>
      <w:r w:rsidRPr="00F91756">
        <w:rPr>
          <w:rFonts w:ascii="Arial" w:hAnsi="Arial" w:cs="Arial"/>
        </w:rPr>
        <w:t xml:space="preserve"> and </w:t>
      </w:r>
      <w:r w:rsidRPr="00F91756">
        <w:rPr>
          <w:rFonts w:ascii="Arial" w:hAnsi="Arial" w:cs="Arial"/>
          <w:b/>
          <w:bCs/>
          <w:i/>
          <w:iCs/>
        </w:rPr>
        <w:t xml:space="preserve">Environmental Protection (SDG 13) </w:t>
      </w:r>
      <w:r w:rsidRPr="00F91756">
        <w:rPr>
          <w:rFonts w:ascii="Arial" w:hAnsi="Arial" w:cs="Arial"/>
        </w:rPr>
        <w:t xml:space="preserve">(United Nations, 2015). Good Health and Wellbeing (SDG 3) </w:t>
      </w:r>
      <w:proofErr w:type="gramStart"/>
      <w:r w:rsidRPr="00F91756">
        <w:rPr>
          <w:rFonts w:ascii="Arial" w:hAnsi="Arial" w:cs="Arial"/>
        </w:rPr>
        <w:t>focuses</w:t>
      </w:r>
      <w:proofErr w:type="gramEnd"/>
      <w:r w:rsidRPr="00F91756">
        <w:rPr>
          <w:rFonts w:ascii="Arial" w:hAnsi="Arial" w:cs="Arial"/>
        </w:rPr>
        <w:t xml:space="preserve"> on the innovation for access, digital health, healthcare system support and training. Gender Equality (SDG 5) focuses on workplace equality and inclusion in the workplace. Climate Action (SDG 13) and Affordable &amp; Clean Energy (SDG7) </w:t>
      </w:r>
      <w:proofErr w:type="gramStart"/>
      <w:r w:rsidRPr="00F91756">
        <w:rPr>
          <w:rFonts w:ascii="Arial" w:hAnsi="Arial" w:cs="Arial"/>
        </w:rPr>
        <w:t>highlights</w:t>
      </w:r>
      <w:proofErr w:type="gramEnd"/>
      <w:r w:rsidRPr="00F91756">
        <w:rPr>
          <w:rFonts w:ascii="Arial" w:hAnsi="Arial" w:cs="Arial"/>
        </w:rPr>
        <w:t xml:space="preserve"> the company’s ambition about Zero-Carbon and nature-based solutions. Clean Water &amp; Sanitation (SDG 6) and Life on Land (SDG 15) also spotlights its focus on the water body restoration and urban greening. Lately, Responsible Consumption &amp; Production (SDG 12) offers the ethical operations of the company. </w:t>
      </w:r>
    </w:p>
    <w:p w14:paraId="46198ABC" w14:textId="77777777" w:rsidR="003A28C2" w:rsidRPr="00F91756" w:rsidRDefault="00000000">
      <w:pPr>
        <w:widowControl w:val="0"/>
        <w:rPr>
          <w:rFonts w:ascii="Arial" w:hAnsi="Arial" w:cs="Arial"/>
        </w:rPr>
      </w:pPr>
      <w:r w:rsidRPr="00F91756">
        <w:rPr>
          <w:rFonts w:ascii="Arial" w:hAnsi="Arial" w:cs="Arial"/>
        </w:rPr>
        <w:t xml:space="preserve">AstraZeneca focuses on improving India's health literacy in early detection such as </w:t>
      </w:r>
      <w:r w:rsidRPr="00F91756">
        <w:rPr>
          <w:rFonts w:ascii="Arial" w:hAnsi="Arial" w:cs="Arial"/>
          <w:b/>
          <w:bCs/>
          <w:i/>
          <w:iCs/>
        </w:rPr>
        <w:t>“Ganga Godavari cancer screening”</w:t>
      </w:r>
      <w:r w:rsidRPr="00F91756">
        <w:rPr>
          <w:rFonts w:ascii="Arial" w:hAnsi="Arial" w:cs="Arial"/>
        </w:rPr>
        <w:t xml:space="preserve">. It can be implemented by setting up </w:t>
      </w:r>
      <w:r w:rsidRPr="00F91756">
        <w:rPr>
          <w:rFonts w:ascii="Arial" w:hAnsi="Arial" w:cs="Arial"/>
          <w:b/>
          <w:bCs/>
          <w:i/>
          <w:iCs/>
        </w:rPr>
        <w:t>Centers of Excellence</w:t>
      </w:r>
      <w:r w:rsidRPr="00F91756">
        <w:rPr>
          <w:rFonts w:ascii="Arial" w:hAnsi="Arial" w:cs="Arial"/>
        </w:rPr>
        <w:t xml:space="preserve"> for severe asthma and partnering for better diagnostics which helps in distributing essential medicines like Symbicort. The environmental protection of this company can be done by achieving net-zero emissions and restoring nature. It practices transparent communication, data privacy, responsible animal research and mandatory employee training on their Code of Ethics (AstraZeneca, 2023c). The ethical framework can be fostered by guiding the </w:t>
      </w:r>
      <w:r w:rsidRPr="00F91756">
        <w:rPr>
          <w:rFonts w:ascii="Arial" w:hAnsi="Arial" w:cs="Arial"/>
          <w:b/>
          <w:bCs/>
          <w:i/>
          <w:iCs/>
        </w:rPr>
        <w:t xml:space="preserve">“Putting Patients First and Doing the Right Thing” </w:t>
      </w:r>
      <w:r w:rsidRPr="00F91756">
        <w:rPr>
          <w:rFonts w:ascii="Arial" w:hAnsi="Arial" w:cs="Arial"/>
        </w:rPr>
        <w:t>which emphasized strong governance with independent oversight.</w:t>
      </w:r>
    </w:p>
    <w:p w14:paraId="5CEC2151" w14:textId="77777777" w:rsidR="003A28C2" w:rsidRPr="00F91756" w:rsidRDefault="00000000">
      <w:pPr>
        <w:widowControl w:val="0"/>
        <w:jc w:val="center"/>
        <w:rPr>
          <w:rFonts w:ascii="Arial" w:hAnsi="Arial" w:cs="Arial"/>
        </w:rPr>
      </w:pPr>
      <w:r w:rsidRPr="00F91756">
        <w:rPr>
          <w:rFonts w:ascii="Arial" w:hAnsi="Arial" w:cs="Arial"/>
        </w:rPr>
        <w:lastRenderedPageBreak/>
        <w:t xml:space="preserve"> </w:t>
      </w:r>
      <w:r w:rsidRPr="00F91756">
        <w:rPr>
          <w:rFonts w:ascii="Arial" w:hAnsi="Arial" w:cs="Arial"/>
          <w:noProof/>
        </w:rPr>
        <w:drawing>
          <wp:inline distT="114300" distB="114300" distL="114300" distR="114300" wp14:anchorId="06F3E4F1" wp14:editId="55A29B0F">
            <wp:extent cx="3771900" cy="2291674"/>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3771900" cy="2291674"/>
                    </a:xfrm>
                    <a:prstGeom prst="rect">
                      <a:avLst/>
                    </a:prstGeom>
                    <a:ln w="25400">
                      <a:solidFill>
                        <a:srgbClr val="000000"/>
                      </a:solidFill>
                      <a:prstDash val="solid"/>
                    </a:ln>
                  </pic:spPr>
                </pic:pic>
              </a:graphicData>
            </a:graphic>
          </wp:inline>
        </w:drawing>
      </w:r>
    </w:p>
    <w:p w14:paraId="69C70427" w14:textId="77777777" w:rsidR="003A28C2" w:rsidRPr="00F91756" w:rsidRDefault="00000000">
      <w:pPr>
        <w:widowControl w:val="0"/>
        <w:jc w:val="center"/>
        <w:rPr>
          <w:rFonts w:ascii="Arial" w:hAnsi="Arial" w:cs="Arial"/>
          <w:b/>
          <w:bCs/>
        </w:rPr>
      </w:pPr>
      <w:r w:rsidRPr="00F91756">
        <w:rPr>
          <w:rFonts w:ascii="Arial" w:hAnsi="Arial" w:cs="Arial"/>
          <w:b/>
          <w:bCs/>
        </w:rPr>
        <w:t>Figure 11: SDG Goals of United Nations</w:t>
      </w:r>
    </w:p>
    <w:p w14:paraId="12F7434F" w14:textId="77777777" w:rsidR="003A28C2" w:rsidRPr="00F91756" w:rsidRDefault="00000000">
      <w:pPr>
        <w:widowControl w:val="0"/>
        <w:jc w:val="center"/>
        <w:rPr>
          <w:rFonts w:ascii="Arial" w:hAnsi="Arial" w:cs="Arial"/>
          <w:i/>
          <w:iCs/>
        </w:rPr>
      </w:pPr>
      <w:r w:rsidRPr="00F91756">
        <w:rPr>
          <w:rFonts w:ascii="Arial" w:hAnsi="Arial" w:cs="Arial"/>
          <w:i/>
          <w:iCs/>
        </w:rPr>
        <w:t>(Source: United Nations, 2023)</w:t>
      </w:r>
    </w:p>
    <w:p w14:paraId="32DDD9D5" w14:textId="77777777" w:rsidR="003A28C2" w:rsidRPr="00F91756" w:rsidRDefault="00000000">
      <w:pPr>
        <w:pStyle w:val="Heading1"/>
        <w:spacing w:before="200"/>
        <w:rPr>
          <w:rFonts w:ascii="Arial" w:hAnsi="Arial" w:cs="Arial"/>
          <w:color w:val="000000"/>
        </w:rPr>
      </w:pPr>
      <w:bookmarkStart w:id="22" w:name="_ucm6s64q4h1q" w:colFirst="0" w:colLast="0"/>
      <w:bookmarkEnd w:id="22"/>
      <w:r w:rsidRPr="00F91756">
        <w:rPr>
          <w:rFonts w:ascii="Arial" w:hAnsi="Arial" w:cs="Arial"/>
          <w:color w:val="000000"/>
        </w:rPr>
        <w:t>5. Performance Evaluation Framework</w:t>
      </w:r>
    </w:p>
    <w:p w14:paraId="03FA99B3" w14:textId="77777777" w:rsidR="003A28C2" w:rsidRPr="00F91756" w:rsidRDefault="00000000">
      <w:pPr>
        <w:pStyle w:val="Heading2"/>
        <w:spacing w:before="200"/>
        <w:rPr>
          <w:rFonts w:ascii="Arial" w:hAnsi="Arial" w:cs="Arial"/>
          <w:color w:val="000000"/>
        </w:rPr>
      </w:pPr>
      <w:bookmarkStart w:id="23" w:name="_kq82gvu7xixn" w:colFirst="0" w:colLast="0"/>
      <w:bookmarkEnd w:id="23"/>
      <w:r w:rsidRPr="00F91756">
        <w:rPr>
          <w:rFonts w:ascii="Arial" w:hAnsi="Arial" w:cs="Arial"/>
          <w:color w:val="000000"/>
        </w:rPr>
        <w:t>5.1.  Balanced Scorecard</w:t>
      </w:r>
    </w:p>
    <w:p w14:paraId="3FE708EC" w14:textId="77777777" w:rsidR="003A28C2" w:rsidRPr="00F91756" w:rsidRDefault="00000000">
      <w:pPr>
        <w:rPr>
          <w:rFonts w:ascii="Arial" w:hAnsi="Arial" w:cs="Arial"/>
        </w:rPr>
      </w:pPr>
      <w:r w:rsidRPr="00F91756">
        <w:rPr>
          <w:rFonts w:ascii="Arial" w:hAnsi="Arial" w:cs="Arial"/>
        </w:rPr>
        <w:t>The Balanced Scorecard (BSC) is a management framework which evaluates performance with its four key perspectives and these are financial, customer, internal processes and lastly learning and growth. This framework was coined by Robert S. Kaplan and David P. Norton in 1992. The key functions of this framework may involve strategic alignment, performance measurement, communication and prioritization (Madsen, 2025). The core components of this framework are -</w:t>
      </w:r>
    </w:p>
    <w:p w14:paraId="1D4E159C" w14:textId="77777777" w:rsidR="003A28C2" w:rsidRPr="00F91756" w:rsidRDefault="00000000">
      <w:pPr>
        <w:rPr>
          <w:rFonts w:ascii="Arial" w:hAnsi="Arial" w:cs="Arial"/>
        </w:rPr>
      </w:pPr>
      <w:r w:rsidRPr="00F91756">
        <w:rPr>
          <w:rFonts w:ascii="Arial" w:hAnsi="Arial" w:cs="Arial"/>
        </w:rPr>
        <w:t xml:space="preserve">Financial - This part measures the traditional performance of the </w:t>
      </w:r>
      <w:proofErr w:type="gramStart"/>
      <w:r w:rsidRPr="00F91756">
        <w:rPr>
          <w:rFonts w:ascii="Arial" w:hAnsi="Arial" w:cs="Arial"/>
        </w:rPr>
        <w:t>business like</w:t>
      </w:r>
      <w:proofErr w:type="gramEnd"/>
      <w:r w:rsidRPr="00F91756">
        <w:rPr>
          <w:rFonts w:ascii="Arial" w:hAnsi="Arial" w:cs="Arial"/>
        </w:rPr>
        <w:t xml:space="preserve"> profitability, revenue and return on investment (ROI).</w:t>
      </w:r>
    </w:p>
    <w:p w14:paraId="579FCD46" w14:textId="77777777" w:rsidR="003A28C2" w:rsidRPr="00F91756" w:rsidRDefault="00000000">
      <w:pPr>
        <w:rPr>
          <w:rFonts w:ascii="Arial" w:hAnsi="Arial" w:cs="Arial"/>
        </w:rPr>
      </w:pPr>
      <w:r w:rsidRPr="00F91756">
        <w:rPr>
          <w:rFonts w:ascii="Arial" w:hAnsi="Arial" w:cs="Arial"/>
        </w:rPr>
        <w:t xml:space="preserve">Customer - This part assesses the performance of the business’s guest satisfaction </w:t>
      </w:r>
      <w:proofErr w:type="gramStart"/>
      <w:r w:rsidRPr="00F91756">
        <w:rPr>
          <w:rFonts w:ascii="Arial" w:hAnsi="Arial" w:cs="Arial"/>
        </w:rPr>
        <w:t>index ,</w:t>
      </w:r>
      <w:proofErr w:type="gramEnd"/>
      <w:r w:rsidRPr="00F91756">
        <w:rPr>
          <w:rFonts w:ascii="Arial" w:hAnsi="Arial" w:cs="Arial"/>
        </w:rPr>
        <w:t xml:space="preserve"> net Promoter Score, customer Acquisition cost (CAC).</w:t>
      </w:r>
    </w:p>
    <w:p w14:paraId="2892DAD6" w14:textId="77777777" w:rsidR="003A28C2" w:rsidRPr="00F91756" w:rsidRDefault="00000000">
      <w:pPr>
        <w:rPr>
          <w:rFonts w:ascii="Arial" w:hAnsi="Arial" w:cs="Arial"/>
        </w:rPr>
      </w:pPr>
      <w:r w:rsidRPr="00F91756">
        <w:rPr>
          <w:rFonts w:ascii="Arial" w:hAnsi="Arial" w:cs="Arial"/>
        </w:rPr>
        <w:t xml:space="preserve">Internal Process - This part evaluates the business’s occupancy rate, booking cycle time, health and safety compliance and dispute resolution time. </w:t>
      </w:r>
    </w:p>
    <w:p w14:paraId="24E20681" w14:textId="77777777" w:rsidR="003A28C2" w:rsidRPr="00F91756" w:rsidRDefault="00000000">
      <w:pPr>
        <w:rPr>
          <w:rFonts w:ascii="Arial" w:hAnsi="Arial" w:cs="Arial"/>
        </w:rPr>
      </w:pPr>
      <w:r w:rsidRPr="00F91756">
        <w:rPr>
          <w:rFonts w:ascii="Arial" w:hAnsi="Arial" w:cs="Arial"/>
        </w:rPr>
        <w:t xml:space="preserve">Learning and Growth - This part focuses the employee satisfaction, training and development, innovation rate and data and technology </w:t>
      </w:r>
      <w:proofErr w:type="spellStart"/>
      <w:r w:rsidRPr="00F91756">
        <w:rPr>
          <w:rFonts w:ascii="Arial" w:hAnsi="Arial" w:cs="Arial"/>
        </w:rPr>
        <w:t>utilisation</w:t>
      </w:r>
      <w:proofErr w:type="spellEnd"/>
      <w:r w:rsidRPr="00F91756">
        <w:rPr>
          <w:rFonts w:ascii="Arial" w:hAnsi="Arial" w:cs="Arial"/>
        </w:rPr>
        <w:t xml:space="preserve"> to expand the business. </w:t>
      </w:r>
    </w:p>
    <w:p w14:paraId="0E2056A3" w14:textId="77777777" w:rsidR="003A28C2" w:rsidRPr="00F91756" w:rsidRDefault="00000000">
      <w:pPr>
        <w:spacing w:after="0"/>
        <w:jc w:val="center"/>
        <w:rPr>
          <w:rFonts w:ascii="Arial" w:hAnsi="Arial" w:cs="Arial"/>
          <w:i/>
          <w:iCs/>
          <w:color w:val="222222"/>
        </w:rPr>
      </w:pPr>
      <w:r w:rsidRPr="00F91756">
        <w:rPr>
          <w:rFonts w:ascii="Arial" w:hAnsi="Arial" w:cs="Arial"/>
          <w:i/>
          <w:iCs/>
          <w:noProof/>
          <w:color w:val="222222"/>
        </w:rPr>
        <w:lastRenderedPageBreak/>
        <w:drawing>
          <wp:inline distT="114300" distB="114300" distL="114300" distR="114300" wp14:anchorId="5A23806A" wp14:editId="1F0246EA">
            <wp:extent cx="3405188" cy="2575719"/>
            <wp:effectExtent l="25400" t="25400" r="25400" b="25400"/>
            <wp:docPr id="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3405188" cy="2575719"/>
                    </a:xfrm>
                    <a:prstGeom prst="rect">
                      <a:avLst/>
                    </a:prstGeom>
                    <a:ln w="25400">
                      <a:solidFill>
                        <a:srgbClr val="000000"/>
                      </a:solidFill>
                      <a:prstDash val="solid"/>
                    </a:ln>
                  </pic:spPr>
                </pic:pic>
              </a:graphicData>
            </a:graphic>
          </wp:inline>
        </w:drawing>
      </w:r>
    </w:p>
    <w:p w14:paraId="09A8618B" w14:textId="77777777" w:rsidR="003A28C2" w:rsidRPr="00F91756" w:rsidRDefault="00000000">
      <w:pPr>
        <w:spacing w:after="0"/>
        <w:jc w:val="center"/>
        <w:rPr>
          <w:rFonts w:ascii="Arial" w:hAnsi="Arial" w:cs="Arial"/>
          <w:b/>
          <w:bCs/>
          <w:color w:val="222222"/>
        </w:rPr>
      </w:pPr>
      <w:r w:rsidRPr="00F91756">
        <w:rPr>
          <w:rFonts w:ascii="Arial" w:hAnsi="Arial" w:cs="Arial"/>
          <w:b/>
          <w:bCs/>
          <w:color w:val="222222"/>
        </w:rPr>
        <w:t xml:space="preserve">Figure </w:t>
      </w:r>
      <w:proofErr w:type="gramStart"/>
      <w:r w:rsidRPr="00F91756">
        <w:rPr>
          <w:rFonts w:ascii="Arial" w:hAnsi="Arial" w:cs="Arial"/>
          <w:b/>
          <w:bCs/>
          <w:color w:val="222222"/>
        </w:rPr>
        <w:t>12 :</w:t>
      </w:r>
      <w:proofErr w:type="gramEnd"/>
      <w:r w:rsidRPr="00F91756">
        <w:rPr>
          <w:rFonts w:ascii="Arial" w:hAnsi="Arial" w:cs="Arial"/>
          <w:b/>
          <w:bCs/>
          <w:color w:val="222222"/>
        </w:rPr>
        <w:t xml:space="preserve"> Balanced Scorecard (BSC)</w:t>
      </w:r>
    </w:p>
    <w:p w14:paraId="1BB2B910" w14:textId="77777777" w:rsidR="003A28C2" w:rsidRPr="00F91756" w:rsidRDefault="00000000">
      <w:pPr>
        <w:spacing w:after="0"/>
        <w:jc w:val="center"/>
        <w:rPr>
          <w:rFonts w:ascii="Arial" w:hAnsi="Arial" w:cs="Arial"/>
          <w:i/>
          <w:iCs/>
          <w:color w:val="222222"/>
        </w:rPr>
      </w:pPr>
      <w:r w:rsidRPr="00F91756">
        <w:rPr>
          <w:rFonts w:ascii="Arial" w:hAnsi="Arial" w:cs="Arial"/>
          <w:i/>
          <w:iCs/>
          <w:color w:val="222222"/>
        </w:rPr>
        <w:t>(</w:t>
      </w:r>
      <w:proofErr w:type="gramStart"/>
      <w:r w:rsidRPr="00F91756">
        <w:rPr>
          <w:rFonts w:ascii="Arial" w:hAnsi="Arial" w:cs="Arial"/>
          <w:i/>
          <w:iCs/>
          <w:color w:val="222222"/>
        </w:rPr>
        <w:t>Source :</w:t>
      </w:r>
      <w:proofErr w:type="gramEnd"/>
      <w:r w:rsidRPr="00F91756">
        <w:rPr>
          <w:rFonts w:ascii="Arial" w:hAnsi="Arial" w:cs="Arial"/>
          <w:i/>
          <w:iCs/>
          <w:color w:val="222222"/>
        </w:rPr>
        <w:t xml:space="preserve"> Oliveira et al., 2022)</w:t>
      </w:r>
    </w:p>
    <w:p w14:paraId="32724AB1" w14:textId="77777777" w:rsidR="003A28C2" w:rsidRPr="00F91756" w:rsidRDefault="003A28C2">
      <w:pPr>
        <w:spacing w:after="0"/>
        <w:jc w:val="center"/>
        <w:rPr>
          <w:rFonts w:ascii="Arial" w:hAnsi="Arial" w:cs="Arial"/>
          <w:i/>
          <w:iCs/>
          <w:color w:val="222222"/>
        </w:rPr>
      </w:pPr>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2685"/>
        <w:gridCol w:w="4815"/>
      </w:tblGrid>
      <w:tr w:rsidR="003A28C2" w:rsidRPr="00F91756" w14:paraId="6D3D9D66" w14:textId="77777777">
        <w:tc>
          <w:tcPr>
            <w:tcW w:w="1860" w:type="dxa"/>
            <w:shd w:val="clear" w:color="auto" w:fill="EAD1DC"/>
            <w:tcMar>
              <w:top w:w="100" w:type="dxa"/>
              <w:left w:w="100" w:type="dxa"/>
              <w:bottom w:w="100" w:type="dxa"/>
              <w:right w:w="100" w:type="dxa"/>
            </w:tcMar>
          </w:tcPr>
          <w:p w14:paraId="65A844C3" w14:textId="77777777" w:rsidR="003A28C2" w:rsidRPr="00F91756" w:rsidRDefault="00000000">
            <w:pPr>
              <w:widowControl w:val="0"/>
              <w:spacing w:after="0" w:line="240" w:lineRule="auto"/>
              <w:jc w:val="center"/>
              <w:rPr>
                <w:rFonts w:ascii="Arial" w:hAnsi="Arial" w:cs="Arial"/>
                <w:b/>
                <w:bCs/>
                <w:i/>
                <w:iCs/>
              </w:rPr>
            </w:pPr>
            <w:r w:rsidRPr="00F91756">
              <w:rPr>
                <w:rFonts w:ascii="Arial" w:hAnsi="Arial" w:cs="Arial"/>
                <w:b/>
                <w:bCs/>
                <w:i/>
                <w:iCs/>
              </w:rPr>
              <w:t>Perspectives</w:t>
            </w:r>
          </w:p>
        </w:tc>
        <w:tc>
          <w:tcPr>
            <w:tcW w:w="2685" w:type="dxa"/>
            <w:shd w:val="clear" w:color="auto" w:fill="EAD1DC"/>
            <w:tcMar>
              <w:top w:w="100" w:type="dxa"/>
              <w:left w:w="100" w:type="dxa"/>
              <w:bottom w:w="100" w:type="dxa"/>
              <w:right w:w="100" w:type="dxa"/>
            </w:tcMar>
          </w:tcPr>
          <w:p w14:paraId="0362CC3A" w14:textId="77777777" w:rsidR="003A28C2" w:rsidRPr="00F91756" w:rsidRDefault="00000000">
            <w:pPr>
              <w:widowControl w:val="0"/>
              <w:spacing w:after="0" w:line="240" w:lineRule="auto"/>
              <w:jc w:val="center"/>
              <w:rPr>
                <w:rFonts w:ascii="Arial" w:hAnsi="Arial" w:cs="Arial"/>
                <w:b/>
                <w:bCs/>
                <w:i/>
                <w:iCs/>
              </w:rPr>
            </w:pPr>
            <w:r w:rsidRPr="00F91756">
              <w:rPr>
                <w:rFonts w:ascii="Arial" w:hAnsi="Arial" w:cs="Arial"/>
                <w:b/>
                <w:bCs/>
                <w:i/>
                <w:iCs/>
              </w:rPr>
              <w:t>Strategic Objectives</w:t>
            </w:r>
          </w:p>
        </w:tc>
        <w:tc>
          <w:tcPr>
            <w:tcW w:w="4815" w:type="dxa"/>
            <w:shd w:val="clear" w:color="auto" w:fill="EAD1DC"/>
            <w:tcMar>
              <w:top w:w="100" w:type="dxa"/>
              <w:left w:w="100" w:type="dxa"/>
              <w:bottom w:w="100" w:type="dxa"/>
              <w:right w:w="100" w:type="dxa"/>
            </w:tcMar>
          </w:tcPr>
          <w:p w14:paraId="00418951" w14:textId="77777777" w:rsidR="003A28C2" w:rsidRPr="00F91756" w:rsidRDefault="00000000">
            <w:pPr>
              <w:widowControl w:val="0"/>
              <w:spacing w:after="0" w:line="240" w:lineRule="auto"/>
              <w:jc w:val="center"/>
              <w:rPr>
                <w:rFonts w:ascii="Arial" w:hAnsi="Arial" w:cs="Arial"/>
                <w:b/>
                <w:bCs/>
                <w:i/>
                <w:iCs/>
              </w:rPr>
            </w:pPr>
            <w:r w:rsidRPr="00F91756">
              <w:rPr>
                <w:rFonts w:ascii="Arial" w:hAnsi="Arial" w:cs="Arial"/>
                <w:b/>
                <w:bCs/>
                <w:i/>
                <w:iCs/>
              </w:rPr>
              <w:t>Key Performance Indicators (KPIs)</w:t>
            </w:r>
          </w:p>
        </w:tc>
      </w:tr>
      <w:tr w:rsidR="003A28C2" w:rsidRPr="00F91756" w14:paraId="1212CC05" w14:textId="77777777">
        <w:tc>
          <w:tcPr>
            <w:tcW w:w="1860" w:type="dxa"/>
            <w:tcMar>
              <w:top w:w="100" w:type="dxa"/>
              <w:left w:w="100" w:type="dxa"/>
              <w:bottom w:w="100" w:type="dxa"/>
              <w:right w:w="100" w:type="dxa"/>
            </w:tcMar>
          </w:tcPr>
          <w:p w14:paraId="6FCC3C01" w14:textId="77777777" w:rsidR="003A28C2" w:rsidRPr="00F91756" w:rsidRDefault="00000000">
            <w:pPr>
              <w:widowControl w:val="0"/>
              <w:spacing w:after="0" w:line="240" w:lineRule="auto"/>
              <w:jc w:val="center"/>
              <w:rPr>
                <w:rFonts w:ascii="Arial" w:hAnsi="Arial" w:cs="Arial"/>
              </w:rPr>
            </w:pPr>
            <w:r w:rsidRPr="00F91756">
              <w:rPr>
                <w:rFonts w:ascii="Arial" w:hAnsi="Arial" w:cs="Arial"/>
              </w:rPr>
              <w:t xml:space="preserve">Financial </w:t>
            </w:r>
          </w:p>
        </w:tc>
        <w:tc>
          <w:tcPr>
            <w:tcW w:w="2685" w:type="dxa"/>
            <w:tcMar>
              <w:top w:w="100" w:type="dxa"/>
              <w:left w:w="100" w:type="dxa"/>
              <w:bottom w:w="100" w:type="dxa"/>
              <w:right w:w="100" w:type="dxa"/>
            </w:tcMar>
          </w:tcPr>
          <w:p w14:paraId="0926D473" w14:textId="77777777" w:rsidR="003A28C2" w:rsidRPr="00F91756" w:rsidRDefault="00000000">
            <w:pPr>
              <w:widowControl w:val="0"/>
              <w:rPr>
                <w:rFonts w:ascii="Arial" w:hAnsi="Arial" w:cs="Arial"/>
              </w:rPr>
            </w:pPr>
            <w:r w:rsidRPr="00F91756">
              <w:rPr>
                <w:rFonts w:ascii="Arial" w:hAnsi="Arial" w:cs="Arial"/>
              </w:rPr>
              <w:t>The strategic objectives of AstraZeneca in term of Financial may highlight sustainable profitability and shareholder value</w:t>
            </w:r>
          </w:p>
        </w:tc>
        <w:tc>
          <w:tcPr>
            <w:tcW w:w="4815" w:type="dxa"/>
            <w:tcMar>
              <w:top w:w="100" w:type="dxa"/>
              <w:left w:w="100" w:type="dxa"/>
              <w:bottom w:w="100" w:type="dxa"/>
              <w:right w:w="100" w:type="dxa"/>
            </w:tcMar>
          </w:tcPr>
          <w:p w14:paraId="31B0EA6A" w14:textId="77777777" w:rsidR="003A28C2" w:rsidRPr="00F91756" w:rsidRDefault="00000000">
            <w:pPr>
              <w:widowControl w:val="0"/>
              <w:numPr>
                <w:ilvl w:val="0"/>
                <w:numId w:val="4"/>
              </w:numPr>
              <w:rPr>
                <w:rFonts w:ascii="Arial" w:hAnsi="Arial" w:cs="Arial"/>
              </w:rPr>
            </w:pPr>
            <w:r w:rsidRPr="00F91756">
              <w:rPr>
                <w:rFonts w:ascii="Arial" w:hAnsi="Arial" w:cs="Arial"/>
                <w:b/>
                <w:bCs/>
              </w:rPr>
              <w:t>Revenue Growth:</w:t>
            </w:r>
            <w:r w:rsidRPr="00F91756">
              <w:rPr>
                <w:rFonts w:ascii="Arial" w:hAnsi="Arial" w:cs="Arial"/>
              </w:rPr>
              <w:t xml:space="preserve"> The overall revenue and growth of this organization </w:t>
            </w:r>
            <w:proofErr w:type="gramStart"/>
            <w:r w:rsidRPr="00F91756">
              <w:rPr>
                <w:rFonts w:ascii="Arial" w:hAnsi="Arial" w:cs="Arial"/>
              </w:rPr>
              <w:t>has</w:t>
            </w:r>
            <w:proofErr w:type="gramEnd"/>
            <w:r w:rsidRPr="00F91756">
              <w:rPr>
                <w:rFonts w:ascii="Arial" w:hAnsi="Arial" w:cs="Arial"/>
              </w:rPr>
              <w:t xml:space="preserve"> been seen in the key therapy areas such as Oncology, Respiratory, CV/Renal/Metabolism.</w:t>
            </w:r>
          </w:p>
          <w:p w14:paraId="6B1DA58B" w14:textId="77777777" w:rsidR="003A28C2" w:rsidRPr="00F91756" w:rsidRDefault="00000000">
            <w:pPr>
              <w:widowControl w:val="0"/>
              <w:numPr>
                <w:ilvl w:val="0"/>
                <w:numId w:val="4"/>
              </w:numPr>
              <w:rPr>
                <w:rFonts w:ascii="Arial" w:hAnsi="Arial" w:cs="Arial"/>
              </w:rPr>
            </w:pPr>
            <w:r w:rsidRPr="00F91756">
              <w:rPr>
                <w:rFonts w:ascii="Arial" w:hAnsi="Arial" w:cs="Arial"/>
                <w:b/>
                <w:bCs/>
              </w:rPr>
              <w:t xml:space="preserve">Profitability: </w:t>
            </w:r>
            <w:r w:rsidRPr="00F91756">
              <w:rPr>
                <w:rFonts w:ascii="Arial" w:hAnsi="Arial" w:cs="Arial"/>
              </w:rPr>
              <w:t>The net profit margins and return on capital are included in this indicator.</w:t>
            </w:r>
          </w:p>
          <w:p w14:paraId="6B64B8CF" w14:textId="77777777" w:rsidR="003A28C2" w:rsidRPr="00F91756" w:rsidRDefault="00000000">
            <w:pPr>
              <w:widowControl w:val="0"/>
              <w:numPr>
                <w:ilvl w:val="0"/>
                <w:numId w:val="4"/>
              </w:numPr>
              <w:rPr>
                <w:rFonts w:ascii="Arial" w:hAnsi="Arial" w:cs="Arial"/>
              </w:rPr>
            </w:pPr>
            <w:r w:rsidRPr="00F91756">
              <w:rPr>
                <w:rFonts w:ascii="Arial" w:hAnsi="Arial" w:cs="Arial"/>
                <w:b/>
                <w:bCs/>
              </w:rPr>
              <w:t xml:space="preserve">Cost Efficiency: </w:t>
            </w:r>
            <w:r w:rsidRPr="00F91756">
              <w:rPr>
                <w:rFonts w:ascii="Arial" w:hAnsi="Arial" w:cs="Arial"/>
              </w:rPr>
              <w:t xml:space="preserve">The cost of goods sold, operational expenses also </w:t>
            </w:r>
            <w:proofErr w:type="gramStart"/>
            <w:r w:rsidRPr="00F91756">
              <w:rPr>
                <w:rFonts w:ascii="Arial" w:hAnsi="Arial" w:cs="Arial"/>
              </w:rPr>
              <w:t>involves</w:t>
            </w:r>
            <w:proofErr w:type="gramEnd"/>
            <w:r w:rsidRPr="00F91756">
              <w:rPr>
                <w:rFonts w:ascii="Arial" w:hAnsi="Arial" w:cs="Arial"/>
              </w:rPr>
              <w:t xml:space="preserve"> in this sector. </w:t>
            </w:r>
          </w:p>
        </w:tc>
      </w:tr>
      <w:tr w:rsidR="003A28C2" w:rsidRPr="00F91756" w14:paraId="224216C9" w14:textId="77777777">
        <w:tc>
          <w:tcPr>
            <w:tcW w:w="1860" w:type="dxa"/>
            <w:tcMar>
              <w:top w:w="100" w:type="dxa"/>
              <w:left w:w="100" w:type="dxa"/>
              <w:bottom w:w="100" w:type="dxa"/>
              <w:right w:w="100" w:type="dxa"/>
            </w:tcMar>
          </w:tcPr>
          <w:p w14:paraId="7629A82A" w14:textId="77777777" w:rsidR="003A28C2" w:rsidRPr="00F91756" w:rsidRDefault="00000000">
            <w:pPr>
              <w:widowControl w:val="0"/>
              <w:spacing w:after="0" w:line="240" w:lineRule="auto"/>
              <w:jc w:val="center"/>
              <w:rPr>
                <w:rFonts w:ascii="Arial" w:hAnsi="Arial" w:cs="Arial"/>
              </w:rPr>
            </w:pPr>
            <w:r w:rsidRPr="00F91756">
              <w:rPr>
                <w:rFonts w:ascii="Arial" w:hAnsi="Arial" w:cs="Arial"/>
              </w:rPr>
              <w:t>Customer</w:t>
            </w:r>
          </w:p>
        </w:tc>
        <w:tc>
          <w:tcPr>
            <w:tcW w:w="2685" w:type="dxa"/>
            <w:tcMar>
              <w:top w:w="100" w:type="dxa"/>
              <w:left w:w="100" w:type="dxa"/>
              <w:bottom w:w="100" w:type="dxa"/>
              <w:right w:w="100" w:type="dxa"/>
            </w:tcMar>
          </w:tcPr>
          <w:p w14:paraId="372556FC" w14:textId="77777777" w:rsidR="003A28C2" w:rsidRPr="00F91756" w:rsidRDefault="00000000">
            <w:pPr>
              <w:widowControl w:val="0"/>
              <w:rPr>
                <w:rFonts w:ascii="Arial" w:hAnsi="Arial" w:cs="Arial"/>
              </w:rPr>
            </w:pPr>
            <w:r w:rsidRPr="00F91756">
              <w:rPr>
                <w:rFonts w:ascii="Arial" w:hAnsi="Arial" w:cs="Arial"/>
              </w:rPr>
              <w:t xml:space="preserve">The strategic objective of AstraZeneca in terms of the customer </w:t>
            </w:r>
            <w:r w:rsidRPr="00F91756">
              <w:rPr>
                <w:rFonts w:ascii="Arial" w:hAnsi="Arial" w:cs="Arial"/>
              </w:rPr>
              <w:lastRenderedPageBreak/>
              <w:t>fosters market leadership and patient access.</w:t>
            </w:r>
          </w:p>
        </w:tc>
        <w:tc>
          <w:tcPr>
            <w:tcW w:w="4815" w:type="dxa"/>
            <w:tcMar>
              <w:top w:w="100" w:type="dxa"/>
              <w:left w:w="100" w:type="dxa"/>
              <w:bottom w:w="100" w:type="dxa"/>
              <w:right w:w="100" w:type="dxa"/>
            </w:tcMar>
          </w:tcPr>
          <w:p w14:paraId="2E86C19D" w14:textId="77777777" w:rsidR="003A28C2" w:rsidRPr="00F91756" w:rsidRDefault="00000000">
            <w:pPr>
              <w:widowControl w:val="0"/>
              <w:numPr>
                <w:ilvl w:val="0"/>
                <w:numId w:val="3"/>
              </w:numPr>
              <w:rPr>
                <w:rFonts w:ascii="Arial" w:hAnsi="Arial" w:cs="Arial"/>
              </w:rPr>
            </w:pPr>
            <w:r w:rsidRPr="00F91756">
              <w:rPr>
                <w:rFonts w:ascii="Arial" w:hAnsi="Arial" w:cs="Arial"/>
                <w:b/>
                <w:bCs/>
              </w:rPr>
              <w:lastRenderedPageBreak/>
              <w:t>Patient Outcomes:</w:t>
            </w:r>
            <w:r w:rsidRPr="00F91756">
              <w:rPr>
                <w:rFonts w:ascii="Arial" w:hAnsi="Arial" w:cs="Arial"/>
              </w:rPr>
              <w:t xml:space="preserve"> The new drug approvals and improved patient access with life-cycle management </w:t>
            </w:r>
            <w:r w:rsidRPr="00F91756">
              <w:rPr>
                <w:rFonts w:ascii="Arial" w:hAnsi="Arial" w:cs="Arial"/>
              </w:rPr>
              <w:lastRenderedPageBreak/>
              <w:t>of this company is involved in this factor.</w:t>
            </w:r>
          </w:p>
          <w:p w14:paraId="02BE6321" w14:textId="77777777" w:rsidR="003A28C2" w:rsidRPr="00F91756" w:rsidRDefault="00000000">
            <w:pPr>
              <w:widowControl w:val="0"/>
              <w:numPr>
                <w:ilvl w:val="0"/>
                <w:numId w:val="3"/>
              </w:numPr>
              <w:rPr>
                <w:rFonts w:ascii="Arial" w:hAnsi="Arial" w:cs="Arial"/>
              </w:rPr>
            </w:pPr>
            <w:r w:rsidRPr="00F91756">
              <w:rPr>
                <w:rFonts w:ascii="Arial" w:hAnsi="Arial" w:cs="Arial"/>
                <w:b/>
                <w:bCs/>
              </w:rPr>
              <w:t>Customer Satisfaction:</w:t>
            </w:r>
            <w:r w:rsidRPr="00F91756">
              <w:rPr>
                <w:rFonts w:ascii="Arial" w:hAnsi="Arial" w:cs="Arial"/>
              </w:rPr>
              <w:t xml:space="preserve"> The ratings from healthcare professionals and patient feedback helps to improve the customer satisfaction.</w:t>
            </w:r>
          </w:p>
          <w:p w14:paraId="5CED9A37" w14:textId="77777777" w:rsidR="003A28C2" w:rsidRPr="00F91756" w:rsidRDefault="00000000">
            <w:pPr>
              <w:widowControl w:val="0"/>
              <w:numPr>
                <w:ilvl w:val="0"/>
                <w:numId w:val="3"/>
              </w:numPr>
              <w:rPr>
                <w:rFonts w:ascii="Arial" w:hAnsi="Arial" w:cs="Arial"/>
              </w:rPr>
            </w:pPr>
            <w:r w:rsidRPr="00F91756">
              <w:rPr>
                <w:rFonts w:ascii="Arial" w:hAnsi="Arial" w:cs="Arial"/>
                <w:b/>
                <w:bCs/>
              </w:rPr>
              <w:t>Market Share:</w:t>
            </w:r>
            <w:r w:rsidRPr="00F91756">
              <w:rPr>
                <w:rFonts w:ascii="Arial" w:hAnsi="Arial" w:cs="Arial"/>
              </w:rPr>
              <w:t xml:space="preserve"> In key therapeutic segments like Oncology, Diabetes involve this company in the market share. </w:t>
            </w:r>
          </w:p>
        </w:tc>
      </w:tr>
      <w:tr w:rsidR="003A28C2" w:rsidRPr="00F91756" w14:paraId="1E02CBD5" w14:textId="77777777">
        <w:tc>
          <w:tcPr>
            <w:tcW w:w="1860" w:type="dxa"/>
            <w:tcMar>
              <w:top w:w="100" w:type="dxa"/>
              <w:left w:w="100" w:type="dxa"/>
              <w:bottom w:w="100" w:type="dxa"/>
              <w:right w:w="100" w:type="dxa"/>
            </w:tcMar>
          </w:tcPr>
          <w:p w14:paraId="5C70EF97" w14:textId="77777777" w:rsidR="003A28C2" w:rsidRPr="00F91756" w:rsidRDefault="00000000">
            <w:pPr>
              <w:widowControl w:val="0"/>
              <w:spacing w:after="0" w:line="240" w:lineRule="auto"/>
              <w:jc w:val="center"/>
              <w:rPr>
                <w:rFonts w:ascii="Arial" w:hAnsi="Arial" w:cs="Arial"/>
              </w:rPr>
            </w:pPr>
            <w:r w:rsidRPr="00F91756">
              <w:rPr>
                <w:rFonts w:ascii="Arial" w:hAnsi="Arial" w:cs="Arial"/>
              </w:rPr>
              <w:lastRenderedPageBreak/>
              <w:t>Internal Process</w:t>
            </w:r>
          </w:p>
        </w:tc>
        <w:tc>
          <w:tcPr>
            <w:tcW w:w="2685" w:type="dxa"/>
            <w:tcMar>
              <w:top w:w="100" w:type="dxa"/>
              <w:left w:w="100" w:type="dxa"/>
              <w:bottom w:w="100" w:type="dxa"/>
              <w:right w:w="100" w:type="dxa"/>
            </w:tcMar>
          </w:tcPr>
          <w:p w14:paraId="73A45423" w14:textId="77777777" w:rsidR="003A28C2" w:rsidRPr="00F91756" w:rsidRDefault="00000000">
            <w:pPr>
              <w:widowControl w:val="0"/>
              <w:rPr>
                <w:rFonts w:ascii="Arial" w:hAnsi="Arial" w:cs="Arial"/>
              </w:rPr>
            </w:pPr>
            <w:r w:rsidRPr="00F91756">
              <w:rPr>
                <w:rFonts w:ascii="Arial" w:hAnsi="Arial" w:cs="Arial"/>
              </w:rPr>
              <w:t>The objective for the internal process is to focus on operational excellence and innovation in India.</w:t>
            </w:r>
          </w:p>
        </w:tc>
        <w:tc>
          <w:tcPr>
            <w:tcW w:w="4815" w:type="dxa"/>
            <w:tcMar>
              <w:top w:w="100" w:type="dxa"/>
              <w:left w:w="100" w:type="dxa"/>
              <w:bottom w:w="100" w:type="dxa"/>
              <w:right w:w="100" w:type="dxa"/>
            </w:tcMar>
          </w:tcPr>
          <w:p w14:paraId="023CAC38" w14:textId="77777777" w:rsidR="003A28C2" w:rsidRPr="00F91756" w:rsidRDefault="00000000">
            <w:pPr>
              <w:widowControl w:val="0"/>
              <w:numPr>
                <w:ilvl w:val="0"/>
                <w:numId w:val="1"/>
              </w:numPr>
              <w:rPr>
                <w:rFonts w:ascii="Arial" w:hAnsi="Arial" w:cs="Arial"/>
              </w:rPr>
            </w:pPr>
            <w:r w:rsidRPr="00F91756">
              <w:rPr>
                <w:rFonts w:ascii="Arial" w:hAnsi="Arial" w:cs="Arial"/>
                <w:b/>
                <w:bCs/>
              </w:rPr>
              <w:t>R&amp;D Productivity:</w:t>
            </w:r>
            <w:r w:rsidRPr="00F91756">
              <w:rPr>
                <w:rFonts w:ascii="Arial" w:hAnsi="Arial" w:cs="Arial"/>
              </w:rPr>
              <w:t xml:space="preserve"> Number of new drug approvals, pipeline progression are included in the R&amp;D Productivity of this company in India.</w:t>
            </w:r>
          </w:p>
          <w:p w14:paraId="6CA78A3A" w14:textId="77777777" w:rsidR="003A28C2" w:rsidRPr="00F91756" w:rsidRDefault="00000000">
            <w:pPr>
              <w:widowControl w:val="0"/>
              <w:numPr>
                <w:ilvl w:val="0"/>
                <w:numId w:val="1"/>
              </w:numPr>
              <w:rPr>
                <w:rFonts w:ascii="Arial" w:hAnsi="Arial" w:cs="Arial"/>
              </w:rPr>
            </w:pPr>
            <w:r w:rsidRPr="00F91756">
              <w:rPr>
                <w:rFonts w:ascii="Arial" w:hAnsi="Arial" w:cs="Arial"/>
                <w:b/>
                <w:bCs/>
              </w:rPr>
              <w:t>Operational Efficiency:</w:t>
            </w:r>
            <w:r w:rsidRPr="00F91756">
              <w:rPr>
                <w:rFonts w:ascii="Arial" w:hAnsi="Arial" w:cs="Arial"/>
              </w:rPr>
              <w:t xml:space="preserve"> The reporting efficiency, data accuracy via IT platforms offers the operational efficiency of this company. </w:t>
            </w:r>
          </w:p>
          <w:p w14:paraId="726EC184" w14:textId="77777777" w:rsidR="003A28C2" w:rsidRPr="00F91756" w:rsidRDefault="00000000">
            <w:pPr>
              <w:widowControl w:val="0"/>
              <w:numPr>
                <w:ilvl w:val="0"/>
                <w:numId w:val="1"/>
              </w:numPr>
              <w:rPr>
                <w:rFonts w:ascii="Arial" w:hAnsi="Arial" w:cs="Arial"/>
              </w:rPr>
            </w:pPr>
            <w:r w:rsidRPr="00F91756">
              <w:rPr>
                <w:rFonts w:ascii="Arial" w:hAnsi="Arial" w:cs="Arial"/>
                <w:b/>
                <w:bCs/>
              </w:rPr>
              <w:t>Supply Chain:</w:t>
            </w:r>
            <w:r w:rsidRPr="00F91756">
              <w:rPr>
                <w:rFonts w:ascii="Arial" w:hAnsi="Arial" w:cs="Arial"/>
              </w:rPr>
              <w:t xml:space="preserve"> Product availability, quality control can help to improve the supply chain of this company in India. </w:t>
            </w:r>
          </w:p>
        </w:tc>
      </w:tr>
      <w:tr w:rsidR="003A28C2" w:rsidRPr="00F91756" w14:paraId="29148ED9" w14:textId="77777777">
        <w:trPr>
          <w:trHeight w:val="455"/>
        </w:trPr>
        <w:tc>
          <w:tcPr>
            <w:tcW w:w="1860" w:type="dxa"/>
            <w:tcMar>
              <w:top w:w="100" w:type="dxa"/>
              <w:left w:w="100" w:type="dxa"/>
              <w:bottom w:w="100" w:type="dxa"/>
              <w:right w:w="100" w:type="dxa"/>
            </w:tcMar>
          </w:tcPr>
          <w:p w14:paraId="6C526CFD" w14:textId="77777777" w:rsidR="003A28C2" w:rsidRPr="00F91756" w:rsidRDefault="00000000">
            <w:pPr>
              <w:widowControl w:val="0"/>
              <w:spacing w:after="0" w:line="240" w:lineRule="auto"/>
              <w:jc w:val="center"/>
              <w:rPr>
                <w:rFonts w:ascii="Arial" w:hAnsi="Arial" w:cs="Arial"/>
              </w:rPr>
            </w:pPr>
            <w:r w:rsidRPr="00F91756">
              <w:rPr>
                <w:rFonts w:ascii="Arial" w:hAnsi="Arial" w:cs="Arial"/>
              </w:rPr>
              <w:t>Learning and Growth</w:t>
            </w:r>
          </w:p>
        </w:tc>
        <w:tc>
          <w:tcPr>
            <w:tcW w:w="2685" w:type="dxa"/>
            <w:tcMar>
              <w:top w:w="100" w:type="dxa"/>
              <w:left w:w="100" w:type="dxa"/>
              <w:bottom w:w="100" w:type="dxa"/>
              <w:right w:w="100" w:type="dxa"/>
            </w:tcMar>
          </w:tcPr>
          <w:p w14:paraId="312C121C" w14:textId="77777777" w:rsidR="003A28C2" w:rsidRPr="00F91756" w:rsidRDefault="00000000">
            <w:pPr>
              <w:widowControl w:val="0"/>
              <w:rPr>
                <w:rFonts w:ascii="Arial" w:hAnsi="Arial" w:cs="Arial"/>
              </w:rPr>
            </w:pPr>
            <w:r w:rsidRPr="00F91756">
              <w:rPr>
                <w:rFonts w:ascii="Arial" w:hAnsi="Arial" w:cs="Arial"/>
              </w:rPr>
              <w:t xml:space="preserve">The last objective in terms of the learning and growth of AstraZeneca includes </w:t>
            </w:r>
            <w:r w:rsidRPr="00F91756">
              <w:rPr>
                <w:rFonts w:ascii="Arial" w:hAnsi="Arial" w:cs="Arial"/>
              </w:rPr>
              <w:lastRenderedPageBreak/>
              <w:t xml:space="preserve">talent and strategic capability in India. </w:t>
            </w:r>
          </w:p>
        </w:tc>
        <w:tc>
          <w:tcPr>
            <w:tcW w:w="4815" w:type="dxa"/>
            <w:tcMar>
              <w:top w:w="100" w:type="dxa"/>
              <w:left w:w="100" w:type="dxa"/>
              <w:bottom w:w="100" w:type="dxa"/>
              <w:right w:w="100" w:type="dxa"/>
            </w:tcMar>
          </w:tcPr>
          <w:p w14:paraId="02BF7ABE" w14:textId="77777777" w:rsidR="003A28C2" w:rsidRPr="00F91756" w:rsidRDefault="00000000">
            <w:pPr>
              <w:widowControl w:val="0"/>
              <w:numPr>
                <w:ilvl w:val="0"/>
                <w:numId w:val="2"/>
              </w:numPr>
              <w:rPr>
                <w:rFonts w:ascii="Arial" w:hAnsi="Arial" w:cs="Arial"/>
              </w:rPr>
            </w:pPr>
            <w:r w:rsidRPr="00F91756">
              <w:rPr>
                <w:rFonts w:ascii="Arial" w:hAnsi="Arial" w:cs="Arial"/>
                <w:b/>
                <w:bCs/>
              </w:rPr>
              <w:lastRenderedPageBreak/>
              <w:t>Employee Engagement:</w:t>
            </w:r>
            <w:r w:rsidRPr="00F91756">
              <w:rPr>
                <w:rFonts w:ascii="Arial" w:hAnsi="Arial" w:cs="Arial"/>
              </w:rPr>
              <w:t xml:space="preserve"> Engagement scores by understanding of strategic goals can be emphasized for this company.</w:t>
            </w:r>
          </w:p>
          <w:p w14:paraId="06D471D7" w14:textId="77777777" w:rsidR="003A28C2" w:rsidRPr="00F91756" w:rsidRDefault="00000000">
            <w:pPr>
              <w:widowControl w:val="0"/>
              <w:numPr>
                <w:ilvl w:val="0"/>
                <w:numId w:val="2"/>
              </w:numPr>
              <w:rPr>
                <w:rFonts w:ascii="Arial" w:hAnsi="Arial" w:cs="Arial"/>
              </w:rPr>
            </w:pPr>
            <w:r w:rsidRPr="00F91756">
              <w:rPr>
                <w:rFonts w:ascii="Arial" w:hAnsi="Arial" w:cs="Arial"/>
                <w:b/>
                <w:bCs/>
              </w:rPr>
              <w:lastRenderedPageBreak/>
              <w:t>Innovation:</w:t>
            </w:r>
            <w:r w:rsidRPr="00F91756">
              <w:rPr>
                <w:rFonts w:ascii="Arial" w:hAnsi="Arial" w:cs="Arial"/>
              </w:rPr>
              <w:t xml:space="preserve"> The number of innovation initiatives with employee development programs can be referred for this company in terms of innovation.</w:t>
            </w:r>
          </w:p>
          <w:p w14:paraId="1F1FFC08" w14:textId="77777777" w:rsidR="003A28C2" w:rsidRPr="00F91756" w:rsidRDefault="00000000">
            <w:pPr>
              <w:widowControl w:val="0"/>
              <w:numPr>
                <w:ilvl w:val="0"/>
                <w:numId w:val="2"/>
              </w:numPr>
              <w:rPr>
                <w:rFonts w:ascii="Arial" w:hAnsi="Arial" w:cs="Arial"/>
              </w:rPr>
            </w:pPr>
            <w:r w:rsidRPr="00F91756">
              <w:rPr>
                <w:rFonts w:ascii="Arial" w:hAnsi="Arial" w:cs="Arial"/>
                <w:b/>
                <w:bCs/>
              </w:rPr>
              <w:t>Culture:</w:t>
            </w:r>
            <w:r w:rsidRPr="00F91756">
              <w:rPr>
                <w:rFonts w:ascii="Arial" w:hAnsi="Arial" w:cs="Arial"/>
              </w:rPr>
              <w:t xml:space="preserve"> The "Speak Up" culture of India values alignment by following the science putting the patients at first place.</w:t>
            </w:r>
          </w:p>
        </w:tc>
      </w:tr>
    </w:tbl>
    <w:p w14:paraId="14B8DE28" w14:textId="77777777" w:rsidR="003A28C2" w:rsidRPr="00F91756" w:rsidRDefault="00000000">
      <w:pPr>
        <w:spacing w:before="200" w:after="0"/>
        <w:jc w:val="center"/>
        <w:rPr>
          <w:rFonts w:ascii="Arial" w:hAnsi="Arial" w:cs="Arial"/>
          <w:b/>
          <w:bCs/>
        </w:rPr>
      </w:pPr>
      <w:r w:rsidRPr="00F91756">
        <w:rPr>
          <w:rFonts w:ascii="Arial" w:hAnsi="Arial" w:cs="Arial"/>
          <w:b/>
          <w:bCs/>
        </w:rPr>
        <w:lastRenderedPageBreak/>
        <w:t>Table 4: Balanced Scorecard (BSC) of AstraZeneca</w:t>
      </w:r>
    </w:p>
    <w:p w14:paraId="132F7306" w14:textId="77777777" w:rsidR="003A28C2" w:rsidRPr="00F91756" w:rsidRDefault="00000000">
      <w:pPr>
        <w:spacing w:after="0"/>
        <w:jc w:val="center"/>
        <w:rPr>
          <w:rFonts w:ascii="Arial" w:hAnsi="Arial" w:cs="Arial"/>
        </w:rPr>
      </w:pPr>
      <w:r w:rsidRPr="00F91756">
        <w:rPr>
          <w:rFonts w:ascii="Arial" w:hAnsi="Arial" w:cs="Arial"/>
          <w:i/>
          <w:iCs/>
        </w:rPr>
        <w:t>(</w:t>
      </w:r>
      <w:proofErr w:type="gramStart"/>
      <w:r w:rsidRPr="00F91756">
        <w:rPr>
          <w:rFonts w:ascii="Arial" w:hAnsi="Arial" w:cs="Arial"/>
          <w:i/>
          <w:iCs/>
        </w:rPr>
        <w:t>Source :</w:t>
      </w:r>
      <w:proofErr w:type="gramEnd"/>
      <w:r w:rsidRPr="00F91756">
        <w:rPr>
          <w:rFonts w:ascii="Arial" w:hAnsi="Arial" w:cs="Arial"/>
          <w:i/>
          <w:iCs/>
        </w:rPr>
        <w:t xml:space="preserve"> ScienceDirect, 2024)</w:t>
      </w:r>
    </w:p>
    <w:p w14:paraId="1E5C57C7" w14:textId="77777777" w:rsidR="003A28C2" w:rsidRPr="00F91756" w:rsidRDefault="00000000">
      <w:pPr>
        <w:pStyle w:val="Heading2"/>
        <w:spacing w:before="200"/>
        <w:rPr>
          <w:rFonts w:ascii="Arial" w:hAnsi="Arial" w:cs="Arial"/>
          <w:color w:val="000000"/>
        </w:rPr>
      </w:pPr>
      <w:bookmarkStart w:id="24" w:name="_xrlu3e9zudtn" w:colFirst="0" w:colLast="0"/>
      <w:bookmarkEnd w:id="24"/>
      <w:r w:rsidRPr="00F91756">
        <w:rPr>
          <w:rFonts w:ascii="Arial" w:hAnsi="Arial" w:cs="Arial"/>
          <w:color w:val="000000"/>
        </w:rPr>
        <w:t xml:space="preserve">5.2. Triple Bottom Line (TBL) </w:t>
      </w:r>
    </w:p>
    <w:p w14:paraId="57A03E07" w14:textId="77777777" w:rsidR="003A28C2" w:rsidRPr="00F91756" w:rsidRDefault="00000000">
      <w:pPr>
        <w:jc w:val="center"/>
        <w:rPr>
          <w:rFonts w:ascii="Arial" w:hAnsi="Arial" w:cs="Arial"/>
        </w:rPr>
      </w:pPr>
      <w:r w:rsidRPr="00F91756">
        <w:rPr>
          <w:rFonts w:ascii="Arial" w:hAnsi="Arial" w:cs="Arial"/>
          <w:noProof/>
        </w:rPr>
        <w:drawing>
          <wp:inline distT="114300" distB="114300" distL="114300" distR="114300" wp14:anchorId="356741C5" wp14:editId="5552F656">
            <wp:extent cx="5943600" cy="3581400"/>
            <wp:effectExtent l="25400" t="25400" r="25400" b="2540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a:stretch>
                      <a:fillRect/>
                    </a:stretch>
                  </pic:blipFill>
                  <pic:spPr>
                    <a:xfrm>
                      <a:off x="0" y="0"/>
                      <a:ext cx="5943600" cy="3581400"/>
                    </a:xfrm>
                    <a:prstGeom prst="rect">
                      <a:avLst/>
                    </a:prstGeom>
                    <a:ln w="25400">
                      <a:solidFill>
                        <a:srgbClr val="000000"/>
                      </a:solidFill>
                      <a:prstDash val="solid"/>
                    </a:ln>
                  </pic:spPr>
                </pic:pic>
              </a:graphicData>
            </a:graphic>
          </wp:inline>
        </w:drawing>
      </w:r>
    </w:p>
    <w:p w14:paraId="397874BD" w14:textId="77777777" w:rsidR="003A28C2" w:rsidRPr="00F91756" w:rsidRDefault="00000000">
      <w:pPr>
        <w:jc w:val="center"/>
        <w:rPr>
          <w:rFonts w:ascii="Arial" w:hAnsi="Arial" w:cs="Arial"/>
          <w:b/>
          <w:bCs/>
        </w:rPr>
      </w:pPr>
      <w:r w:rsidRPr="00F91756">
        <w:rPr>
          <w:rFonts w:ascii="Arial" w:hAnsi="Arial" w:cs="Arial"/>
          <w:b/>
          <w:bCs/>
        </w:rPr>
        <w:t>Figure 13: Triple Bottom Line</w:t>
      </w:r>
    </w:p>
    <w:p w14:paraId="5D233EE4" w14:textId="77777777" w:rsidR="003A28C2" w:rsidRPr="00F91756" w:rsidRDefault="00000000">
      <w:pPr>
        <w:jc w:val="center"/>
        <w:rPr>
          <w:rFonts w:ascii="Arial" w:hAnsi="Arial" w:cs="Arial"/>
          <w:i/>
          <w:iCs/>
        </w:rPr>
      </w:pPr>
      <w:r w:rsidRPr="00F91756">
        <w:rPr>
          <w:rFonts w:ascii="Arial" w:hAnsi="Arial" w:cs="Arial"/>
          <w:i/>
          <w:iCs/>
        </w:rPr>
        <w:lastRenderedPageBreak/>
        <w:t>(Source: Jurevicius, 2024)</w:t>
      </w:r>
    </w:p>
    <w:p w14:paraId="2C308E91" w14:textId="77777777" w:rsidR="003A28C2" w:rsidRPr="00F91756" w:rsidRDefault="00000000">
      <w:pPr>
        <w:rPr>
          <w:rFonts w:ascii="Arial" w:hAnsi="Arial" w:cs="Arial"/>
        </w:rPr>
      </w:pPr>
      <w:r w:rsidRPr="00F91756">
        <w:rPr>
          <w:rFonts w:ascii="Arial" w:hAnsi="Arial" w:cs="Arial"/>
        </w:rPr>
        <w:t xml:space="preserve">The approach of AstraZeneca India for the </w:t>
      </w:r>
      <w:r w:rsidRPr="00F91756">
        <w:rPr>
          <w:rFonts w:ascii="Arial" w:hAnsi="Arial" w:cs="Arial"/>
          <w:b/>
          <w:bCs/>
          <w:i/>
          <w:iCs/>
        </w:rPr>
        <w:t>Triple Bottom Line (TBL)</w:t>
      </w:r>
      <w:r w:rsidRPr="00F91756">
        <w:rPr>
          <w:rFonts w:ascii="Arial" w:hAnsi="Arial" w:cs="Arial"/>
        </w:rPr>
        <w:t xml:space="preserve"> is structured with three interconnected sustainability priorities which includes a balance of social, environmental and economic factors. The TBL approach is integrated into its core business strategy. </w:t>
      </w:r>
    </w:p>
    <w:p w14:paraId="5DDA0D11" w14:textId="77777777" w:rsidR="003A28C2" w:rsidRPr="00F91756" w:rsidRDefault="00000000">
      <w:pPr>
        <w:widowControl w:val="0"/>
        <w:rPr>
          <w:rFonts w:ascii="Arial" w:hAnsi="Arial" w:cs="Arial"/>
        </w:rPr>
      </w:pPr>
      <w:r w:rsidRPr="00F91756">
        <w:rPr>
          <w:rFonts w:ascii="Arial" w:hAnsi="Arial" w:cs="Arial"/>
          <w:b/>
          <w:bCs/>
          <w:i/>
          <w:iCs/>
        </w:rPr>
        <w:t>People (Social) -</w:t>
      </w:r>
      <w:r w:rsidRPr="00F91756">
        <w:rPr>
          <w:rFonts w:ascii="Arial" w:hAnsi="Arial" w:cs="Arial"/>
        </w:rPr>
        <w:t xml:space="preserve"> The company aims to improve the access of life-changing medicines and prevent disease. This company also promotes </w:t>
      </w:r>
      <w:proofErr w:type="spellStart"/>
      <w:r w:rsidRPr="00F91756">
        <w:rPr>
          <w:rFonts w:ascii="Arial" w:hAnsi="Arial" w:cs="Arial"/>
        </w:rPr>
        <w:t>programmes</w:t>
      </w:r>
      <w:proofErr w:type="spellEnd"/>
      <w:r w:rsidRPr="00F91756">
        <w:rPr>
          <w:rFonts w:ascii="Arial" w:hAnsi="Arial" w:cs="Arial"/>
        </w:rPr>
        <w:t xml:space="preserve"> such as </w:t>
      </w:r>
      <w:proofErr w:type="spellStart"/>
      <w:r w:rsidRPr="00F91756">
        <w:rPr>
          <w:rFonts w:ascii="Arial" w:hAnsi="Arial" w:cs="Arial"/>
          <w:b/>
          <w:bCs/>
          <w:i/>
          <w:iCs/>
        </w:rPr>
        <w:t>HeartBeat</w:t>
      </w:r>
      <w:proofErr w:type="spellEnd"/>
      <w:r w:rsidRPr="00F91756">
        <w:rPr>
          <w:rFonts w:ascii="Arial" w:hAnsi="Arial" w:cs="Arial"/>
          <w:b/>
          <w:bCs/>
          <w:i/>
          <w:iCs/>
        </w:rPr>
        <w:t>, SEARCH</w:t>
      </w:r>
      <w:r w:rsidRPr="00F91756">
        <w:rPr>
          <w:rFonts w:ascii="Arial" w:hAnsi="Arial" w:cs="Arial"/>
        </w:rPr>
        <w:t xml:space="preserve"> and </w:t>
      </w:r>
      <w:r w:rsidRPr="00F91756">
        <w:rPr>
          <w:rFonts w:ascii="Arial" w:hAnsi="Arial" w:cs="Arial"/>
          <w:b/>
          <w:bCs/>
          <w:i/>
          <w:iCs/>
        </w:rPr>
        <w:t>SAHAYOG</w:t>
      </w:r>
      <w:r w:rsidRPr="00F91756">
        <w:rPr>
          <w:rFonts w:ascii="Arial" w:hAnsi="Arial" w:cs="Arial"/>
        </w:rPr>
        <w:t xml:space="preserve"> by focusing on disease awareness and early detection. This company highlights its expertise on inclusive and diverse workplaces by focusing on employee safety and health (</w:t>
      </w:r>
      <w:proofErr w:type="spellStart"/>
      <w:r w:rsidRPr="00F91756">
        <w:rPr>
          <w:rFonts w:ascii="Arial" w:hAnsi="Arial" w:cs="Arial"/>
        </w:rPr>
        <w:t>Astrazeneca</w:t>
      </w:r>
      <w:proofErr w:type="spellEnd"/>
      <w:r w:rsidRPr="00F91756">
        <w:rPr>
          <w:rFonts w:ascii="Arial" w:hAnsi="Arial" w:cs="Arial"/>
        </w:rPr>
        <w:t xml:space="preserve"> India, 2025).</w:t>
      </w:r>
    </w:p>
    <w:p w14:paraId="11342E74" w14:textId="77777777" w:rsidR="003A28C2" w:rsidRPr="00F91756" w:rsidRDefault="00000000">
      <w:pPr>
        <w:widowControl w:val="0"/>
        <w:rPr>
          <w:rFonts w:ascii="Arial" w:hAnsi="Arial" w:cs="Arial"/>
        </w:rPr>
      </w:pPr>
      <w:r w:rsidRPr="00F91756">
        <w:rPr>
          <w:rFonts w:ascii="Arial" w:hAnsi="Arial" w:cs="Arial"/>
          <w:b/>
          <w:bCs/>
          <w:i/>
          <w:iCs/>
        </w:rPr>
        <w:t>Planet (Environmental) -</w:t>
      </w:r>
      <w:r w:rsidRPr="00F91756">
        <w:rPr>
          <w:rFonts w:ascii="Arial" w:hAnsi="Arial" w:cs="Arial"/>
        </w:rPr>
        <w:t xml:space="preserve"> The aim of AstraZeneca is to reduce its global Scope 1 and 2 in GHG emissions by 98% by 2026 from a 2015 baseline. This company also set a target for its entire value chain (Scope 3) footprint by 90% by 2045. It also focuses on reducing water use and waste by promoting circular economy principles and ensuring the environmental safety of its products throughout their lifecycle (AstraZeneca, 2023a). </w:t>
      </w:r>
    </w:p>
    <w:p w14:paraId="19E6D37D" w14:textId="77777777" w:rsidR="003A28C2" w:rsidRPr="00F91756" w:rsidRDefault="00000000">
      <w:pPr>
        <w:widowControl w:val="0"/>
        <w:rPr>
          <w:rFonts w:ascii="Arial" w:hAnsi="Arial" w:cs="Arial"/>
        </w:rPr>
      </w:pPr>
      <w:r w:rsidRPr="00F91756">
        <w:rPr>
          <w:rFonts w:ascii="Arial" w:hAnsi="Arial" w:cs="Arial"/>
          <w:b/>
          <w:bCs/>
          <w:i/>
          <w:iCs/>
        </w:rPr>
        <w:t>Profit (Economic) -</w:t>
      </w:r>
      <w:r w:rsidRPr="00F91756">
        <w:rPr>
          <w:rFonts w:ascii="Arial" w:hAnsi="Arial" w:cs="Arial"/>
        </w:rPr>
        <w:t xml:space="preserve"> The economic dimension of this company ensures long-term financial resilience by creating value for stakeholders through innovation and sustainable growth. AstraZeneca India has demonstrated its strong financial performance with its significant revenue growth across key therapy areas. It reflects the trust of the healthcare ecosystem (AstraZeneca In, 2025). The company highlights its growth by investing in R&amp;D, clinical trials and technology centers. </w:t>
      </w:r>
    </w:p>
    <w:p w14:paraId="474C107E" w14:textId="77777777" w:rsidR="003A28C2" w:rsidRPr="00F91756" w:rsidRDefault="00000000">
      <w:pPr>
        <w:pStyle w:val="Heading1"/>
        <w:spacing w:before="200"/>
        <w:rPr>
          <w:rFonts w:ascii="Arial" w:hAnsi="Arial" w:cs="Arial"/>
          <w:color w:val="000000"/>
        </w:rPr>
      </w:pPr>
      <w:bookmarkStart w:id="25" w:name="_mthuo6z3sun6" w:colFirst="0" w:colLast="0"/>
      <w:bookmarkEnd w:id="25"/>
      <w:r w:rsidRPr="00F91756">
        <w:rPr>
          <w:rFonts w:ascii="Arial" w:hAnsi="Arial" w:cs="Arial"/>
          <w:color w:val="000000"/>
        </w:rPr>
        <w:t xml:space="preserve">6. Conclusion </w:t>
      </w:r>
    </w:p>
    <w:p w14:paraId="4C218073" w14:textId="77777777" w:rsidR="003A28C2" w:rsidRPr="00F91756" w:rsidRDefault="00000000">
      <w:pPr>
        <w:spacing w:before="200" w:after="0"/>
        <w:rPr>
          <w:rFonts w:ascii="Arial" w:hAnsi="Arial" w:cs="Arial"/>
        </w:rPr>
      </w:pPr>
      <w:r w:rsidRPr="00F91756">
        <w:rPr>
          <w:rFonts w:ascii="Arial" w:hAnsi="Arial" w:cs="Arial"/>
        </w:rPr>
        <w:t xml:space="preserve">After assessing the strategic management of AstraZeneca for its global management, it can be concluded that it is a global pharmaceutical company formed under the merger of Swedish and UK firms. The company primarily focuses on </w:t>
      </w:r>
      <w:proofErr w:type="spellStart"/>
      <w:r w:rsidRPr="00F91756">
        <w:rPr>
          <w:rFonts w:ascii="Arial" w:hAnsi="Arial" w:cs="Arial"/>
        </w:rPr>
        <w:t>commercialising</w:t>
      </w:r>
      <w:proofErr w:type="spellEnd"/>
      <w:r w:rsidRPr="00F91756">
        <w:rPr>
          <w:rFonts w:ascii="Arial" w:hAnsi="Arial" w:cs="Arial"/>
        </w:rPr>
        <w:t xml:space="preserve"> medicines for oncology, rare diseases, cardiovascular, renal, metabolic, respiratory, and immunology areas. This company offers data, AI and digital tech which implement life-changing treatments with a strong global presence by highlighting its commitment to patient access </w:t>
      </w:r>
      <w:r w:rsidRPr="00F91756">
        <w:rPr>
          <w:rFonts w:ascii="Arial" w:hAnsi="Arial" w:cs="Arial"/>
        </w:rPr>
        <w:lastRenderedPageBreak/>
        <w:t xml:space="preserve">and scientific advancement. The target market of the company targets healthcare providers, governments and researchers with its R&amp;D, clinical trials and </w:t>
      </w:r>
      <w:proofErr w:type="spellStart"/>
      <w:r w:rsidRPr="00F91756">
        <w:rPr>
          <w:rFonts w:ascii="Arial" w:hAnsi="Arial" w:cs="Arial"/>
        </w:rPr>
        <w:t>commercialisation</w:t>
      </w:r>
      <w:proofErr w:type="spellEnd"/>
      <w:r w:rsidRPr="00F91756">
        <w:rPr>
          <w:rFonts w:ascii="Arial" w:hAnsi="Arial" w:cs="Arial"/>
        </w:rPr>
        <w:t xml:space="preserve"> efforts. The primary market segments of AstraZeneca may involve patients, healthcare providers, government and public health </w:t>
      </w:r>
      <w:proofErr w:type="spellStart"/>
      <w:r w:rsidRPr="00F91756">
        <w:rPr>
          <w:rFonts w:ascii="Arial" w:hAnsi="Arial" w:cs="Arial"/>
        </w:rPr>
        <w:t>organisations</w:t>
      </w:r>
      <w:proofErr w:type="spellEnd"/>
      <w:r w:rsidRPr="00F91756">
        <w:rPr>
          <w:rFonts w:ascii="Arial" w:hAnsi="Arial" w:cs="Arial"/>
        </w:rPr>
        <w:t xml:space="preserve">, researchers and academic institutions. </w:t>
      </w:r>
    </w:p>
    <w:p w14:paraId="3C498AFA" w14:textId="77777777" w:rsidR="003A28C2" w:rsidRPr="00F91756" w:rsidRDefault="00000000">
      <w:pPr>
        <w:spacing w:before="200" w:after="0"/>
        <w:rPr>
          <w:rFonts w:ascii="Arial" w:hAnsi="Arial" w:cs="Arial"/>
        </w:rPr>
      </w:pPr>
      <w:r w:rsidRPr="00F91756">
        <w:rPr>
          <w:rFonts w:ascii="Arial" w:hAnsi="Arial" w:cs="Arial"/>
        </w:rPr>
        <w:t xml:space="preserve">This company focuses on those individuals with chronic diseases such as cardiovascular or respiratory conditions. It </w:t>
      </w:r>
      <w:proofErr w:type="spellStart"/>
      <w:r w:rsidRPr="00F91756">
        <w:rPr>
          <w:rFonts w:ascii="Arial" w:hAnsi="Arial" w:cs="Arial"/>
        </w:rPr>
        <w:t>emphasises</w:t>
      </w:r>
      <w:proofErr w:type="spellEnd"/>
      <w:r w:rsidRPr="00F91756">
        <w:rPr>
          <w:rFonts w:ascii="Arial" w:hAnsi="Arial" w:cs="Arial"/>
        </w:rPr>
        <w:t xml:space="preserve"> its direct-to-consumer platform for specific medications like </w:t>
      </w:r>
      <w:r w:rsidRPr="00F91756">
        <w:rPr>
          <w:rFonts w:ascii="Arial" w:hAnsi="Arial" w:cs="Arial"/>
          <w:b/>
          <w:bCs/>
          <w:i/>
          <w:iCs/>
        </w:rPr>
        <w:t>AIRSUPRA</w:t>
      </w:r>
      <w:r w:rsidRPr="00F91756">
        <w:rPr>
          <w:rFonts w:ascii="Arial" w:hAnsi="Arial" w:cs="Arial"/>
        </w:rPr>
        <w:t xml:space="preserve"> and </w:t>
      </w:r>
      <w:r w:rsidRPr="00F91756">
        <w:rPr>
          <w:rFonts w:ascii="Arial" w:hAnsi="Arial" w:cs="Arial"/>
          <w:b/>
          <w:bCs/>
          <w:i/>
          <w:iCs/>
        </w:rPr>
        <w:t>FARXIGA</w:t>
      </w:r>
      <w:r w:rsidRPr="00F91756">
        <w:rPr>
          <w:rFonts w:ascii="Arial" w:hAnsi="Arial" w:cs="Arial"/>
        </w:rPr>
        <w:t xml:space="preserve">. The strategic approaches of the company may include its science-led innovation, partnerships and collaboration and lastly end-to-end solutions by expanding access. Its positioning strategy is built upon scientific innovation in India. The PESTEL analysis of the company describes the competitiveness of the industry in its home region and in India. The Porter’s Five Forces Analysis of AstraZeneca describes its highly competitive position in the pharmaceutical industry. </w:t>
      </w:r>
    </w:p>
    <w:p w14:paraId="6C65726F" w14:textId="77777777" w:rsidR="003A28C2" w:rsidRPr="00F91756" w:rsidRDefault="00000000">
      <w:pPr>
        <w:spacing w:before="200" w:after="240"/>
        <w:rPr>
          <w:rFonts w:ascii="Arial" w:hAnsi="Arial" w:cs="Arial"/>
          <w:b/>
          <w:bCs/>
          <w:highlight w:val="white"/>
        </w:rPr>
      </w:pPr>
      <w:r w:rsidRPr="00F91756">
        <w:rPr>
          <w:rFonts w:ascii="Arial" w:hAnsi="Arial" w:cs="Arial"/>
        </w:rPr>
        <w:t xml:space="preserve">The Porter’s Diamond Model assesses its four major conditions:  factor condition, demand condition, related and supporting industry, and firm strategy, structure, and rivalry. The VRIO analysis of AstraZeneca assesses its resources and whether they follow the 4 factors of the model. The market development of the company is assessed through the Ansoff matrix, which involves Market Penetration, Market Development, Product Development and Diversification. Its entry strategy is described as a long-term commitment, and its ethical strategy stands on three major pillars. Both the balanced scorecard and the triple bottom line evaluate the performance of the company in the pharmaceutical industry. </w:t>
      </w:r>
      <w:r w:rsidRPr="00F91756">
        <w:rPr>
          <w:rFonts w:ascii="Arial" w:hAnsi="Arial" w:cs="Arial"/>
        </w:rPr>
        <w:br w:type="page"/>
      </w:r>
    </w:p>
    <w:p w14:paraId="0AE3EF75" w14:textId="77777777" w:rsidR="003A28C2" w:rsidRPr="00F91756" w:rsidRDefault="00000000">
      <w:pPr>
        <w:pStyle w:val="Heading1"/>
        <w:spacing w:before="200"/>
        <w:rPr>
          <w:rFonts w:ascii="Arial" w:hAnsi="Arial" w:cs="Arial"/>
        </w:rPr>
      </w:pPr>
      <w:bookmarkStart w:id="26" w:name="_l9he5hwviy4h" w:colFirst="0" w:colLast="0"/>
      <w:bookmarkEnd w:id="26"/>
      <w:r w:rsidRPr="00F91756">
        <w:rPr>
          <w:rFonts w:ascii="Arial" w:hAnsi="Arial" w:cs="Arial"/>
        </w:rPr>
        <w:lastRenderedPageBreak/>
        <w:t>7. Reference</w:t>
      </w:r>
    </w:p>
    <w:p w14:paraId="65661AF7" w14:textId="77777777" w:rsidR="003A28C2" w:rsidRPr="00F91756" w:rsidRDefault="00000000">
      <w:pPr>
        <w:spacing w:before="200"/>
        <w:rPr>
          <w:rFonts w:ascii="Arial" w:hAnsi="Arial" w:cs="Arial"/>
        </w:rPr>
      </w:pPr>
      <w:r w:rsidRPr="00F91756">
        <w:rPr>
          <w:rFonts w:ascii="Arial" w:hAnsi="Arial" w:cs="Arial"/>
        </w:rPr>
        <w:t xml:space="preserve">Alajmi, R. (2023). AstraZeneca – The Success Links Back </w:t>
      </w:r>
      <w:proofErr w:type="gramStart"/>
      <w:r w:rsidRPr="00F91756">
        <w:rPr>
          <w:rFonts w:ascii="Arial" w:hAnsi="Arial" w:cs="Arial"/>
        </w:rPr>
        <w:t>To</w:t>
      </w:r>
      <w:proofErr w:type="gramEnd"/>
      <w:r w:rsidRPr="00F91756">
        <w:rPr>
          <w:rFonts w:ascii="Arial" w:hAnsi="Arial" w:cs="Arial"/>
        </w:rPr>
        <w:t xml:space="preserve"> Organization. </w:t>
      </w:r>
      <w:r w:rsidRPr="00F91756">
        <w:rPr>
          <w:rFonts w:ascii="Arial" w:hAnsi="Arial" w:cs="Arial"/>
          <w:i/>
          <w:iCs/>
        </w:rPr>
        <w:t>Journal of Community Development in Asia</w:t>
      </w:r>
      <w:r w:rsidRPr="00F91756">
        <w:rPr>
          <w:rFonts w:ascii="Arial" w:hAnsi="Arial" w:cs="Arial"/>
        </w:rPr>
        <w:t xml:space="preserve">, 6(1). </w:t>
      </w:r>
      <w:proofErr w:type="spellStart"/>
      <w:r w:rsidRPr="00F91756">
        <w:rPr>
          <w:rFonts w:ascii="Arial" w:hAnsi="Arial" w:cs="Arial"/>
        </w:rPr>
        <w:t>doi:</w:t>
      </w:r>
      <w:hyperlink r:id="rId21">
        <w:r w:rsidR="003A28C2" w:rsidRPr="00F91756">
          <w:rPr>
            <w:rFonts w:ascii="Arial" w:hAnsi="Arial" w:cs="Arial"/>
            <w:color w:val="1155CC"/>
            <w:u w:val="single"/>
          </w:rPr>
          <w:t>https</w:t>
        </w:r>
        <w:proofErr w:type="spellEnd"/>
        <w:r w:rsidR="003A28C2" w:rsidRPr="00F91756">
          <w:rPr>
            <w:rFonts w:ascii="Arial" w:hAnsi="Arial" w:cs="Arial"/>
            <w:color w:val="1155CC"/>
            <w:u w:val="single"/>
          </w:rPr>
          <w:t>://doi.org/10.32535/jcda.v6i1.1868</w:t>
        </w:r>
      </w:hyperlink>
      <w:r w:rsidRPr="00F91756">
        <w:rPr>
          <w:rFonts w:ascii="Arial" w:hAnsi="Arial" w:cs="Arial"/>
        </w:rPr>
        <w:t xml:space="preserve">. </w:t>
      </w:r>
    </w:p>
    <w:p w14:paraId="1925702A" w14:textId="77777777" w:rsidR="003A28C2" w:rsidRPr="00F91756" w:rsidRDefault="00000000">
      <w:pPr>
        <w:spacing w:before="200"/>
        <w:rPr>
          <w:rFonts w:ascii="Arial" w:hAnsi="Arial" w:cs="Arial"/>
        </w:rPr>
      </w:pPr>
      <w:r w:rsidRPr="00F91756">
        <w:rPr>
          <w:rFonts w:ascii="Arial" w:hAnsi="Arial" w:cs="Arial"/>
        </w:rPr>
        <w:t xml:space="preserve">Anand, N. (2023). Porter Diamond Model. [online] Scribd. Available at: </w:t>
      </w:r>
      <w:hyperlink r:id="rId22">
        <w:r w:rsidR="003A28C2" w:rsidRPr="00F91756">
          <w:rPr>
            <w:rFonts w:ascii="Arial" w:hAnsi="Arial" w:cs="Arial"/>
            <w:color w:val="1155CC"/>
            <w:u w:val="single"/>
          </w:rPr>
          <w:t>https://www.scribd.com/document/683129232/Porter-Diamond-Model</w:t>
        </w:r>
      </w:hyperlink>
      <w:r w:rsidRPr="00F91756">
        <w:rPr>
          <w:rFonts w:ascii="Arial" w:hAnsi="Arial" w:cs="Arial"/>
        </w:rPr>
        <w:t xml:space="preserve"> [Accessed 5 Dec. 2025].</w:t>
      </w:r>
    </w:p>
    <w:p w14:paraId="4C4CCD74" w14:textId="77777777" w:rsidR="003A28C2" w:rsidRPr="00F91756" w:rsidRDefault="00000000">
      <w:pPr>
        <w:spacing w:before="200"/>
        <w:rPr>
          <w:rFonts w:ascii="Arial" w:hAnsi="Arial" w:cs="Arial"/>
        </w:rPr>
      </w:pPr>
      <w:r w:rsidRPr="00F91756">
        <w:rPr>
          <w:rFonts w:ascii="Arial" w:hAnsi="Arial" w:cs="Arial"/>
        </w:rPr>
        <w:t xml:space="preserve">AstraZeneca (2019). </w:t>
      </w:r>
      <w:r w:rsidRPr="00F91756">
        <w:rPr>
          <w:rFonts w:ascii="Arial" w:hAnsi="Arial" w:cs="Arial"/>
          <w:i/>
          <w:iCs/>
        </w:rPr>
        <w:t>AstraZeneca and Daiichi Sankyo enter collaboration for novel HER2-targeting antibody-drug conjugate</w:t>
      </w:r>
      <w:r w:rsidRPr="00F91756">
        <w:rPr>
          <w:rFonts w:ascii="Arial" w:hAnsi="Arial" w:cs="Arial"/>
        </w:rPr>
        <w:t xml:space="preserve">. [online] www.astrazeneca.com. Available at: </w:t>
      </w:r>
      <w:hyperlink r:id="rId23">
        <w:r w:rsidR="003A28C2" w:rsidRPr="00F91756">
          <w:rPr>
            <w:rFonts w:ascii="Arial" w:hAnsi="Arial" w:cs="Arial"/>
            <w:color w:val="1155CC"/>
            <w:u w:val="single"/>
          </w:rPr>
          <w:t>https://www.astrazeneca.com/media-centre/press-releases/2019/astrazeneca-and-daiichi-sankyo-enter-collaboration-for-novel-her-2-targeting-antibody-drug-conjugate.html#</w:t>
        </w:r>
      </w:hyperlink>
      <w:r w:rsidRPr="00F91756">
        <w:rPr>
          <w:rFonts w:ascii="Arial" w:hAnsi="Arial" w:cs="Arial"/>
        </w:rPr>
        <w:t xml:space="preserve"> [Accessed 5 Dec. 2025].</w:t>
      </w:r>
    </w:p>
    <w:p w14:paraId="3972BEF2" w14:textId="77777777" w:rsidR="003A28C2" w:rsidRPr="00F91756" w:rsidRDefault="00000000">
      <w:pPr>
        <w:spacing w:before="200"/>
        <w:rPr>
          <w:rFonts w:ascii="Arial" w:hAnsi="Arial" w:cs="Arial"/>
        </w:rPr>
      </w:pPr>
      <w:r w:rsidRPr="00F91756">
        <w:rPr>
          <w:rFonts w:ascii="Arial" w:hAnsi="Arial" w:cs="Arial"/>
        </w:rPr>
        <w:t xml:space="preserve">AstraZeneca (2023a). </w:t>
      </w:r>
      <w:r w:rsidRPr="00F91756">
        <w:rPr>
          <w:rFonts w:ascii="Arial" w:hAnsi="Arial" w:cs="Arial"/>
          <w:i/>
          <w:iCs/>
        </w:rPr>
        <w:t>AstraZeneca commits $71 million to AZ Forest India project to fund the country’s largest biodiversity restoration project, in support of climate action and human health</w:t>
      </w:r>
      <w:r w:rsidRPr="00F91756">
        <w:rPr>
          <w:rFonts w:ascii="Arial" w:hAnsi="Arial" w:cs="Arial"/>
        </w:rPr>
        <w:t xml:space="preserve">. [online] Astrazeneca.in. Available at: </w:t>
      </w:r>
      <w:hyperlink r:id="rId24">
        <w:r w:rsidR="003A28C2" w:rsidRPr="00F91756">
          <w:rPr>
            <w:rFonts w:ascii="Arial" w:hAnsi="Arial" w:cs="Arial"/>
            <w:color w:val="1155CC"/>
            <w:u w:val="single"/>
          </w:rPr>
          <w:t>https://www.astrazeneca.in/media/press-releases/2023/astrazeneca-commits-71-million-to-az-forest-india-project-fund-country-largest-biodiversity-restoration-project-support-climate-action-human-health.html#</w:t>
        </w:r>
      </w:hyperlink>
      <w:r w:rsidRPr="00F91756">
        <w:rPr>
          <w:rFonts w:ascii="Arial" w:hAnsi="Arial" w:cs="Arial"/>
        </w:rPr>
        <w:t xml:space="preserve"> [Accessed 5 Dec. 2025].</w:t>
      </w:r>
    </w:p>
    <w:p w14:paraId="021421A9" w14:textId="77777777" w:rsidR="003A28C2" w:rsidRPr="00F91756" w:rsidRDefault="00000000">
      <w:pPr>
        <w:spacing w:before="200"/>
        <w:rPr>
          <w:rFonts w:ascii="Arial" w:hAnsi="Arial" w:cs="Arial"/>
        </w:rPr>
      </w:pPr>
      <w:r w:rsidRPr="00F91756">
        <w:rPr>
          <w:rFonts w:ascii="Arial" w:hAnsi="Arial" w:cs="Arial"/>
        </w:rPr>
        <w:t xml:space="preserve">AstraZeneca (2023b). </w:t>
      </w:r>
      <w:r w:rsidRPr="00F91756">
        <w:rPr>
          <w:rFonts w:ascii="Arial" w:hAnsi="Arial" w:cs="Arial"/>
          <w:i/>
          <w:iCs/>
        </w:rPr>
        <w:t>Our Approach to R&amp;D</w:t>
      </w:r>
      <w:r w:rsidRPr="00F91756">
        <w:rPr>
          <w:rFonts w:ascii="Arial" w:hAnsi="Arial" w:cs="Arial"/>
        </w:rPr>
        <w:t xml:space="preserve">. [online] www.astrazeneca.com. Available at: </w:t>
      </w:r>
      <w:hyperlink r:id="rId25">
        <w:r w:rsidR="003A28C2" w:rsidRPr="00F91756">
          <w:rPr>
            <w:rFonts w:ascii="Arial" w:hAnsi="Arial" w:cs="Arial"/>
            <w:color w:val="1155CC"/>
            <w:u w:val="single"/>
          </w:rPr>
          <w:t>https://www.astrazeneca.com/r-d/our-approach.html</w:t>
        </w:r>
      </w:hyperlink>
      <w:r w:rsidRPr="00F91756">
        <w:rPr>
          <w:rFonts w:ascii="Arial" w:hAnsi="Arial" w:cs="Arial"/>
        </w:rPr>
        <w:t xml:space="preserve"> [Accessed 5 Dec. 2025].</w:t>
      </w:r>
    </w:p>
    <w:p w14:paraId="595BF868" w14:textId="77777777" w:rsidR="003A28C2" w:rsidRPr="00F91756" w:rsidRDefault="00000000">
      <w:pPr>
        <w:spacing w:before="200"/>
        <w:rPr>
          <w:rFonts w:ascii="Arial" w:hAnsi="Arial" w:cs="Arial"/>
        </w:rPr>
      </w:pPr>
      <w:r w:rsidRPr="00F91756">
        <w:rPr>
          <w:rFonts w:ascii="Arial" w:hAnsi="Arial" w:cs="Arial"/>
        </w:rPr>
        <w:t xml:space="preserve">AstraZeneca (2023c). </w:t>
      </w:r>
      <w:r w:rsidRPr="00F91756">
        <w:rPr>
          <w:rFonts w:ascii="Arial" w:hAnsi="Arial" w:cs="Arial"/>
          <w:i/>
          <w:iCs/>
        </w:rPr>
        <w:t>Sustainability - Our Company - AstraZeneca</w:t>
      </w:r>
      <w:r w:rsidRPr="00F91756">
        <w:rPr>
          <w:rFonts w:ascii="Arial" w:hAnsi="Arial" w:cs="Arial"/>
        </w:rPr>
        <w:t xml:space="preserve">. [online] Astrazeneca.com. Available at: </w:t>
      </w:r>
      <w:hyperlink r:id="rId26">
        <w:r w:rsidR="003A28C2" w:rsidRPr="00F91756">
          <w:rPr>
            <w:rFonts w:ascii="Arial" w:hAnsi="Arial" w:cs="Arial"/>
            <w:color w:val="1155CC"/>
            <w:u w:val="single"/>
          </w:rPr>
          <w:t>https://www.astrazeneca.com/sustainability.html</w:t>
        </w:r>
      </w:hyperlink>
      <w:r w:rsidRPr="00F91756">
        <w:rPr>
          <w:rFonts w:ascii="Arial" w:hAnsi="Arial" w:cs="Arial"/>
        </w:rPr>
        <w:t xml:space="preserve"> [Accessed 5 Dec. 2025].</w:t>
      </w:r>
    </w:p>
    <w:p w14:paraId="38558779" w14:textId="77777777" w:rsidR="003A28C2" w:rsidRPr="00F91756" w:rsidRDefault="00000000">
      <w:pPr>
        <w:spacing w:before="200"/>
        <w:rPr>
          <w:rFonts w:ascii="Arial" w:hAnsi="Arial" w:cs="Arial"/>
        </w:rPr>
      </w:pPr>
      <w:proofErr w:type="spellStart"/>
      <w:r w:rsidRPr="00F91756">
        <w:rPr>
          <w:rFonts w:ascii="Arial" w:hAnsi="Arial" w:cs="Arial"/>
        </w:rPr>
        <w:t>Astrazeneca</w:t>
      </w:r>
      <w:proofErr w:type="spellEnd"/>
      <w:r w:rsidRPr="00F91756">
        <w:rPr>
          <w:rFonts w:ascii="Arial" w:hAnsi="Arial" w:cs="Arial"/>
        </w:rPr>
        <w:t xml:space="preserve"> (2024). </w:t>
      </w:r>
      <w:r w:rsidRPr="00F91756">
        <w:rPr>
          <w:rFonts w:ascii="Arial" w:hAnsi="Arial" w:cs="Arial"/>
          <w:i/>
          <w:iCs/>
        </w:rPr>
        <w:t>Annual report 2023</w:t>
      </w:r>
      <w:r w:rsidRPr="00F91756">
        <w:rPr>
          <w:rFonts w:ascii="Arial" w:hAnsi="Arial" w:cs="Arial"/>
        </w:rPr>
        <w:t xml:space="preserve">. [online] www.astrazeneca.com. Available at: </w:t>
      </w:r>
      <w:hyperlink r:id="rId27">
        <w:r w:rsidR="003A28C2" w:rsidRPr="00F91756">
          <w:rPr>
            <w:rFonts w:ascii="Arial" w:hAnsi="Arial" w:cs="Arial"/>
            <w:color w:val="1155CC"/>
            <w:u w:val="single"/>
          </w:rPr>
          <w:t>https://www.astrazeneca.com/investor-relations/annual-reports/annual-report-2023.html</w:t>
        </w:r>
      </w:hyperlink>
      <w:r w:rsidRPr="00F91756">
        <w:rPr>
          <w:rFonts w:ascii="Arial" w:hAnsi="Arial" w:cs="Arial"/>
        </w:rPr>
        <w:t xml:space="preserve">  [Accessed 5 Dec. 2025].</w:t>
      </w:r>
    </w:p>
    <w:p w14:paraId="443B07B2" w14:textId="77777777" w:rsidR="003A28C2" w:rsidRPr="00F91756" w:rsidRDefault="00000000">
      <w:pPr>
        <w:spacing w:before="200"/>
        <w:rPr>
          <w:rFonts w:ascii="Arial" w:hAnsi="Arial" w:cs="Arial"/>
        </w:rPr>
      </w:pPr>
      <w:r w:rsidRPr="00F91756">
        <w:rPr>
          <w:rFonts w:ascii="Arial" w:hAnsi="Arial" w:cs="Arial"/>
        </w:rPr>
        <w:lastRenderedPageBreak/>
        <w:t xml:space="preserve">AstraZeneca (2024). A timeline of our company history | AstraZeneca. [online] www.astrazeneca.com. Available at: </w:t>
      </w:r>
      <w:hyperlink r:id="rId28">
        <w:r w:rsidR="003A28C2" w:rsidRPr="00F91756">
          <w:rPr>
            <w:rFonts w:ascii="Arial" w:hAnsi="Arial" w:cs="Arial"/>
            <w:color w:val="1155CC"/>
            <w:u w:val="single"/>
          </w:rPr>
          <w:t>https://www.astrazeneca.com/our-company/history.html</w:t>
        </w:r>
      </w:hyperlink>
      <w:r w:rsidRPr="00F91756">
        <w:rPr>
          <w:rFonts w:ascii="Arial" w:hAnsi="Arial" w:cs="Arial"/>
        </w:rPr>
        <w:t xml:space="preserve"> [Accessed 5 Dec. 2025].</w:t>
      </w:r>
    </w:p>
    <w:p w14:paraId="27A3103B" w14:textId="77777777" w:rsidR="003A28C2" w:rsidRPr="00F91756" w:rsidRDefault="00000000">
      <w:pPr>
        <w:spacing w:before="200"/>
        <w:rPr>
          <w:rFonts w:ascii="Arial" w:hAnsi="Arial" w:cs="Arial"/>
        </w:rPr>
      </w:pPr>
      <w:r w:rsidRPr="00F91756">
        <w:rPr>
          <w:rFonts w:ascii="Arial" w:hAnsi="Arial" w:cs="Arial"/>
        </w:rPr>
        <w:t xml:space="preserve">AstraZeneca (2024a). </w:t>
      </w:r>
      <w:r w:rsidRPr="00F91756">
        <w:rPr>
          <w:rFonts w:ascii="Arial" w:hAnsi="Arial" w:cs="Arial"/>
          <w:i/>
          <w:iCs/>
        </w:rPr>
        <w:t>Key facts - Our Company - AstraZeneca</w:t>
      </w:r>
      <w:r w:rsidRPr="00F91756">
        <w:rPr>
          <w:rFonts w:ascii="Arial" w:hAnsi="Arial" w:cs="Arial"/>
        </w:rPr>
        <w:t xml:space="preserve">. [online] www.astrazeneca.com. Available at: </w:t>
      </w:r>
      <w:hyperlink r:id="rId29">
        <w:r w:rsidR="003A28C2" w:rsidRPr="00F91756">
          <w:rPr>
            <w:rFonts w:ascii="Arial" w:hAnsi="Arial" w:cs="Arial"/>
            <w:color w:val="1155CC"/>
            <w:u w:val="single"/>
          </w:rPr>
          <w:t>https://www.astrazeneca.com/investor-relations/key-facts.html</w:t>
        </w:r>
      </w:hyperlink>
      <w:r w:rsidRPr="00F91756">
        <w:rPr>
          <w:rFonts w:ascii="Arial" w:hAnsi="Arial" w:cs="Arial"/>
        </w:rPr>
        <w:t xml:space="preserve"> [Accessed 5 Dec. 2025].</w:t>
      </w:r>
    </w:p>
    <w:p w14:paraId="35B275BC" w14:textId="77777777" w:rsidR="003A28C2" w:rsidRPr="00F91756" w:rsidRDefault="00000000">
      <w:pPr>
        <w:spacing w:before="200"/>
        <w:rPr>
          <w:rFonts w:ascii="Arial" w:hAnsi="Arial" w:cs="Arial"/>
        </w:rPr>
      </w:pPr>
      <w:r w:rsidRPr="00F91756">
        <w:rPr>
          <w:rFonts w:ascii="Arial" w:hAnsi="Arial" w:cs="Arial"/>
        </w:rPr>
        <w:t xml:space="preserve">AstraZeneca (2024b). </w:t>
      </w:r>
      <w:r w:rsidRPr="00F91756">
        <w:rPr>
          <w:rFonts w:ascii="Arial" w:hAnsi="Arial" w:cs="Arial"/>
          <w:i/>
          <w:iCs/>
        </w:rPr>
        <w:t>Our therapy areas - AstraZeneca</w:t>
      </w:r>
      <w:r w:rsidRPr="00F91756">
        <w:rPr>
          <w:rFonts w:ascii="Arial" w:hAnsi="Arial" w:cs="Arial"/>
        </w:rPr>
        <w:t xml:space="preserve">. [online] www.astrazeneca.com. Available at: </w:t>
      </w:r>
      <w:hyperlink r:id="rId30">
        <w:r w:rsidR="003A28C2" w:rsidRPr="00F91756">
          <w:rPr>
            <w:rFonts w:ascii="Arial" w:hAnsi="Arial" w:cs="Arial"/>
            <w:color w:val="1155CC"/>
            <w:u w:val="single"/>
          </w:rPr>
          <w:t>https://www.astrazeneca.com/our-therapy-areas.html</w:t>
        </w:r>
      </w:hyperlink>
      <w:r w:rsidRPr="00F91756">
        <w:rPr>
          <w:rFonts w:ascii="Arial" w:hAnsi="Arial" w:cs="Arial"/>
        </w:rPr>
        <w:t xml:space="preserve"> [Accessed 5 Dec. 2025].</w:t>
      </w:r>
    </w:p>
    <w:p w14:paraId="1A5B8005" w14:textId="77777777" w:rsidR="003A28C2" w:rsidRPr="00F91756" w:rsidRDefault="00000000">
      <w:pPr>
        <w:spacing w:before="200"/>
        <w:rPr>
          <w:rFonts w:ascii="Arial" w:hAnsi="Arial" w:cs="Arial"/>
        </w:rPr>
      </w:pPr>
      <w:r w:rsidRPr="00F91756">
        <w:rPr>
          <w:rFonts w:ascii="Arial" w:hAnsi="Arial" w:cs="Arial"/>
        </w:rPr>
        <w:t xml:space="preserve">AstraZeneca (2025). Our Company - AstraZeneca. [online] AstraZeneca. Available at: </w:t>
      </w:r>
      <w:hyperlink r:id="rId31">
        <w:r w:rsidR="003A28C2" w:rsidRPr="00F91756">
          <w:rPr>
            <w:rFonts w:ascii="Arial" w:hAnsi="Arial" w:cs="Arial"/>
            <w:color w:val="1155CC"/>
            <w:u w:val="single"/>
          </w:rPr>
          <w:t>https://www.astrazeneca.com/our-company.html</w:t>
        </w:r>
      </w:hyperlink>
      <w:r w:rsidRPr="00F91756">
        <w:rPr>
          <w:rFonts w:ascii="Arial" w:hAnsi="Arial" w:cs="Arial"/>
        </w:rPr>
        <w:t xml:space="preserve"> [Accessed 5 Dec. 2025].</w:t>
      </w:r>
    </w:p>
    <w:p w14:paraId="434B07AC" w14:textId="77777777" w:rsidR="003A28C2" w:rsidRPr="00F91756" w:rsidRDefault="00000000">
      <w:pPr>
        <w:spacing w:before="200"/>
        <w:rPr>
          <w:rFonts w:ascii="Arial" w:hAnsi="Arial" w:cs="Arial"/>
        </w:rPr>
      </w:pPr>
      <w:proofErr w:type="spellStart"/>
      <w:r w:rsidRPr="00F91756">
        <w:rPr>
          <w:rFonts w:ascii="Arial" w:hAnsi="Arial" w:cs="Arial"/>
        </w:rPr>
        <w:t>Astrazeneca</w:t>
      </w:r>
      <w:proofErr w:type="spellEnd"/>
      <w:r w:rsidRPr="00F91756">
        <w:rPr>
          <w:rFonts w:ascii="Arial" w:hAnsi="Arial" w:cs="Arial"/>
        </w:rPr>
        <w:t xml:space="preserve"> (2025). </w:t>
      </w:r>
      <w:proofErr w:type="spellStart"/>
      <w:r w:rsidRPr="00F91756">
        <w:rPr>
          <w:rFonts w:ascii="Arial" w:hAnsi="Arial" w:cs="Arial"/>
          <w:i/>
          <w:iCs/>
        </w:rPr>
        <w:t>Securly</w:t>
      </w:r>
      <w:proofErr w:type="spellEnd"/>
      <w:r w:rsidRPr="00F91756">
        <w:rPr>
          <w:rFonts w:ascii="Arial" w:hAnsi="Arial" w:cs="Arial"/>
          <w:i/>
          <w:iCs/>
        </w:rPr>
        <w:t xml:space="preserve"> - Geolocation sharing</w:t>
      </w:r>
      <w:r w:rsidRPr="00F91756">
        <w:rPr>
          <w:rFonts w:ascii="Arial" w:hAnsi="Arial" w:cs="Arial"/>
        </w:rPr>
        <w:t xml:space="preserve">. [online] Astrazeneca.com. Available at: </w:t>
      </w:r>
      <w:hyperlink r:id="rId32">
        <w:r w:rsidR="003A28C2" w:rsidRPr="00F91756">
          <w:rPr>
            <w:rFonts w:ascii="Arial" w:hAnsi="Arial" w:cs="Arial"/>
            <w:color w:val="1155CC"/>
            <w:u w:val="single"/>
          </w:rPr>
          <w:t>https://www.astrazeneca.com/content/astraz/sustainability/health-equity/healthcare-delivery.html</w:t>
        </w:r>
      </w:hyperlink>
      <w:r w:rsidRPr="00F91756">
        <w:rPr>
          <w:rFonts w:ascii="Arial" w:hAnsi="Arial" w:cs="Arial"/>
        </w:rPr>
        <w:t xml:space="preserve">  [Accessed 5 Dec. 2025].</w:t>
      </w:r>
    </w:p>
    <w:p w14:paraId="307232BE" w14:textId="77777777" w:rsidR="003A28C2" w:rsidRPr="00F91756" w:rsidRDefault="00000000">
      <w:pPr>
        <w:spacing w:before="200"/>
        <w:rPr>
          <w:rFonts w:ascii="Arial" w:hAnsi="Arial" w:cs="Arial"/>
        </w:rPr>
      </w:pPr>
      <w:r w:rsidRPr="00F91756">
        <w:rPr>
          <w:rFonts w:ascii="Arial" w:hAnsi="Arial" w:cs="Arial"/>
        </w:rPr>
        <w:t xml:space="preserve">AstraZeneca In (2025). </w:t>
      </w:r>
      <w:r w:rsidRPr="00F91756">
        <w:rPr>
          <w:rFonts w:ascii="Arial" w:hAnsi="Arial" w:cs="Arial"/>
          <w:i/>
          <w:iCs/>
        </w:rPr>
        <w:t>AstraZeneca Pharma India Ltd Q3 Results Highlight Strong Momentum Across Therapeutic Areas; achieving 44% increase in revenue and total revenue from operations now increased by Rs. 1,345 Mn compared to corresponding quarter of previous year.</w:t>
      </w:r>
      <w:r w:rsidRPr="00F91756">
        <w:rPr>
          <w:rFonts w:ascii="Arial" w:hAnsi="Arial" w:cs="Arial"/>
        </w:rPr>
        <w:t xml:space="preserve"> [online] Astrazeneca.in. Available at: </w:t>
      </w:r>
      <w:hyperlink r:id="rId33">
        <w:r w:rsidR="003A28C2" w:rsidRPr="00F91756">
          <w:rPr>
            <w:rFonts w:ascii="Arial" w:hAnsi="Arial" w:cs="Arial"/>
            <w:color w:val="1155CC"/>
            <w:u w:val="single"/>
          </w:rPr>
          <w:t>https://www.astrazeneca.in/media/press-releases/2025/AstraZeneca-Pharma-India-Ltd-Q3-Results.html</w:t>
        </w:r>
      </w:hyperlink>
      <w:r w:rsidRPr="00F91756">
        <w:rPr>
          <w:rFonts w:ascii="Arial" w:hAnsi="Arial" w:cs="Arial"/>
        </w:rPr>
        <w:t xml:space="preserve"> [Accessed 5 Dec. 2025].</w:t>
      </w:r>
    </w:p>
    <w:p w14:paraId="28117406" w14:textId="77777777" w:rsidR="003A28C2" w:rsidRPr="00F91756" w:rsidRDefault="00000000">
      <w:pPr>
        <w:spacing w:before="200"/>
        <w:rPr>
          <w:rFonts w:ascii="Arial" w:hAnsi="Arial" w:cs="Arial"/>
        </w:rPr>
      </w:pPr>
      <w:proofErr w:type="spellStart"/>
      <w:r w:rsidRPr="00F91756">
        <w:rPr>
          <w:rFonts w:ascii="Arial" w:hAnsi="Arial" w:cs="Arial"/>
        </w:rPr>
        <w:t>Astrazeneca</w:t>
      </w:r>
      <w:proofErr w:type="spellEnd"/>
      <w:r w:rsidRPr="00F91756">
        <w:rPr>
          <w:rFonts w:ascii="Arial" w:hAnsi="Arial" w:cs="Arial"/>
        </w:rPr>
        <w:t xml:space="preserve"> India (2025). </w:t>
      </w:r>
      <w:r w:rsidRPr="00F91756">
        <w:rPr>
          <w:rFonts w:ascii="Arial" w:hAnsi="Arial" w:cs="Arial"/>
          <w:i/>
          <w:iCs/>
        </w:rPr>
        <w:t>Sustainability</w:t>
      </w:r>
      <w:r w:rsidRPr="00F91756">
        <w:rPr>
          <w:rFonts w:ascii="Arial" w:hAnsi="Arial" w:cs="Arial"/>
        </w:rPr>
        <w:t xml:space="preserve">. [online] Astrazeneca.in. Available at: </w:t>
      </w:r>
      <w:hyperlink r:id="rId34">
        <w:r w:rsidR="003A28C2" w:rsidRPr="00F91756">
          <w:rPr>
            <w:rFonts w:ascii="Arial" w:hAnsi="Arial" w:cs="Arial"/>
            <w:color w:val="1155CC"/>
            <w:u w:val="single"/>
          </w:rPr>
          <w:t>https://www.astrazeneca.in/sustainability.html</w:t>
        </w:r>
      </w:hyperlink>
      <w:r w:rsidRPr="00F91756">
        <w:rPr>
          <w:rFonts w:ascii="Arial" w:hAnsi="Arial" w:cs="Arial"/>
        </w:rPr>
        <w:t xml:space="preserve"> [Accessed 5 Dec. 2025].</w:t>
      </w:r>
    </w:p>
    <w:p w14:paraId="409CCB38" w14:textId="77777777" w:rsidR="003A28C2" w:rsidRPr="00F91756" w:rsidRDefault="00000000">
      <w:pPr>
        <w:spacing w:before="200"/>
        <w:rPr>
          <w:rFonts w:ascii="Arial" w:hAnsi="Arial" w:cs="Arial"/>
        </w:rPr>
      </w:pPr>
      <w:r w:rsidRPr="00F91756">
        <w:rPr>
          <w:rFonts w:ascii="Arial" w:hAnsi="Arial" w:cs="Arial"/>
        </w:rPr>
        <w:t xml:space="preserve">AstraZeneca India (2025a). </w:t>
      </w:r>
      <w:r w:rsidRPr="00F91756">
        <w:rPr>
          <w:rFonts w:ascii="Arial" w:hAnsi="Arial" w:cs="Arial"/>
          <w:i/>
          <w:iCs/>
        </w:rPr>
        <w:t>AstraZeneca announces third investment of Rs 176 crore in India</w:t>
      </w:r>
      <w:r w:rsidRPr="00F91756">
        <w:rPr>
          <w:rFonts w:ascii="Arial" w:hAnsi="Arial" w:cs="Arial"/>
        </w:rPr>
        <w:t xml:space="preserve">. [online] Astrazeneca.in. Available at: </w:t>
      </w:r>
      <w:hyperlink r:id="rId35">
        <w:r w:rsidR="003A28C2" w:rsidRPr="00F91756">
          <w:rPr>
            <w:rFonts w:ascii="Arial" w:hAnsi="Arial" w:cs="Arial"/>
            <w:color w:val="1155CC"/>
            <w:u w:val="single"/>
          </w:rPr>
          <w:t>https://www.astrazeneca.in/media/press-releases/2025/astrazeneca-announces-third-investment-of-rs-176-crore-in-india.html</w:t>
        </w:r>
      </w:hyperlink>
      <w:r w:rsidRPr="00F91756">
        <w:rPr>
          <w:rFonts w:ascii="Arial" w:hAnsi="Arial" w:cs="Arial"/>
        </w:rPr>
        <w:t xml:space="preserve"> [Accessed 5 Dec. 2025].</w:t>
      </w:r>
    </w:p>
    <w:p w14:paraId="5A2CF04B" w14:textId="77777777" w:rsidR="003A28C2" w:rsidRPr="00F91756" w:rsidRDefault="00000000">
      <w:pPr>
        <w:spacing w:before="200"/>
        <w:rPr>
          <w:rFonts w:ascii="Arial" w:hAnsi="Arial" w:cs="Arial"/>
        </w:rPr>
      </w:pPr>
      <w:r w:rsidRPr="00F91756">
        <w:rPr>
          <w:rFonts w:ascii="Arial" w:hAnsi="Arial" w:cs="Arial"/>
        </w:rPr>
        <w:lastRenderedPageBreak/>
        <w:t xml:space="preserve">AstraZeneca India (2025b). </w:t>
      </w:r>
      <w:r w:rsidRPr="00F91756">
        <w:rPr>
          <w:rFonts w:ascii="Arial" w:hAnsi="Arial" w:cs="Arial"/>
          <w:i/>
          <w:iCs/>
        </w:rPr>
        <w:t>AstraZeneca expands Bangalore Global Hub in India with ₹166 Crore Investment, creating 400 Jobs to boost R&amp;D, global services and AI innovation</w:t>
      </w:r>
      <w:r w:rsidRPr="00F91756">
        <w:rPr>
          <w:rFonts w:ascii="Arial" w:hAnsi="Arial" w:cs="Arial"/>
        </w:rPr>
        <w:t xml:space="preserve">. [online] Astrazeneca.in. Available at: </w:t>
      </w:r>
      <w:hyperlink r:id="rId36">
        <w:r w:rsidR="003A28C2" w:rsidRPr="00F91756">
          <w:rPr>
            <w:rFonts w:ascii="Arial" w:hAnsi="Arial" w:cs="Arial"/>
            <w:color w:val="1155CC"/>
            <w:u w:val="single"/>
          </w:rPr>
          <w:t>https://www.astrazeneca.in/media/press-releases/2025/astrazeneca-expands-bangalore-global-hub-in-india.html</w:t>
        </w:r>
      </w:hyperlink>
      <w:r w:rsidRPr="00F91756">
        <w:rPr>
          <w:rFonts w:ascii="Arial" w:hAnsi="Arial" w:cs="Arial"/>
        </w:rPr>
        <w:t xml:space="preserve"> [Accessed 5 Dec. 2025].</w:t>
      </w:r>
    </w:p>
    <w:p w14:paraId="090B5BFE" w14:textId="77777777" w:rsidR="003A28C2" w:rsidRPr="00F91756" w:rsidRDefault="00000000">
      <w:pPr>
        <w:spacing w:before="200"/>
        <w:rPr>
          <w:rFonts w:ascii="Arial" w:hAnsi="Arial" w:cs="Arial"/>
        </w:rPr>
      </w:pPr>
      <w:r w:rsidRPr="00F91756">
        <w:rPr>
          <w:rFonts w:ascii="Arial" w:hAnsi="Arial" w:cs="Arial"/>
        </w:rPr>
        <w:t xml:space="preserve">AstraZeneca India (2025c). </w:t>
      </w:r>
      <w:r w:rsidRPr="00F91756">
        <w:rPr>
          <w:rFonts w:ascii="Arial" w:hAnsi="Arial" w:cs="Arial"/>
          <w:i/>
          <w:iCs/>
        </w:rPr>
        <w:t>AstraZeneca Pharma India Limited marks a consistent 32 % growth as the company announces its annual results for FY 2024-25</w:t>
      </w:r>
      <w:r w:rsidRPr="00F91756">
        <w:rPr>
          <w:rFonts w:ascii="Arial" w:hAnsi="Arial" w:cs="Arial"/>
        </w:rPr>
        <w:t xml:space="preserve">. [online] Astrazeneca.in. Available at: </w:t>
      </w:r>
      <w:hyperlink r:id="rId37">
        <w:r w:rsidR="003A28C2" w:rsidRPr="00F91756">
          <w:rPr>
            <w:rFonts w:ascii="Arial" w:hAnsi="Arial" w:cs="Arial"/>
            <w:color w:val="1155CC"/>
            <w:u w:val="single"/>
          </w:rPr>
          <w:t>https://www.astrazeneca.in/media/press-releases/2025/AstraZeneca-Pharma-India-Ltd-Q4-Results.html</w:t>
        </w:r>
      </w:hyperlink>
      <w:r w:rsidRPr="00F91756">
        <w:rPr>
          <w:rFonts w:ascii="Arial" w:hAnsi="Arial" w:cs="Arial"/>
        </w:rPr>
        <w:t xml:space="preserve"> [Accessed 5 Dec. 2025].</w:t>
      </w:r>
    </w:p>
    <w:p w14:paraId="13D4E496" w14:textId="77777777" w:rsidR="003A28C2" w:rsidRPr="00F91756" w:rsidRDefault="00000000">
      <w:pPr>
        <w:spacing w:before="200"/>
        <w:rPr>
          <w:rFonts w:ascii="Arial" w:hAnsi="Arial" w:cs="Arial"/>
        </w:rPr>
      </w:pPr>
      <w:r w:rsidRPr="00F91756">
        <w:rPr>
          <w:rFonts w:ascii="Arial" w:hAnsi="Arial" w:cs="Arial"/>
        </w:rPr>
        <w:t xml:space="preserve">AstraZeneca India Private Limited (2022). </w:t>
      </w:r>
      <w:r w:rsidRPr="00F91756">
        <w:rPr>
          <w:rFonts w:ascii="Arial" w:hAnsi="Arial" w:cs="Arial"/>
          <w:i/>
          <w:iCs/>
        </w:rPr>
        <w:t>Sustainability | AstraZeneca India Private Limited (AZIPL)</w:t>
      </w:r>
      <w:r w:rsidRPr="00F91756">
        <w:rPr>
          <w:rFonts w:ascii="Arial" w:hAnsi="Arial" w:cs="Arial"/>
        </w:rPr>
        <w:t xml:space="preserve">. [online] Astrazeneca.in. Available at: </w:t>
      </w:r>
      <w:hyperlink r:id="rId38">
        <w:r w:rsidR="003A28C2" w:rsidRPr="00F91756">
          <w:rPr>
            <w:rFonts w:ascii="Arial" w:hAnsi="Arial" w:cs="Arial"/>
            <w:color w:val="1155CC"/>
            <w:u w:val="single"/>
          </w:rPr>
          <w:t>https://azipl.astrazeneca.in/sustainability.html</w:t>
        </w:r>
      </w:hyperlink>
      <w:r w:rsidRPr="00F91756">
        <w:rPr>
          <w:rFonts w:ascii="Arial" w:hAnsi="Arial" w:cs="Arial"/>
        </w:rPr>
        <w:t xml:space="preserve"> [Accessed 5 Dec. 2025].</w:t>
      </w:r>
    </w:p>
    <w:p w14:paraId="695202A4" w14:textId="77777777" w:rsidR="003A28C2" w:rsidRPr="00F91756" w:rsidRDefault="00000000">
      <w:pPr>
        <w:spacing w:before="200"/>
        <w:rPr>
          <w:rFonts w:ascii="Arial" w:hAnsi="Arial" w:cs="Arial"/>
        </w:rPr>
      </w:pPr>
      <w:r w:rsidRPr="00F91756">
        <w:rPr>
          <w:rFonts w:ascii="Arial" w:hAnsi="Arial" w:cs="Arial"/>
        </w:rPr>
        <w:t xml:space="preserve">AstraZeneca plc (2025). </w:t>
      </w:r>
      <w:r w:rsidRPr="00F91756">
        <w:rPr>
          <w:rFonts w:ascii="Arial" w:hAnsi="Arial" w:cs="Arial"/>
          <w:i/>
          <w:iCs/>
        </w:rPr>
        <w:t>AstraZeneca plc | Access to Medicine Foundation</w:t>
      </w:r>
      <w:r w:rsidRPr="00F91756">
        <w:rPr>
          <w:rFonts w:ascii="Arial" w:hAnsi="Arial" w:cs="Arial"/>
        </w:rPr>
        <w:t xml:space="preserve">. [online] accesstomedicinefoundation.org. Available at: </w:t>
      </w:r>
      <w:hyperlink r:id="rId39">
        <w:r w:rsidR="003A28C2" w:rsidRPr="00F91756">
          <w:rPr>
            <w:rFonts w:ascii="Arial" w:hAnsi="Arial" w:cs="Arial"/>
            <w:color w:val="1155CC"/>
            <w:u w:val="single"/>
          </w:rPr>
          <w:t>https://accesstomedicinefoundation.org/company/astrazeneca-plc</w:t>
        </w:r>
      </w:hyperlink>
      <w:r w:rsidRPr="00F91756">
        <w:rPr>
          <w:rFonts w:ascii="Arial" w:hAnsi="Arial" w:cs="Arial"/>
        </w:rPr>
        <w:t xml:space="preserve"> [Accessed 5 Dec. 2025].</w:t>
      </w:r>
    </w:p>
    <w:p w14:paraId="0A3C379B" w14:textId="77777777" w:rsidR="003A28C2" w:rsidRPr="00F91756" w:rsidRDefault="00000000">
      <w:pPr>
        <w:spacing w:before="200"/>
        <w:rPr>
          <w:rFonts w:ascii="Arial" w:hAnsi="Arial" w:cs="Arial"/>
        </w:rPr>
      </w:pPr>
      <w:r w:rsidRPr="00F91756">
        <w:rPr>
          <w:rFonts w:ascii="Arial" w:hAnsi="Arial" w:cs="Arial"/>
        </w:rPr>
        <w:t xml:space="preserve">AstraZeneca-US (2025). </w:t>
      </w:r>
      <w:r w:rsidRPr="00F91756">
        <w:rPr>
          <w:rFonts w:ascii="Arial" w:hAnsi="Arial" w:cs="Arial"/>
          <w:i/>
          <w:iCs/>
        </w:rPr>
        <w:t>AstraZeneca launches direct-to-consumer platform to expand access to medications for US patients, including those living with chronic conditions</w:t>
      </w:r>
      <w:r w:rsidRPr="00F91756">
        <w:rPr>
          <w:rFonts w:ascii="Arial" w:hAnsi="Arial" w:cs="Arial"/>
        </w:rPr>
        <w:t xml:space="preserve">. [online] Astrazeneca-us.com. Available at: </w:t>
      </w:r>
      <w:hyperlink r:id="rId40">
        <w:r w:rsidR="003A28C2" w:rsidRPr="00F91756">
          <w:rPr>
            <w:rFonts w:ascii="Arial" w:hAnsi="Arial" w:cs="Arial"/>
            <w:color w:val="1155CC"/>
            <w:u w:val="single"/>
          </w:rPr>
          <w:t>https://www.astrazeneca-us.com/media/press-releases/2025/AstraZeneca-launches-direct-to-consumer-platform-to-expand-access-to-medications-for-US-patients-including-those-living-with-chronic-conditions.html</w:t>
        </w:r>
      </w:hyperlink>
      <w:r w:rsidRPr="00F91756">
        <w:rPr>
          <w:rFonts w:ascii="Arial" w:hAnsi="Arial" w:cs="Arial"/>
        </w:rPr>
        <w:t xml:space="preserve"> [Accessed 5 Dec. 2025].</w:t>
      </w:r>
    </w:p>
    <w:p w14:paraId="432DE99C" w14:textId="77777777" w:rsidR="003A28C2" w:rsidRPr="00F91756" w:rsidRDefault="00000000">
      <w:pPr>
        <w:spacing w:before="200"/>
        <w:rPr>
          <w:rFonts w:ascii="Arial" w:hAnsi="Arial" w:cs="Arial"/>
        </w:rPr>
      </w:pPr>
      <w:r w:rsidRPr="00F91756">
        <w:rPr>
          <w:rFonts w:ascii="Arial" w:hAnsi="Arial" w:cs="Arial"/>
        </w:rPr>
        <w:t xml:space="preserve">Bruin, L. de (2018). Porter’s Diamond Model EXPLAINED with EXAMPLES | B2U. [online] B2U - Business-to-you.com. Available at: </w:t>
      </w:r>
      <w:hyperlink r:id="rId41" w:anchor="google_vignette">
        <w:r w:rsidR="003A28C2" w:rsidRPr="00F91756">
          <w:rPr>
            <w:rFonts w:ascii="Arial" w:hAnsi="Arial" w:cs="Arial"/>
            <w:color w:val="1155CC"/>
            <w:u w:val="single"/>
          </w:rPr>
          <w:t>https://www.business-to-you.com/porter-diamond-model/#google_vignette</w:t>
        </w:r>
      </w:hyperlink>
      <w:r w:rsidRPr="00F91756">
        <w:rPr>
          <w:rFonts w:ascii="Arial" w:hAnsi="Arial" w:cs="Arial"/>
        </w:rPr>
        <w:t xml:space="preserve"> [Accessed 5 Dec. 2025].</w:t>
      </w:r>
    </w:p>
    <w:p w14:paraId="5367D745" w14:textId="77777777" w:rsidR="003A28C2" w:rsidRPr="00F91756" w:rsidRDefault="00000000">
      <w:pPr>
        <w:spacing w:before="200"/>
        <w:rPr>
          <w:rFonts w:ascii="Arial" w:hAnsi="Arial" w:cs="Arial"/>
        </w:rPr>
      </w:pPr>
      <w:r w:rsidRPr="00F91756">
        <w:rPr>
          <w:rFonts w:ascii="Arial" w:hAnsi="Arial" w:cs="Arial"/>
        </w:rPr>
        <w:t xml:space="preserve">Bruin, L. de (2019). VRIO Framework EXPLAINED with EXAMPLES | B2U. [online] B2U - Business-to-you.com. Available at: </w:t>
      </w:r>
      <w:hyperlink r:id="rId42">
        <w:r w:rsidR="003A28C2" w:rsidRPr="00F91756">
          <w:rPr>
            <w:rFonts w:ascii="Arial" w:hAnsi="Arial" w:cs="Arial"/>
            <w:color w:val="1155CC"/>
            <w:u w:val="single"/>
          </w:rPr>
          <w:t>https://www.business-to-you.com/vrio-from-firm-resources-to-competitive-advantage/</w:t>
        </w:r>
      </w:hyperlink>
      <w:r w:rsidRPr="00F91756">
        <w:rPr>
          <w:rFonts w:ascii="Arial" w:hAnsi="Arial" w:cs="Arial"/>
        </w:rPr>
        <w:t xml:space="preserve"> [Accessed 5 Dec. 2025].</w:t>
      </w:r>
    </w:p>
    <w:p w14:paraId="51BA447D" w14:textId="77777777" w:rsidR="003A28C2" w:rsidRPr="00F91756" w:rsidRDefault="00000000">
      <w:pPr>
        <w:spacing w:before="200"/>
        <w:rPr>
          <w:rFonts w:ascii="Arial" w:hAnsi="Arial" w:cs="Arial"/>
        </w:rPr>
      </w:pPr>
      <w:r w:rsidRPr="00F91756">
        <w:rPr>
          <w:rFonts w:ascii="Arial" w:hAnsi="Arial" w:cs="Arial"/>
        </w:rPr>
        <w:lastRenderedPageBreak/>
        <w:t xml:space="preserve">Carman, C. (2023). </w:t>
      </w:r>
      <w:r w:rsidRPr="00F91756">
        <w:rPr>
          <w:rFonts w:ascii="Arial" w:hAnsi="Arial" w:cs="Arial"/>
          <w:i/>
          <w:iCs/>
        </w:rPr>
        <w:t>Tempted by the AstraZeneca share price? Here’s why it could explode in 2023</w:t>
      </w:r>
      <w:r w:rsidRPr="00F91756">
        <w:rPr>
          <w:rFonts w:ascii="Arial" w:hAnsi="Arial" w:cs="Arial"/>
        </w:rPr>
        <w:t xml:space="preserve">. [online] The Motley Fool UK. Available at: </w:t>
      </w:r>
      <w:hyperlink r:id="rId43">
        <w:r w:rsidR="003A28C2" w:rsidRPr="00F91756">
          <w:rPr>
            <w:rFonts w:ascii="Arial" w:hAnsi="Arial" w:cs="Arial"/>
            <w:color w:val="1155CC"/>
            <w:u w:val="single"/>
          </w:rPr>
          <w:t>https://www.fool.co.uk/2023/01/23/tempted-by-the-astrazeneca-share-price-heres-why-it-could-explode-in-2023/</w:t>
        </w:r>
      </w:hyperlink>
      <w:r w:rsidRPr="00F91756">
        <w:rPr>
          <w:rFonts w:ascii="Arial" w:hAnsi="Arial" w:cs="Arial"/>
        </w:rPr>
        <w:t xml:space="preserve"> [Accessed 5 Dec. 2025].</w:t>
      </w:r>
    </w:p>
    <w:p w14:paraId="71E241C1" w14:textId="77777777" w:rsidR="003A28C2" w:rsidRPr="00F91756" w:rsidRDefault="00000000">
      <w:pPr>
        <w:spacing w:before="200"/>
        <w:rPr>
          <w:rFonts w:ascii="Arial" w:hAnsi="Arial" w:cs="Arial"/>
        </w:rPr>
      </w:pPr>
      <w:proofErr w:type="spellStart"/>
      <w:r w:rsidRPr="00F91756">
        <w:rPr>
          <w:rFonts w:ascii="Arial" w:hAnsi="Arial" w:cs="Arial"/>
        </w:rPr>
        <w:t>DelveInsight</w:t>
      </w:r>
      <w:proofErr w:type="spellEnd"/>
      <w:r w:rsidRPr="00F91756">
        <w:rPr>
          <w:rFonts w:ascii="Arial" w:hAnsi="Arial" w:cs="Arial"/>
        </w:rPr>
        <w:t xml:space="preserve"> Business (2025). </w:t>
      </w:r>
      <w:r w:rsidRPr="00F91756">
        <w:rPr>
          <w:rFonts w:ascii="Arial" w:hAnsi="Arial" w:cs="Arial"/>
          <w:i/>
          <w:iCs/>
        </w:rPr>
        <w:t xml:space="preserve">TAGRISSO Sets the Stage for Market Leadership in Oncology with Strong Growth Prospects | </w:t>
      </w:r>
      <w:proofErr w:type="spellStart"/>
      <w:r w:rsidRPr="00F91756">
        <w:rPr>
          <w:rFonts w:ascii="Arial" w:hAnsi="Arial" w:cs="Arial"/>
          <w:i/>
          <w:iCs/>
        </w:rPr>
        <w:t>DelveInsight</w:t>
      </w:r>
      <w:proofErr w:type="spellEnd"/>
      <w:r w:rsidRPr="00F91756">
        <w:rPr>
          <w:rFonts w:ascii="Arial" w:hAnsi="Arial" w:cs="Arial"/>
        </w:rPr>
        <w:t xml:space="preserve">. [online] Prnewswire.com. Available at: </w:t>
      </w:r>
      <w:hyperlink r:id="rId44">
        <w:r w:rsidR="003A28C2" w:rsidRPr="00F91756">
          <w:rPr>
            <w:rFonts w:ascii="Arial" w:hAnsi="Arial" w:cs="Arial"/>
            <w:color w:val="1155CC"/>
            <w:u w:val="single"/>
          </w:rPr>
          <w:t>https://www.prnewswire.com/news-releases/tagrisso-sets-the-stage-for-market-leadership-in-oncology-with-strong-growth-prospects--delveinsight-302397863.html</w:t>
        </w:r>
      </w:hyperlink>
      <w:r w:rsidRPr="00F91756">
        <w:rPr>
          <w:rFonts w:ascii="Arial" w:hAnsi="Arial" w:cs="Arial"/>
        </w:rPr>
        <w:t xml:space="preserve"> [Accessed 5 Dec. 2025].</w:t>
      </w:r>
    </w:p>
    <w:p w14:paraId="10017ADC" w14:textId="77777777" w:rsidR="003A28C2" w:rsidRPr="00F91756" w:rsidRDefault="00000000">
      <w:pPr>
        <w:spacing w:before="200"/>
        <w:rPr>
          <w:rFonts w:ascii="Arial" w:hAnsi="Arial" w:cs="Arial"/>
        </w:rPr>
      </w:pPr>
      <w:r w:rsidRPr="00F91756">
        <w:rPr>
          <w:rFonts w:ascii="Arial" w:hAnsi="Arial" w:cs="Arial"/>
        </w:rPr>
        <w:t xml:space="preserve">Harvey, M. (2020). </w:t>
      </w:r>
      <w:r w:rsidRPr="00F91756">
        <w:rPr>
          <w:rFonts w:ascii="Arial" w:hAnsi="Arial" w:cs="Arial"/>
          <w:i/>
          <w:iCs/>
        </w:rPr>
        <w:t>Ansoff Matrix of AstraZeneca PLC</w:t>
      </w:r>
      <w:r w:rsidRPr="00F91756">
        <w:rPr>
          <w:rFonts w:ascii="Arial" w:hAnsi="Arial" w:cs="Arial"/>
        </w:rPr>
        <w:t xml:space="preserve">. [online] Essay48. Available at: </w:t>
      </w:r>
      <w:hyperlink r:id="rId45">
        <w:r w:rsidR="003A28C2" w:rsidRPr="00F91756">
          <w:rPr>
            <w:rFonts w:ascii="Arial" w:hAnsi="Arial" w:cs="Arial"/>
            <w:color w:val="1155CC"/>
            <w:u w:val="single"/>
          </w:rPr>
          <w:t>https://www.essay48.com/3774-AstraZeneca-PLC-Ansoff-Matrix</w:t>
        </w:r>
      </w:hyperlink>
      <w:r w:rsidRPr="00F91756">
        <w:rPr>
          <w:rFonts w:ascii="Arial" w:hAnsi="Arial" w:cs="Arial"/>
        </w:rPr>
        <w:t xml:space="preserve"> [Accessed 5 Dec. 2025].</w:t>
      </w:r>
    </w:p>
    <w:p w14:paraId="23D2F336" w14:textId="77777777" w:rsidR="003A28C2" w:rsidRPr="00F91756" w:rsidRDefault="00000000">
      <w:pPr>
        <w:spacing w:before="200"/>
        <w:rPr>
          <w:rFonts w:ascii="Arial" w:hAnsi="Arial" w:cs="Arial"/>
        </w:rPr>
      </w:pPr>
      <w:r w:rsidRPr="00F91756">
        <w:rPr>
          <w:rFonts w:ascii="Arial" w:hAnsi="Arial" w:cs="Arial"/>
        </w:rPr>
        <w:t xml:space="preserve">Harvey, M. (2020). VRIN/VRIO Analysis </w:t>
      </w:r>
      <w:proofErr w:type="gramStart"/>
      <w:r w:rsidRPr="00F91756">
        <w:rPr>
          <w:rFonts w:ascii="Arial" w:hAnsi="Arial" w:cs="Arial"/>
        </w:rPr>
        <w:t>Of</w:t>
      </w:r>
      <w:proofErr w:type="gramEnd"/>
      <w:r w:rsidRPr="00F91756">
        <w:rPr>
          <w:rFonts w:ascii="Arial" w:hAnsi="Arial" w:cs="Arial"/>
        </w:rPr>
        <w:t xml:space="preserve"> AstraZeneca PLC. [online] Essay48. Available at: </w:t>
      </w:r>
      <w:hyperlink r:id="rId46">
        <w:r w:rsidR="003A28C2" w:rsidRPr="00F91756">
          <w:rPr>
            <w:rFonts w:ascii="Arial" w:hAnsi="Arial" w:cs="Arial"/>
            <w:color w:val="1155CC"/>
            <w:u w:val="single"/>
          </w:rPr>
          <w:t>https://www.essay48.com/3774-AstraZeneca-PLC-VRIN-VRIO-Analysis</w:t>
        </w:r>
      </w:hyperlink>
      <w:r w:rsidRPr="00F91756">
        <w:rPr>
          <w:rFonts w:ascii="Arial" w:hAnsi="Arial" w:cs="Arial"/>
        </w:rPr>
        <w:t xml:space="preserve"> [Accessed 5 Dec. 2025].</w:t>
      </w:r>
    </w:p>
    <w:p w14:paraId="6EC91550" w14:textId="77777777" w:rsidR="003A28C2" w:rsidRPr="00F91756" w:rsidRDefault="00000000">
      <w:pPr>
        <w:spacing w:before="200"/>
        <w:rPr>
          <w:rFonts w:ascii="Arial" w:hAnsi="Arial" w:cs="Arial"/>
        </w:rPr>
      </w:pPr>
      <w:proofErr w:type="spellStart"/>
      <w:r w:rsidRPr="00F91756">
        <w:rPr>
          <w:rFonts w:ascii="Arial" w:hAnsi="Arial" w:cs="Arial"/>
        </w:rPr>
        <w:t>Insightace</w:t>
      </w:r>
      <w:proofErr w:type="spellEnd"/>
      <w:r w:rsidRPr="00F91756">
        <w:rPr>
          <w:rFonts w:ascii="Arial" w:hAnsi="Arial" w:cs="Arial"/>
        </w:rPr>
        <w:t xml:space="preserve"> Analytic Pvt Ltd (2025). </w:t>
      </w:r>
      <w:r w:rsidRPr="00F91756">
        <w:rPr>
          <w:rFonts w:ascii="Arial" w:hAnsi="Arial" w:cs="Arial"/>
          <w:i/>
          <w:iCs/>
        </w:rPr>
        <w:t xml:space="preserve">GLP-1 Market Key Players Analysis - AstraZeneca, </w:t>
      </w:r>
      <w:proofErr w:type="spellStart"/>
      <w:r w:rsidRPr="00F91756">
        <w:rPr>
          <w:rFonts w:ascii="Arial" w:hAnsi="Arial" w:cs="Arial"/>
          <w:i/>
          <w:iCs/>
        </w:rPr>
        <w:t>Biolingus</w:t>
      </w:r>
      <w:proofErr w:type="spellEnd"/>
      <w:r w:rsidRPr="00F91756">
        <w:rPr>
          <w:rFonts w:ascii="Arial" w:hAnsi="Arial" w:cs="Arial"/>
          <w:i/>
          <w:iCs/>
        </w:rPr>
        <w:t xml:space="preserve">, Boehringer Ingelheim, D&amp;D </w:t>
      </w:r>
      <w:proofErr w:type="spellStart"/>
      <w:r w:rsidRPr="00F91756">
        <w:rPr>
          <w:rFonts w:ascii="Arial" w:hAnsi="Arial" w:cs="Arial"/>
          <w:i/>
          <w:iCs/>
        </w:rPr>
        <w:t>Pharmatech</w:t>
      </w:r>
      <w:proofErr w:type="spellEnd"/>
      <w:r w:rsidRPr="00F91756">
        <w:rPr>
          <w:rFonts w:ascii="Arial" w:hAnsi="Arial" w:cs="Arial"/>
          <w:i/>
          <w:iCs/>
        </w:rPr>
        <w:t>.</w:t>
      </w:r>
      <w:r w:rsidRPr="00F91756">
        <w:rPr>
          <w:rFonts w:ascii="Arial" w:hAnsi="Arial" w:cs="Arial"/>
        </w:rPr>
        <w:t xml:space="preserve"> [online] openPR.com. Available at: </w:t>
      </w:r>
      <w:hyperlink r:id="rId47">
        <w:r w:rsidR="003A28C2" w:rsidRPr="00F91756">
          <w:rPr>
            <w:rFonts w:ascii="Arial" w:hAnsi="Arial" w:cs="Arial"/>
            <w:color w:val="1155CC"/>
            <w:u w:val="single"/>
          </w:rPr>
          <w:t>https://www.openpr.com/news/4073825/glp-1-market-key-players-analysis-astrazeneca-biolingus</w:t>
        </w:r>
      </w:hyperlink>
      <w:r w:rsidRPr="00F91756">
        <w:rPr>
          <w:rFonts w:ascii="Arial" w:hAnsi="Arial" w:cs="Arial"/>
        </w:rPr>
        <w:t xml:space="preserve"> [Accessed 5 Dec. 2025].</w:t>
      </w:r>
    </w:p>
    <w:p w14:paraId="33438ED5" w14:textId="77777777" w:rsidR="003A28C2" w:rsidRPr="00F91756" w:rsidRDefault="00000000">
      <w:pPr>
        <w:spacing w:before="200"/>
        <w:rPr>
          <w:rFonts w:ascii="Arial" w:hAnsi="Arial" w:cs="Arial"/>
        </w:rPr>
      </w:pPr>
      <w:r w:rsidRPr="00F91756">
        <w:rPr>
          <w:rFonts w:ascii="Arial" w:hAnsi="Arial" w:cs="Arial"/>
        </w:rPr>
        <w:t xml:space="preserve">Jackson, K. (2024). </w:t>
      </w:r>
      <w:r w:rsidRPr="00F91756">
        <w:rPr>
          <w:rFonts w:ascii="Arial" w:hAnsi="Arial" w:cs="Arial"/>
          <w:i/>
          <w:iCs/>
        </w:rPr>
        <w:t>The Ansoff Matrix</w:t>
      </w:r>
      <w:r w:rsidRPr="00F91756">
        <w:rPr>
          <w:rFonts w:ascii="Arial" w:hAnsi="Arial" w:cs="Arial"/>
        </w:rPr>
        <w:t xml:space="preserve">. [online] Mindtools. Available at: </w:t>
      </w:r>
      <w:hyperlink r:id="rId48">
        <w:r w:rsidR="003A28C2" w:rsidRPr="00F91756">
          <w:rPr>
            <w:rFonts w:ascii="Arial" w:hAnsi="Arial" w:cs="Arial"/>
            <w:color w:val="1155CC"/>
            <w:u w:val="single"/>
          </w:rPr>
          <w:t>https://www.mindtools.com/a2gy5ya/the-ansoff-matrix/</w:t>
        </w:r>
      </w:hyperlink>
      <w:r w:rsidRPr="00F91756">
        <w:rPr>
          <w:rFonts w:ascii="Arial" w:hAnsi="Arial" w:cs="Arial"/>
        </w:rPr>
        <w:t xml:space="preserve"> [Accessed 5 Dec. 2025].</w:t>
      </w:r>
    </w:p>
    <w:p w14:paraId="41CB4317" w14:textId="77777777" w:rsidR="003A28C2" w:rsidRPr="00F91756" w:rsidRDefault="00000000">
      <w:pPr>
        <w:spacing w:before="200"/>
        <w:rPr>
          <w:rFonts w:ascii="Arial" w:hAnsi="Arial" w:cs="Arial"/>
        </w:rPr>
      </w:pPr>
      <w:r w:rsidRPr="00F91756">
        <w:rPr>
          <w:rFonts w:ascii="Arial" w:hAnsi="Arial" w:cs="Arial"/>
        </w:rPr>
        <w:t xml:space="preserve">Jurevicius, O. (2024). </w:t>
      </w:r>
      <w:r w:rsidRPr="00F91756">
        <w:rPr>
          <w:rFonts w:ascii="Arial" w:hAnsi="Arial" w:cs="Arial"/>
          <w:i/>
          <w:iCs/>
        </w:rPr>
        <w:t>Triple Bottom Line: The Ultimate Guide - SM Insight</w:t>
      </w:r>
      <w:r w:rsidRPr="00F91756">
        <w:rPr>
          <w:rFonts w:ascii="Arial" w:hAnsi="Arial" w:cs="Arial"/>
        </w:rPr>
        <w:t xml:space="preserve">. [online] Strategic Management Insight. Available at: </w:t>
      </w:r>
      <w:hyperlink r:id="rId49">
        <w:r w:rsidR="003A28C2" w:rsidRPr="00F91756">
          <w:rPr>
            <w:rFonts w:ascii="Arial" w:hAnsi="Arial" w:cs="Arial"/>
            <w:color w:val="1155CC"/>
            <w:u w:val="single"/>
          </w:rPr>
          <w:t>https://strategicmanagementinsight.com/tools/triple-bottom-line/</w:t>
        </w:r>
      </w:hyperlink>
      <w:r w:rsidRPr="00F91756">
        <w:rPr>
          <w:rFonts w:ascii="Arial" w:hAnsi="Arial" w:cs="Arial"/>
        </w:rPr>
        <w:t xml:space="preserve"> [Accessed 5 Dec. 2025].</w:t>
      </w:r>
    </w:p>
    <w:p w14:paraId="2DD9AEA9" w14:textId="77777777" w:rsidR="003A28C2" w:rsidRPr="00F91756" w:rsidRDefault="00000000">
      <w:pPr>
        <w:spacing w:before="200"/>
        <w:rPr>
          <w:rFonts w:ascii="Arial" w:hAnsi="Arial" w:cs="Arial"/>
        </w:rPr>
      </w:pPr>
      <w:r w:rsidRPr="00F91756">
        <w:rPr>
          <w:rFonts w:ascii="Arial" w:hAnsi="Arial" w:cs="Arial"/>
        </w:rPr>
        <w:t xml:space="preserve">King, C. (2025). </w:t>
      </w:r>
      <w:r w:rsidRPr="00F91756">
        <w:rPr>
          <w:rFonts w:ascii="Arial" w:hAnsi="Arial" w:cs="Arial"/>
          <w:i/>
          <w:iCs/>
        </w:rPr>
        <w:t>AstraZeneca: Leading Sustainable Pharmaceutical Innovation</w:t>
      </w:r>
      <w:r w:rsidRPr="00F91756">
        <w:rPr>
          <w:rFonts w:ascii="Arial" w:hAnsi="Arial" w:cs="Arial"/>
        </w:rPr>
        <w:t xml:space="preserve">. [online] Sustainabilitymag.com. Available at: </w:t>
      </w:r>
      <w:hyperlink r:id="rId50">
        <w:r w:rsidR="003A28C2" w:rsidRPr="00F91756">
          <w:rPr>
            <w:rFonts w:ascii="Arial" w:hAnsi="Arial" w:cs="Arial"/>
            <w:color w:val="1155CC"/>
            <w:u w:val="single"/>
          </w:rPr>
          <w:t>https://sustainabilitymag.com/news/astrazeneca-leading-sustainable-pharmaceutical-innovation</w:t>
        </w:r>
      </w:hyperlink>
      <w:r w:rsidRPr="00F91756">
        <w:rPr>
          <w:rFonts w:ascii="Arial" w:hAnsi="Arial" w:cs="Arial"/>
        </w:rPr>
        <w:t xml:space="preserve"> [Accessed 5 Dec. 2025].</w:t>
      </w:r>
    </w:p>
    <w:p w14:paraId="130E530D" w14:textId="77777777" w:rsidR="003A28C2" w:rsidRPr="00F91756" w:rsidRDefault="00000000">
      <w:pPr>
        <w:spacing w:before="200"/>
        <w:rPr>
          <w:rFonts w:ascii="Arial" w:hAnsi="Arial" w:cs="Arial"/>
        </w:rPr>
      </w:pPr>
      <w:r w:rsidRPr="00F91756">
        <w:rPr>
          <w:rFonts w:ascii="Arial" w:hAnsi="Arial" w:cs="Arial"/>
        </w:rPr>
        <w:lastRenderedPageBreak/>
        <w:t xml:space="preserve">Madsen, D.O. (2025). Balanced Scorecard: History, Implementation, and Impact. </w:t>
      </w:r>
      <w:r w:rsidRPr="00F91756">
        <w:rPr>
          <w:rFonts w:ascii="Arial" w:hAnsi="Arial" w:cs="Arial"/>
          <w:i/>
          <w:iCs/>
        </w:rPr>
        <w:t>Encyclopedia</w:t>
      </w:r>
      <w:r w:rsidRPr="00F91756">
        <w:rPr>
          <w:rFonts w:ascii="Arial" w:hAnsi="Arial" w:cs="Arial"/>
        </w:rPr>
        <w:t xml:space="preserve">, [online] 5(1), p.39. </w:t>
      </w:r>
      <w:proofErr w:type="spellStart"/>
      <w:r w:rsidRPr="00F91756">
        <w:rPr>
          <w:rFonts w:ascii="Arial" w:hAnsi="Arial" w:cs="Arial"/>
        </w:rPr>
        <w:t>doi:</w:t>
      </w:r>
      <w:hyperlink r:id="rId51">
        <w:r w:rsidR="003A28C2" w:rsidRPr="00F91756">
          <w:rPr>
            <w:rFonts w:ascii="Arial" w:hAnsi="Arial" w:cs="Arial"/>
            <w:color w:val="1155CC"/>
            <w:u w:val="single"/>
          </w:rPr>
          <w:t>https</w:t>
        </w:r>
        <w:proofErr w:type="spellEnd"/>
        <w:r w:rsidR="003A28C2" w:rsidRPr="00F91756">
          <w:rPr>
            <w:rFonts w:ascii="Arial" w:hAnsi="Arial" w:cs="Arial"/>
            <w:color w:val="1155CC"/>
            <w:u w:val="single"/>
          </w:rPr>
          <w:t>://doi.org/10.3390/encyclopedia5010039</w:t>
        </w:r>
      </w:hyperlink>
      <w:r w:rsidRPr="00F91756">
        <w:rPr>
          <w:rFonts w:ascii="Arial" w:hAnsi="Arial" w:cs="Arial"/>
        </w:rPr>
        <w:t xml:space="preserve">. </w:t>
      </w:r>
    </w:p>
    <w:p w14:paraId="2794E268" w14:textId="77777777" w:rsidR="003A28C2" w:rsidRPr="00F91756" w:rsidRDefault="00000000">
      <w:pPr>
        <w:spacing w:before="200"/>
        <w:rPr>
          <w:rFonts w:ascii="Arial" w:hAnsi="Arial" w:cs="Arial"/>
        </w:rPr>
      </w:pPr>
      <w:r w:rsidRPr="00F91756">
        <w:rPr>
          <w:rFonts w:ascii="Arial" w:hAnsi="Arial" w:cs="Arial"/>
        </w:rPr>
        <w:t xml:space="preserve">Mindtools. (2024). Porter’s Diamond. [online] Available at: </w:t>
      </w:r>
      <w:hyperlink r:id="rId52">
        <w:r w:rsidR="003A28C2" w:rsidRPr="00F91756">
          <w:rPr>
            <w:rFonts w:ascii="Arial" w:hAnsi="Arial" w:cs="Arial"/>
            <w:color w:val="1155CC"/>
            <w:u w:val="single"/>
          </w:rPr>
          <w:t>https://www.mindtools.com/acqiy9n/porters-diamond/</w:t>
        </w:r>
      </w:hyperlink>
      <w:r w:rsidRPr="00F91756">
        <w:rPr>
          <w:rFonts w:ascii="Arial" w:hAnsi="Arial" w:cs="Arial"/>
        </w:rPr>
        <w:t xml:space="preserve"> [Accessed 5 Dec. 2025].</w:t>
      </w:r>
    </w:p>
    <w:p w14:paraId="15BE6A9A" w14:textId="77777777" w:rsidR="003A28C2" w:rsidRPr="00F91756" w:rsidRDefault="00000000">
      <w:pPr>
        <w:spacing w:before="200"/>
        <w:rPr>
          <w:rFonts w:ascii="Arial" w:hAnsi="Arial" w:cs="Arial"/>
        </w:rPr>
      </w:pPr>
      <w:r w:rsidRPr="00F91756">
        <w:rPr>
          <w:rFonts w:ascii="Arial" w:hAnsi="Arial" w:cs="Arial"/>
        </w:rPr>
        <w:t xml:space="preserve">Nayal, M. (2020). Porter’s Diamond Model and the Competitive Advantage of Nations. [online] </w:t>
      </w:r>
      <w:proofErr w:type="spellStart"/>
      <w:r w:rsidRPr="00F91756">
        <w:rPr>
          <w:rFonts w:ascii="Arial" w:hAnsi="Arial" w:cs="Arial"/>
        </w:rPr>
        <w:t>Meirc</w:t>
      </w:r>
      <w:proofErr w:type="spellEnd"/>
      <w:r w:rsidRPr="00F91756">
        <w:rPr>
          <w:rFonts w:ascii="Arial" w:hAnsi="Arial" w:cs="Arial"/>
        </w:rPr>
        <w:t xml:space="preserve"> Training &amp; Consulting. Available at: </w:t>
      </w:r>
      <w:hyperlink r:id="rId53">
        <w:r w:rsidR="003A28C2" w:rsidRPr="00F91756">
          <w:rPr>
            <w:rFonts w:ascii="Arial" w:hAnsi="Arial" w:cs="Arial"/>
            <w:color w:val="1155CC"/>
            <w:u w:val="single"/>
          </w:rPr>
          <w:t>https://www.meirc.com/articles/porters-diamond-model-and-the-competitive-advantage</w:t>
        </w:r>
      </w:hyperlink>
      <w:r w:rsidRPr="00F91756">
        <w:rPr>
          <w:rFonts w:ascii="Arial" w:hAnsi="Arial" w:cs="Arial"/>
        </w:rPr>
        <w:t xml:space="preserve"> [Accessed 5 Dec. 2025].</w:t>
      </w:r>
    </w:p>
    <w:p w14:paraId="450C5FF9" w14:textId="77777777" w:rsidR="003A28C2" w:rsidRPr="00F91756" w:rsidRDefault="00000000">
      <w:pPr>
        <w:spacing w:before="200"/>
        <w:rPr>
          <w:rFonts w:ascii="Arial" w:hAnsi="Arial" w:cs="Arial"/>
        </w:rPr>
      </w:pPr>
      <w:r w:rsidRPr="00F91756">
        <w:rPr>
          <w:rFonts w:ascii="Arial" w:hAnsi="Arial" w:cs="Arial"/>
        </w:rPr>
        <w:t xml:space="preserve">Nutan, S. (2025). Porter’s Five Forces Analysis of AstraZeneca. [online] Linkedin.com. Available at: </w:t>
      </w:r>
      <w:hyperlink r:id="rId54">
        <w:r w:rsidR="003A28C2" w:rsidRPr="00F91756">
          <w:rPr>
            <w:rFonts w:ascii="Arial" w:hAnsi="Arial" w:cs="Arial"/>
            <w:color w:val="1155CC"/>
            <w:u w:val="single"/>
          </w:rPr>
          <w:t>https://www.linkedin.com/posts/smitanutan_astrazeneca-pharma-competition-activity-7180802684227137539-ANuE</w:t>
        </w:r>
      </w:hyperlink>
      <w:r w:rsidRPr="00F91756">
        <w:rPr>
          <w:rFonts w:ascii="Arial" w:hAnsi="Arial" w:cs="Arial"/>
        </w:rPr>
        <w:t xml:space="preserve"> [Accessed 5 Dec. 2025].</w:t>
      </w:r>
    </w:p>
    <w:p w14:paraId="06CABEFC" w14:textId="77777777" w:rsidR="003A28C2" w:rsidRPr="00F91756" w:rsidRDefault="00000000">
      <w:pPr>
        <w:spacing w:before="200"/>
        <w:rPr>
          <w:rFonts w:ascii="Arial" w:hAnsi="Arial" w:cs="Arial"/>
        </w:rPr>
      </w:pPr>
      <w:proofErr w:type="spellStart"/>
      <w:r w:rsidRPr="00F91756">
        <w:rPr>
          <w:rFonts w:ascii="Arial" w:hAnsi="Arial" w:cs="Arial"/>
        </w:rPr>
        <w:t>Olatoye</w:t>
      </w:r>
      <w:proofErr w:type="spellEnd"/>
      <w:r w:rsidRPr="00F91756">
        <w:rPr>
          <w:rFonts w:ascii="Arial" w:hAnsi="Arial" w:cs="Arial"/>
        </w:rPr>
        <w:t xml:space="preserve">, F. (2024). Porter’s Five Forces Analysis of the Pharmaceutical Industry 1.0. [online] ResearchGate. Available at: </w:t>
      </w:r>
      <w:hyperlink r:id="rId55">
        <w:r w:rsidR="003A28C2" w:rsidRPr="00F91756">
          <w:rPr>
            <w:rFonts w:ascii="Arial" w:hAnsi="Arial" w:cs="Arial"/>
            <w:color w:val="1155CC"/>
            <w:u w:val="single"/>
          </w:rPr>
          <w:t>https://www.researchgate.net/publication/382105615_Porter</w:t>
        </w:r>
      </w:hyperlink>
      <w:r w:rsidRPr="00F91756">
        <w:rPr>
          <w:rFonts w:ascii="Arial" w:hAnsi="Arial" w:cs="Arial"/>
        </w:rPr>
        <w:t xml:space="preserve"> [Accessed 5 Dec. 2025].</w:t>
      </w:r>
    </w:p>
    <w:p w14:paraId="2B0D6FC3" w14:textId="77777777" w:rsidR="003A28C2" w:rsidRPr="00F91756" w:rsidRDefault="00000000">
      <w:pPr>
        <w:spacing w:before="200"/>
        <w:rPr>
          <w:rFonts w:ascii="Arial" w:hAnsi="Arial" w:cs="Arial"/>
        </w:rPr>
      </w:pPr>
      <w:r w:rsidRPr="00F91756">
        <w:rPr>
          <w:rFonts w:ascii="Arial" w:hAnsi="Arial" w:cs="Arial"/>
        </w:rPr>
        <w:t xml:space="preserve">Oliveira, C., Rodrigues, M., Silva, R., </w:t>
      </w:r>
      <w:proofErr w:type="spellStart"/>
      <w:r w:rsidRPr="00F91756">
        <w:rPr>
          <w:rFonts w:ascii="Arial" w:hAnsi="Arial" w:cs="Arial"/>
        </w:rPr>
        <w:t>Meirinhos</w:t>
      </w:r>
      <w:proofErr w:type="spellEnd"/>
      <w:r w:rsidRPr="00F91756">
        <w:rPr>
          <w:rFonts w:ascii="Arial" w:hAnsi="Arial" w:cs="Arial"/>
        </w:rPr>
        <w:t xml:space="preserve">, G. and Franco, M. (2022). BSC’s Perspectives Ranking towards Organizational Performance: An Empirical Study Performed with Portuguese Exporters. Sustainability, [online] 14(23), p.15979. </w:t>
      </w:r>
      <w:proofErr w:type="spellStart"/>
      <w:r w:rsidRPr="00F91756">
        <w:rPr>
          <w:rFonts w:ascii="Arial" w:hAnsi="Arial" w:cs="Arial"/>
        </w:rPr>
        <w:t>doi:</w:t>
      </w:r>
      <w:hyperlink r:id="rId56">
        <w:r w:rsidR="003A28C2" w:rsidRPr="00F91756">
          <w:rPr>
            <w:rFonts w:ascii="Arial" w:hAnsi="Arial" w:cs="Arial"/>
            <w:color w:val="1155CC"/>
            <w:u w:val="single"/>
          </w:rPr>
          <w:t>https</w:t>
        </w:r>
        <w:proofErr w:type="spellEnd"/>
        <w:r w:rsidR="003A28C2" w:rsidRPr="00F91756">
          <w:rPr>
            <w:rFonts w:ascii="Arial" w:hAnsi="Arial" w:cs="Arial"/>
            <w:color w:val="1155CC"/>
            <w:u w:val="single"/>
          </w:rPr>
          <w:t>://doi.org/10.3390/su142315979</w:t>
        </w:r>
      </w:hyperlink>
      <w:r w:rsidRPr="00F91756">
        <w:rPr>
          <w:rFonts w:ascii="Arial" w:hAnsi="Arial" w:cs="Arial"/>
        </w:rPr>
        <w:t xml:space="preserve">. </w:t>
      </w:r>
    </w:p>
    <w:p w14:paraId="3D8557BE" w14:textId="77777777" w:rsidR="003A28C2" w:rsidRPr="00F91756" w:rsidRDefault="00000000">
      <w:pPr>
        <w:spacing w:before="200"/>
        <w:rPr>
          <w:rFonts w:ascii="Arial" w:hAnsi="Arial" w:cs="Arial"/>
        </w:rPr>
      </w:pPr>
      <w:r w:rsidRPr="00F91756">
        <w:rPr>
          <w:rFonts w:ascii="Arial" w:hAnsi="Arial" w:cs="Arial"/>
        </w:rPr>
        <w:t xml:space="preserve">Peter Boolkah (2024). </w:t>
      </w:r>
      <w:r w:rsidRPr="00F91756">
        <w:rPr>
          <w:rFonts w:ascii="Arial" w:hAnsi="Arial" w:cs="Arial"/>
          <w:i/>
          <w:iCs/>
        </w:rPr>
        <w:t xml:space="preserve">Ansoff Matrix: What Is It </w:t>
      </w:r>
      <w:proofErr w:type="gramStart"/>
      <w:r w:rsidRPr="00F91756">
        <w:rPr>
          <w:rFonts w:ascii="Arial" w:hAnsi="Arial" w:cs="Arial"/>
          <w:i/>
          <w:iCs/>
        </w:rPr>
        <w:t>And</w:t>
      </w:r>
      <w:proofErr w:type="gramEnd"/>
      <w:r w:rsidRPr="00F91756">
        <w:rPr>
          <w:rFonts w:ascii="Arial" w:hAnsi="Arial" w:cs="Arial"/>
          <w:i/>
          <w:iCs/>
        </w:rPr>
        <w:t xml:space="preserve"> How </w:t>
      </w:r>
      <w:proofErr w:type="gramStart"/>
      <w:r w:rsidRPr="00F91756">
        <w:rPr>
          <w:rFonts w:ascii="Arial" w:hAnsi="Arial" w:cs="Arial"/>
          <w:i/>
          <w:iCs/>
        </w:rPr>
        <w:t>To</w:t>
      </w:r>
      <w:proofErr w:type="gramEnd"/>
      <w:r w:rsidRPr="00F91756">
        <w:rPr>
          <w:rFonts w:ascii="Arial" w:hAnsi="Arial" w:cs="Arial"/>
          <w:i/>
          <w:iCs/>
        </w:rPr>
        <w:t xml:space="preserve"> Use It?</w:t>
      </w:r>
      <w:r w:rsidRPr="00F91756">
        <w:rPr>
          <w:rFonts w:ascii="Arial" w:hAnsi="Arial" w:cs="Arial"/>
        </w:rPr>
        <w:t xml:space="preserve"> [online] Peter Boolkah. Available at: </w:t>
      </w:r>
      <w:hyperlink r:id="rId57">
        <w:r w:rsidR="003A28C2" w:rsidRPr="00F91756">
          <w:rPr>
            <w:rFonts w:ascii="Arial" w:hAnsi="Arial" w:cs="Arial"/>
            <w:color w:val="1155CC"/>
            <w:u w:val="single"/>
          </w:rPr>
          <w:t>https://boolkah.com/ansoff-matrix/</w:t>
        </w:r>
      </w:hyperlink>
      <w:r w:rsidRPr="00F91756">
        <w:rPr>
          <w:rFonts w:ascii="Arial" w:hAnsi="Arial" w:cs="Arial"/>
        </w:rPr>
        <w:t xml:space="preserve"> [Accessed 5 Dec. 2025].</w:t>
      </w:r>
    </w:p>
    <w:p w14:paraId="3F83EDF0" w14:textId="77777777" w:rsidR="003A28C2" w:rsidRPr="00F91756" w:rsidRDefault="00000000">
      <w:pPr>
        <w:spacing w:before="200"/>
        <w:rPr>
          <w:rFonts w:ascii="Arial" w:hAnsi="Arial" w:cs="Arial"/>
        </w:rPr>
      </w:pPr>
      <w:r w:rsidRPr="00F91756">
        <w:rPr>
          <w:rFonts w:ascii="Arial" w:hAnsi="Arial" w:cs="Arial"/>
        </w:rPr>
        <w:t xml:space="preserve">ScienceDirect (2024). </w:t>
      </w:r>
      <w:r w:rsidRPr="00F91756">
        <w:rPr>
          <w:rFonts w:ascii="Arial" w:hAnsi="Arial" w:cs="Arial"/>
          <w:i/>
          <w:iCs/>
        </w:rPr>
        <w:t>Balanced Scorecard - an overview | ScienceDirect Topics</w:t>
      </w:r>
      <w:r w:rsidRPr="00F91756">
        <w:rPr>
          <w:rFonts w:ascii="Arial" w:hAnsi="Arial" w:cs="Arial"/>
        </w:rPr>
        <w:t xml:space="preserve">. [online] www.sciencedirect.com. Available at: </w:t>
      </w:r>
      <w:hyperlink r:id="rId58">
        <w:r w:rsidR="003A28C2" w:rsidRPr="00F91756">
          <w:rPr>
            <w:rFonts w:ascii="Arial" w:hAnsi="Arial" w:cs="Arial"/>
            <w:color w:val="1155CC"/>
            <w:u w:val="single"/>
          </w:rPr>
          <w:t>https://www.sciencedirect.com/topics/economics-econometrics-and-finance/balanced-scorecard</w:t>
        </w:r>
      </w:hyperlink>
      <w:r w:rsidRPr="00F91756">
        <w:rPr>
          <w:rFonts w:ascii="Arial" w:hAnsi="Arial" w:cs="Arial"/>
        </w:rPr>
        <w:t xml:space="preserve"> [Accessed 5 Dec. 2025].</w:t>
      </w:r>
    </w:p>
    <w:p w14:paraId="434BE8D4" w14:textId="77777777" w:rsidR="003A28C2" w:rsidRPr="00F91756" w:rsidRDefault="00000000">
      <w:pPr>
        <w:spacing w:before="200"/>
        <w:rPr>
          <w:rFonts w:ascii="Arial" w:hAnsi="Arial" w:cs="Arial"/>
        </w:rPr>
      </w:pPr>
      <w:r w:rsidRPr="00F91756">
        <w:rPr>
          <w:rFonts w:ascii="Arial" w:hAnsi="Arial" w:cs="Arial"/>
        </w:rPr>
        <w:t xml:space="preserve">Seeking Alpha (2025). [online] Seekingalpha.com. Available at: </w:t>
      </w:r>
      <w:hyperlink r:id="rId59">
        <w:r w:rsidR="003A28C2" w:rsidRPr="00F91756">
          <w:rPr>
            <w:rFonts w:ascii="Arial" w:hAnsi="Arial" w:cs="Arial"/>
            <w:color w:val="1155CC"/>
            <w:u w:val="single"/>
          </w:rPr>
          <w:t>https://static.seekingalpha.com/uploads/2025/4/3/60966524-17437042891659045_origin.png</w:t>
        </w:r>
      </w:hyperlink>
      <w:r w:rsidRPr="00F91756">
        <w:rPr>
          <w:rFonts w:ascii="Arial" w:hAnsi="Arial" w:cs="Arial"/>
        </w:rPr>
        <w:t xml:space="preserve"> [Accessed 5 Dec. 2025].</w:t>
      </w:r>
    </w:p>
    <w:p w14:paraId="522FE249" w14:textId="77777777" w:rsidR="003A28C2" w:rsidRPr="00F91756" w:rsidRDefault="00000000">
      <w:pPr>
        <w:spacing w:before="200"/>
        <w:rPr>
          <w:rFonts w:ascii="Arial" w:hAnsi="Arial" w:cs="Arial"/>
        </w:rPr>
      </w:pPr>
      <w:proofErr w:type="spellStart"/>
      <w:r w:rsidRPr="00F91756">
        <w:rPr>
          <w:rFonts w:ascii="Arial" w:hAnsi="Arial" w:cs="Arial"/>
        </w:rPr>
        <w:lastRenderedPageBreak/>
        <w:t>Slideteam</w:t>
      </w:r>
      <w:proofErr w:type="spellEnd"/>
      <w:r w:rsidRPr="00F91756">
        <w:rPr>
          <w:rFonts w:ascii="Arial" w:hAnsi="Arial" w:cs="Arial"/>
        </w:rPr>
        <w:t xml:space="preserve"> (2025). [online] Slideteam.net. Available at: </w:t>
      </w:r>
      <w:hyperlink r:id="rId60">
        <w:r w:rsidR="003A28C2" w:rsidRPr="00F91756">
          <w:rPr>
            <w:rFonts w:ascii="Arial" w:hAnsi="Arial" w:cs="Arial"/>
            <w:color w:val="1155CC"/>
            <w:u w:val="single"/>
          </w:rPr>
          <w:t>https://www.slideteam.net/media/catalog/product/cache/1280x720/c/o/company_overview_astrazeneca_company_profile_cp_ss_slide01.jpg</w:t>
        </w:r>
      </w:hyperlink>
      <w:r w:rsidRPr="00F91756">
        <w:rPr>
          <w:rFonts w:ascii="Arial" w:hAnsi="Arial" w:cs="Arial"/>
        </w:rPr>
        <w:t xml:space="preserve"> [Accessed 5 Dec. 2025].</w:t>
      </w:r>
    </w:p>
    <w:p w14:paraId="1208D91F" w14:textId="77777777" w:rsidR="003A28C2" w:rsidRPr="00F91756" w:rsidRDefault="00000000">
      <w:pPr>
        <w:spacing w:before="200"/>
        <w:rPr>
          <w:rFonts w:ascii="Arial" w:hAnsi="Arial" w:cs="Arial"/>
        </w:rPr>
      </w:pPr>
      <w:r w:rsidRPr="00F91756">
        <w:rPr>
          <w:rFonts w:ascii="Arial" w:hAnsi="Arial" w:cs="Arial"/>
        </w:rPr>
        <w:t xml:space="preserve">Swotandpestle.com. (2025). AstraZeneca plc VRIO Analysis 2025 | Report + Sample. [online] Available at: </w:t>
      </w:r>
      <w:hyperlink r:id="rId61">
        <w:r w:rsidR="003A28C2" w:rsidRPr="00F91756">
          <w:rPr>
            <w:rFonts w:ascii="Arial" w:hAnsi="Arial" w:cs="Arial"/>
            <w:color w:val="1155CC"/>
            <w:u w:val="single"/>
          </w:rPr>
          <w:t>https://www.swotandpestle.com/astrazeneca-vrio-analysis</w:t>
        </w:r>
      </w:hyperlink>
      <w:r w:rsidRPr="00F91756">
        <w:rPr>
          <w:rFonts w:ascii="Arial" w:hAnsi="Arial" w:cs="Arial"/>
        </w:rPr>
        <w:t xml:space="preserve"> [Accessed 5 Dec. 2025].</w:t>
      </w:r>
    </w:p>
    <w:p w14:paraId="787E427D" w14:textId="77777777" w:rsidR="003A28C2" w:rsidRPr="00F91756" w:rsidRDefault="00000000">
      <w:pPr>
        <w:spacing w:before="200"/>
        <w:rPr>
          <w:rFonts w:ascii="Arial" w:hAnsi="Arial" w:cs="Arial"/>
        </w:rPr>
      </w:pPr>
      <w:r w:rsidRPr="00F91756">
        <w:rPr>
          <w:rFonts w:ascii="Arial" w:hAnsi="Arial" w:cs="Arial"/>
        </w:rPr>
        <w:t xml:space="preserve">Swotandpestle.com. (2025). Welcome To Zscaler Directory Authentication. [online] Available at: </w:t>
      </w:r>
      <w:hyperlink r:id="rId62">
        <w:r w:rsidR="003A28C2" w:rsidRPr="00F91756">
          <w:rPr>
            <w:rFonts w:ascii="Arial" w:hAnsi="Arial" w:cs="Arial"/>
            <w:color w:val="1155CC"/>
            <w:u w:val="single"/>
          </w:rPr>
          <w:t>https://www.swotandpestle.com/astrazeneca-swot-pestle</w:t>
        </w:r>
      </w:hyperlink>
      <w:r w:rsidRPr="00F91756">
        <w:rPr>
          <w:rFonts w:ascii="Arial" w:hAnsi="Arial" w:cs="Arial"/>
        </w:rPr>
        <w:t xml:space="preserve"> [Accessed 5 Dec. 2025].</w:t>
      </w:r>
    </w:p>
    <w:p w14:paraId="1EC9B983" w14:textId="77777777" w:rsidR="003A28C2" w:rsidRPr="00F91756" w:rsidRDefault="00000000">
      <w:pPr>
        <w:spacing w:before="200"/>
        <w:rPr>
          <w:rFonts w:ascii="Arial" w:hAnsi="Arial" w:cs="Arial"/>
        </w:rPr>
      </w:pPr>
      <w:r w:rsidRPr="00F91756">
        <w:rPr>
          <w:rFonts w:ascii="Arial" w:hAnsi="Arial" w:cs="Arial"/>
        </w:rPr>
        <w:t xml:space="preserve">The Strategy Story. (2023). AstraZeneca PESTEL Analysis - The Strategy Story. [online] Available at: </w:t>
      </w:r>
      <w:hyperlink r:id="rId63">
        <w:r w:rsidR="003A28C2" w:rsidRPr="00F91756">
          <w:rPr>
            <w:rFonts w:ascii="Arial" w:hAnsi="Arial" w:cs="Arial"/>
            <w:color w:val="1155CC"/>
            <w:u w:val="single"/>
          </w:rPr>
          <w:t>https://thestrategystory.com/blog/astrazeneca-pestel-analysis/</w:t>
        </w:r>
      </w:hyperlink>
      <w:r w:rsidRPr="00F91756">
        <w:rPr>
          <w:rFonts w:ascii="Arial" w:hAnsi="Arial" w:cs="Arial"/>
        </w:rPr>
        <w:t xml:space="preserve"> [Accessed 5 Dec. 2025].</w:t>
      </w:r>
    </w:p>
    <w:p w14:paraId="3BDE930F" w14:textId="77777777" w:rsidR="003A28C2" w:rsidRPr="00F91756" w:rsidRDefault="00000000">
      <w:pPr>
        <w:spacing w:before="200"/>
        <w:rPr>
          <w:rFonts w:ascii="Arial" w:hAnsi="Arial" w:cs="Arial"/>
        </w:rPr>
      </w:pPr>
      <w:r w:rsidRPr="00F91756">
        <w:rPr>
          <w:rFonts w:ascii="Arial" w:hAnsi="Arial" w:cs="Arial"/>
        </w:rPr>
        <w:t xml:space="preserve">United Nations (2015). </w:t>
      </w:r>
      <w:r w:rsidRPr="00F91756">
        <w:rPr>
          <w:rFonts w:ascii="Arial" w:hAnsi="Arial" w:cs="Arial"/>
          <w:i/>
          <w:iCs/>
        </w:rPr>
        <w:t>The 17 sustainable development goals</w:t>
      </w:r>
      <w:r w:rsidRPr="00F91756">
        <w:rPr>
          <w:rFonts w:ascii="Arial" w:hAnsi="Arial" w:cs="Arial"/>
        </w:rPr>
        <w:t xml:space="preserve">. [online] United Nations. Available at: </w:t>
      </w:r>
      <w:hyperlink r:id="rId64">
        <w:r w:rsidR="003A28C2" w:rsidRPr="00F91756">
          <w:rPr>
            <w:rFonts w:ascii="Arial" w:hAnsi="Arial" w:cs="Arial"/>
            <w:color w:val="1155CC"/>
            <w:u w:val="single"/>
          </w:rPr>
          <w:t>https://sdgs.un.org/goals</w:t>
        </w:r>
      </w:hyperlink>
      <w:r w:rsidRPr="00F91756">
        <w:rPr>
          <w:rFonts w:ascii="Arial" w:hAnsi="Arial" w:cs="Arial"/>
        </w:rPr>
        <w:t xml:space="preserve"> [Accessed 5 Dec. 2025].</w:t>
      </w:r>
    </w:p>
    <w:p w14:paraId="64BC7054" w14:textId="77777777" w:rsidR="003A28C2" w:rsidRPr="00F91756" w:rsidRDefault="00000000">
      <w:pPr>
        <w:spacing w:before="200"/>
        <w:rPr>
          <w:rFonts w:ascii="Arial" w:hAnsi="Arial" w:cs="Arial"/>
        </w:rPr>
      </w:pPr>
      <w:r w:rsidRPr="00F91756">
        <w:rPr>
          <w:rFonts w:ascii="Arial" w:hAnsi="Arial" w:cs="Arial"/>
        </w:rPr>
        <w:t xml:space="preserve">United Nations (2023). [online] Un.org. Available at: </w:t>
      </w:r>
      <w:hyperlink r:id="rId65">
        <w:r w:rsidR="003A28C2" w:rsidRPr="00F91756">
          <w:rPr>
            <w:rFonts w:ascii="Arial" w:hAnsi="Arial" w:cs="Arial"/>
            <w:color w:val="1155CC"/>
            <w:u w:val="single"/>
          </w:rPr>
          <w:t>https://unosd.un.org/sites/unosd.un.org/files/img_sdgs01_kr_0.png</w:t>
        </w:r>
      </w:hyperlink>
      <w:r w:rsidRPr="00F91756">
        <w:rPr>
          <w:rFonts w:ascii="Arial" w:hAnsi="Arial" w:cs="Arial"/>
        </w:rPr>
        <w:t xml:space="preserve"> [Accessed 5 Dec. 2025].</w:t>
      </w:r>
    </w:p>
    <w:p w14:paraId="2C2E241A" w14:textId="77777777" w:rsidR="003A28C2" w:rsidRPr="00F91756" w:rsidRDefault="00000000">
      <w:pPr>
        <w:spacing w:before="200"/>
        <w:rPr>
          <w:rFonts w:ascii="Arial" w:hAnsi="Arial" w:cs="Arial"/>
        </w:rPr>
      </w:pPr>
      <w:r w:rsidRPr="00F91756">
        <w:rPr>
          <w:rFonts w:ascii="Arial" w:hAnsi="Arial" w:cs="Arial"/>
        </w:rPr>
        <w:t xml:space="preserve">Vietnam Investment Review (2025). </w:t>
      </w:r>
      <w:r w:rsidRPr="00F91756">
        <w:rPr>
          <w:rFonts w:ascii="Arial" w:hAnsi="Arial" w:cs="Arial"/>
          <w:i/>
          <w:iCs/>
        </w:rPr>
        <w:t>AstraZeneca takes action to drive sustainability</w:t>
      </w:r>
      <w:r w:rsidRPr="00F91756">
        <w:rPr>
          <w:rFonts w:ascii="Arial" w:hAnsi="Arial" w:cs="Arial"/>
        </w:rPr>
        <w:t xml:space="preserve">. [online] Vir.com.vn. Available at: </w:t>
      </w:r>
      <w:hyperlink r:id="rId66">
        <w:r w:rsidR="003A28C2" w:rsidRPr="00F91756">
          <w:rPr>
            <w:rFonts w:ascii="Arial" w:hAnsi="Arial" w:cs="Arial"/>
            <w:color w:val="1155CC"/>
            <w:u w:val="single"/>
          </w:rPr>
          <w:t>https://vir.com.vn/stores/news_dataimages/2024/122024/03/11/in_article/astrazeneca-takes-action-to-drive-sustainability-20241203115036.jpg?rt=20241203115151</w:t>
        </w:r>
      </w:hyperlink>
      <w:r w:rsidRPr="00F91756">
        <w:rPr>
          <w:rFonts w:ascii="Arial" w:hAnsi="Arial" w:cs="Arial"/>
        </w:rPr>
        <w:t xml:space="preserve"> [Accessed 5 Dec. 2025].</w:t>
      </w:r>
    </w:p>
    <w:p w14:paraId="012BCE45" w14:textId="77777777" w:rsidR="003A28C2" w:rsidRPr="00F91756" w:rsidRDefault="00000000">
      <w:pPr>
        <w:spacing w:before="200"/>
        <w:rPr>
          <w:rFonts w:ascii="Arial" w:hAnsi="Arial" w:cs="Arial"/>
        </w:rPr>
      </w:pPr>
      <w:r w:rsidRPr="00F91756">
        <w:rPr>
          <w:rFonts w:ascii="Arial" w:hAnsi="Arial" w:cs="Arial"/>
        </w:rPr>
        <w:t xml:space="preserve">Wang, K. and </w:t>
      </w:r>
      <w:proofErr w:type="spellStart"/>
      <w:r w:rsidRPr="00F91756">
        <w:rPr>
          <w:rFonts w:ascii="Arial" w:hAnsi="Arial" w:cs="Arial"/>
        </w:rPr>
        <w:t>Solovieva</w:t>
      </w:r>
      <w:proofErr w:type="spellEnd"/>
      <w:r w:rsidRPr="00F91756">
        <w:rPr>
          <w:rFonts w:ascii="Arial" w:hAnsi="Arial" w:cs="Arial"/>
        </w:rPr>
        <w:t xml:space="preserve">, Y.V. (2023). Analysis of the competitiveness of the biological pharmaceutical industry on the example of the United States. RUDN Journal of Economics, 31(2), pp.238–252. </w:t>
      </w:r>
      <w:proofErr w:type="spellStart"/>
      <w:r w:rsidRPr="00F91756">
        <w:rPr>
          <w:rFonts w:ascii="Arial" w:hAnsi="Arial" w:cs="Arial"/>
        </w:rPr>
        <w:t>doi:</w:t>
      </w:r>
      <w:hyperlink r:id="rId67">
        <w:r w:rsidR="003A28C2" w:rsidRPr="00F91756">
          <w:rPr>
            <w:rFonts w:ascii="Arial" w:hAnsi="Arial" w:cs="Arial"/>
            <w:color w:val="1155CC"/>
            <w:u w:val="single"/>
          </w:rPr>
          <w:t>https</w:t>
        </w:r>
        <w:proofErr w:type="spellEnd"/>
        <w:r w:rsidR="003A28C2" w:rsidRPr="00F91756">
          <w:rPr>
            <w:rFonts w:ascii="Arial" w:hAnsi="Arial" w:cs="Arial"/>
            <w:color w:val="1155CC"/>
            <w:u w:val="single"/>
          </w:rPr>
          <w:t>://doi.org/10.22363/2313-2329-2023-31-2-238-252</w:t>
        </w:r>
      </w:hyperlink>
      <w:r w:rsidRPr="00F91756">
        <w:rPr>
          <w:rFonts w:ascii="Arial" w:hAnsi="Arial" w:cs="Arial"/>
        </w:rPr>
        <w:t>.</w:t>
      </w:r>
    </w:p>
    <w:p w14:paraId="0894D1DC" w14:textId="77777777" w:rsidR="003A28C2" w:rsidRPr="00F91756" w:rsidRDefault="00000000">
      <w:pPr>
        <w:spacing w:before="200"/>
        <w:rPr>
          <w:rFonts w:ascii="Arial" w:hAnsi="Arial" w:cs="Arial"/>
        </w:rPr>
      </w:pPr>
      <w:r w:rsidRPr="00F91756">
        <w:rPr>
          <w:rFonts w:ascii="Arial" w:hAnsi="Arial" w:cs="Arial"/>
        </w:rPr>
        <w:lastRenderedPageBreak/>
        <w:t xml:space="preserve">Wani, G. and </w:t>
      </w:r>
      <w:proofErr w:type="spellStart"/>
      <w:r w:rsidRPr="00F91756">
        <w:rPr>
          <w:rFonts w:ascii="Arial" w:hAnsi="Arial" w:cs="Arial"/>
        </w:rPr>
        <w:t>Faizullabhoy</w:t>
      </w:r>
      <w:proofErr w:type="spellEnd"/>
      <w:r w:rsidRPr="00F91756">
        <w:rPr>
          <w:rFonts w:ascii="Arial" w:hAnsi="Arial" w:cs="Arial"/>
        </w:rPr>
        <w:t xml:space="preserve">, M. (2025). </w:t>
      </w:r>
      <w:r w:rsidRPr="00F91756">
        <w:rPr>
          <w:rFonts w:ascii="Arial" w:hAnsi="Arial" w:cs="Arial"/>
          <w:i/>
          <w:iCs/>
        </w:rPr>
        <w:t>Fixed-dose Combination Inhalers Market - By Combination, By Indication, By Distribution Channel &amp; Global Forecast, 2025 - 2034</w:t>
      </w:r>
      <w:r w:rsidRPr="00F91756">
        <w:rPr>
          <w:rFonts w:ascii="Arial" w:hAnsi="Arial" w:cs="Arial"/>
        </w:rPr>
        <w:t xml:space="preserve">. [online] Global Market Insights Inc. Available at: </w:t>
      </w:r>
      <w:hyperlink r:id="rId68">
        <w:r w:rsidR="003A28C2" w:rsidRPr="00F91756">
          <w:rPr>
            <w:rFonts w:ascii="Arial" w:hAnsi="Arial" w:cs="Arial"/>
            <w:color w:val="1155CC"/>
            <w:u w:val="single"/>
          </w:rPr>
          <w:t>https://www.gminsights.com/industry-analysis/fixed-dose-combination-inhalers-market</w:t>
        </w:r>
      </w:hyperlink>
      <w:r w:rsidRPr="00F91756">
        <w:rPr>
          <w:rFonts w:ascii="Arial" w:hAnsi="Arial" w:cs="Arial"/>
        </w:rPr>
        <w:t xml:space="preserve">   [Accessed 5 Dec. 2025].</w:t>
      </w:r>
    </w:p>
    <w:sectPr w:rsidR="003A28C2" w:rsidRPr="00F91756">
      <w:footerReference w:type="default" r:id="rId6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FAC5E" w14:textId="77777777" w:rsidR="00CB7CF3" w:rsidRDefault="00CB7CF3">
      <w:pPr>
        <w:spacing w:after="0" w:line="240" w:lineRule="auto"/>
      </w:pPr>
      <w:r>
        <w:separator/>
      </w:r>
    </w:p>
  </w:endnote>
  <w:endnote w:type="continuationSeparator" w:id="0">
    <w:p w14:paraId="0EDC8AF4" w14:textId="77777777" w:rsidR="00CB7CF3" w:rsidRDefault="00CB7C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CF13B29-1CDC-44FD-BC15-1F50D5D0DB54}"/>
  </w:font>
  <w:font w:name="Cambria">
    <w:panose1 w:val="02040503050406030204"/>
    <w:charset w:val="00"/>
    <w:family w:val="roman"/>
    <w:pitch w:val="variable"/>
    <w:sig w:usb0="E00006FF" w:usb1="420024FF" w:usb2="02000000" w:usb3="00000000" w:csb0="0000019F" w:csb1="00000000"/>
    <w:embedRegular r:id="rId2" w:fontKey="{1EF59D28-4FC0-49B4-9B7F-06D473EFA52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0AC9E2" w14:textId="77777777" w:rsidR="003A28C2" w:rsidRDefault="00000000">
    <w:pPr>
      <w:ind w:left="7920" w:firstLine="720"/>
    </w:pPr>
    <w:r>
      <w:fldChar w:fldCharType="begin"/>
    </w:r>
    <w:r>
      <w:instrText>PAGE</w:instrText>
    </w:r>
    <w:r>
      <w:fldChar w:fldCharType="separate"/>
    </w:r>
    <w:r w:rsidR="00F9175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14F42" w14:textId="77777777" w:rsidR="00CB7CF3" w:rsidRDefault="00CB7CF3">
      <w:pPr>
        <w:spacing w:after="0" w:line="240" w:lineRule="auto"/>
      </w:pPr>
      <w:r>
        <w:separator/>
      </w:r>
    </w:p>
  </w:footnote>
  <w:footnote w:type="continuationSeparator" w:id="0">
    <w:p w14:paraId="3AEC0668" w14:textId="77777777" w:rsidR="00CB7CF3" w:rsidRDefault="00CB7C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3223C"/>
    <w:multiLevelType w:val="multilevel"/>
    <w:tmpl w:val="21A044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B3398D"/>
    <w:multiLevelType w:val="multilevel"/>
    <w:tmpl w:val="E1D690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E5753A"/>
    <w:multiLevelType w:val="multilevel"/>
    <w:tmpl w:val="F350F4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63940A8"/>
    <w:multiLevelType w:val="multilevel"/>
    <w:tmpl w:val="82EAEB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36228373">
    <w:abstractNumId w:val="1"/>
  </w:num>
  <w:num w:numId="2" w16cid:durableId="314072698">
    <w:abstractNumId w:val="3"/>
  </w:num>
  <w:num w:numId="3" w16cid:durableId="640233699">
    <w:abstractNumId w:val="0"/>
  </w:num>
  <w:num w:numId="4" w16cid:durableId="5281029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8C2"/>
    <w:rsid w:val="00156F9F"/>
    <w:rsid w:val="003540D8"/>
    <w:rsid w:val="003A28C2"/>
    <w:rsid w:val="004522B6"/>
    <w:rsid w:val="00CB7CF3"/>
    <w:rsid w:val="00E97F7D"/>
    <w:rsid w:val="00EB6478"/>
    <w:rsid w:val="00F917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8980C"/>
  <w15:docId w15:val="{A78E1D6D-5903-4090-8037-AA4FBADA9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color w:val="222222"/>
    </w:rPr>
  </w:style>
  <w:style w:type="paragraph" w:styleId="Heading2">
    <w:name w:val="heading 2"/>
    <w:basedOn w:val="Normal"/>
    <w:next w:val="Normal"/>
    <w:uiPriority w:val="9"/>
    <w:unhideWhenUsed/>
    <w:qFormat/>
    <w:pPr>
      <w:keepNext/>
      <w:keepLines/>
      <w:outlineLvl w:val="1"/>
    </w:pPr>
    <w:rPr>
      <w:b/>
      <w:bCs/>
      <w:color w:val="222222"/>
    </w:rPr>
  </w:style>
  <w:style w:type="paragraph" w:styleId="Heading3">
    <w:name w:val="heading 3"/>
    <w:basedOn w:val="Normal"/>
    <w:next w:val="Normal"/>
    <w:uiPriority w:val="9"/>
    <w:unhideWhenUsed/>
    <w:qFormat/>
    <w:pPr>
      <w:keepNext/>
      <w:keepLines/>
      <w:outlineLvl w:val="2"/>
    </w:pPr>
    <w:rPr>
      <w:b/>
      <w:bCs/>
      <w:color w:val="222222"/>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F917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756"/>
  </w:style>
  <w:style w:type="paragraph" w:styleId="Footer">
    <w:name w:val="footer"/>
    <w:basedOn w:val="Normal"/>
    <w:link w:val="FooterChar"/>
    <w:uiPriority w:val="99"/>
    <w:unhideWhenUsed/>
    <w:rsid w:val="00F917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7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astrazeneca.com/sustainability.html" TargetMode="External"/><Relationship Id="rId21" Type="http://schemas.openxmlformats.org/officeDocument/2006/relationships/hyperlink" Target="https://doi.org/10.32535/jcda.v6i1.1868" TargetMode="External"/><Relationship Id="rId42" Type="http://schemas.openxmlformats.org/officeDocument/2006/relationships/hyperlink" Target="https://www.business-to-you.com/vrio-from-firm-resources-to-competitive-advantage/" TargetMode="External"/><Relationship Id="rId47" Type="http://schemas.openxmlformats.org/officeDocument/2006/relationships/hyperlink" Target="https://www.openpr.com/news/4073825/glp-1-market-key-players-analysis-astrazeneca-biolingus" TargetMode="External"/><Relationship Id="rId63" Type="http://schemas.openxmlformats.org/officeDocument/2006/relationships/hyperlink" Target="https://thestrategystory.com/blog/astrazeneca-pestel-analysis/" TargetMode="External"/><Relationship Id="rId68" Type="http://schemas.openxmlformats.org/officeDocument/2006/relationships/hyperlink" Target="https://www.gminsights.com/industry-analysis/fixed-dose-combination-inhalers-market" TargetMode="External"/><Relationship Id="rId7" Type="http://schemas.openxmlformats.org/officeDocument/2006/relationships/image" Target="media/image1.jpe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astrazeneca.com/investor-relations/key-facts.html" TargetMode="External"/><Relationship Id="rId11" Type="http://schemas.openxmlformats.org/officeDocument/2006/relationships/image" Target="media/image5.png"/><Relationship Id="rId24" Type="http://schemas.openxmlformats.org/officeDocument/2006/relationships/hyperlink" Target="https://www.astrazeneca.in/media/press-releases/2023/astrazeneca-commits-71-million-to-az-forest-india-project-fund-country-largest-biodiversity-restoration-project-support-climate-action-human-health.html" TargetMode="External"/><Relationship Id="rId32" Type="http://schemas.openxmlformats.org/officeDocument/2006/relationships/hyperlink" Target="https://www.astrazeneca.com/content/astraz/sustainability/health-equity/healthcare-delivery.html" TargetMode="External"/><Relationship Id="rId37" Type="http://schemas.openxmlformats.org/officeDocument/2006/relationships/hyperlink" Target="https://www.astrazeneca.in/media/press-releases/2025/AstraZeneca-Pharma-India-Ltd-Q4-Results.html" TargetMode="External"/><Relationship Id="rId40" Type="http://schemas.openxmlformats.org/officeDocument/2006/relationships/hyperlink" Target="https://www.astrazeneca-us.com/media/press-releases/2025/AstraZeneca-launches-direct-to-consumer-platform-to-expand-access-to-medications-for-US-patients-including-those-living-with-chronic-conditions.html" TargetMode="External"/><Relationship Id="rId45" Type="http://schemas.openxmlformats.org/officeDocument/2006/relationships/hyperlink" Target="https://www.essay48.com/3774-AstraZeneca-PLC-Ansoff-Matrix" TargetMode="External"/><Relationship Id="rId53" Type="http://schemas.openxmlformats.org/officeDocument/2006/relationships/hyperlink" Target="https://www.meirc.com/articles/porters-diamond-model-and-the-competitive-advantage" TargetMode="External"/><Relationship Id="rId58" Type="http://schemas.openxmlformats.org/officeDocument/2006/relationships/hyperlink" Target="https://www.sciencedirect.com/topics/economics-econometrics-and-finance/balanced-scorecard" TargetMode="External"/><Relationship Id="rId66" Type="http://schemas.openxmlformats.org/officeDocument/2006/relationships/hyperlink" Target="https://vir.com.vn/stores/news_dataimages/2024/122024/03/11/in_article/astrazeneca-takes-action-to-drive-sustainability-20241203115036.jpg?rt=20241203115151" TargetMode="External"/><Relationship Id="rId5" Type="http://schemas.openxmlformats.org/officeDocument/2006/relationships/footnotes" Target="footnotes.xml"/><Relationship Id="rId61" Type="http://schemas.openxmlformats.org/officeDocument/2006/relationships/hyperlink" Target="https://www.swotandpestle.com/astrazeneca-vrio-analysis"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www.scribd.com/document/683129232/Porter-Diamond-Model" TargetMode="External"/><Relationship Id="rId27" Type="http://schemas.openxmlformats.org/officeDocument/2006/relationships/hyperlink" Target="https://www.astrazeneca.com/investor-relations/annual-reports/annual-report-2023.html" TargetMode="External"/><Relationship Id="rId30" Type="http://schemas.openxmlformats.org/officeDocument/2006/relationships/hyperlink" Target="https://www.astrazeneca.com/our-therapy-areas.html" TargetMode="External"/><Relationship Id="rId35" Type="http://schemas.openxmlformats.org/officeDocument/2006/relationships/hyperlink" Target="https://www.astrazeneca.in/media/press-releases/2025/astrazeneca-announces-third-investment-of-rs-176-crore-in-india.html" TargetMode="External"/><Relationship Id="rId43" Type="http://schemas.openxmlformats.org/officeDocument/2006/relationships/hyperlink" Target="https://www.fool.co.uk/2023/01/23/tempted-by-the-astrazeneca-share-price-heres-why-it-could-explode-in-2023/" TargetMode="External"/><Relationship Id="rId48" Type="http://schemas.openxmlformats.org/officeDocument/2006/relationships/hyperlink" Target="https://www.mindtools.com/a2gy5ya/the-ansoff-matrix/" TargetMode="External"/><Relationship Id="rId56" Type="http://schemas.openxmlformats.org/officeDocument/2006/relationships/hyperlink" Target="https://doi.org/10.3390/su142315979" TargetMode="External"/><Relationship Id="rId64" Type="http://schemas.openxmlformats.org/officeDocument/2006/relationships/hyperlink" Target="https://sdgs.un.org/goals" TargetMode="External"/><Relationship Id="rId69"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doi.org/10.3390/encyclopedia5010039"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astrazeneca.com/r-d/our-approach.html" TargetMode="External"/><Relationship Id="rId33" Type="http://schemas.openxmlformats.org/officeDocument/2006/relationships/hyperlink" Target="https://www.astrazeneca.in/media/press-releases/2025/AstraZeneca-Pharma-India-Ltd-Q3-Results.html" TargetMode="External"/><Relationship Id="rId38" Type="http://schemas.openxmlformats.org/officeDocument/2006/relationships/hyperlink" Target="https://azipl.astrazeneca.in/sustainability.html" TargetMode="External"/><Relationship Id="rId46" Type="http://schemas.openxmlformats.org/officeDocument/2006/relationships/hyperlink" Target="https://www.essay48.com/3774-AstraZeneca-PLC-VRIN-VRIO-Analysis" TargetMode="External"/><Relationship Id="rId59" Type="http://schemas.openxmlformats.org/officeDocument/2006/relationships/hyperlink" Target="https://static.seekingalpha.com/uploads/2025/4/3/60966524-17437042891659045_origin.png" TargetMode="External"/><Relationship Id="rId67" Type="http://schemas.openxmlformats.org/officeDocument/2006/relationships/hyperlink" Target="https://doi.org/10.22363/2313-2329-2023-31-2-238-252" TargetMode="External"/><Relationship Id="rId20" Type="http://schemas.openxmlformats.org/officeDocument/2006/relationships/image" Target="media/image14.png"/><Relationship Id="rId41" Type="http://schemas.openxmlformats.org/officeDocument/2006/relationships/hyperlink" Target="https://www.business-to-you.com/porter-diamond-model/" TargetMode="External"/><Relationship Id="rId54" Type="http://schemas.openxmlformats.org/officeDocument/2006/relationships/hyperlink" Target="https://www.linkedin.com/posts/smitanutan_astrazeneca-pharma-competition-activity-7180802684227137539-ANuE" TargetMode="External"/><Relationship Id="rId62" Type="http://schemas.openxmlformats.org/officeDocument/2006/relationships/hyperlink" Target="https://www.swotandpestle.com/astrazeneca-swot-pestle" TargetMode="External"/><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astrazeneca.com/media-centre/press-releases/2019/astrazeneca-and-daiichi-sankyo-enter-collaboration-for-novel-her-2-targeting-antibody-drug-conjugate.html" TargetMode="External"/><Relationship Id="rId28" Type="http://schemas.openxmlformats.org/officeDocument/2006/relationships/hyperlink" Target="https://www.astrazeneca.com/our-company/history.html" TargetMode="External"/><Relationship Id="rId36" Type="http://schemas.openxmlformats.org/officeDocument/2006/relationships/hyperlink" Target="https://www.astrazeneca.in/media/press-releases/2025/astrazeneca-expands-bangalore-global-hub-in-india.html" TargetMode="External"/><Relationship Id="rId49" Type="http://schemas.openxmlformats.org/officeDocument/2006/relationships/hyperlink" Target="https://strategicmanagementinsight.com/tools/triple-bottom-line/" TargetMode="External"/><Relationship Id="rId57" Type="http://schemas.openxmlformats.org/officeDocument/2006/relationships/hyperlink" Target="https://boolkah.com/ansoff-matrix/" TargetMode="External"/><Relationship Id="rId10" Type="http://schemas.openxmlformats.org/officeDocument/2006/relationships/image" Target="media/image4.png"/><Relationship Id="rId31" Type="http://schemas.openxmlformats.org/officeDocument/2006/relationships/hyperlink" Target="https://www.astrazeneca.com/our-company.html" TargetMode="External"/><Relationship Id="rId44" Type="http://schemas.openxmlformats.org/officeDocument/2006/relationships/hyperlink" Target="https://www.prnewswire.com/news-releases/tagrisso-sets-the-stage-for-market-leadership-in-oncology-with-strong-growth-prospects--delveinsight-302397863.html" TargetMode="External"/><Relationship Id="rId52" Type="http://schemas.openxmlformats.org/officeDocument/2006/relationships/hyperlink" Target="https://www.mindtools.com/acqiy9n/porters-diamond/" TargetMode="External"/><Relationship Id="rId60" Type="http://schemas.openxmlformats.org/officeDocument/2006/relationships/hyperlink" Target="https://www.slideteam.net/media/catalog/product/cache/1280x720/c/o/company_overview_astrazeneca_company_profile_cp_ss_slide01.jpg" TargetMode="External"/><Relationship Id="rId65" Type="http://schemas.openxmlformats.org/officeDocument/2006/relationships/hyperlink" Target="https://unosd.un.org/sites/unosd.un.org/files/img_sdgs01_kr_0.png"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accesstomedicinefoundation.org/company/astrazeneca-plc" TargetMode="External"/><Relationship Id="rId34" Type="http://schemas.openxmlformats.org/officeDocument/2006/relationships/hyperlink" Target="https://www.astrazeneca.in/sustainability.html" TargetMode="External"/><Relationship Id="rId50" Type="http://schemas.openxmlformats.org/officeDocument/2006/relationships/hyperlink" Target="https://sustainabilitymag.com/news/astrazeneca-leading-sustainable-pharmaceutical-innovation" TargetMode="External"/><Relationship Id="rId55" Type="http://schemas.openxmlformats.org/officeDocument/2006/relationships/hyperlink" Target="https://www.researchgate.net/publication/382105615_Porter"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35</Pages>
  <Words>8033</Words>
  <Characters>45790</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Akash</cp:lastModifiedBy>
  <cp:revision>3</cp:revision>
  <dcterms:created xsi:type="dcterms:W3CDTF">2025-12-21T19:54:00Z</dcterms:created>
  <dcterms:modified xsi:type="dcterms:W3CDTF">2025-12-21T20:19:00Z</dcterms:modified>
</cp:coreProperties>
</file>