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A9FD12" w14:textId="53F17635" w:rsidR="00E826B3" w:rsidRPr="00F0703D" w:rsidRDefault="00F0703D" w:rsidP="00F0703D">
      <w:pPr>
        <w:spacing w:after="0"/>
        <w:jc w:val="center"/>
        <w:rPr>
          <w:rFonts w:cs="Arial"/>
          <w:b/>
          <w:bCs/>
          <w:sz w:val="48"/>
          <w:szCs w:val="48"/>
        </w:rPr>
      </w:pPr>
      <w:r w:rsidRPr="00F0703D">
        <w:rPr>
          <w:rFonts w:cs="Arial"/>
          <w:b/>
          <w:bCs/>
          <w:sz w:val="48"/>
          <w:szCs w:val="48"/>
        </w:rPr>
        <w:t>Master of Business Administration</w:t>
      </w:r>
    </w:p>
    <w:p w14:paraId="3CFE2034" w14:textId="3A49DDB2" w:rsidR="00F0703D" w:rsidRPr="00F0703D" w:rsidRDefault="00F0703D" w:rsidP="00F0703D">
      <w:pPr>
        <w:spacing w:after="0"/>
        <w:jc w:val="center"/>
        <w:rPr>
          <w:rFonts w:cs="Arial"/>
          <w:b/>
          <w:bCs/>
          <w:sz w:val="48"/>
          <w:szCs w:val="48"/>
        </w:rPr>
      </w:pPr>
      <w:r w:rsidRPr="00F0703D">
        <w:rPr>
          <w:rFonts w:cs="Arial"/>
          <w:b/>
          <w:bCs/>
          <w:sz w:val="44"/>
          <w:szCs w:val="44"/>
        </w:rPr>
        <w:t>LCMB7024</w:t>
      </w:r>
      <w:r w:rsidRPr="00F0703D">
        <w:rPr>
          <w:rFonts w:cs="Arial"/>
          <w:b/>
          <w:bCs/>
          <w:sz w:val="44"/>
          <w:szCs w:val="44"/>
        </w:rPr>
        <w:t xml:space="preserve"> </w:t>
      </w:r>
      <w:r w:rsidRPr="00F0703D">
        <w:rPr>
          <w:rFonts w:cs="Arial"/>
          <w:b/>
          <w:bCs/>
          <w:sz w:val="48"/>
          <w:szCs w:val="48"/>
        </w:rPr>
        <w:t>Marketing Management</w:t>
      </w:r>
    </w:p>
    <w:p w14:paraId="01F82289" w14:textId="6668A7EC" w:rsidR="00F0703D" w:rsidRPr="00F0703D" w:rsidRDefault="00F0703D" w:rsidP="00F0703D">
      <w:pPr>
        <w:spacing w:after="0"/>
        <w:jc w:val="center"/>
        <w:rPr>
          <w:rFonts w:cs="Arial"/>
          <w:b/>
          <w:bCs/>
          <w:sz w:val="40"/>
          <w:szCs w:val="40"/>
        </w:rPr>
      </w:pPr>
      <w:r w:rsidRPr="00F0703D">
        <w:rPr>
          <w:rFonts w:cs="Arial"/>
          <w:b/>
          <w:bCs/>
          <w:sz w:val="40"/>
          <w:szCs w:val="40"/>
        </w:rPr>
        <w:t>Marketing Environment Analysis</w:t>
      </w:r>
    </w:p>
    <w:p w14:paraId="6C18471A" w14:textId="7ACD964F" w:rsidR="00F0703D" w:rsidRPr="00F0703D" w:rsidRDefault="00F0703D" w:rsidP="00F0703D">
      <w:pPr>
        <w:spacing w:after="0"/>
        <w:jc w:val="center"/>
        <w:rPr>
          <w:rFonts w:cs="Arial"/>
          <w:b/>
          <w:bCs/>
          <w:sz w:val="40"/>
          <w:szCs w:val="40"/>
        </w:rPr>
      </w:pPr>
      <w:r w:rsidRPr="00F0703D">
        <w:rPr>
          <w:rFonts w:cs="Arial"/>
          <w:b/>
          <w:bCs/>
          <w:sz w:val="40"/>
          <w:szCs w:val="40"/>
        </w:rPr>
        <w:t>Latoya green</w:t>
      </w:r>
    </w:p>
    <w:p w14:paraId="3CE3391E" w14:textId="329ED758" w:rsidR="00F0703D" w:rsidRPr="00F0703D" w:rsidRDefault="00F0703D" w:rsidP="00F0703D">
      <w:pPr>
        <w:spacing w:after="0"/>
        <w:jc w:val="center"/>
        <w:rPr>
          <w:rFonts w:cs="Arial"/>
          <w:b/>
          <w:bCs/>
          <w:sz w:val="40"/>
          <w:szCs w:val="40"/>
        </w:rPr>
      </w:pPr>
      <w:r w:rsidRPr="00F0703D">
        <w:rPr>
          <w:rFonts w:cs="Arial"/>
          <w:b/>
          <w:bCs/>
          <w:sz w:val="40"/>
          <w:szCs w:val="40"/>
        </w:rPr>
        <w:t>2241202</w:t>
      </w:r>
    </w:p>
    <w:p w14:paraId="4E20B41B" w14:textId="77777777" w:rsidR="00E826B3" w:rsidRPr="00AF2F1B" w:rsidRDefault="00E826B3" w:rsidP="00AF2F1B">
      <w:pPr>
        <w:spacing w:after="0"/>
        <w:rPr>
          <w:rFonts w:eastAsiaTheme="majorEastAsia" w:cs="Arial"/>
          <w:b/>
          <w:lang w:bidi="bn-IN"/>
        </w:rPr>
      </w:pPr>
      <w:r w:rsidRPr="00AF2F1B">
        <w:rPr>
          <w:rFonts w:cs="Arial"/>
        </w:rPr>
        <w:br w:type="page"/>
      </w:r>
    </w:p>
    <w:sdt>
      <w:sdtPr>
        <w:rPr>
          <w:rFonts w:ascii="Arial" w:hAnsi="Arial" w:cs="Arial"/>
          <w:b/>
          <w:bCs/>
          <w:color w:val="auto"/>
        </w:rPr>
        <w:id w:val="148409903"/>
        <w:docPartObj>
          <w:docPartGallery w:val="Table of Contents"/>
          <w:docPartUnique/>
        </w:docPartObj>
      </w:sdtPr>
      <w:sdtEndPr>
        <w:rPr>
          <w:rFonts w:eastAsiaTheme="minorHAnsi" w:cstheme="minorBidi"/>
          <w:noProof/>
          <w:kern w:val="2"/>
          <w:sz w:val="24"/>
          <w:szCs w:val="24"/>
          <w:lang w:val="en-GB"/>
          <w14:ligatures w14:val="standardContextual"/>
        </w:rPr>
      </w:sdtEndPr>
      <w:sdtContent>
        <w:p w14:paraId="4D300606" w14:textId="13DF9BE4" w:rsidR="00F0703D" w:rsidRPr="00F0703D" w:rsidRDefault="00F0703D" w:rsidP="00F0703D">
          <w:pPr>
            <w:pStyle w:val="TOCHeading"/>
            <w:jc w:val="center"/>
            <w:rPr>
              <w:rFonts w:ascii="Arial" w:hAnsi="Arial" w:cs="Arial"/>
              <w:b/>
              <w:bCs/>
              <w:color w:val="auto"/>
            </w:rPr>
          </w:pPr>
          <w:r w:rsidRPr="00F0703D">
            <w:rPr>
              <w:rFonts w:ascii="Arial" w:hAnsi="Arial" w:cs="Arial"/>
              <w:b/>
              <w:bCs/>
              <w:color w:val="auto"/>
            </w:rPr>
            <w:t>Table of Contents</w:t>
          </w:r>
        </w:p>
        <w:p w14:paraId="522A7DD2" w14:textId="461DCFB1" w:rsidR="00F0703D" w:rsidRDefault="00F0703D">
          <w:pPr>
            <w:pStyle w:val="TOC1"/>
            <w:tabs>
              <w:tab w:val="right" w:leader="dot" w:pos="9016"/>
            </w:tabs>
            <w:rPr>
              <w:noProof/>
            </w:rPr>
          </w:pPr>
          <w:r>
            <w:fldChar w:fldCharType="begin"/>
          </w:r>
          <w:r>
            <w:instrText xml:space="preserve"> TOC \o "1-3" \h \z \u </w:instrText>
          </w:r>
          <w:r>
            <w:fldChar w:fldCharType="separate"/>
          </w:r>
          <w:hyperlink w:anchor="_Toc233309687" w:history="1">
            <w:r w:rsidRPr="00F274A7">
              <w:rPr>
                <w:rStyle w:val="Hyperlink"/>
                <w:rFonts w:cs="Arial"/>
                <w:noProof/>
                <w:lang w:bidi="bn-IN"/>
              </w:rPr>
              <w:t>Introduction</w:t>
            </w:r>
            <w:r>
              <w:rPr>
                <w:noProof/>
                <w:webHidden/>
              </w:rPr>
              <w:tab/>
            </w:r>
            <w:r>
              <w:rPr>
                <w:noProof/>
                <w:webHidden/>
              </w:rPr>
              <w:fldChar w:fldCharType="begin"/>
            </w:r>
            <w:r>
              <w:rPr>
                <w:noProof/>
                <w:webHidden/>
              </w:rPr>
              <w:instrText xml:space="preserve"> PAGEREF _Toc233309687 \h </w:instrText>
            </w:r>
            <w:r>
              <w:rPr>
                <w:noProof/>
                <w:webHidden/>
              </w:rPr>
            </w:r>
            <w:r>
              <w:rPr>
                <w:noProof/>
                <w:webHidden/>
              </w:rPr>
              <w:fldChar w:fldCharType="separate"/>
            </w:r>
            <w:r w:rsidR="006D25F2">
              <w:rPr>
                <w:noProof/>
                <w:webHidden/>
              </w:rPr>
              <w:t>3</w:t>
            </w:r>
            <w:r>
              <w:rPr>
                <w:noProof/>
                <w:webHidden/>
              </w:rPr>
              <w:fldChar w:fldCharType="end"/>
            </w:r>
          </w:hyperlink>
        </w:p>
        <w:p w14:paraId="4329D26E" w14:textId="72AA851A" w:rsidR="00F0703D" w:rsidRDefault="00F0703D">
          <w:pPr>
            <w:pStyle w:val="TOC1"/>
            <w:tabs>
              <w:tab w:val="right" w:leader="dot" w:pos="9016"/>
            </w:tabs>
            <w:rPr>
              <w:noProof/>
            </w:rPr>
          </w:pPr>
          <w:hyperlink w:anchor="_Toc233309688" w:history="1">
            <w:r w:rsidRPr="00F274A7">
              <w:rPr>
                <w:rStyle w:val="Hyperlink"/>
                <w:rFonts w:cs="Arial"/>
                <w:bCs/>
                <w:noProof/>
                <w:lang w:bidi="bn-IN"/>
              </w:rPr>
              <w:t>Task 1: Marketing Environment Analysis</w:t>
            </w:r>
            <w:r>
              <w:rPr>
                <w:noProof/>
                <w:webHidden/>
              </w:rPr>
              <w:tab/>
            </w:r>
            <w:r>
              <w:rPr>
                <w:noProof/>
                <w:webHidden/>
              </w:rPr>
              <w:fldChar w:fldCharType="begin"/>
            </w:r>
            <w:r>
              <w:rPr>
                <w:noProof/>
                <w:webHidden/>
              </w:rPr>
              <w:instrText xml:space="preserve"> PAGEREF _Toc233309688 \h </w:instrText>
            </w:r>
            <w:r>
              <w:rPr>
                <w:noProof/>
                <w:webHidden/>
              </w:rPr>
            </w:r>
            <w:r>
              <w:rPr>
                <w:noProof/>
                <w:webHidden/>
              </w:rPr>
              <w:fldChar w:fldCharType="separate"/>
            </w:r>
            <w:r w:rsidR="006D25F2">
              <w:rPr>
                <w:noProof/>
                <w:webHidden/>
              </w:rPr>
              <w:t>4</w:t>
            </w:r>
            <w:r>
              <w:rPr>
                <w:noProof/>
                <w:webHidden/>
              </w:rPr>
              <w:fldChar w:fldCharType="end"/>
            </w:r>
          </w:hyperlink>
        </w:p>
        <w:p w14:paraId="367AAA71" w14:textId="15D3B8AA" w:rsidR="00F0703D" w:rsidRDefault="00F0703D">
          <w:pPr>
            <w:pStyle w:val="TOC2"/>
            <w:tabs>
              <w:tab w:val="right" w:leader="dot" w:pos="9016"/>
            </w:tabs>
            <w:rPr>
              <w:noProof/>
            </w:rPr>
          </w:pPr>
          <w:hyperlink w:anchor="_Toc233309689" w:history="1">
            <w:r w:rsidRPr="00F274A7">
              <w:rPr>
                <w:rStyle w:val="Hyperlink"/>
                <w:rFonts w:eastAsiaTheme="majorEastAsia" w:cs="Arial"/>
                <w:noProof/>
              </w:rPr>
              <w:t>Company Overview</w:t>
            </w:r>
            <w:r>
              <w:rPr>
                <w:noProof/>
                <w:webHidden/>
              </w:rPr>
              <w:tab/>
            </w:r>
            <w:r>
              <w:rPr>
                <w:noProof/>
                <w:webHidden/>
              </w:rPr>
              <w:fldChar w:fldCharType="begin"/>
            </w:r>
            <w:r>
              <w:rPr>
                <w:noProof/>
                <w:webHidden/>
              </w:rPr>
              <w:instrText xml:space="preserve"> PAGEREF _Toc233309689 \h </w:instrText>
            </w:r>
            <w:r>
              <w:rPr>
                <w:noProof/>
                <w:webHidden/>
              </w:rPr>
            </w:r>
            <w:r>
              <w:rPr>
                <w:noProof/>
                <w:webHidden/>
              </w:rPr>
              <w:fldChar w:fldCharType="separate"/>
            </w:r>
            <w:r w:rsidR="006D25F2">
              <w:rPr>
                <w:noProof/>
                <w:webHidden/>
              </w:rPr>
              <w:t>4</w:t>
            </w:r>
            <w:r>
              <w:rPr>
                <w:noProof/>
                <w:webHidden/>
              </w:rPr>
              <w:fldChar w:fldCharType="end"/>
            </w:r>
          </w:hyperlink>
        </w:p>
        <w:p w14:paraId="1AE97AC8" w14:textId="5C230710" w:rsidR="00F0703D" w:rsidRDefault="00F0703D">
          <w:pPr>
            <w:pStyle w:val="TOC2"/>
            <w:tabs>
              <w:tab w:val="right" w:leader="dot" w:pos="9016"/>
            </w:tabs>
            <w:rPr>
              <w:noProof/>
            </w:rPr>
          </w:pPr>
          <w:hyperlink w:anchor="_Toc233309690" w:history="1">
            <w:r w:rsidRPr="00F274A7">
              <w:rPr>
                <w:rStyle w:val="Hyperlink"/>
                <w:rFonts w:eastAsiaTheme="majorEastAsia" w:cs="Arial"/>
                <w:noProof/>
              </w:rPr>
              <w:t>1. Natural Environment</w:t>
            </w:r>
            <w:r>
              <w:rPr>
                <w:noProof/>
                <w:webHidden/>
              </w:rPr>
              <w:tab/>
            </w:r>
            <w:r>
              <w:rPr>
                <w:noProof/>
                <w:webHidden/>
              </w:rPr>
              <w:fldChar w:fldCharType="begin"/>
            </w:r>
            <w:r>
              <w:rPr>
                <w:noProof/>
                <w:webHidden/>
              </w:rPr>
              <w:instrText xml:space="preserve"> PAGEREF _Toc233309690 \h </w:instrText>
            </w:r>
            <w:r>
              <w:rPr>
                <w:noProof/>
                <w:webHidden/>
              </w:rPr>
            </w:r>
            <w:r>
              <w:rPr>
                <w:noProof/>
                <w:webHidden/>
              </w:rPr>
              <w:fldChar w:fldCharType="separate"/>
            </w:r>
            <w:r w:rsidR="006D25F2">
              <w:rPr>
                <w:noProof/>
                <w:webHidden/>
              </w:rPr>
              <w:t>4</w:t>
            </w:r>
            <w:r>
              <w:rPr>
                <w:noProof/>
                <w:webHidden/>
              </w:rPr>
              <w:fldChar w:fldCharType="end"/>
            </w:r>
          </w:hyperlink>
        </w:p>
        <w:p w14:paraId="0A181A4F" w14:textId="22671B4E" w:rsidR="00F0703D" w:rsidRDefault="00F0703D">
          <w:pPr>
            <w:pStyle w:val="TOC2"/>
            <w:tabs>
              <w:tab w:val="right" w:leader="dot" w:pos="9016"/>
            </w:tabs>
            <w:rPr>
              <w:noProof/>
            </w:rPr>
          </w:pPr>
          <w:hyperlink w:anchor="_Toc233309691" w:history="1">
            <w:r w:rsidRPr="00F274A7">
              <w:rPr>
                <w:rStyle w:val="Hyperlink"/>
                <w:rFonts w:eastAsiaTheme="majorEastAsia" w:cs="Arial"/>
                <w:noProof/>
              </w:rPr>
              <w:t>2. Political Environment</w:t>
            </w:r>
            <w:r>
              <w:rPr>
                <w:noProof/>
                <w:webHidden/>
              </w:rPr>
              <w:tab/>
            </w:r>
            <w:r>
              <w:rPr>
                <w:noProof/>
                <w:webHidden/>
              </w:rPr>
              <w:fldChar w:fldCharType="begin"/>
            </w:r>
            <w:r>
              <w:rPr>
                <w:noProof/>
                <w:webHidden/>
              </w:rPr>
              <w:instrText xml:space="preserve"> PAGEREF _Toc233309691 \h </w:instrText>
            </w:r>
            <w:r>
              <w:rPr>
                <w:noProof/>
                <w:webHidden/>
              </w:rPr>
            </w:r>
            <w:r>
              <w:rPr>
                <w:noProof/>
                <w:webHidden/>
              </w:rPr>
              <w:fldChar w:fldCharType="separate"/>
            </w:r>
            <w:r w:rsidR="006D25F2">
              <w:rPr>
                <w:noProof/>
                <w:webHidden/>
              </w:rPr>
              <w:t>5</w:t>
            </w:r>
            <w:r>
              <w:rPr>
                <w:noProof/>
                <w:webHidden/>
              </w:rPr>
              <w:fldChar w:fldCharType="end"/>
            </w:r>
          </w:hyperlink>
        </w:p>
        <w:p w14:paraId="59B5FF65" w14:textId="59CDD986" w:rsidR="00F0703D" w:rsidRDefault="00F0703D">
          <w:pPr>
            <w:pStyle w:val="TOC1"/>
            <w:tabs>
              <w:tab w:val="right" w:leader="dot" w:pos="9016"/>
            </w:tabs>
            <w:rPr>
              <w:noProof/>
            </w:rPr>
          </w:pPr>
          <w:hyperlink w:anchor="_Toc233309692" w:history="1">
            <w:r w:rsidRPr="00F274A7">
              <w:rPr>
                <w:rStyle w:val="Hyperlink"/>
                <w:rFonts w:cs="Arial"/>
                <w:noProof/>
                <w:lang w:bidi="bn-IN"/>
              </w:rPr>
              <w:t>Task 2: Strategic Growth and Competitive Positioning</w:t>
            </w:r>
            <w:r>
              <w:rPr>
                <w:noProof/>
                <w:webHidden/>
              </w:rPr>
              <w:tab/>
            </w:r>
            <w:r>
              <w:rPr>
                <w:noProof/>
                <w:webHidden/>
              </w:rPr>
              <w:fldChar w:fldCharType="begin"/>
            </w:r>
            <w:r>
              <w:rPr>
                <w:noProof/>
                <w:webHidden/>
              </w:rPr>
              <w:instrText xml:space="preserve"> PAGEREF _Toc233309692 \h </w:instrText>
            </w:r>
            <w:r>
              <w:rPr>
                <w:noProof/>
                <w:webHidden/>
              </w:rPr>
            </w:r>
            <w:r>
              <w:rPr>
                <w:noProof/>
                <w:webHidden/>
              </w:rPr>
              <w:fldChar w:fldCharType="separate"/>
            </w:r>
            <w:r w:rsidR="006D25F2">
              <w:rPr>
                <w:noProof/>
                <w:webHidden/>
              </w:rPr>
              <w:t>6</w:t>
            </w:r>
            <w:r>
              <w:rPr>
                <w:noProof/>
                <w:webHidden/>
              </w:rPr>
              <w:fldChar w:fldCharType="end"/>
            </w:r>
          </w:hyperlink>
        </w:p>
        <w:p w14:paraId="3613B676" w14:textId="3FB4EF28" w:rsidR="00F0703D" w:rsidRDefault="00F0703D">
          <w:pPr>
            <w:pStyle w:val="TOC2"/>
            <w:tabs>
              <w:tab w:val="right" w:leader="dot" w:pos="9016"/>
            </w:tabs>
            <w:rPr>
              <w:noProof/>
            </w:rPr>
          </w:pPr>
          <w:hyperlink w:anchor="_Toc233309693" w:history="1">
            <w:r w:rsidRPr="00F274A7">
              <w:rPr>
                <w:rStyle w:val="Hyperlink"/>
                <w:rFonts w:cs="Arial"/>
                <w:noProof/>
              </w:rPr>
              <w:t>Strategic Growth Using the Ansoff Matrix</w:t>
            </w:r>
            <w:r>
              <w:rPr>
                <w:noProof/>
                <w:webHidden/>
              </w:rPr>
              <w:tab/>
            </w:r>
            <w:r>
              <w:rPr>
                <w:noProof/>
                <w:webHidden/>
              </w:rPr>
              <w:fldChar w:fldCharType="begin"/>
            </w:r>
            <w:r>
              <w:rPr>
                <w:noProof/>
                <w:webHidden/>
              </w:rPr>
              <w:instrText xml:space="preserve"> PAGEREF _Toc233309693 \h </w:instrText>
            </w:r>
            <w:r>
              <w:rPr>
                <w:noProof/>
                <w:webHidden/>
              </w:rPr>
            </w:r>
            <w:r>
              <w:rPr>
                <w:noProof/>
                <w:webHidden/>
              </w:rPr>
              <w:fldChar w:fldCharType="separate"/>
            </w:r>
            <w:r w:rsidR="006D25F2">
              <w:rPr>
                <w:noProof/>
                <w:webHidden/>
              </w:rPr>
              <w:t>6</w:t>
            </w:r>
            <w:r>
              <w:rPr>
                <w:noProof/>
                <w:webHidden/>
              </w:rPr>
              <w:fldChar w:fldCharType="end"/>
            </w:r>
          </w:hyperlink>
        </w:p>
        <w:p w14:paraId="2D4B8E81" w14:textId="26F673A7" w:rsidR="00F0703D" w:rsidRDefault="00F0703D">
          <w:pPr>
            <w:pStyle w:val="TOC2"/>
            <w:tabs>
              <w:tab w:val="right" w:leader="dot" w:pos="9016"/>
            </w:tabs>
            <w:rPr>
              <w:noProof/>
            </w:rPr>
          </w:pPr>
          <w:hyperlink w:anchor="_Toc233309694" w:history="1">
            <w:r w:rsidRPr="00F274A7">
              <w:rPr>
                <w:rStyle w:val="Hyperlink"/>
                <w:rFonts w:cs="Arial"/>
                <w:noProof/>
              </w:rPr>
              <w:t>Competitive Positioning</w:t>
            </w:r>
            <w:r>
              <w:rPr>
                <w:noProof/>
                <w:webHidden/>
              </w:rPr>
              <w:tab/>
            </w:r>
            <w:r>
              <w:rPr>
                <w:noProof/>
                <w:webHidden/>
              </w:rPr>
              <w:fldChar w:fldCharType="begin"/>
            </w:r>
            <w:r>
              <w:rPr>
                <w:noProof/>
                <w:webHidden/>
              </w:rPr>
              <w:instrText xml:space="preserve"> PAGEREF _Toc233309694 \h </w:instrText>
            </w:r>
            <w:r>
              <w:rPr>
                <w:noProof/>
                <w:webHidden/>
              </w:rPr>
            </w:r>
            <w:r>
              <w:rPr>
                <w:noProof/>
                <w:webHidden/>
              </w:rPr>
              <w:fldChar w:fldCharType="separate"/>
            </w:r>
            <w:r w:rsidR="006D25F2">
              <w:rPr>
                <w:noProof/>
                <w:webHidden/>
              </w:rPr>
              <w:t>7</w:t>
            </w:r>
            <w:r>
              <w:rPr>
                <w:noProof/>
                <w:webHidden/>
              </w:rPr>
              <w:fldChar w:fldCharType="end"/>
            </w:r>
          </w:hyperlink>
        </w:p>
        <w:p w14:paraId="46A6C933" w14:textId="6ADB2251" w:rsidR="00F0703D" w:rsidRDefault="00F0703D">
          <w:pPr>
            <w:pStyle w:val="TOC1"/>
            <w:tabs>
              <w:tab w:val="right" w:leader="dot" w:pos="9016"/>
            </w:tabs>
            <w:rPr>
              <w:noProof/>
            </w:rPr>
          </w:pPr>
          <w:hyperlink w:anchor="_Toc233309695" w:history="1">
            <w:r w:rsidRPr="00F274A7">
              <w:rPr>
                <w:rStyle w:val="Hyperlink"/>
                <w:rFonts w:cs="Arial"/>
                <w:noProof/>
                <w:lang w:bidi="bn-IN"/>
              </w:rPr>
              <w:t>Task 3: Critical Reflection on AI Usage</w:t>
            </w:r>
            <w:r>
              <w:rPr>
                <w:noProof/>
                <w:webHidden/>
              </w:rPr>
              <w:tab/>
            </w:r>
            <w:r>
              <w:rPr>
                <w:noProof/>
                <w:webHidden/>
              </w:rPr>
              <w:fldChar w:fldCharType="begin"/>
            </w:r>
            <w:r>
              <w:rPr>
                <w:noProof/>
                <w:webHidden/>
              </w:rPr>
              <w:instrText xml:space="preserve"> PAGEREF _Toc233309695 \h </w:instrText>
            </w:r>
            <w:r>
              <w:rPr>
                <w:noProof/>
                <w:webHidden/>
              </w:rPr>
            </w:r>
            <w:r>
              <w:rPr>
                <w:noProof/>
                <w:webHidden/>
              </w:rPr>
              <w:fldChar w:fldCharType="separate"/>
            </w:r>
            <w:r w:rsidR="006D25F2">
              <w:rPr>
                <w:noProof/>
                <w:webHidden/>
              </w:rPr>
              <w:t>8</w:t>
            </w:r>
            <w:r>
              <w:rPr>
                <w:noProof/>
                <w:webHidden/>
              </w:rPr>
              <w:fldChar w:fldCharType="end"/>
            </w:r>
          </w:hyperlink>
        </w:p>
        <w:p w14:paraId="0781774F" w14:textId="36284EB5" w:rsidR="00F0703D" w:rsidRDefault="00F0703D">
          <w:pPr>
            <w:pStyle w:val="TOC1"/>
            <w:tabs>
              <w:tab w:val="right" w:leader="dot" w:pos="9016"/>
            </w:tabs>
            <w:rPr>
              <w:noProof/>
            </w:rPr>
          </w:pPr>
          <w:hyperlink w:anchor="_Toc233309696" w:history="1">
            <w:r w:rsidRPr="00F274A7">
              <w:rPr>
                <w:rStyle w:val="Hyperlink"/>
                <w:rFonts w:cs="Arial"/>
                <w:noProof/>
                <w:lang w:bidi="bn-IN"/>
              </w:rPr>
              <w:t>References</w:t>
            </w:r>
            <w:r>
              <w:rPr>
                <w:noProof/>
                <w:webHidden/>
              </w:rPr>
              <w:tab/>
            </w:r>
            <w:r>
              <w:rPr>
                <w:noProof/>
                <w:webHidden/>
              </w:rPr>
              <w:fldChar w:fldCharType="begin"/>
            </w:r>
            <w:r>
              <w:rPr>
                <w:noProof/>
                <w:webHidden/>
              </w:rPr>
              <w:instrText xml:space="preserve"> PAGEREF _Toc233309696 \h </w:instrText>
            </w:r>
            <w:r>
              <w:rPr>
                <w:noProof/>
                <w:webHidden/>
              </w:rPr>
            </w:r>
            <w:r>
              <w:rPr>
                <w:noProof/>
                <w:webHidden/>
              </w:rPr>
              <w:fldChar w:fldCharType="separate"/>
            </w:r>
            <w:r w:rsidR="006D25F2">
              <w:rPr>
                <w:noProof/>
                <w:webHidden/>
              </w:rPr>
              <w:t>10</w:t>
            </w:r>
            <w:r>
              <w:rPr>
                <w:noProof/>
                <w:webHidden/>
              </w:rPr>
              <w:fldChar w:fldCharType="end"/>
            </w:r>
          </w:hyperlink>
        </w:p>
        <w:p w14:paraId="4663F4D6" w14:textId="6FC92D66" w:rsidR="00F0703D" w:rsidRDefault="00F0703D">
          <w:r>
            <w:rPr>
              <w:b/>
              <w:bCs/>
              <w:noProof/>
            </w:rPr>
            <w:fldChar w:fldCharType="end"/>
          </w:r>
        </w:p>
      </w:sdtContent>
    </w:sdt>
    <w:p w14:paraId="0CB9F340" w14:textId="77777777" w:rsidR="00F0703D" w:rsidRDefault="00F0703D" w:rsidP="00F0703D"/>
    <w:p w14:paraId="57284146" w14:textId="3E5CF16C" w:rsidR="00F0703D" w:rsidRDefault="00F0703D">
      <w:pPr>
        <w:spacing w:line="259" w:lineRule="auto"/>
        <w:jc w:val="left"/>
      </w:pPr>
      <w:r>
        <w:br w:type="page"/>
      </w:r>
    </w:p>
    <w:p w14:paraId="0EA691A8" w14:textId="272E9035" w:rsidR="00F0703D" w:rsidRPr="00F0703D" w:rsidRDefault="00F0703D" w:rsidP="00F0703D">
      <w:pPr>
        <w:jc w:val="center"/>
        <w:rPr>
          <w:b/>
          <w:bCs/>
          <w:sz w:val="32"/>
          <w:szCs w:val="32"/>
        </w:rPr>
      </w:pPr>
      <w:r w:rsidRPr="00F0703D">
        <w:rPr>
          <w:rFonts w:cs="Arial"/>
          <w:b/>
          <w:bCs/>
          <w:sz w:val="32"/>
          <w:szCs w:val="32"/>
        </w:rPr>
        <w:lastRenderedPageBreak/>
        <w:t>BHP’s Transition Towards a Lower-Carbon Business Model: Marketing Environment Analysis, Strategic Growth and AI Reflection</w:t>
      </w:r>
    </w:p>
    <w:p w14:paraId="545E60D9" w14:textId="038E7F65" w:rsidR="00E826B3" w:rsidRPr="00AF2F1B" w:rsidRDefault="00E826B3" w:rsidP="00AF2F1B">
      <w:pPr>
        <w:pStyle w:val="Heading1"/>
        <w:spacing w:before="0" w:after="0"/>
        <w:rPr>
          <w:rFonts w:cs="Arial"/>
          <w:szCs w:val="24"/>
        </w:rPr>
      </w:pPr>
      <w:bookmarkStart w:id="0" w:name="_Toc233309687"/>
      <w:r w:rsidRPr="00AF2F1B">
        <w:rPr>
          <w:rFonts w:cs="Arial"/>
          <w:szCs w:val="24"/>
        </w:rPr>
        <w:t>Introduction</w:t>
      </w:r>
      <w:bookmarkEnd w:id="0"/>
    </w:p>
    <w:p w14:paraId="5D42822F" w14:textId="340CCF0D" w:rsidR="007F071A" w:rsidRDefault="002B69FB" w:rsidP="00AF2F1B">
      <w:pPr>
        <w:spacing w:after="0"/>
        <w:rPr>
          <w:rFonts w:cs="Arial"/>
        </w:rPr>
      </w:pPr>
      <w:r w:rsidRPr="00AF2F1B">
        <w:rPr>
          <w:rFonts w:cs="Arial"/>
        </w:rPr>
        <w:t xml:space="preserve">The pressure on the metals and mining industry to decarbonise is growing, as it is a key contributor </w:t>
      </w:r>
      <w:r w:rsidR="00823C25">
        <w:rPr>
          <w:rFonts w:cs="Arial"/>
        </w:rPr>
        <w:t>to</w:t>
      </w:r>
      <w:r w:rsidRPr="00AF2F1B">
        <w:rPr>
          <w:rFonts w:cs="Arial"/>
        </w:rPr>
        <w:t xml:space="preserve"> </w:t>
      </w:r>
      <w:r w:rsidR="00823C25">
        <w:rPr>
          <w:rFonts w:cs="Arial"/>
        </w:rPr>
        <w:t xml:space="preserve">GHG emissions </w:t>
      </w:r>
      <w:r w:rsidR="00F0703D">
        <w:rPr>
          <w:rFonts w:cs="Arial"/>
        </w:rPr>
        <w:t xml:space="preserve">and </w:t>
      </w:r>
      <w:r w:rsidR="00823C25">
        <w:rPr>
          <w:rFonts w:cs="Arial"/>
        </w:rPr>
        <w:t>a key supplier of materials essential to</w:t>
      </w:r>
      <w:r w:rsidRPr="00AF2F1B">
        <w:rPr>
          <w:rFonts w:cs="Arial"/>
        </w:rPr>
        <w:t xml:space="preserve"> the </w:t>
      </w:r>
      <w:r w:rsidR="00823C25">
        <w:rPr>
          <w:rFonts w:cs="Arial"/>
        </w:rPr>
        <w:t>low-carbon</w:t>
      </w:r>
      <w:r w:rsidRPr="00AF2F1B">
        <w:rPr>
          <w:rFonts w:cs="Arial"/>
        </w:rPr>
        <w:t xml:space="preserve"> transition. Mining companies have major environmental footprints associated with their extraction, processing, logistics and energy-intensive production, but have ensured that they deliver copper, nickel, iron ore and potash to support renewable energy systems, electric vehicles, battery storage and modern infrastructure (ICMM, 2023). </w:t>
      </w:r>
    </w:p>
    <w:p w14:paraId="5BA0EF73" w14:textId="6B292BD3" w:rsidR="002B69FB" w:rsidRPr="00AF2F1B" w:rsidRDefault="002B69FB" w:rsidP="00AF2F1B">
      <w:pPr>
        <w:spacing w:after="0"/>
        <w:rPr>
          <w:rFonts w:cs="Arial"/>
        </w:rPr>
      </w:pPr>
      <w:r w:rsidRPr="00AF2F1B">
        <w:rPr>
          <w:rFonts w:cs="Arial"/>
        </w:rPr>
        <w:t xml:space="preserve">A double challenge for mining companies is thus to decrease the environmental footprint of their activities while meeting growing market demand for </w:t>
      </w:r>
      <w:r w:rsidR="007F071A">
        <w:rPr>
          <w:rFonts w:cs="Arial"/>
        </w:rPr>
        <w:t>low-carbon</w:t>
      </w:r>
      <w:r w:rsidRPr="00AF2F1B">
        <w:rPr>
          <w:rFonts w:cs="Arial"/>
        </w:rPr>
        <w:t xml:space="preserve"> green mineral products. Marketing environment analysis is part and parcel </w:t>
      </w:r>
      <w:r w:rsidR="00823C25">
        <w:rPr>
          <w:rFonts w:cs="Arial"/>
        </w:rPr>
        <w:t>of</w:t>
      </w:r>
      <w:r w:rsidRPr="00AF2F1B">
        <w:rPr>
          <w:rFonts w:cs="Arial"/>
        </w:rPr>
        <w:t xml:space="preserve"> this context</w:t>
      </w:r>
      <w:r w:rsidR="00823C25">
        <w:rPr>
          <w:rFonts w:cs="Arial"/>
        </w:rPr>
        <w:t>,</w:t>
      </w:r>
      <w:r w:rsidRPr="00AF2F1B">
        <w:rPr>
          <w:rFonts w:cs="Arial"/>
        </w:rPr>
        <w:t xml:space="preserve"> as it helps the firm to </w:t>
      </w:r>
      <w:r w:rsidR="00823C25">
        <w:rPr>
          <w:rFonts w:cs="Arial"/>
        </w:rPr>
        <w:t>realise</w:t>
      </w:r>
      <w:r w:rsidRPr="00AF2F1B">
        <w:rPr>
          <w:rFonts w:cs="Arial"/>
        </w:rPr>
        <w:t xml:space="preserve"> that the external elements have a significant influence on opportunities as well as threats and strategic decisions.</w:t>
      </w:r>
      <w:r w:rsidR="007F071A">
        <w:rPr>
          <w:rFonts w:cs="Arial"/>
        </w:rPr>
        <w:t xml:space="preserve"> O</w:t>
      </w:r>
      <w:r w:rsidR="00823C25">
        <w:rPr>
          <w:rFonts w:cs="Arial"/>
        </w:rPr>
        <w:t>rganisations</w:t>
      </w:r>
      <w:r w:rsidRPr="00AF2F1B">
        <w:rPr>
          <w:rFonts w:cs="Arial"/>
        </w:rPr>
        <w:t xml:space="preserve"> will be best served by </w:t>
      </w:r>
      <w:r w:rsidR="00823C25">
        <w:rPr>
          <w:rFonts w:cs="Arial"/>
        </w:rPr>
        <w:t>ongoing</w:t>
      </w:r>
      <w:r w:rsidRPr="00AF2F1B">
        <w:rPr>
          <w:rFonts w:cs="Arial"/>
        </w:rPr>
        <w:t xml:space="preserve"> monitoring of the macro and </w:t>
      </w:r>
      <w:r w:rsidR="00823C25">
        <w:rPr>
          <w:rFonts w:cs="Arial"/>
        </w:rPr>
        <w:t>micro-environments</w:t>
      </w:r>
      <w:r w:rsidRPr="00AF2F1B">
        <w:rPr>
          <w:rFonts w:cs="Arial"/>
        </w:rPr>
        <w:t xml:space="preserve"> to facilitate the identification of change in the market, to ensure that </w:t>
      </w:r>
      <w:r w:rsidR="00823C25">
        <w:rPr>
          <w:rFonts w:cs="Arial"/>
        </w:rPr>
        <w:t>organisations</w:t>
      </w:r>
      <w:r w:rsidRPr="00AF2F1B">
        <w:rPr>
          <w:rFonts w:cs="Arial"/>
        </w:rPr>
        <w:t xml:space="preserve"> anticipate the needs and demands of their stakeholders, and to prepare strategies that can generate value over </w:t>
      </w:r>
      <w:r w:rsidR="007F071A" w:rsidRPr="00AF2F1B">
        <w:rPr>
          <w:rFonts w:cs="Arial"/>
        </w:rPr>
        <w:t>a period</w:t>
      </w:r>
      <w:r w:rsidR="007F071A">
        <w:rPr>
          <w:rFonts w:cs="Arial"/>
        </w:rPr>
        <w:t xml:space="preserve"> (</w:t>
      </w:r>
      <w:r w:rsidR="007F071A" w:rsidRPr="00AF2F1B">
        <w:rPr>
          <w:rFonts w:cs="Arial"/>
        </w:rPr>
        <w:t>Kotler et al.</w:t>
      </w:r>
      <w:r w:rsidR="007F071A">
        <w:rPr>
          <w:rFonts w:cs="Arial"/>
        </w:rPr>
        <w:t>,</w:t>
      </w:r>
      <w:r w:rsidR="007F071A" w:rsidRPr="00AF2F1B">
        <w:rPr>
          <w:rFonts w:cs="Arial"/>
        </w:rPr>
        <w:t xml:space="preserve"> 2024)</w:t>
      </w:r>
      <w:r w:rsidRPr="00AF2F1B">
        <w:rPr>
          <w:rFonts w:cs="Arial"/>
        </w:rPr>
        <w:t>.</w:t>
      </w:r>
    </w:p>
    <w:p w14:paraId="345689FF" w14:textId="6202F325" w:rsidR="007F071A" w:rsidRDefault="002B69FB" w:rsidP="00AF2F1B">
      <w:pPr>
        <w:spacing w:after="0"/>
        <w:rPr>
          <w:rFonts w:cs="Arial"/>
        </w:rPr>
      </w:pPr>
      <w:r w:rsidRPr="00AF2F1B">
        <w:rPr>
          <w:rFonts w:cs="Arial"/>
        </w:rPr>
        <w:t>The present report will concentrate on BHP</w:t>
      </w:r>
      <w:r w:rsidR="00823C25">
        <w:rPr>
          <w:rFonts w:cs="Arial"/>
        </w:rPr>
        <w:t>,</w:t>
      </w:r>
      <w:r w:rsidRPr="00AF2F1B">
        <w:rPr>
          <w:rFonts w:cs="Arial"/>
        </w:rPr>
        <w:t xml:space="preserve"> one of the most diversified large mining companies </w:t>
      </w:r>
      <w:r w:rsidR="00823C25">
        <w:rPr>
          <w:rFonts w:cs="Arial"/>
        </w:rPr>
        <w:t>in</w:t>
      </w:r>
      <w:r w:rsidRPr="00AF2F1B">
        <w:rPr>
          <w:rFonts w:cs="Arial"/>
        </w:rPr>
        <w:t xml:space="preserve"> the world. BHP is a pertinent example as it has made public commitments to decarbonising its operations, has invested in climate-related activities and has marketed some of its minerals as enablers of energy transition. The report examines in depth two external actors of the marketing environment that are impacting BHP's journey towards a </w:t>
      </w:r>
      <w:r w:rsidR="00823C25">
        <w:rPr>
          <w:rFonts w:cs="Arial"/>
        </w:rPr>
        <w:t>low-carbon</w:t>
      </w:r>
      <w:r w:rsidRPr="00AF2F1B">
        <w:rPr>
          <w:rFonts w:cs="Arial"/>
        </w:rPr>
        <w:t xml:space="preserve"> business model. In line with assessment guidance, the analysis focuses strongly on the natural environment</w:t>
      </w:r>
      <w:r w:rsidR="00823C25">
        <w:rPr>
          <w:rFonts w:cs="Arial"/>
        </w:rPr>
        <w:t>;</w:t>
      </w:r>
      <w:r w:rsidRPr="00AF2F1B">
        <w:rPr>
          <w:rFonts w:cs="Arial"/>
        </w:rPr>
        <w:t xml:space="preserve"> the second one analysed is the political one. </w:t>
      </w:r>
    </w:p>
    <w:p w14:paraId="41A8FCFE" w14:textId="67075F49" w:rsidR="00E826B3" w:rsidRPr="00AF2F1B" w:rsidRDefault="002B69FB" w:rsidP="00AF2F1B">
      <w:pPr>
        <w:spacing w:after="0"/>
        <w:rPr>
          <w:rFonts w:cs="Arial"/>
        </w:rPr>
      </w:pPr>
      <w:r w:rsidRPr="00AF2F1B">
        <w:rPr>
          <w:rFonts w:cs="Arial"/>
        </w:rPr>
        <w:t xml:space="preserve">The report presents a strategic roadmap for growth based on the Ansoff Matrix, outlining opportunities for BHP to grow </w:t>
      </w:r>
      <w:r w:rsidR="00823C25">
        <w:rPr>
          <w:rFonts w:cs="Arial"/>
        </w:rPr>
        <w:t>and</w:t>
      </w:r>
      <w:r w:rsidRPr="00AF2F1B">
        <w:rPr>
          <w:rFonts w:cs="Arial"/>
        </w:rPr>
        <w:t xml:space="preserve"> intensify its value proposition for lower-carbon supply chains. It outlines the strategies by which the company can gain a competitive edge in this changeover. The last part critically analyses the use of the </w:t>
      </w:r>
      <w:r w:rsidRPr="00AF2F1B">
        <w:rPr>
          <w:rFonts w:cs="Arial"/>
        </w:rPr>
        <w:lastRenderedPageBreak/>
        <w:t>Artificial Intelligence (AI) tool for the report preparation, how it has been checked, improved and ethically managed</w:t>
      </w:r>
      <w:r w:rsidR="007F071A">
        <w:rPr>
          <w:rFonts w:cs="Arial"/>
        </w:rPr>
        <w:t xml:space="preserve"> (</w:t>
      </w:r>
      <w:r w:rsidR="007F071A" w:rsidRPr="007F071A">
        <w:rPr>
          <w:rFonts w:cs="Arial"/>
        </w:rPr>
        <w:t>BHP, 2024</w:t>
      </w:r>
      <w:r w:rsidR="007F071A">
        <w:rPr>
          <w:rFonts w:cs="Arial"/>
        </w:rPr>
        <w:t>)</w:t>
      </w:r>
      <w:r w:rsidRPr="00AF2F1B">
        <w:rPr>
          <w:rFonts w:cs="Arial"/>
        </w:rPr>
        <w:t>.</w:t>
      </w:r>
    </w:p>
    <w:p w14:paraId="3A982060" w14:textId="77777777" w:rsidR="00322D06" w:rsidRPr="00AF2F1B" w:rsidRDefault="00322D06" w:rsidP="00AF2F1B">
      <w:pPr>
        <w:pStyle w:val="Heading1"/>
        <w:spacing w:before="0" w:after="0"/>
        <w:rPr>
          <w:rFonts w:cs="Arial"/>
          <w:bCs/>
          <w:szCs w:val="24"/>
        </w:rPr>
      </w:pPr>
      <w:bookmarkStart w:id="1" w:name="_Toc233309688"/>
      <w:r w:rsidRPr="00AF2F1B">
        <w:rPr>
          <w:rFonts w:cs="Arial"/>
          <w:bCs/>
          <w:szCs w:val="24"/>
        </w:rPr>
        <w:t>Task 1: Marketing Environment Analysis</w:t>
      </w:r>
      <w:bookmarkEnd w:id="1"/>
    </w:p>
    <w:p w14:paraId="791ED4D8" w14:textId="77777777" w:rsidR="00322D06" w:rsidRPr="00AF2F1B" w:rsidRDefault="00322D06" w:rsidP="00AF2F1B">
      <w:pPr>
        <w:pStyle w:val="Heading2"/>
        <w:spacing w:after="0"/>
        <w:rPr>
          <w:rFonts w:eastAsiaTheme="majorEastAsia" w:cs="Arial"/>
        </w:rPr>
      </w:pPr>
      <w:bookmarkStart w:id="2" w:name="_Toc233309689"/>
      <w:r w:rsidRPr="00AF2F1B">
        <w:rPr>
          <w:rFonts w:eastAsiaTheme="majorEastAsia" w:cs="Arial"/>
        </w:rPr>
        <w:t>Company Overview</w:t>
      </w:r>
      <w:bookmarkEnd w:id="2"/>
    </w:p>
    <w:p w14:paraId="68EDC1C8" w14:textId="4FD25066" w:rsidR="007F071A" w:rsidRDefault="002B69FB" w:rsidP="00AF2F1B">
      <w:pPr>
        <w:spacing w:after="0"/>
        <w:rPr>
          <w:rFonts w:cs="Arial"/>
        </w:rPr>
      </w:pPr>
      <w:r w:rsidRPr="00AF2F1B">
        <w:rPr>
          <w:rFonts w:cs="Arial"/>
        </w:rPr>
        <w:t xml:space="preserve">BHP is a global mining and resources business that works throughout Australia, the Americas and in </w:t>
      </w:r>
      <w:r w:rsidR="00823C25">
        <w:rPr>
          <w:rFonts w:cs="Arial"/>
        </w:rPr>
        <w:t>several</w:t>
      </w:r>
      <w:r w:rsidRPr="00AF2F1B">
        <w:rPr>
          <w:rFonts w:cs="Arial"/>
        </w:rPr>
        <w:t xml:space="preserve"> international markets. It's holding copper, nickel, iron ore, metallurgical coal and potash. The above commodities play an important role in the </w:t>
      </w:r>
      <w:r w:rsidR="00823C25">
        <w:rPr>
          <w:rFonts w:cs="Arial"/>
        </w:rPr>
        <w:t>low-carbon</w:t>
      </w:r>
      <w:r w:rsidRPr="00AF2F1B">
        <w:rPr>
          <w:rFonts w:cs="Arial"/>
        </w:rPr>
        <w:t xml:space="preserve"> transition, as copper and nickel are key materials to electrification, battery technologies and </w:t>
      </w:r>
      <w:r w:rsidR="00823C25">
        <w:rPr>
          <w:rFonts w:cs="Arial"/>
        </w:rPr>
        <w:t>renewable energy</w:t>
      </w:r>
      <w:r w:rsidRPr="00AF2F1B">
        <w:rPr>
          <w:rFonts w:cs="Arial"/>
        </w:rPr>
        <w:t xml:space="preserve"> systems, while iron ore remains key to industrial production and steel production</w:t>
      </w:r>
      <w:r w:rsidR="007F071A">
        <w:rPr>
          <w:rFonts w:cs="Arial"/>
        </w:rPr>
        <w:t xml:space="preserve"> (</w:t>
      </w:r>
      <w:r w:rsidR="007F071A" w:rsidRPr="007F071A">
        <w:rPr>
          <w:rFonts w:cs="Arial"/>
        </w:rPr>
        <w:t>BHP, 2024</w:t>
      </w:r>
      <w:r w:rsidR="007F071A">
        <w:rPr>
          <w:rFonts w:cs="Arial"/>
        </w:rPr>
        <w:t>)</w:t>
      </w:r>
      <w:r w:rsidRPr="00AF2F1B">
        <w:rPr>
          <w:rFonts w:cs="Arial"/>
        </w:rPr>
        <w:t xml:space="preserve">. </w:t>
      </w:r>
    </w:p>
    <w:p w14:paraId="2ED857BC" w14:textId="33D53B01" w:rsidR="00322D06" w:rsidRPr="00AF2F1B" w:rsidRDefault="002B69FB" w:rsidP="00AF2F1B">
      <w:pPr>
        <w:spacing w:after="0"/>
        <w:rPr>
          <w:rFonts w:cs="Arial"/>
        </w:rPr>
      </w:pPr>
      <w:r w:rsidRPr="00AF2F1B">
        <w:rPr>
          <w:rFonts w:cs="Arial"/>
        </w:rPr>
        <w:t xml:space="preserve">BHP has thus attempted to shift its image from a big miner to one of </w:t>
      </w:r>
      <w:r w:rsidR="00823C25">
        <w:rPr>
          <w:rFonts w:cs="Arial"/>
        </w:rPr>
        <w:t xml:space="preserve">a </w:t>
      </w:r>
      <w:r w:rsidRPr="00AF2F1B">
        <w:rPr>
          <w:rFonts w:cs="Arial"/>
        </w:rPr>
        <w:t xml:space="preserve">materials provider for decarbonisation. </w:t>
      </w:r>
      <w:r w:rsidR="007F071A" w:rsidRPr="00AF2F1B">
        <w:rPr>
          <w:rFonts w:cs="Arial"/>
        </w:rPr>
        <w:t>However</w:t>
      </w:r>
      <w:r w:rsidR="007F071A">
        <w:rPr>
          <w:rFonts w:cs="Arial"/>
        </w:rPr>
        <w:t>,</w:t>
      </w:r>
      <w:r w:rsidRPr="00AF2F1B">
        <w:rPr>
          <w:rFonts w:cs="Arial"/>
        </w:rPr>
        <w:t xml:space="preserve"> this transition presents the firm with external pressure shifts in an uncertain fashion, mainly surrounding environmental risk issues and the possible influence of politics. The environmental factors that most significantly affect BHP's efforts in the transition to lower carbon emissions are determined to be the natural environment and the political environment (Kotler et al., 2024).</w:t>
      </w:r>
    </w:p>
    <w:p w14:paraId="3CAA851D" w14:textId="77777777" w:rsidR="00322D06" w:rsidRPr="00AF2F1B" w:rsidRDefault="00322D06" w:rsidP="00AF2F1B">
      <w:pPr>
        <w:pStyle w:val="Heading2"/>
        <w:spacing w:after="0"/>
        <w:rPr>
          <w:rFonts w:eastAsiaTheme="majorEastAsia" w:cs="Arial"/>
        </w:rPr>
      </w:pPr>
      <w:bookmarkStart w:id="3" w:name="_Toc233309690"/>
      <w:r w:rsidRPr="00AF2F1B">
        <w:rPr>
          <w:rFonts w:eastAsiaTheme="majorEastAsia" w:cs="Arial"/>
        </w:rPr>
        <w:t>1. Natural Environment</w:t>
      </w:r>
      <w:bookmarkEnd w:id="3"/>
    </w:p>
    <w:p w14:paraId="1C348985" w14:textId="18E23D70" w:rsidR="00241331" w:rsidRPr="00AF2F1B" w:rsidRDefault="00241331" w:rsidP="00AF2F1B">
      <w:pPr>
        <w:spacing w:after="0"/>
        <w:rPr>
          <w:rFonts w:cs="Arial"/>
        </w:rPr>
      </w:pPr>
      <w:r w:rsidRPr="00AF2F1B">
        <w:rPr>
          <w:rFonts w:cs="Arial"/>
        </w:rPr>
        <w:t xml:space="preserve">The natural environment is the external actor with the greatest influence on BHP's transition towards lower carbon products, as mining itself relies directly on the land, water, energy and climate, and as it has </w:t>
      </w:r>
      <w:r w:rsidR="00823C25">
        <w:rPr>
          <w:rFonts w:cs="Arial"/>
        </w:rPr>
        <w:t xml:space="preserve">a </w:t>
      </w:r>
      <w:r w:rsidRPr="00AF2F1B">
        <w:rPr>
          <w:rFonts w:cs="Arial"/>
        </w:rPr>
        <w:t>significant ecological footprint. The natural environment in marketing environment analysis is defined as the natural and ecological environment which has an impact on the availability of resources, production processes, costs, and the long-term sustainability of businesses (Kotler et al., 2024). It's pivotal for BHP's operating business and brand credibility for future market positioning.</w:t>
      </w:r>
    </w:p>
    <w:p w14:paraId="268C6D03" w14:textId="4D17A711" w:rsidR="00241331" w:rsidRPr="00AF2F1B" w:rsidRDefault="00241331" w:rsidP="00AF2F1B">
      <w:pPr>
        <w:spacing w:after="0"/>
        <w:rPr>
          <w:rFonts w:cs="Arial"/>
        </w:rPr>
      </w:pPr>
      <w:r w:rsidRPr="00AF2F1B">
        <w:rPr>
          <w:rFonts w:cs="Arial"/>
        </w:rPr>
        <w:t>Operational and strategic pressures on mining companies have been increased by climate change</w:t>
      </w:r>
      <w:r w:rsidR="007F071A">
        <w:rPr>
          <w:rFonts w:cs="Arial"/>
        </w:rPr>
        <w:t xml:space="preserve"> (</w:t>
      </w:r>
      <w:r w:rsidR="007F071A" w:rsidRPr="007F071A">
        <w:rPr>
          <w:rFonts w:cs="Arial"/>
        </w:rPr>
        <w:t>Deloitte, 2024)</w:t>
      </w:r>
      <w:r w:rsidRPr="00AF2F1B">
        <w:rPr>
          <w:rFonts w:cs="Arial"/>
        </w:rPr>
        <w:t xml:space="preserve">. BHP is increasingly at risk because of </w:t>
      </w:r>
      <w:r w:rsidR="00823C25">
        <w:rPr>
          <w:rFonts w:cs="Arial"/>
        </w:rPr>
        <w:t>rising temperatures</w:t>
      </w:r>
      <w:r w:rsidRPr="00AF2F1B">
        <w:rPr>
          <w:rFonts w:cs="Arial"/>
        </w:rPr>
        <w:t xml:space="preserve">, water levels decreasing, flooding, droughts, and biodiversity loss. These environmental disturbances have the potential to suspend production, harm facilities, drive up energy and water bills, and compromise the safety of the workforce. Now, the concept of climate resilience has entered the strategic phase, moving from a sustainability decision to an obligatory move to meet the challenge. A failure to manage environmental risks could have a negative impact on BHP's reputation as a </w:t>
      </w:r>
      <w:r w:rsidRPr="00AF2F1B">
        <w:rPr>
          <w:rFonts w:cs="Arial"/>
        </w:rPr>
        <w:lastRenderedPageBreak/>
        <w:t xml:space="preserve">reliable supplier for industrial customers who </w:t>
      </w:r>
      <w:r w:rsidR="00823C25">
        <w:rPr>
          <w:rFonts w:cs="Arial"/>
        </w:rPr>
        <w:t>prioritise</w:t>
      </w:r>
      <w:r w:rsidRPr="00AF2F1B">
        <w:rPr>
          <w:rFonts w:cs="Arial"/>
        </w:rPr>
        <w:t xml:space="preserve"> secure, responsible and resilient supply chains in their business.</w:t>
      </w:r>
    </w:p>
    <w:p w14:paraId="743EE0AE" w14:textId="6FA68639" w:rsidR="00241331" w:rsidRPr="00AF2F1B" w:rsidRDefault="00241331" w:rsidP="00AF2F1B">
      <w:pPr>
        <w:spacing w:after="0"/>
        <w:rPr>
          <w:rFonts w:cs="Arial"/>
        </w:rPr>
      </w:pPr>
      <w:r w:rsidRPr="00AF2F1B">
        <w:rPr>
          <w:rFonts w:cs="Arial"/>
        </w:rPr>
        <w:t xml:space="preserve">Secondly, the natural environment provides an important opportunity in the market: the global energy transition is driving growth in the demand for minerals used in electrification and renewable energy systems. Demand is projected to grow substantially due to </w:t>
      </w:r>
      <w:r w:rsidR="00823C25">
        <w:rPr>
          <w:rFonts w:cs="Arial"/>
        </w:rPr>
        <w:t>copper and nickel</w:t>
      </w:r>
      <w:r w:rsidRPr="00AF2F1B">
        <w:rPr>
          <w:rFonts w:cs="Arial"/>
        </w:rPr>
        <w:t xml:space="preserve"> use in EVs, battery storage and electricity networks, according to </w:t>
      </w:r>
      <w:r w:rsidR="00823C25">
        <w:rPr>
          <w:rFonts w:cs="Arial"/>
        </w:rPr>
        <w:t xml:space="preserve">the </w:t>
      </w:r>
      <w:r w:rsidRPr="00AF2F1B">
        <w:rPr>
          <w:rFonts w:cs="Arial"/>
        </w:rPr>
        <w:t xml:space="preserve">International Energy Agency (IEA, 2023). This opens strategic opportunities for BHP to develop alignment of the product mix to the new decarbonisation-oriented </w:t>
      </w:r>
      <w:r w:rsidR="00823C25">
        <w:rPr>
          <w:rFonts w:cs="Arial"/>
        </w:rPr>
        <w:t>low-carbon</w:t>
      </w:r>
      <w:r w:rsidRPr="00AF2F1B">
        <w:rPr>
          <w:rFonts w:cs="Arial"/>
        </w:rPr>
        <w:t xml:space="preserve"> markets and become a provider of “future-facing” commodities.</w:t>
      </w:r>
    </w:p>
    <w:p w14:paraId="2B3E7630" w14:textId="439C0D07" w:rsidR="00241331" w:rsidRPr="00AF2F1B" w:rsidRDefault="00241331" w:rsidP="00AF2F1B">
      <w:pPr>
        <w:spacing w:after="0"/>
        <w:rPr>
          <w:rFonts w:cs="Arial"/>
        </w:rPr>
      </w:pPr>
      <w:r w:rsidRPr="00AF2F1B">
        <w:rPr>
          <w:rFonts w:cs="Arial"/>
        </w:rPr>
        <w:t xml:space="preserve">Third, </w:t>
      </w:r>
      <w:r w:rsidR="00823C25">
        <w:rPr>
          <w:rFonts w:cs="Arial"/>
        </w:rPr>
        <w:t xml:space="preserve">the </w:t>
      </w:r>
      <w:r w:rsidRPr="00AF2F1B">
        <w:rPr>
          <w:rFonts w:cs="Arial"/>
        </w:rPr>
        <w:t>environmental dimension is gaining an increasing role in reputation</w:t>
      </w:r>
      <w:r w:rsidR="00823C25">
        <w:rPr>
          <w:rFonts w:cs="Arial"/>
        </w:rPr>
        <w:t>,</w:t>
      </w:r>
      <w:r w:rsidRPr="00AF2F1B">
        <w:rPr>
          <w:rFonts w:cs="Arial"/>
        </w:rPr>
        <w:t xml:space="preserve"> investor confidence and stakeholder trust. Pollution, land damage, and carbon emissions have been </w:t>
      </w:r>
      <w:r w:rsidR="00823C25">
        <w:rPr>
          <w:rFonts w:cs="Arial"/>
        </w:rPr>
        <w:t>problems</w:t>
      </w:r>
      <w:r w:rsidRPr="00AF2F1B">
        <w:rPr>
          <w:rFonts w:cs="Arial"/>
        </w:rPr>
        <w:t xml:space="preserve"> for mining companies throughout the years. In this sense, sustainability becomes a marketing and legitimacy question, not just </w:t>
      </w:r>
      <w:r w:rsidR="00823C25">
        <w:rPr>
          <w:rFonts w:cs="Arial"/>
        </w:rPr>
        <w:t xml:space="preserve">an </w:t>
      </w:r>
      <w:r w:rsidRPr="00AF2F1B">
        <w:rPr>
          <w:rFonts w:cs="Arial"/>
        </w:rPr>
        <w:t>operational</w:t>
      </w:r>
      <w:r w:rsidR="00823C25">
        <w:rPr>
          <w:rFonts w:cs="Arial"/>
        </w:rPr>
        <w:t xml:space="preserve"> one</w:t>
      </w:r>
      <w:r w:rsidRPr="00AF2F1B">
        <w:rPr>
          <w:rFonts w:cs="Arial"/>
        </w:rPr>
        <w:t xml:space="preserve">. BHP's plans to transition to a more sustainable energy grid, investments in renewables, and its emissions reduction targets are thus supportive of its role as a responsible mining company (BHP, </w:t>
      </w:r>
      <w:r w:rsidR="007F071A">
        <w:rPr>
          <w:rFonts w:cs="Arial"/>
        </w:rPr>
        <w:t>2024</w:t>
      </w:r>
      <w:r w:rsidRPr="00AF2F1B">
        <w:rPr>
          <w:rFonts w:cs="Arial"/>
        </w:rPr>
        <w:t xml:space="preserve">). BHP can </w:t>
      </w:r>
      <w:r w:rsidR="00823C25">
        <w:rPr>
          <w:rFonts w:cs="Arial"/>
        </w:rPr>
        <w:t>piggyback</w:t>
      </w:r>
      <w:r w:rsidRPr="00AF2F1B">
        <w:rPr>
          <w:rFonts w:cs="Arial"/>
        </w:rPr>
        <w:t xml:space="preserve"> on measured performance on emissions, water and biodiversity, set itself apart from less forward-thinking competitors while gaining the trust of investors and industrial customers that invest based on ESG.</w:t>
      </w:r>
    </w:p>
    <w:p w14:paraId="67538170" w14:textId="01A265BD" w:rsidR="00322D06" w:rsidRPr="00AF2F1B" w:rsidRDefault="00241331" w:rsidP="00AF2F1B">
      <w:pPr>
        <w:spacing w:after="0"/>
        <w:rPr>
          <w:rFonts w:cs="Arial"/>
        </w:rPr>
      </w:pPr>
      <w:r w:rsidRPr="00AF2F1B">
        <w:rPr>
          <w:rFonts w:cs="Arial"/>
        </w:rPr>
        <w:t>However,</w:t>
      </w:r>
      <w:r w:rsidRPr="00AF2F1B">
        <w:rPr>
          <w:rFonts w:cs="Arial"/>
        </w:rPr>
        <w:t xml:space="preserve"> there are paradoxes in nature. While transition mineral prices are increasing, mining is typically a </w:t>
      </w:r>
      <w:r w:rsidRPr="00AF2F1B">
        <w:rPr>
          <w:rFonts w:cs="Arial"/>
        </w:rPr>
        <w:t>carbon-</w:t>
      </w:r>
      <w:r w:rsidRPr="00AF2F1B">
        <w:rPr>
          <w:rFonts w:cs="Arial"/>
        </w:rPr>
        <w:t xml:space="preserve"> and </w:t>
      </w:r>
      <w:r w:rsidRPr="00AF2F1B">
        <w:rPr>
          <w:rFonts w:cs="Arial"/>
        </w:rPr>
        <w:t>resource-heavy</w:t>
      </w:r>
      <w:r w:rsidRPr="00AF2F1B">
        <w:rPr>
          <w:rFonts w:cs="Arial"/>
        </w:rPr>
        <w:t xml:space="preserve"> industry. Even with the extraction of copper and nickel, land disturbance occurs, waste is produced</w:t>
      </w:r>
      <w:r w:rsidR="00823C25">
        <w:rPr>
          <w:rFonts w:cs="Arial"/>
        </w:rPr>
        <w:t>,</w:t>
      </w:r>
      <w:r w:rsidRPr="00AF2F1B">
        <w:rPr>
          <w:rFonts w:cs="Arial"/>
        </w:rPr>
        <w:t xml:space="preserve"> and energy </w:t>
      </w:r>
      <w:r w:rsidR="00823C25">
        <w:rPr>
          <w:rFonts w:cs="Arial"/>
        </w:rPr>
        <w:t xml:space="preserve">is </w:t>
      </w:r>
      <w:r w:rsidRPr="00AF2F1B">
        <w:rPr>
          <w:rFonts w:cs="Arial"/>
        </w:rPr>
        <w:t>required, so here is a paradox supporting a greener economy with activities that are environmentally demanding. This leaves BHP vulnerable to the risk of environmental claims that are either flawed or unsupported</w:t>
      </w:r>
      <w:r w:rsidR="00823C25">
        <w:rPr>
          <w:rFonts w:cs="Arial"/>
        </w:rPr>
        <w:t>, and</w:t>
      </w:r>
      <w:r w:rsidRPr="00AF2F1B">
        <w:rPr>
          <w:rFonts w:cs="Arial"/>
        </w:rPr>
        <w:t xml:space="preserve"> </w:t>
      </w:r>
      <w:r w:rsidR="00823C25">
        <w:rPr>
          <w:rFonts w:cs="Arial"/>
        </w:rPr>
        <w:t xml:space="preserve">of </w:t>
      </w:r>
      <w:r w:rsidRPr="00AF2F1B">
        <w:rPr>
          <w:rFonts w:cs="Arial"/>
        </w:rPr>
        <w:t>being accused of selective sustainability or greenwashing. Thus, the reduction in its carbon footprint requires offsetting, through salient reports and measurable targets, with operational carbon reduction</w:t>
      </w:r>
      <w:r w:rsidR="007F071A">
        <w:rPr>
          <w:rFonts w:cs="Arial"/>
        </w:rPr>
        <w:t xml:space="preserve"> </w:t>
      </w:r>
      <w:r w:rsidR="007F071A" w:rsidRPr="007F071A">
        <w:rPr>
          <w:rFonts w:cs="Arial"/>
        </w:rPr>
        <w:t>(PwC, 2024)</w:t>
      </w:r>
      <w:r w:rsidRPr="00AF2F1B">
        <w:rPr>
          <w:rFonts w:cs="Arial"/>
        </w:rPr>
        <w:t>.</w:t>
      </w:r>
    </w:p>
    <w:p w14:paraId="09998AD8" w14:textId="77777777" w:rsidR="00322D06" w:rsidRPr="00AF2F1B" w:rsidRDefault="00322D06" w:rsidP="00AF2F1B">
      <w:pPr>
        <w:pStyle w:val="Heading2"/>
        <w:spacing w:after="0"/>
        <w:rPr>
          <w:rFonts w:eastAsiaTheme="majorEastAsia" w:cs="Arial"/>
        </w:rPr>
      </w:pPr>
      <w:bookmarkStart w:id="4" w:name="_Toc233309691"/>
      <w:r w:rsidRPr="00AF2F1B">
        <w:rPr>
          <w:rFonts w:eastAsiaTheme="majorEastAsia" w:cs="Arial"/>
        </w:rPr>
        <w:t>2. Political Environment</w:t>
      </w:r>
      <w:bookmarkEnd w:id="4"/>
    </w:p>
    <w:p w14:paraId="551159F7" w14:textId="4E25B064" w:rsidR="00AF2F1B" w:rsidRPr="00AF2F1B" w:rsidRDefault="00AF2F1B" w:rsidP="00AF2F1B">
      <w:pPr>
        <w:spacing w:after="0"/>
        <w:rPr>
          <w:rFonts w:cs="Arial"/>
        </w:rPr>
      </w:pPr>
      <w:r w:rsidRPr="00AF2F1B">
        <w:rPr>
          <w:rFonts w:cs="Arial"/>
        </w:rPr>
        <w:t xml:space="preserve">The second key factor impacting BHP's shift is the political landscape. This encompasses government policy, government </w:t>
      </w:r>
      <w:r w:rsidR="00823C25">
        <w:rPr>
          <w:rFonts w:cs="Arial"/>
        </w:rPr>
        <w:t>legislation</w:t>
      </w:r>
      <w:r w:rsidRPr="00AF2F1B">
        <w:rPr>
          <w:rFonts w:cs="Arial"/>
        </w:rPr>
        <w:t xml:space="preserve">, government taxation, government regulations, trade policies and general government intervention affecting the market and business practices (Kotler et al., 2024). The political climate is vital for BHP because mining is heavily regulated, scattered across the globe and closely </w:t>
      </w:r>
      <w:r w:rsidRPr="00AF2F1B">
        <w:rPr>
          <w:rFonts w:cs="Arial"/>
        </w:rPr>
        <w:lastRenderedPageBreak/>
        <w:t>related to climate policy, critical minerals strategy and priorities for the country's economy.</w:t>
      </w:r>
    </w:p>
    <w:p w14:paraId="15B54BAC" w14:textId="1701FFA9" w:rsidR="00AF2F1B" w:rsidRPr="00AF2F1B" w:rsidRDefault="00AF2F1B" w:rsidP="00AF2F1B">
      <w:pPr>
        <w:spacing w:after="0"/>
        <w:rPr>
          <w:rFonts w:cs="Arial"/>
        </w:rPr>
      </w:pPr>
      <w:r w:rsidRPr="00AF2F1B">
        <w:rPr>
          <w:rFonts w:cs="Arial"/>
        </w:rPr>
        <w:t>A major factor is the strengthening of the climate and environmental laws. Net zero objectives, carbon pricing, and disclosure of emissions</w:t>
      </w:r>
      <w:r w:rsidR="00823C25">
        <w:rPr>
          <w:rFonts w:cs="Arial"/>
        </w:rPr>
        <w:t>,</w:t>
      </w:r>
      <w:r w:rsidRPr="00AF2F1B">
        <w:rPr>
          <w:rFonts w:cs="Arial"/>
        </w:rPr>
        <w:t xml:space="preserve"> combined with more stringent environmental regulations</w:t>
      </w:r>
      <w:r w:rsidR="00823C25">
        <w:rPr>
          <w:rFonts w:cs="Arial"/>
        </w:rPr>
        <w:t>,</w:t>
      </w:r>
      <w:r w:rsidRPr="00AF2F1B">
        <w:rPr>
          <w:rFonts w:cs="Arial"/>
        </w:rPr>
        <w:t xml:space="preserve"> are becoming more popular amongst governments. The measures will increase pressure </w:t>
      </w:r>
      <w:r w:rsidR="00823C25">
        <w:rPr>
          <w:rFonts w:cs="Arial"/>
        </w:rPr>
        <w:t>to reduce</w:t>
      </w:r>
      <w:r w:rsidRPr="00AF2F1B">
        <w:rPr>
          <w:rFonts w:cs="Arial"/>
        </w:rPr>
        <w:t xml:space="preserve"> emissions and </w:t>
      </w:r>
      <w:r w:rsidR="00823C25">
        <w:rPr>
          <w:rFonts w:cs="Arial"/>
        </w:rPr>
        <w:t>provide</w:t>
      </w:r>
      <w:r w:rsidRPr="00AF2F1B">
        <w:rPr>
          <w:rFonts w:cs="Arial"/>
        </w:rPr>
        <w:t xml:space="preserve"> </w:t>
      </w:r>
      <w:r w:rsidR="00823C25">
        <w:rPr>
          <w:rFonts w:cs="Arial"/>
        </w:rPr>
        <w:t>lower-carbon</w:t>
      </w:r>
      <w:r w:rsidRPr="00AF2F1B">
        <w:rPr>
          <w:rFonts w:cs="Arial"/>
        </w:rPr>
        <w:t xml:space="preserve"> products to BHP's customers, impacting BHP's cost of doing business, investment, and product strategy</w:t>
      </w:r>
      <w:r w:rsidR="007F071A">
        <w:rPr>
          <w:rFonts w:cs="Arial"/>
        </w:rPr>
        <w:t xml:space="preserve"> </w:t>
      </w:r>
      <w:r w:rsidR="007F071A" w:rsidRPr="007F071A">
        <w:rPr>
          <w:rFonts w:cs="Arial"/>
        </w:rPr>
        <w:t>(EY, 2024)</w:t>
      </w:r>
      <w:r w:rsidRPr="00AF2F1B">
        <w:rPr>
          <w:rFonts w:cs="Arial"/>
        </w:rPr>
        <w:t>. Regulation thus serves as a compliance obligation, as a 'market shaping mechanism' which can provide a boost to sustainability innovation.</w:t>
      </w:r>
    </w:p>
    <w:p w14:paraId="54167FDB" w14:textId="5DD156BB" w:rsidR="00322D06" w:rsidRPr="00AF2F1B" w:rsidRDefault="00AF2F1B" w:rsidP="00AF2F1B">
      <w:pPr>
        <w:spacing w:after="0"/>
        <w:rPr>
          <w:rFonts w:cs="Arial"/>
        </w:rPr>
      </w:pPr>
      <w:r w:rsidRPr="00AF2F1B">
        <w:rPr>
          <w:rFonts w:cs="Arial"/>
        </w:rPr>
        <w:t xml:space="preserve">The second political element is </w:t>
      </w:r>
      <w:r w:rsidR="00823C25">
        <w:rPr>
          <w:rFonts w:cs="Arial"/>
        </w:rPr>
        <w:t>the</w:t>
      </w:r>
      <w:r w:rsidRPr="00AF2F1B">
        <w:rPr>
          <w:rFonts w:cs="Arial"/>
        </w:rPr>
        <w:t xml:space="preserve"> strategic importance of critical minerals. Copper and nickel are now </w:t>
      </w:r>
      <w:r w:rsidR="00823C25">
        <w:rPr>
          <w:rFonts w:cs="Arial"/>
        </w:rPr>
        <w:t>recognised</w:t>
      </w:r>
      <w:r w:rsidRPr="00AF2F1B">
        <w:rPr>
          <w:rFonts w:cs="Arial"/>
        </w:rPr>
        <w:t xml:space="preserve"> as key enablers of energy security, industrial resiliency and supply chains for clean technology in many countries. Support for battery production</w:t>
      </w:r>
      <w:r w:rsidR="00823C25">
        <w:rPr>
          <w:rFonts w:cs="Arial"/>
        </w:rPr>
        <w:t xml:space="preserve"> and</w:t>
      </w:r>
      <w:r w:rsidRPr="00AF2F1B">
        <w:rPr>
          <w:rFonts w:cs="Arial"/>
        </w:rPr>
        <w:t xml:space="preserve"> domestic clean energy investment </w:t>
      </w:r>
      <w:r w:rsidR="00823C25">
        <w:rPr>
          <w:rFonts w:cs="Arial"/>
        </w:rPr>
        <w:t>in</w:t>
      </w:r>
      <w:r w:rsidRPr="00AF2F1B">
        <w:rPr>
          <w:rFonts w:cs="Arial"/>
        </w:rPr>
        <w:t xml:space="preserve"> renewable infrastructure is expected to boost BHP's mineral demand as the company produces them (IEA, 2023). Meanwhile, political interference can drive up competition and intensify local content policy and resource nationalism. Political characteristics have a broad impact on BHP, as they drive regulatory incentives and risks and the market opportunities for BHP's </w:t>
      </w:r>
      <w:r w:rsidR="00823C25">
        <w:rPr>
          <w:rFonts w:cs="Arial"/>
        </w:rPr>
        <w:t>lower-carbon</w:t>
      </w:r>
      <w:r w:rsidRPr="00AF2F1B">
        <w:rPr>
          <w:rFonts w:cs="Arial"/>
        </w:rPr>
        <w:t xml:space="preserve"> transition.</w:t>
      </w:r>
    </w:p>
    <w:p w14:paraId="052E371A" w14:textId="77777777" w:rsidR="00E826B3" w:rsidRPr="00AF2F1B" w:rsidRDefault="00E826B3" w:rsidP="00AF2F1B">
      <w:pPr>
        <w:pStyle w:val="Heading1"/>
        <w:spacing w:before="0" w:after="0"/>
        <w:rPr>
          <w:rFonts w:cs="Arial"/>
          <w:szCs w:val="24"/>
        </w:rPr>
      </w:pPr>
      <w:bookmarkStart w:id="5" w:name="_Toc233309692"/>
      <w:r w:rsidRPr="00AF2F1B">
        <w:rPr>
          <w:rFonts w:cs="Arial"/>
          <w:szCs w:val="24"/>
        </w:rPr>
        <w:t>Task 2: Strategic Growth and Competitive Positioning</w:t>
      </w:r>
      <w:bookmarkEnd w:id="5"/>
    </w:p>
    <w:p w14:paraId="59049DF6" w14:textId="77777777" w:rsidR="00E826B3" w:rsidRPr="00AF2F1B" w:rsidRDefault="00E826B3" w:rsidP="00AF2F1B">
      <w:pPr>
        <w:pStyle w:val="Heading2"/>
        <w:spacing w:after="0"/>
        <w:rPr>
          <w:rFonts w:cs="Arial"/>
        </w:rPr>
      </w:pPr>
      <w:bookmarkStart w:id="6" w:name="_Toc233309693"/>
      <w:r w:rsidRPr="00AF2F1B">
        <w:rPr>
          <w:rFonts w:cs="Arial"/>
        </w:rPr>
        <w:t>Strategic Growth Using the Ansoff Matrix</w:t>
      </w:r>
      <w:bookmarkEnd w:id="6"/>
    </w:p>
    <w:p w14:paraId="5052A6E7" w14:textId="372DC32E" w:rsidR="00AF2F1B" w:rsidRPr="00AF2F1B" w:rsidRDefault="00AF2F1B" w:rsidP="00AF2F1B">
      <w:pPr>
        <w:spacing w:after="0"/>
        <w:rPr>
          <w:rFonts w:cs="Arial"/>
        </w:rPr>
      </w:pPr>
      <w:r w:rsidRPr="00AF2F1B">
        <w:rPr>
          <w:rFonts w:cs="Arial"/>
        </w:rPr>
        <w:t>BHP needs a growth plan that encompasses commercial expansion and decarbonisation, building on the environmental analysis. The Ansoff Matrix is suitable for the situation because it outlines the key areas of assessing growth strategies as Market penetration, Product development, Market development and Diversification (Hooley et al., 2020). Product development, coupled selectively with market development</w:t>
      </w:r>
      <w:r w:rsidR="00823C25">
        <w:rPr>
          <w:rFonts w:cs="Arial"/>
        </w:rPr>
        <w:t>,</w:t>
      </w:r>
      <w:r w:rsidRPr="00AF2F1B">
        <w:rPr>
          <w:rFonts w:cs="Arial"/>
        </w:rPr>
        <w:t xml:space="preserve"> is the best strategic option for BHP.</w:t>
      </w:r>
    </w:p>
    <w:p w14:paraId="0DD9C6A9" w14:textId="3683DA07" w:rsidR="00AF2F1B" w:rsidRPr="00AF2F1B" w:rsidRDefault="00AF2F1B" w:rsidP="00AF2F1B">
      <w:pPr>
        <w:spacing w:after="0"/>
        <w:rPr>
          <w:rFonts w:cs="Arial"/>
        </w:rPr>
      </w:pPr>
      <w:r w:rsidRPr="00AF2F1B">
        <w:rPr>
          <w:rFonts w:cs="Arial"/>
        </w:rPr>
        <w:t xml:space="preserve">Market Penetration provides an opportunity to sell more of BHP's current product in the current market. This may provide a quick fix for </w:t>
      </w:r>
      <w:r w:rsidR="00823C25">
        <w:rPr>
          <w:rFonts w:cs="Arial"/>
        </w:rPr>
        <w:t>cash flow</w:t>
      </w:r>
      <w:r w:rsidRPr="00AF2F1B">
        <w:rPr>
          <w:rFonts w:cs="Arial"/>
        </w:rPr>
        <w:t xml:space="preserve">, but it is not enough to be a sustainable </w:t>
      </w:r>
      <w:r w:rsidR="00823C25">
        <w:rPr>
          <w:rFonts w:cs="Arial"/>
        </w:rPr>
        <w:t>lower-carbon</w:t>
      </w:r>
      <w:r w:rsidRPr="00AF2F1B">
        <w:rPr>
          <w:rFonts w:cs="Arial"/>
        </w:rPr>
        <w:t xml:space="preserve"> growth strategy</w:t>
      </w:r>
      <w:r w:rsidR="00823C25">
        <w:rPr>
          <w:rFonts w:cs="Arial"/>
        </w:rPr>
        <w:t>,</w:t>
      </w:r>
      <w:r w:rsidRPr="00AF2F1B">
        <w:rPr>
          <w:rFonts w:cs="Arial"/>
        </w:rPr>
        <w:t xml:space="preserve"> as it does not alter the value proposition or respond effectively to customer demand for more sustainable materials</w:t>
      </w:r>
      <w:r w:rsidR="007F071A">
        <w:rPr>
          <w:rFonts w:cs="Arial"/>
        </w:rPr>
        <w:t xml:space="preserve"> </w:t>
      </w:r>
      <w:r w:rsidR="007F071A" w:rsidRPr="007F071A">
        <w:rPr>
          <w:rFonts w:cs="Arial"/>
        </w:rPr>
        <w:t>(PwC, 2024)</w:t>
      </w:r>
      <w:r w:rsidRPr="00AF2F1B">
        <w:rPr>
          <w:rFonts w:cs="Arial"/>
        </w:rPr>
        <w:t>. However, merely promoting the sales of current mineral commodities would not satisfactorily satisfy environmental and political pressures as identified in Task 1, as their carbon profile would remain unchanged.</w:t>
      </w:r>
    </w:p>
    <w:p w14:paraId="76A6F398" w14:textId="471077D1" w:rsidR="00AF2F1B" w:rsidRPr="00AF2F1B" w:rsidRDefault="00AF2F1B" w:rsidP="00AF2F1B">
      <w:pPr>
        <w:spacing w:after="0"/>
        <w:rPr>
          <w:rFonts w:cs="Arial"/>
        </w:rPr>
      </w:pPr>
      <w:r w:rsidRPr="00AF2F1B">
        <w:rPr>
          <w:rFonts w:cs="Arial"/>
        </w:rPr>
        <w:lastRenderedPageBreak/>
        <w:t xml:space="preserve">Market development would require the penetration of new geographic and product markets with current products. It may be helpful for BHP in regions where governments are doing a tremendous amount to promote clean energy, electric vehicles, and the grid. But market development is still built on the current product slate, and that is not enough to establish BHP as a leader in </w:t>
      </w:r>
      <w:r w:rsidR="00823C25">
        <w:rPr>
          <w:rFonts w:cs="Arial"/>
        </w:rPr>
        <w:t>lower-carbon</w:t>
      </w:r>
      <w:r w:rsidRPr="00AF2F1B">
        <w:rPr>
          <w:rFonts w:cs="Arial"/>
        </w:rPr>
        <w:t xml:space="preserve"> mining.</w:t>
      </w:r>
    </w:p>
    <w:p w14:paraId="7DDC02E1" w14:textId="6B377955" w:rsidR="00AF2F1B" w:rsidRPr="00AF2F1B" w:rsidRDefault="00AF2F1B" w:rsidP="00AF2F1B">
      <w:pPr>
        <w:spacing w:after="0"/>
        <w:rPr>
          <w:rFonts w:cs="Arial"/>
        </w:rPr>
      </w:pPr>
      <w:r w:rsidRPr="00AF2F1B">
        <w:rPr>
          <w:rFonts w:cs="Arial"/>
        </w:rPr>
        <w:t xml:space="preserve">Diversification would mean bringing in totally different products and markets, such as investing in other clean-tech related markets, </w:t>
      </w:r>
      <w:r w:rsidR="00823C25">
        <w:rPr>
          <w:rFonts w:cs="Arial"/>
        </w:rPr>
        <w:t>on</w:t>
      </w:r>
      <w:r w:rsidRPr="00AF2F1B">
        <w:rPr>
          <w:rFonts w:cs="Arial"/>
        </w:rPr>
        <w:t xml:space="preserve"> a different scale. While diversification could provide future opportunities, it carries the greatest risk as it would put the company in positions beyond those of the large-scale mining, mineral processing and industrial supply strength which BHP has</w:t>
      </w:r>
      <w:r w:rsidR="007F071A">
        <w:rPr>
          <w:rFonts w:cs="Arial"/>
        </w:rPr>
        <w:t xml:space="preserve"> </w:t>
      </w:r>
      <w:r w:rsidR="007F071A" w:rsidRPr="007F071A">
        <w:rPr>
          <w:rFonts w:cs="Arial"/>
        </w:rPr>
        <w:t>(World Economic Forum, 2024</w:t>
      </w:r>
      <w:r w:rsidR="007F071A">
        <w:rPr>
          <w:rFonts w:cs="Arial"/>
        </w:rPr>
        <w:t>)</w:t>
      </w:r>
      <w:r w:rsidRPr="00AF2F1B">
        <w:rPr>
          <w:rFonts w:cs="Arial"/>
        </w:rPr>
        <w:t>.</w:t>
      </w:r>
    </w:p>
    <w:p w14:paraId="7C676AE5" w14:textId="5E79FF22" w:rsidR="00AF2F1B" w:rsidRPr="00AF2F1B" w:rsidRDefault="00AF2F1B" w:rsidP="00AF2F1B">
      <w:pPr>
        <w:spacing w:after="0"/>
        <w:rPr>
          <w:rFonts w:cs="Arial"/>
        </w:rPr>
      </w:pPr>
      <w:r w:rsidRPr="00AF2F1B">
        <w:rPr>
          <w:rFonts w:cs="Arial"/>
        </w:rPr>
        <w:t xml:space="preserve">Therefore, most likely </w:t>
      </w:r>
      <w:r w:rsidR="007F071A" w:rsidRPr="00AF2F1B">
        <w:rPr>
          <w:rFonts w:cs="Arial"/>
        </w:rPr>
        <w:t>its</w:t>
      </w:r>
      <w:r w:rsidRPr="00AF2F1B">
        <w:rPr>
          <w:rFonts w:cs="Arial"/>
        </w:rPr>
        <w:t xml:space="preserve"> product development </w:t>
      </w:r>
      <w:r w:rsidR="007F071A">
        <w:rPr>
          <w:rFonts w:cs="Arial"/>
        </w:rPr>
        <w:t>will offer</w:t>
      </w:r>
      <w:r w:rsidRPr="00AF2F1B">
        <w:rPr>
          <w:rFonts w:cs="Arial"/>
        </w:rPr>
        <w:t xml:space="preserve"> new or lower carbon versions for current industrial customers. This would be a good strategy for BHP since they already have customer contact, scale, technological expertise and access to commodity markets. BHP's product development enables it to tailor its offering to the </w:t>
      </w:r>
      <w:r w:rsidR="00823C25">
        <w:rPr>
          <w:rFonts w:cs="Arial"/>
        </w:rPr>
        <w:t>low-carbon</w:t>
      </w:r>
      <w:r w:rsidRPr="00AF2F1B">
        <w:rPr>
          <w:rFonts w:cs="Arial"/>
        </w:rPr>
        <w:t xml:space="preserve"> transition while maintaining its existing business model.</w:t>
      </w:r>
    </w:p>
    <w:p w14:paraId="49A3A558" w14:textId="6A0D7876" w:rsidR="007F071A" w:rsidRDefault="00AF2F1B" w:rsidP="00AF2F1B">
      <w:pPr>
        <w:spacing w:after="0"/>
        <w:rPr>
          <w:rFonts w:cs="Arial"/>
        </w:rPr>
      </w:pPr>
      <w:r w:rsidRPr="00AF2F1B">
        <w:rPr>
          <w:rFonts w:cs="Arial"/>
        </w:rPr>
        <w:t>BHP may have multiple avenues to pursue its product development. First, the company has the potential to increase the production and distribution of copper and nickel products with lower carbon footprints, which are backed by renewable electricity generation, emissions reduction programs and clear LCA information. This would be welcome by the automotive, battery and renewable electricity sectors faced with the challenge to decarbonise their supply chain</w:t>
      </w:r>
      <w:r w:rsidR="007F071A">
        <w:rPr>
          <w:rFonts w:cs="Arial"/>
        </w:rPr>
        <w:t xml:space="preserve"> (</w:t>
      </w:r>
      <w:r w:rsidR="007F071A" w:rsidRPr="007F071A">
        <w:rPr>
          <w:rFonts w:cs="Arial"/>
        </w:rPr>
        <w:t>UNEP, 2023)</w:t>
      </w:r>
      <w:r w:rsidRPr="00AF2F1B">
        <w:rPr>
          <w:rFonts w:cs="Arial"/>
        </w:rPr>
        <w:t xml:space="preserve">. </w:t>
      </w:r>
    </w:p>
    <w:p w14:paraId="6BEDCEFD" w14:textId="16A16B72" w:rsidR="00E826B3" w:rsidRPr="00AF2F1B" w:rsidRDefault="00AF2F1B" w:rsidP="00AF2F1B">
      <w:pPr>
        <w:spacing w:after="0"/>
        <w:rPr>
          <w:rFonts w:cs="Arial"/>
        </w:rPr>
      </w:pPr>
      <w:r w:rsidRPr="00AF2F1B">
        <w:rPr>
          <w:rFonts w:cs="Arial"/>
        </w:rPr>
        <w:t xml:space="preserve">Secondly, BHP can invest in adopting </w:t>
      </w:r>
      <w:r w:rsidR="00823C25">
        <w:rPr>
          <w:rFonts w:cs="Arial"/>
        </w:rPr>
        <w:t>low-carbon</w:t>
      </w:r>
      <w:r w:rsidRPr="00AF2F1B">
        <w:rPr>
          <w:rFonts w:cs="Arial"/>
        </w:rPr>
        <w:t xml:space="preserve"> iron ore projects and </w:t>
      </w:r>
      <w:r w:rsidR="00823C25">
        <w:rPr>
          <w:rFonts w:cs="Arial"/>
        </w:rPr>
        <w:t>a steelmakers'</w:t>
      </w:r>
      <w:r w:rsidRPr="00AF2F1B">
        <w:rPr>
          <w:rFonts w:cs="Arial"/>
        </w:rPr>
        <w:t xml:space="preserve"> price alliance to be able to capture emissions reduction during the steel production value chain. The potential improvement towards the </w:t>
      </w:r>
      <w:r w:rsidR="00823C25">
        <w:rPr>
          <w:rFonts w:cs="Arial"/>
        </w:rPr>
        <w:t>low-carbon</w:t>
      </w:r>
      <w:r w:rsidRPr="00AF2F1B">
        <w:rPr>
          <w:rFonts w:cs="Arial"/>
        </w:rPr>
        <w:t xml:space="preserve"> future of steelmaking would further validate BHP's strategic importance, as steel is one of the biggest industrial emissions sources in the world. Third, BHP will be able to create services for customers with added value through sustainability issues, like support with the </w:t>
      </w:r>
      <w:r w:rsidRPr="00AF2F1B">
        <w:rPr>
          <w:rFonts w:cs="Arial"/>
        </w:rPr>
        <w:t>reporting</w:t>
      </w:r>
      <w:r w:rsidRPr="00AF2F1B">
        <w:rPr>
          <w:rFonts w:cs="Arial"/>
        </w:rPr>
        <w:t xml:space="preserve"> of emissions, information in respect of traceability, </w:t>
      </w:r>
      <w:r w:rsidRPr="00AF2F1B">
        <w:rPr>
          <w:rFonts w:cs="Arial"/>
        </w:rPr>
        <w:t xml:space="preserve">and </w:t>
      </w:r>
      <w:r w:rsidRPr="00AF2F1B">
        <w:rPr>
          <w:rFonts w:cs="Arial"/>
        </w:rPr>
        <w:t xml:space="preserve">carbon-accounting data. This would shift the role of the company from </w:t>
      </w:r>
      <w:r w:rsidRPr="00AF2F1B">
        <w:rPr>
          <w:rFonts w:cs="Arial"/>
        </w:rPr>
        <w:t xml:space="preserve">a </w:t>
      </w:r>
      <w:r w:rsidRPr="00AF2F1B">
        <w:rPr>
          <w:rFonts w:cs="Arial"/>
        </w:rPr>
        <w:t>commodity supplier to a strategic sustainability partner.</w:t>
      </w:r>
    </w:p>
    <w:p w14:paraId="1D2AA78A" w14:textId="77777777" w:rsidR="00E826B3" w:rsidRPr="00AF2F1B" w:rsidRDefault="00E826B3" w:rsidP="00AF2F1B">
      <w:pPr>
        <w:pStyle w:val="Heading2"/>
        <w:spacing w:after="0"/>
        <w:rPr>
          <w:rFonts w:cs="Arial"/>
        </w:rPr>
      </w:pPr>
      <w:bookmarkStart w:id="7" w:name="_Toc233309694"/>
      <w:r w:rsidRPr="00AF2F1B">
        <w:rPr>
          <w:rFonts w:cs="Arial"/>
        </w:rPr>
        <w:t>Competitive Positioning</w:t>
      </w:r>
      <w:bookmarkEnd w:id="7"/>
    </w:p>
    <w:p w14:paraId="6851757C" w14:textId="014231C0" w:rsidR="00AF2F1B" w:rsidRPr="00AF2F1B" w:rsidRDefault="00AF2F1B" w:rsidP="00AF2F1B">
      <w:pPr>
        <w:spacing w:after="0"/>
        <w:rPr>
          <w:rFonts w:cs="Arial"/>
        </w:rPr>
      </w:pPr>
      <w:r w:rsidRPr="00AF2F1B">
        <w:rPr>
          <w:rFonts w:cs="Arial"/>
        </w:rPr>
        <w:t xml:space="preserve">BHP needs a differentiation strategy to </w:t>
      </w:r>
      <w:r w:rsidR="00823C25">
        <w:rPr>
          <w:rFonts w:cs="Arial"/>
        </w:rPr>
        <w:t>capitalise</w:t>
      </w:r>
      <w:r w:rsidRPr="00AF2F1B">
        <w:rPr>
          <w:rFonts w:cs="Arial"/>
        </w:rPr>
        <w:t xml:space="preserve"> on this growth track. One advantage </w:t>
      </w:r>
      <w:r w:rsidR="007F071A">
        <w:rPr>
          <w:rFonts w:cs="Arial"/>
        </w:rPr>
        <w:t xml:space="preserve">an </w:t>
      </w:r>
      <w:r w:rsidR="007F071A" w:rsidRPr="00AF2F1B">
        <w:rPr>
          <w:rFonts w:cs="Arial"/>
        </w:rPr>
        <w:t>organisation</w:t>
      </w:r>
      <w:r w:rsidRPr="00AF2F1B">
        <w:rPr>
          <w:rFonts w:cs="Arial"/>
        </w:rPr>
        <w:t xml:space="preserve"> can gain is </w:t>
      </w:r>
      <w:r w:rsidR="007F071A">
        <w:rPr>
          <w:rFonts w:cs="Arial"/>
        </w:rPr>
        <w:t>its</w:t>
      </w:r>
      <w:r w:rsidRPr="00AF2F1B">
        <w:rPr>
          <w:rFonts w:cs="Arial"/>
        </w:rPr>
        <w:t xml:space="preserve"> ability to provide unique value that customers view as better than </w:t>
      </w:r>
      <w:r w:rsidR="00823C25">
        <w:rPr>
          <w:rFonts w:cs="Arial"/>
        </w:rPr>
        <w:t xml:space="preserve">the </w:t>
      </w:r>
      <w:r w:rsidRPr="00AF2F1B">
        <w:rPr>
          <w:rFonts w:cs="Arial"/>
        </w:rPr>
        <w:t xml:space="preserve">competition (Porter 1985). For BHP, there is only one defensible basis </w:t>
      </w:r>
      <w:r w:rsidRPr="00AF2F1B">
        <w:rPr>
          <w:rFonts w:cs="Arial"/>
        </w:rPr>
        <w:lastRenderedPageBreak/>
        <w:t>of differentiation: the ability to offer credible, lower-carbon mineral products and sustainability performance with assurance, through the back of traceability and strategic collaboration.</w:t>
      </w:r>
    </w:p>
    <w:p w14:paraId="18150E62" w14:textId="4ED78F2F" w:rsidR="00AF2F1B" w:rsidRPr="00AF2F1B" w:rsidRDefault="00AF2F1B" w:rsidP="00AF2F1B">
      <w:pPr>
        <w:spacing w:after="0"/>
        <w:rPr>
          <w:rFonts w:cs="Arial"/>
        </w:rPr>
      </w:pPr>
      <w:r w:rsidRPr="00AF2F1B">
        <w:rPr>
          <w:rFonts w:cs="Arial"/>
        </w:rPr>
        <w:t xml:space="preserve">There are four interdependent mechanisms of differentiation. First, environmental performance can be enhanced through measures such as </w:t>
      </w:r>
      <w:r w:rsidR="00823C25">
        <w:rPr>
          <w:rFonts w:cs="Arial"/>
        </w:rPr>
        <w:t>minimising</w:t>
      </w:r>
      <w:r w:rsidRPr="00AF2F1B">
        <w:rPr>
          <w:rFonts w:cs="Arial"/>
        </w:rPr>
        <w:t xml:space="preserve"> operational emissions, growing the market share of renewables and making investments in more environmentally friendly processing. This enhances the value of its </w:t>
      </w:r>
      <w:r w:rsidR="00823C25">
        <w:rPr>
          <w:rFonts w:cs="Arial"/>
        </w:rPr>
        <w:t>low-carbon</w:t>
      </w:r>
      <w:r w:rsidRPr="00AF2F1B">
        <w:rPr>
          <w:rFonts w:cs="Arial"/>
        </w:rPr>
        <w:t xml:space="preserve"> credentials. Second, it can help increase transparency and assurance, getting verified data for customers about emission figures, sourcing and progress in sustainability</w:t>
      </w:r>
      <w:r w:rsidR="00F0703D">
        <w:rPr>
          <w:rFonts w:cs="Arial"/>
        </w:rPr>
        <w:t xml:space="preserve"> (</w:t>
      </w:r>
      <w:r w:rsidR="00F0703D" w:rsidRPr="00F0703D">
        <w:rPr>
          <w:rFonts w:cs="Arial"/>
        </w:rPr>
        <w:t>OECD, 2023)</w:t>
      </w:r>
      <w:r w:rsidRPr="00AF2F1B">
        <w:rPr>
          <w:rFonts w:cs="Arial"/>
        </w:rPr>
        <w:t xml:space="preserve">. Third, it can contribute to co-innovation partnerships with </w:t>
      </w:r>
      <w:r w:rsidR="00823C25">
        <w:rPr>
          <w:rFonts w:cs="Arial"/>
        </w:rPr>
        <w:t xml:space="preserve">the </w:t>
      </w:r>
      <w:r w:rsidRPr="00AF2F1B">
        <w:rPr>
          <w:rFonts w:cs="Arial"/>
        </w:rPr>
        <w:t>steel industry, batteries and energy companies, co-developing solutions for the industry that are lower carbon. Finally, it can help to build brand and stakeholder trust by maintaining regular sustainability reporting and responsible actions with communities, regulators and investors.</w:t>
      </w:r>
    </w:p>
    <w:p w14:paraId="36804B8D" w14:textId="2C52844C" w:rsidR="00E826B3" w:rsidRPr="00AF2F1B" w:rsidRDefault="00AF2F1B" w:rsidP="00AF2F1B">
      <w:pPr>
        <w:spacing w:after="0"/>
        <w:rPr>
          <w:rFonts w:cs="Arial"/>
        </w:rPr>
      </w:pPr>
      <w:r w:rsidRPr="00AF2F1B">
        <w:rPr>
          <w:rFonts w:cs="Arial"/>
        </w:rPr>
        <w:t xml:space="preserve">This provides a competitive edge as the customers are looking for the soft mineral </w:t>
      </w:r>
      <w:r w:rsidR="00F0703D" w:rsidRPr="00AF2F1B">
        <w:rPr>
          <w:rFonts w:cs="Arial"/>
        </w:rPr>
        <w:t>and</w:t>
      </w:r>
      <w:r w:rsidRPr="00AF2F1B">
        <w:rPr>
          <w:rFonts w:cs="Arial"/>
        </w:rPr>
        <w:t xml:space="preserve"> for the sustainability attributes as well. When BHP can prove </w:t>
      </w:r>
      <w:r w:rsidR="00823C25">
        <w:rPr>
          <w:rFonts w:cs="Arial"/>
        </w:rPr>
        <w:t>that</w:t>
      </w:r>
      <w:r w:rsidRPr="00AF2F1B">
        <w:rPr>
          <w:rFonts w:cs="Arial"/>
        </w:rPr>
        <w:t xml:space="preserve"> copper, nickel or iron ore helps customers achieve their climate targets, it’s not just a bulk supply business</w:t>
      </w:r>
      <w:r w:rsidR="00823C25">
        <w:rPr>
          <w:rFonts w:cs="Arial"/>
        </w:rPr>
        <w:t>;</w:t>
      </w:r>
      <w:r w:rsidRPr="00AF2F1B">
        <w:rPr>
          <w:rFonts w:cs="Arial"/>
        </w:rPr>
        <w:t xml:space="preserve"> it's a business that offers strategic allies in </w:t>
      </w:r>
      <w:r w:rsidR="00823C25">
        <w:rPr>
          <w:rFonts w:cs="Arial"/>
        </w:rPr>
        <w:t>low-carbon</w:t>
      </w:r>
      <w:r w:rsidRPr="00AF2F1B">
        <w:rPr>
          <w:rFonts w:cs="Arial"/>
        </w:rPr>
        <w:t xml:space="preserve"> value chains. The greatest barrier is </w:t>
      </w:r>
      <w:r w:rsidR="00823C25">
        <w:rPr>
          <w:rFonts w:cs="Arial"/>
        </w:rPr>
        <w:t>cost-effectiveness</w:t>
      </w:r>
      <w:r w:rsidRPr="00AF2F1B">
        <w:rPr>
          <w:rFonts w:cs="Arial"/>
        </w:rPr>
        <w:t xml:space="preserve">, where cleaner technologies and new systems require a substantial investment. The </w:t>
      </w:r>
      <w:r w:rsidR="00823C25">
        <w:rPr>
          <w:rFonts w:cs="Arial"/>
        </w:rPr>
        <w:t>long-term</w:t>
      </w:r>
      <w:r w:rsidRPr="00AF2F1B">
        <w:rPr>
          <w:rFonts w:cs="Arial"/>
        </w:rPr>
        <w:t xml:space="preserve"> strategic usefulness, however, is good since price competition tends to be eliminated by differentiation</w:t>
      </w:r>
      <w:r w:rsidR="00823C25">
        <w:rPr>
          <w:rFonts w:cs="Arial"/>
        </w:rPr>
        <w:t>,</w:t>
      </w:r>
      <w:r w:rsidRPr="00AF2F1B">
        <w:rPr>
          <w:rFonts w:cs="Arial"/>
        </w:rPr>
        <w:t xml:space="preserve"> and BHP fits into the future direction of industrial demand</w:t>
      </w:r>
      <w:r w:rsidR="00F0703D">
        <w:rPr>
          <w:rFonts w:cs="Arial"/>
        </w:rPr>
        <w:t xml:space="preserve"> (</w:t>
      </w:r>
      <w:proofErr w:type="spellStart"/>
      <w:r w:rsidR="00F0703D" w:rsidRPr="00F0703D">
        <w:rPr>
          <w:rFonts w:cs="Arial"/>
        </w:rPr>
        <w:t>McManners</w:t>
      </w:r>
      <w:proofErr w:type="spellEnd"/>
      <w:r w:rsidR="00F0703D" w:rsidRPr="00F0703D">
        <w:rPr>
          <w:rFonts w:cs="Arial"/>
        </w:rPr>
        <w:t>, 2024)</w:t>
      </w:r>
      <w:r w:rsidRPr="00AF2F1B">
        <w:rPr>
          <w:rFonts w:cs="Arial"/>
        </w:rPr>
        <w:t>.</w:t>
      </w:r>
    </w:p>
    <w:p w14:paraId="72DF308B" w14:textId="77777777" w:rsidR="00E826B3" w:rsidRPr="00AF2F1B" w:rsidRDefault="00E826B3" w:rsidP="00AF2F1B">
      <w:pPr>
        <w:pStyle w:val="Heading1"/>
        <w:spacing w:before="0" w:after="0"/>
        <w:rPr>
          <w:rFonts w:cs="Arial"/>
          <w:szCs w:val="24"/>
        </w:rPr>
      </w:pPr>
      <w:bookmarkStart w:id="8" w:name="_Toc233309695"/>
      <w:r w:rsidRPr="00AF2F1B">
        <w:rPr>
          <w:rFonts w:cs="Arial"/>
          <w:szCs w:val="24"/>
        </w:rPr>
        <w:t>Task 3: Critical Reflection on AI Usage</w:t>
      </w:r>
      <w:bookmarkEnd w:id="8"/>
    </w:p>
    <w:p w14:paraId="0881D2A0" w14:textId="74AA11C0" w:rsidR="00AF2F1B" w:rsidRPr="00AF2F1B" w:rsidRDefault="00AF2F1B" w:rsidP="00AF2F1B">
      <w:pPr>
        <w:spacing w:after="0"/>
        <w:rPr>
          <w:rFonts w:cs="Arial"/>
        </w:rPr>
      </w:pPr>
      <w:r w:rsidRPr="00AF2F1B">
        <w:rPr>
          <w:rFonts w:cs="Arial"/>
        </w:rPr>
        <w:t xml:space="preserve">Limited use of Artificial Intelligence (AI) was purposefully included in the preparation of this report. The primary tool adopted was ChatGPT, which participated in initial research orientation, clarifying marketing concepts and structuring ideas. This type of usage is consistent with the assessment guidance, since the use of AI was created to help with the research process or for proofreading of already written texts, but not to compose a final, </w:t>
      </w:r>
      <w:proofErr w:type="spellStart"/>
      <w:r w:rsidRPr="00AF2F1B">
        <w:rPr>
          <w:rFonts w:cs="Arial"/>
        </w:rPr>
        <w:t>submitable</w:t>
      </w:r>
      <w:proofErr w:type="spellEnd"/>
      <w:r w:rsidRPr="00AF2F1B">
        <w:rPr>
          <w:rFonts w:cs="Arial"/>
        </w:rPr>
        <w:t xml:space="preserve"> text. AI effectively identified relevant themes that were linked to BHP's lower-carbon transition, including environmental pressures, political regulation and strategic growth options. It assisted in summarising an overview of the key topics in each area prior to them being explored in the academic literature, industry reports and BHP's own publications (Kotler et al., 2024; BHP, </w:t>
      </w:r>
      <w:r w:rsidR="007F071A">
        <w:rPr>
          <w:rFonts w:cs="Arial"/>
        </w:rPr>
        <w:t>2024</w:t>
      </w:r>
      <w:r w:rsidRPr="00AF2F1B">
        <w:rPr>
          <w:rFonts w:cs="Arial"/>
        </w:rPr>
        <w:t>).</w:t>
      </w:r>
    </w:p>
    <w:p w14:paraId="7779F054" w14:textId="315CA632" w:rsidR="00AF2F1B" w:rsidRPr="00AF2F1B" w:rsidRDefault="00AF2F1B" w:rsidP="00AF2F1B">
      <w:pPr>
        <w:spacing w:after="0"/>
        <w:rPr>
          <w:rFonts w:cs="Arial"/>
        </w:rPr>
      </w:pPr>
      <w:r w:rsidRPr="00AF2F1B">
        <w:rPr>
          <w:rFonts w:cs="Arial"/>
        </w:rPr>
        <w:lastRenderedPageBreak/>
        <w:t xml:space="preserve">The primary challenge of the use of AI was verification. AI systems can generate believable but invalid information or provide arguments that are too simple or references that are fabricated or missing. </w:t>
      </w:r>
      <w:proofErr w:type="gramStart"/>
      <w:r w:rsidRPr="00AF2F1B">
        <w:rPr>
          <w:rFonts w:cs="Arial"/>
        </w:rPr>
        <w:t>In order to</w:t>
      </w:r>
      <w:proofErr w:type="gramEnd"/>
      <w:r w:rsidRPr="00AF2F1B">
        <w:rPr>
          <w:rFonts w:cs="Arial"/>
        </w:rPr>
        <w:t xml:space="preserve"> minimise this risk, any substantive claims have been reviewed with verifiable sources before being added to the report. For instance, BHP's climate transition plan, operational decarbonisation priorities and how it supports the energy transition in copper and nickel supplies were checked against BHP reports and industry sources such as the IEA's Critical Minerals Market Review (IEA, 2023; BHP, </w:t>
      </w:r>
      <w:r w:rsidR="007F071A">
        <w:rPr>
          <w:rFonts w:cs="Arial"/>
        </w:rPr>
        <w:t>2024</w:t>
      </w:r>
      <w:r w:rsidRPr="00AF2F1B">
        <w:rPr>
          <w:rFonts w:cs="Arial"/>
        </w:rPr>
        <w:t xml:space="preserve">). </w:t>
      </w:r>
      <w:r w:rsidR="00823C25">
        <w:rPr>
          <w:rFonts w:cs="Arial"/>
        </w:rPr>
        <w:t>AI-generated</w:t>
      </w:r>
      <w:r w:rsidRPr="00AF2F1B">
        <w:rPr>
          <w:rFonts w:cs="Arial"/>
        </w:rPr>
        <w:t xml:space="preserve"> suggestions that had no evidence, were too general or did not align with the length of the assignment were edited substantially or removed. This was necessary as the report was intended for critical evaluation</w:t>
      </w:r>
      <w:r w:rsidR="00823C25">
        <w:rPr>
          <w:rFonts w:cs="Arial"/>
        </w:rPr>
        <w:t>,</w:t>
      </w:r>
      <w:r w:rsidRPr="00AF2F1B">
        <w:rPr>
          <w:rFonts w:cs="Arial"/>
        </w:rPr>
        <w:t xml:space="preserve"> not </w:t>
      </w:r>
      <w:r w:rsidR="00823C25">
        <w:rPr>
          <w:rFonts w:cs="Arial"/>
        </w:rPr>
        <w:t>a</w:t>
      </w:r>
      <w:r w:rsidRPr="00AF2F1B">
        <w:rPr>
          <w:rFonts w:cs="Arial"/>
        </w:rPr>
        <w:t xml:space="preserve"> verbatim summary of the report.</w:t>
      </w:r>
    </w:p>
    <w:p w14:paraId="1C05CD2A" w14:textId="01CB4A06" w:rsidR="00AF2F1B" w:rsidRPr="00AF2F1B" w:rsidRDefault="00F0703D" w:rsidP="00AF2F1B">
      <w:pPr>
        <w:spacing w:after="0"/>
        <w:rPr>
          <w:rFonts w:cs="Arial"/>
        </w:rPr>
      </w:pPr>
      <w:r w:rsidRPr="00AF2F1B">
        <w:rPr>
          <w:rFonts w:cs="Arial"/>
        </w:rPr>
        <w:t>Furthermore</w:t>
      </w:r>
      <w:r w:rsidR="00823C25">
        <w:rPr>
          <w:rFonts w:cs="Arial"/>
        </w:rPr>
        <w:t>,</w:t>
      </w:r>
      <w:r w:rsidR="00AF2F1B" w:rsidRPr="00AF2F1B">
        <w:rPr>
          <w:rFonts w:cs="Arial"/>
        </w:rPr>
        <w:t xml:space="preserve"> there was a clear difference between the work done by AI and </w:t>
      </w:r>
      <w:r w:rsidR="00823C25">
        <w:rPr>
          <w:rFonts w:cs="Arial"/>
        </w:rPr>
        <w:t>my</w:t>
      </w:r>
      <w:r w:rsidR="00AF2F1B" w:rsidRPr="00AF2F1B">
        <w:rPr>
          <w:rFonts w:cs="Arial"/>
        </w:rPr>
        <w:t xml:space="preserve"> academic contributions from me. The ideas and topic development were generated with the help of AI, whereas the analytics were developed by </w:t>
      </w:r>
      <w:r w:rsidR="00823C25">
        <w:rPr>
          <w:rFonts w:cs="Arial"/>
        </w:rPr>
        <w:t>me</w:t>
      </w:r>
      <w:r w:rsidR="00AF2F1B" w:rsidRPr="00AF2F1B">
        <w:rPr>
          <w:rFonts w:cs="Arial"/>
        </w:rPr>
        <w:t xml:space="preserve">. Chosen BHP as the case </w:t>
      </w:r>
      <w:r w:rsidR="00AF2F1B" w:rsidRPr="00AF2F1B">
        <w:rPr>
          <w:rFonts w:cs="Arial"/>
        </w:rPr>
        <w:t>company and</w:t>
      </w:r>
      <w:r w:rsidR="00AF2F1B" w:rsidRPr="00AF2F1B">
        <w:rPr>
          <w:rFonts w:cs="Arial"/>
        </w:rPr>
        <w:t xml:space="preserve"> selected the natural and political environment actors to critically assess their impact on BHP's lower carbon transition and provide justification for product development with the Ansoff Matrix. Similarly, the concepts of competitive positioning and differentiation were elaborated upon using my own perception of the literature and the case data.</w:t>
      </w:r>
    </w:p>
    <w:p w14:paraId="17AB9B8B" w14:textId="776C4478" w:rsidR="00AF2F1B" w:rsidRDefault="00AF2F1B" w:rsidP="00AF2F1B">
      <w:pPr>
        <w:spacing w:after="0"/>
        <w:rPr>
          <w:rFonts w:cs="Arial"/>
        </w:rPr>
      </w:pPr>
      <w:r w:rsidRPr="00AF2F1B">
        <w:rPr>
          <w:rFonts w:cs="Arial"/>
        </w:rPr>
        <w:t>In addition</w:t>
      </w:r>
      <w:r w:rsidR="00823C25">
        <w:rPr>
          <w:rFonts w:cs="Arial"/>
        </w:rPr>
        <w:t>,</w:t>
      </w:r>
      <w:r w:rsidRPr="00AF2F1B">
        <w:rPr>
          <w:rFonts w:cs="Arial"/>
        </w:rPr>
        <w:t xml:space="preserve"> AI has raised other ethical and professional concerns. Relying too heavily on AI can undermine the ability to learn on one's own if students don't verify the data that led to the presentation. There is a transparency problem because the use of AI should be stated clearly when it has influenced the direction, language or structure of research. Overall, AI has proven beneficial by enhancing the efficiency and aiding in </w:t>
      </w:r>
      <w:r w:rsidR="00823C25">
        <w:rPr>
          <w:rFonts w:cs="Arial"/>
        </w:rPr>
        <w:t>the organisation</w:t>
      </w:r>
      <w:r w:rsidRPr="00AF2F1B">
        <w:rPr>
          <w:rFonts w:cs="Arial"/>
        </w:rPr>
        <w:t xml:space="preserve"> of the report</w:t>
      </w:r>
      <w:r w:rsidR="00823C25">
        <w:rPr>
          <w:rFonts w:cs="Arial"/>
        </w:rPr>
        <w:t>,</w:t>
      </w:r>
      <w:r w:rsidRPr="00AF2F1B">
        <w:rPr>
          <w:rFonts w:cs="Arial"/>
        </w:rPr>
        <w:t xml:space="preserve"> but </w:t>
      </w:r>
      <w:r w:rsidR="00823C25">
        <w:rPr>
          <w:rFonts w:cs="Arial"/>
        </w:rPr>
        <w:t xml:space="preserve">it </w:t>
      </w:r>
      <w:r w:rsidRPr="00AF2F1B">
        <w:rPr>
          <w:rFonts w:cs="Arial"/>
        </w:rPr>
        <w:t>was only useful upon being integrated with source checking, critical judgment and academic responsibility. AI assisted rather than replaced independent scholarly analysis</w:t>
      </w:r>
      <w:r w:rsidRPr="00AF2F1B">
        <w:rPr>
          <w:rFonts w:cs="Arial"/>
        </w:rPr>
        <w:t>.</w:t>
      </w:r>
    </w:p>
    <w:p w14:paraId="5CE09CC4" w14:textId="77777777" w:rsidR="00AF2F1B" w:rsidRDefault="00AF2F1B" w:rsidP="00AF2F1B">
      <w:pPr>
        <w:spacing w:after="0"/>
        <w:rPr>
          <w:rFonts w:cs="Arial"/>
        </w:rPr>
      </w:pPr>
    </w:p>
    <w:p w14:paraId="0E2CE017" w14:textId="2D7AD8EC" w:rsidR="00E826B3" w:rsidRPr="00AF2F1B" w:rsidRDefault="00E826B3" w:rsidP="00AF2F1B">
      <w:pPr>
        <w:spacing w:after="0"/>
        <w:rPr>
          <w:rFonts w:cs="Arial"/>
        </w:rPr>
      </w:pPr>
      <w:r w:rsidRPr="00AF2F1B">
        <w:rPr>
          <w:rFonts w:cs="Arial"/>
        </w:rPr>
        <w:br w:type="page"/>
      </w:r>
    </w:p>
    <w:p w14:paraId="27C44782" w14:textId="3757533B" w:rsidR="00E826B3" w:rsidRPr="00AF2F1B" w:rsidRDefault="00E826B3" w:rsidP="00AF2F1B">
      <w:pPr>
        <w:pStyle w:val="Heading1"/>
        <w:spacing w:before="0" w:after="0"/>
        <w:rPr>
          <w:rFonts w:cs="Arial"/>
          <w:szCs w:val="24"/>
        </w:rPr>
      </w:pPr>
      <w:bookmarkStart w:id="9" w:name="_Toc233309696"/>
      <w:r w:rsidRPr="00AF2F1B">
        <w:rPr>
          <w:rFonts w:cs="Arial"/>
          <w:szCs w:val="24"/>
        </w:rPr>
        <w:lastRenderedPageBreak/>
        <w:t>Reference</w:t>
      </w:r>
      <w:r w:rsidR="00823C25">
        <w:rPr>
          <w:rFonts w:cs="Arial"/>
          <w:szCs w:val="24"/>
        </w:rPr>
        <w:t>s</w:t>
      </w:r>
      <w:bookmarkEnd w:id="9"/>
    </w:p>
    <w:p w14:paraId="5CDA7B77" w14:textId="6FAD46EA" w:rsidR="00823C25" w:rsidRPr="00823C25" w:rsidRDefault="00823C25" w:rsidP="00823C25">
      <w:pPr>
        <w:spacing w:after="0"/>
        <w:rPr>
          <w:rFonts w:cs="Arial"/>
        </w:rPr>
      </w:pPr>
      <w:r w:rsidRPr="00823C25">
        <w:rPr>
          <w:rFonts w:cs="Arial"/>
        </w:rPr>
        <w:t xml:space="preserve">BHP (2024) </w:t>
      </w:r>
      <w:r w:rsidRPr="00823C25">
        <w:rPr>
          <w:rFonts w:cs="Arial"/>
          <w:i/>
          <w:iCs/>
        </w:rPr>
        <w:t>Annual Report 2024</w:t>
      </w:r>
      <w:r w:rsidRPr="00823C25">
        <w:rPr>
          <w:rFonts w:cs="Arial"/>
        </w:rPr>
        <w:t xml:space="preserve">. Melbourne: BHP. Available at: </w:t>
      </w:r>
      <w:hyperlink r:id="rId7" w:history="1">
        <w:r w:rsidRPr="00823C25">
          <w:rPr>
            <w:rStyle w:val="Hyperlink"/>
            <w:rFonts w:cs="Arial"/>
          </w:rPr>
          <w:t>https://www.bhp.com/investors/annual-reporting</w:t>
        </w:r>
      </w:hyperlink>
      <w:r w:rsidRPr="00823C25">
        <w:rPr>
          <w:rFonts w:cs="Arial"/>
        </w:rPr>
        <w:t xml:space="preserve"> (Accessed: </w:t>
      </w:r>
      <w:r w:rsidR="00800A2D">
        <w:rPr>
          <w:rFonts w:cs="Arial"/>
        </w:rPr>
        <w:t>18</w:t>
      </w:r>
      <w:r w:rsidRPr="00823C25">
        <w:rPr>
          <w:rFonts w:cs="Arial"/>
        </w:rPr>
        <w:t xml:space="preserve"> June 2026).</w:t>
      </w:r>
    </w:p>
    <w:p w14:paraId="44BF76A5" w14:textId="723E5E35" w:rsidR="00823C25" w:rsidRPr="00823C25" w:rsidRDefault="00823C25" w:rsidP="00823C25">
      <w:pPr>
        <w:spacing w:after="0"/>
        <w:rPr>
          <w:rFonts w:cs="Arial"/>
        </w:rPr>
      </w:pPr>
      <w:r w:rsidRPr="00823C25">
        <w:rPr>
          <w:rFonts w:cs="Arial"/>
        </w:rPr>
        <w:t xml:space="preserve">BHP (2024) </w:t>
      </w:r>
      <w:r w:rsidRPr="00823C25">
        <w:rPr>
          <w:rFonts w:cs="Arial"/>
          <w:i/>
          <w:iCs/>
        </w:rPr>
        <w:t>Climate Transition Action Plan</w:t>
      </w:r>
      <w:r w:rsidRPr="00823C25">
        <w:rPr>
          <w:rFonts w:cs="Arial"/>
        </w:rPr>
        <w:t xml:space="preserve">. Melbourne: BHP. Available at: </w:t>
      </w:r>
      <w:hyperlink r:id="rId8" w:history="1">
        <w:r w:rsidRPr="00823C25">
          <w:rPr>
            <w:rStyle w:val="Hyperlink"/>
            <w:rFonts w:cs="Arial"/>
          </w:rPr>
          <w:t>https://www.bhp.com/sustainability/climate-change</w:t>
        </w:r>
      </w:hyperlink>
      <w:r w:rsidRPr="00823C25">
        <w:rPr>
          <w:rFonts w:cs="Arial"/>
        </w:rPr>
        <w:t xml:space="preserve"> (Accessed: </w:t>
      </w:r>
      <w:r w:rsidR="00800A2D">
        <w:rPr>
          <w:rFonts w:cs="Arial"/>
        </w:rPr>
        <w:t>18</w:t>
      </w:r>
      <w:r w:rsidRPr="00823C25">
        <w:rPr>
          <w:rFonts w:cs="Arial"/>
        </w:rPr>
        <w:t xml:space="preserve"> June 2026).</w:t>
      </w:r>
    </w:p>
    <w:p w14:paraId="00377FCC" w14:textId="6DD51590" w:rsidR="00823C25" w:rsidRPr="00823C25" w:rsidRDefault="00823C25" w:rsidP="00823C25">
      <w:pPr>
        <w:spacing w:after="0"/>
        <w:rPr>
          <w:rFonts w:cs="Arial"/>
        </w:rPr>
      </w:pPr>
      <w:r w:rsidRPr="00823C25">
        <w:rPr>
          <w:rFonts w:cs="Arial"/>
        </w:rPr>
        <w:t xml:space="preserve">Deloitte (2024) </w:t>
      </w:r>
      <w:r w:rsidRPr="00823C25">
        <w:rPr>
          <w:rFonts w:cs="Arial"/>
          <w:i/>
          <w:iCs/>
        </w:rPr>
        <w:t>Tracking the Trends 2024: Mining and Metals</w:t>
      </w:r>
      <w:r w:rsidRPr="00823C25">
        <w:rPr>
          <w:rFonts w:cs="Arial"/>
        </w:rPr>
        <w:t xml:space="preserve">. London: Deloitte. Available at: </w:t>
      </w:r>
      <w:hyperlink r:id="rId9" w:history="1">
        <w:r w:rsidRPr="00823C25">
          <w:rPr>
            <w:rStyle w:val="Hyperlink"/>
            <w:rFonts w:cs="Arial"/>
          </w:rPr>
          <w:t>https://www.deloitte.com</w:t>
        </w:r>
      </w:hyperlink>
      <w:r w:rsidRPr="00823C25">
        <w:rPr>
          <w:rFonts w:cs="Arial"/>
        </w:rPr>
        <w:t xml:space="preserve"> (Accessed: </w:t>
      </w:r>
      <w:r w:rsidR="00800A2D">
        <w:rPr>
          <w:rFonts w:cs="Arial"/>
        </w:rPr>
        <w:t>18</w:t>
      </w:r>
      <w:r w:rsidRPr="00823C25">
        <w:rPr>
          <w:rFonts w:cs="Arial"/>
        </w:rPr>
        <w:t xml:space="preserve"> June 2026).</w:t>
      </w:r>
    </w:p>
    <w:p w14:paraId="6C2E5F24" w14:textId="4C80286D" w:rsidR="00823C25" w:rsidRPr="00823C25" w:rsidRDefault="00823C25" w:rsidP="00823C25">
      <w:pPr>
        <w:spacing w:after="0"/>
        <w:rPr>
          <w:rFonts w:cs="Arial"/>
        </w:rPr>
      </w:pPr>
      <w:r w:rsidRPr="00823C25">
        <w:rPr>
          <w:rFonts w:cs="Arial"/>
        </w:rPr>
        <w:t xml:space="preserve">EY (2024) </w:t>
      </w:r>
      <w:r w:rsidRPr="00823C25">
        <w:rPr>
          <w:rFonts w:cs="Arial"/>
          <w:i/>
          <w:iCs/>
        </w:rPr>
        <w:t>Top 10 Business Risks and Opportunities for Mining and Metals</w:t>
      </w:r>
      <w:r w:rsidRPr="00823C25">
        <w:rPr>
          <w:rFonts w:cs="Arial"/>
        </w:rPr>
        <w:t xml:space="preserve">. London: Ernst &amp; Young. Available at: </w:t>
      </w:r>
      <w:hyperlink r:id="rId10" w:history="1">
        <w:r w:rsidRPr="00823C25">
          <w:rPr>
            <w:rStyle w:val="Hyperlink"/>
            <w:rFonts w:cs="Arial"/>
          </w:rPr>
          <w:t>https://www.ey.com</w:t>
        </w:r>
      </w:hyperlink>
      <w:r w:rsidRPr="00823C25">
        <w:rPr>
          <w:rFonts w:cs="Arial"/>
        </w:rPr>
        <w:t xml:space="preserve"> (Accessed: </w:t>
      </w:r>
      <w:r w:rsidR="00800A2D">
        <w:rPr>
          <w:rFonts w:cs="Arial"/>
        </w:rPr>
        <w:t>18</w:t>
      </w:r>
      <w:r w:rsidRPr="00823C25">
        <w:rPr>
          <w:rFonts w:cs="Arial"/>
        </w:rPr>
        <w:t xml:space="preserve"> June 2026).</w:t>
      </w:r>
    </w:p>
    <w:p w14:paraId="4A04E476" w14:textId="77777777" w:rsidR="00823C25" w:rsidRPr="00823C25" w:rsidRDefault="00823C25" w:rsidP="00823C25">
      <w:pPr>
        <w:spacing w:after="0"/>
        <w:rPr>
          <w:rFonts w:cs="Arial"/>
        </w:rPr>
      </w:pPr>
      <w:r w:rsidRPr="00823C25">
        <w:rPr>
          <w:rFonts w:cs="Arial"/>
        </w:rPr>
        <w:t xml:space="preserve">Hooley, G., </w:t>
      </w:r>
      <w:proofErr w:type="spellStart"/>
      <w:r w:rsidRPr="00823C25">
        <w:rPr>
          <w:rFonts w:cs="Arial"/>
        </w:rPr>
        <w:t>Nicoulaud</w:t>
      </w:r>
      <w:proofErr w:type="spellEnd"/>
      <w:r w:rsidRPr="00823C25">
        <w:rPr>
          <w:rFonts w:cs="Arial"/>
        </w:rPr>
        <w:t xml:space="preserve">, B., Rudd, J. and Lee, N. (2020) </w:t>
      </w:r>
      <w:r w:rsidRPr="00823C25">
        <w:rPr>
          <w:rFonts w:cs="Arial"/>
          <w:i/>
          <w:iCs/>
        </w:rPr>
        <w:t>Marketing Strategy and Competitive Positioning</w:t>
      </w:r>
      <w:r w:rsidRPr="00823C25">
        <w:rPr>
          <w:rFonts w:cs="Arial"/>
        </w:rPr>
        <w:t>. 7th edn. Harlow: Pearson.</w:t>
      </w:r>
    </w:p>
    <w:p w14:paraId="38BD58D0" w14:textId="5168A362" w:rsidR="00823C25" w:rsidRPr="00823C25" w:rsidRDefault="00823C25" w:rsidP="00823C25">
      <w:pPr>
        <w:spacing w:after="0"/>
        <w:rPr>
          <w:rFonts w:cs="Arial"/>
        </w:rPr>
      </w:pPr>
      <w:r w:rsidRPr="00823C25">
        <w:rPr>
          <w:rFonts w:cs="Arial"/>
        </w:rPr>
        <w:t xml:space="preserve">ICMM (2023) </w:t>
      </w:r>
      <w:r w:rsidRPr="00823C25">
        <w:rPr>
          <w:rFonts w:cs="Arial"/>
          <w:i/>
          <w:iCs/>
        </w:rPr>
        <w:t>Mining Principles Performance Expectations</w:t>
      </w:r>
      <w:r w:rsidRPr="00823C25">
        <w:rPr>
          <w:rFonts w:cs="Arial"/>
        </w:rPr>
        <w:t xml:space="preserve">. London: International Council on Mining and Metals. Available at: </w:t>
      </w:r>
      <w:hyperlink r:id="rId11" w:history="1">
        <w:r w:rsidRPr="00823C25">
          <w:rPr>
            <w:rStyle w:val="Hyperlink"/>
            <w:rFonts w:cs="Arial"/>
          </w:rPr>
          <w:t>https://www.icmm.com</w:t>
        </w:r>
      </w:hyperlink>
      <w:r w:rsidRPr="00823C25">
        <w:rPr>
          <w:rFonts w:cs="Arial"/>
        </w:rPr>
        <w:t xml:space="preserve"> (Accessed: </w:t>
      </w:r>
      <w:r w:rsidR="00800A2D">
        <w:rPr>
          <w:rFonts w:cs="Arial"/>
        </w:rPr>
        <w:t>18</w:t>
      </w:r>
      <w:r w:rsidRPr="00823C25">
        <w:rPr>
          <w:rFonts w:cs="Arial"/>
        </w:rPr>
        <w:t xml:space="preserve"> June 2026).</w:t>
      </w:r>
    </w:p>
    <w:p w14:paraId="5304E426" w14:textId="5349BCD8" w:rsidR="00823C25" w:rsidRPr="00823C25" w:rsidRDefault="00823C25" w:rsidP="00823C25">
      <w:pPr>
        <w:spacing w:after="0"/>
        <w:rPr>
          <w:rFonts w:cs="Arial"/>
        </w:rPr>
      </w:pPr>
      <w:r w:rsidRPr="00823C25">
        <w:rPr>
          <w:rFonts w:cs="Arial"/>
        </w:rPr>
        <w:t xml:space="preserve">IEA (2023) </w:t>
      </w:r>
      <w:r w:rsidRPr="00823C25">
        <w:rPr>
          <w:rFonts w:cs="Arial"/>
          <w:i/>
          <w:iCs/>
        </w:rPr>
        <w:t>Critical Minerals Market Review 2023</w:t>
      </w:r>
      <w:r w:rsidRPr="00823C25">
        <w:rPr>
          <w:rFonts w:cs="Arial"/>
        </w:rPr>
        <w:t xml:space="preserve">. Paris: International Energy Agency. Available at: </w:t>
      </w:r>
      <w:hyperlink r:id="rId12" w:history="1">
        <w:r w:rsidRPr="00823C25">
          <w:rPr>
            <w:rStyle w:val="Hyperlink"/>
            <w:rFonts w:cs="Arial"/>
          </w:rPr>
          <w:t>https://www.iea.org/reports/critical-minerals-market-review-2023</w:t>
        </w:r>
      </w:hyperlink>
      <w:r w:rsidRPr="00823C25">
        <w:rPr>
          <w:rFonts w:cs="Arial"/>
        </w:rPr>
        <w:t xml:space="preserve"> (Accessed: </w:t>
      </w:r>
      <w:r w:rsidR="00800A2D">
        <w:rPr>
          <w:rFonts w:cs="Arial"/>
        </w:rPr>
        <w:t>18</w:t>
      </w:r>
      <w:r w:rsidRPr="00823C25">
        <w:rPr>
          <w:rFonts w:cs="Arial"/>
        </w:rPr>
        <w:t xml:space="preserve"> June 2026).</w:t>
      </w:r>
    </w:p>
    <w:p w14:paraId="7DB175AB" w14:textId="77777777" w:rsidR="00823C25" w:rsidRPr="00823C25" w:rsidRDefault="00823C25" w:rsidP="00823C25">
      <w:pPr>
        <w:spacing w:after="0"/>
        <w:rPr>
          <w:rFonts w:cs="Arial"/>
        </w:rPr>
      </w:pPr>
      <w:r w:rsidRPr="00823C25">
        <w:rPr>
          <w:rFonts w:cs="Arial"/>
        </w:rPr>
        <w:t xml:space="preserve">Kotler, P., Armstrong, G., Harris, L.C. and He, H. (2024) </w:t>
      </w:r>
      <w:r w:rsidRPr="00823C25">
        <w:rPr>
          <w:rFonts w:cs="Arial"/>
          <w:i/>
          <w:iCs/>
        </w:rPr>
        <w:t>Principles of Marketing</w:t>
      </w:r>
      <w:r w:rsidRPr="00823C25">
        <w:rPr>
          <w:rFonts w:cs="Arial"/>
        </w:rPr>
        <w:t>. 19th edn. Harlow: Pearson.</w:t>
      </w:r>
    </w:p>
    <w:p w14:paraId="1BFC2898" w14:textId="77777777" w:rsidR="00823C25" w:rsidRPr="00823C25" w:rsidRDefault="00823C25" w:rsidP="00823C25">
      <w:pPr>
        <w:spacing w:after="0"/>
        <w:rPr>
          <w:rFonts w:cs="Arial"/>
        </w:rPr>
      </w:pPr>
      <w:proofErr w:type="spellStart"/>
      <w:r w:rsidRPr="00823C25">
        <w:rPr>
          <w:rFonts w:cs="Arial"/>
        </w:rPr>
        <w:t>McManners</w:t>
      </w:r>
      <w:proofErr w:type="spellEnd"/>
      <w:r w:rsidRPr="00823C25">
        <w:rPr>
          <w:rFonts w:cs="Arial"/>
        </w:rPr>
        <w:t xml:space="preserve">, P. (2024) </w:t>
      </w:r>
      <w:r w:rsidRPr="00823C25">
        <w:rPr>
          <w:rFonts w:cs="Arial"/>
          <w:i/>
          <w:iCs/>
        </w:rPr>
        <w:t>The Actionable Sustainability Guide</w:t>
      </w:r>
      <w:r w:rsidRPr="00823C25">
        <w:rPr>
          <w:rFonts w:cs="Arial"/>
        </w:rPr>
        <w:t>. London: Routledge.</w:t>
      </w:r>
    </w:p>
    <w:p w14:paraId="33AE1248" w14:textId="482DABE4" w:rsidR="00823C25" w:rsidRPr="00823C25" w:rsidRDefault="00823C25" w:rsidP="00823C25">
      <w:pPr>
        <w:spacing w:after="0"/>
        <w:rPr>
          <w:rFonts w:cs="Arial"/>
        </w:rPr>
      </w:pPr>
      <w:r w:rsidRPr="00823C25">
        <w:rPr>
          <w:rFonts w:cs="Arial"/>
        </w:rPr>
        <w:t xml:space="preserve">OECD (2023) </w:t>
      </w:r>
      <w:r w:rsidRPr="00823C25">
        <w:rPr>
          <w:rFonts w:cs="Arial"/>
          <w:i/>
          <w:iCs/>
        </w:rPr>
        <w:t>Responsible Business Conduct in the Minerals Sector</w:t>
      </w:r>
      <w:r w:rsidRPr="00823C25">
        <w:rPr>
          <w:rFonts w:cs="Arial"/>
        </w:rPr>
        <w:t xml:space="preserve">. Paris: OECD Publishing. Available at: </w:t>
      </w:r>
      <w:hyperlink r:id="rId13" w:history="1">
        <w:r w:rsidRPr="00823C25">
          <w:rPr>
            <w:rStyle w:val="Hyperlink"/>
            <w:rFonts w:cs="Arial"/>
          </w:rPr>
          <w:t>https://www.oecd.org/corporate/mne/mining.htm</w:t>
        </w:r>
      </w:hyperlink>
      <w:r w:rsidRPr="00823C25">
        <w:rPr>
          <w:rFonts w:cs="Arial"/>
        </w:rPr>
        <w:t xml:space="preserve"> (Accessed: </w:t>
      </w:r>
      <w:r w:rsidR="00800A2D">
        <w:rPr>
          <w:rFonts w:cs="Arial"/>
        </w:rPr>
        <w:t>18</w:t>
      </w:r>
      <w:r w:rsidRPr="00823C25">
        <w:rPr>
          <w:rFonts w:cs="Arial"/>
        </w:rPr>
        <w:t xml:space="preserve"> June 2026).</w:t>
      </w:r>
    </w:p>
    <w:p w14:paraId="38001D70" w14:textId="77777777" w:rsidR="00823C25" w:rsidRPr="00823C25" w:rsidRDefault="00823C25" w:rsidP="00823C25">
      <w:pPr>
        <w:spacing w:after="0"/>
        <w:rPr>
          <w:rFonts w:cs="Arial"/>
        </w:rPr>
      </w:pPr>
      <w:r w:rsidRPr="00823C25">
        <w:rPr>
          <w:rFonts w:cs="Arial"/>
        </w:rPr>
        <w:t xml:space="preserve">Porter, M.E. (1985) </w:t>
      </w:r>
      <w:r w:rsidRPr="00823C25">
        <w:rPr>
          <w:rFonts w:cs="Arial"/>
          <w:i/>
          <w:iCs/>
        </w:rPr>
        <w:t>Competitive Advantage: Creating and Sustaining Superior Performance</w:t>
      </w:r>
      <w:r w:rsidRPr="00823C25">
        <w:rPr>
          <w:rFonts w:cs="Arial"/>
        </w:rPr>
        <w:t>. New York: Free Press.</w:t>
      </w:r>
    </w:p>
    <w:p w14:paraId="77761DE3" w14:textId="6D3AF0CF" w:rsidR="00823C25" w:rsidRPr="00823C25" w:rsidRDefault="00823C25" w:rsidP="00823C25">
      <w:pPr>
        <w:spacing w:after="0"/>
        <w:rPr>
          <w:rFonts w:cs="Arial"/>
        </w:rPr>
      </w:pPr>
      <w:r w:rsidRPr="00823C25">
        <w:rPr>
          <w:rFonts w:cs="Arial"/>
        </w:rPr>
        <w:t xml:space="preserve">PwC (2024) </w:t>
      </w:r>
      <w:r w:rsidRPr="00823C25">
        <w:rPr>
          <w:rFonts w:cs="Arial"/>
          <w:i/>
          <w:iCs/>
        </w:rPr>
        <w:t>Global Investor Survey 2024</w:t>
      </w:r>
      <w:r w:rsidRPr="00823C25">
        <w:rPr>
          <w:rFonts w:cs="Arial"/>
        </w:rPr>
        <w:t xml:space="preserve">. London: PricewaterhouseCoopers. Available at: </w:t>
      </w:r>
      <w:hyperlink r:id="rId14" w:history="1">
        <w:r w:rsidRPr="00823C25">
          <w:rPr>
            <w:rStyle w:val="Hyperlink"/>
            <w:rFonts w:cs="Arial"/>
          </w:rPr>
          <w:t>https://www.pwc.com/gx/en/issues/c-suite-insights/global-investor-survey.html</w:t>
        </w:r>
      </w:hyperlink>
      <w:r w:rsidRPr="00823C25">
        <w:rPr>
          <w:rFonts w:cs="Arial"/>
        </w:rPr>
        <w:t xml:space="preserve"> (Accessed: </w:t>
      </w:r>
      <w:r w:rsidR="00800A2D">
        <w:rPr>
          <w:rFonts w:cs="Arial"/>
        </w:rPr>
        <w:t>18</w:t>
      </w:r>
      <w:r w:rsidRPr="00823C25">
        <w:rPr>
          <w:rFonts w:cs="Arial"/>
        </w:rPr>
        <w:t xml:space="preserve"> June 2026).</w:t>
      </w:r>
    </w:p>
    <w:p w14:paraId="09658341" w14:textId="57491971" w:rsidR="00823C25" w:rsidRPr="00823C25" w:rsidRDefault="00823C25" w:rsidP="00823C25">
      <w:pPr>
        <w:spacing w:after="0"/>
        <w:rPr>
          <w:rFonts w:cs="Arial"/>
        </w:rPr>
      </w:pPr>
      <w:r w:rsidRPr="00823C25">
        <w:rPr>
          <w:rFonts w:cs="Arial"/>
        </w:rPr>
        <w:t xml:space="preserve">UNEP (2023) </w:t>
      </w:r>
      <w:r w:rsidRPr="00823C25">
        <w:rPr>
          <w:rFonts w:cs="Arial"/>
          <w:i/>
          <w:iCs/>
        </w:rPr>
        <w:t>Emissions Gap Report 2023</w:t>
      </w:r>
      <w:r w:rsidRPr="00823C25">
        <w:rPr>
          <w:rFonts w:cs="Arial"/>
        </w:rPr>
        <w:t xml:space="preserve">. Nairobi: United Nations Environment Programme. Available at: </w:t>
      </w:r>
      <w:hyperlink r:id="rId15" w:history="1">
        <w:r w:rsidRPr="00823C25">
          <w:rPr>
            <w:rStyle w:val="Hyperlink"/>
            <w:rFonts w:cs="Arial"/>
          </w:rPr>
          <w:t>https://www.unep.org/resources/emissions-gap-report-2023</w:t>
        </w:r>
      </w:hyperlink>
      <w:r w:rsidRPr="00823C25">
        <w:rPr>
          <w:rFonts w:cs="Arial"/>
        </w:rPr>
        <w:t xml:space="preserve"> (Accessed: </w:t>
      </w:r>
      <w:r w:rsidR="00800A2D">
        <w:rPr>
          <w:rFonts w:cs="Arial"/>
        </w:rPr>
        <w:t>18</w:t>
      </w:r>
      <w:r w:rsidRPr="00823C25">
        <w:rPr>
          <w:rFonts w:cs="Arial"/>
        </w:rPr>
        <w:t xml:space="preserve"> June 2026).</w:t>
      </w:r>
    </w:p>
    <w:p w14:paraId="16691CC6" w14:textId="0A72C402" w:rsidR="00823C25" w:rsidRPr="00823C25" w:rsidRDefault="00823C25" w:rsidP="00823C25">
      <w:pPr>
        <w:spacing w:after="0"/>
        <w:rPr>
          <w:rFonts w:cs="Arial"/>
        </w:rPr>
      </w:pPr>
      <w:r w:rsidRPr="00823C25">
        <w:rPr>
          <w:rFonts w:cs="Arial"/>
        </w:rPr>
        <w:t xml:space="preserve">World Bank (2023) </w:t>
      </w:r>
      <w:r w:rsidRPr="00823C25">
        <w:rPr>
          <w:rFonts w:cs="Arial"/>
          <w:i/>
          <w:iCs/>
        </w:rPr>
        <w:t>Minerals for Climate Action: The Mineral Intensity of the Clean Energy Transition</w:t>
      </w:r>
      <w:r w:rsidRPr="00823C25">
        <w:rPr>
          <w:rFonts w:cs="Arial"/>
        </w:rPr>
        <w:t xml:space="preserve">. Washington, DC: World Bank. Available at: </w:t>
      </w:r>
      <w:hyperlink r:id="rId16" w:history="1">
        <w:r w:rsidRPr="00823C25">
          <w:rPr>
            <w:rStyle w:val="Hyperlink"/>
            <w:rFonts w:cs="Arial"/>
          </w:rPr>
          <w:t>https://www.worldbank.org/en/topic/extractiveindustries/brief/climate-smart-mining-minerals-for-climate-action</w:t>
        </w:r>
      </w:hyperlink>
      <w:r w:rsidRPr="00823C25">
        <w:rPr>
          <w:rFonts w:cs="Arial"/>
        </w:rPr>
        <w:t xml:space="preserve"> (Accessed: </w:t>
      </w:r>
      <w:r w:rsidR="00800A2D">
        <w:rPr>
          <w:rFonts w:cs="Arial"/>
        </w:rPr>
        <w:t>18</w:t>
      </w:r>
      <w:r w:rsidRPr="00823C25">
        <w:rPr>
          <w:rFonts w:cs="Arial"/>
        </w:rPr>
        <w:t xml:space="preserve"> June 2026).</w:t>
      </w:r>
    </w:p>
    <w:p w14:paraId="59818855" w14:textId="0891D593" w:rsidR="00823C25" w:rsidRPr="00823C25" w:rsidRDefault="00823C25" w:rsidP="00823C25">
      <w:pPr>
        <w:spacing w:after="0"/>
        <w:rPr>
          <w:rFonts w:cs="Arial"/>
        </w:rPr>
      </w:pPr>
      <w:r w:rsidRPr="00823C25">
        <w:rPr>
          <w:rFonts w:cs="Arial"/>
        </w:rPr>
        <w:t xml:space="preserve">World Economic Forum (2024) </w:t>
      </w:r>
      <w:r w:rsidRPr="00823C25">
        <w:rPr>
          <w:rFonts w:cs="Arial"/>
          <w:i/>
          <w:iCs/>
        </w:rPr>
        <w:t>The Future of Responsible Mining</w:t>
      </w:r>
      <w:r w:rsidRPr="00823C25">
        <w:rPr>
          <w:rFonts w:cs="Arial"/>
        </w:rPr>
        <w:t xml:space="preserve">. Geneva: World Economic Forum. Available at: </w:t>
      </w:r>
      <w:hyperlink r:id="rId17" w:history="1">
        <w:r w:rsidRPr="00823C25">
          <w:rPr>
            <w:rStyle w:val="Hyperlink"/>
            <w:rFonts w:cs="Arial"/>
          </w:rPr>
          <w:t>https://www.weforum.org</w:t>
        </w:r>
      </w:hyperlink>
      <w:r w:rsidRPr="00823C25">
        <w:rPr>
          <w:rFonts w:cs="Arial"/>
        </w:rPr>
        <w:t xml:space="preserve"> (Accessed: </w:t>
      </w:r>
      <w:r w:rsidR="00800A2D">
        <w:rPr>
          <w:rFonts w:cs="Arial"/>
        </w:rPr>
        <w:t>18</w:t>
      </w:r>
      <w:r w:rsidRPr="00823C25">
        <w:rPr>
          <w:rFonts w:cs="Arial"/>
        </w:rPr>
        <w:t xml:space="preserve"> June 2026).</w:t>
      </w:r>
    </w:p>
    <w:p w14:paraId="3631131B" w14:textId="77777777" w:rsidR="000148C8" w:rsidRPr="00AF2F1B" w:rsidRDefault="000148C8" w:rsidP="00AF2F1B">
      <w:pPr>
        <w:spacing w:after="0"/>
        <w:rPr>
          <w:rFonts w:cs="Arial"/>
        </w:rPr>
      </w:pPr>
    </w:p>
    <w:sectPr w:rsidR="000148C8" w:rsidRPr="00AF2F1B">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21505" w14:textId="77777777" w:rsidR="00C91912" w:rsidRDefault="00C91912" w:rsidP="00F0703D">
      <w:pPr>
        <w:spacing w:after="0" w:line="240" w:lineRule="auto"/>
      </w:pPr>
      <w:r>
        <w:separator/>
      </w:r>
    </w:p>
  </w:endnote>
  <w:endnote w:type="continuationSeparator" w:id="0">
    <w:p w14:paraId="51F5BBA3" w14:textId="77777777" w:rsidR="00C91912" w:rsidRDefault="00C91912" w:rsidP="00F070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6560832"/>
      <w:docPartObj>
        <w:docPartGallery w:val="Page Numbers (Bottom of Page)"/>
        <w:docPartUnique/>
      </w:docPartObj>
    </w:sdtPr>
    <w:sdtEndPr>
      <w:rPr>
        <w:noProof/>
      </w:rPr>
    </w:sdtEndPr>
    <w:sdtContent>
      <w:p w14:paraId="574C94CB" w14:textId="6788E522" w:rsidR="00F0703D" w:rsidRDefault="00F0703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EFE1BDA" w14:textId="77777777" w:rsidR="00F0703D" w:rsidRDefault="00F070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D2F6B4" w14:textId="77777777" w:rsidR="00C91912" w:rsidRDefault="00C91912" w:rsidP="00F0703D">
      <w:pPr>
        <w:spacing w:after="0" w:line="240" w:lineRule="auto"/>
      </w:pPr>
      <w:r>
        <w:separator/>
      </w:r>
    </w:p>
  </w:footnote>
  <w:footnote w:type="continuationSeparator" w:id="0">
    <w:p w14:paraId="035201F3" w14:textId="77777777" w:rsidR="00C91912" w:rsidRDefault="00C91912" w:rsidP="00F0703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0614"/>
    <w:rsid w:val="000148C8"/>
    <w:rsid w:val="00034277"/>
    <w:rsid w:val="000512C3"/>
    <w:rsid w:val="000866E7"/>
    <w:rsid w:val="000D34EF"/>
    <w:rsid w:val="00127C7C"/>
    <w:rsid w:val="00153005"/>
    <w:rsid w:val="00187EB8"/>
    <w:rsid w:val="001B61B8"/>
    <w:rsid w:val="001E4F54"/>
    <w:rsid w:val="001F26E8"/>
    <w:rsid w:val="002048E6"/>
    <w:rsid w:val="0021428E"/>
    <w:rsid w:val="0023092A"/>
    <w:rsid w:val="0023147C"/>
    <w:rsid w:val="00233244"/>
    <w:rsid w:val="00241331"/>
    <w:rsid w:val="00256383"/>
    <w:rsid w:val="002623E8"/>
    <w:rsid w:val="002A22D8"/>
    <w:rsid w:val="002B3B9C"/>
    <w:rsid w:val="002B69FB"/>
    <w:rsid w:val="002B6B42"/>
    <w:rsid w:val="002C75E6"/>
    <w:rsid w:val="002F4323"/>
    <w:rsid w:val="00322D06"/>
    <w:rsid w:val="00326D97"/>
    <w:rsid w:val="00332211"/>
    <w:rsid w:val="00382712"/>
    <w:rsid w:val="003B2158"/>
    <w:rsid w:val="003C2890"/>
    <w:rsid w:val="003E0DDA"/>
    <w:rsid w:val="00405B55"/>
    <w:rsid w:val="00410614"/>
    <w:rsid w:val="00413F88"/>
    <w:rsid w:val="00421285"/>
    <w:rsid w:val="00484AA1"/>
    <w:rsid w:val="004A4551"/>
    <w:rsid w:val="00506010"/>
    <w:rsid w:val="00506FD1"/>
    <w:rsid w:val="00510A82"/>
    <w:rsid w:val="00527A41"/>
    <w:rsid w:val="0053026B"/>
    <w:rsid w:val="00571FB1"/>
    <w:rsid w:val="00576462"/>
    <w:rsid w:val="00576AFB"/>
    <w:rsid w:val="00583A78"/>
    <w:rsid w:val="005B2D26"/>
    <w:rsid w:val="005D03FC"/>
    <w:rsid w:val="005E1A30"/>
    <w:rsid w:val="00603A4D"/>
    <w:rsid w:val="006371F5"/>
    <w:rsid w:val="00655D63"/>
    <w:rsid w:val="006A4069"/>
    <w:rsid w:val="006A4520"/>
    <w:rsid w:val="006D25F2"/>
    <w:rsid w:val="006E5AD2"/>
    <w:rsid w:val="006F3E11"/>
    <w:rsid w:val="00737CD7"/>
    <w:rsid w:val="0075576B"/>
    <w:rsid w:val="007A17A0"/>
    <w:rsid w:val="007A1B8B"/>
    <w:rsid w:val="007A2806"/>
    <w:rsid w:val="007A505F"/>
    <w:rsid w:val="007B00EA"/>
    <w:rsid w:val="007B7341"/>
    <w:rsid w:val="007C1795"/>
    <w:rsid w:val="007F071A"/>
    <w:rsid w:val="00800A2D"/>
    <w:rsid w:val="00823A4C"/>
    <w:rsid w:val="00823C25"/>
    <w:rsid w:val="008243F5"/>
    <w:rsid w:val="0084766B"/>
    <w:rsid w:val="00881994"/>
    <w:rsid w:val="00883D73"/>
    <w:rsid w:val="00886FDE"/>
    <w:rsid w:val="008A5838"/>
    <w:rsid w:val="008F737B"/>
    <w:rsid w:val="009046DD"/>
    <w:rsid w:val="0092333A"/>
    <w:rsid w:val="00935B48"/>
    <w:rsid w:val="009507BC"/>
    <w:rsid w:val="00972F15"/>
    <w:rsid w:val="009802E7"/>
    <w:rsid w:val="009E2803"/>
    <w:rsid w:val="00A277DC"/>
    <w:rsid w:val="00A45BDE"/>
    <w:rsid w:val="00A65D48"/>
    <w:rsid w:val="00A95A71"/>
    <w:rsid w:val="00AC7FD4"/>
    <w:rsid w:val="00AF0904"/>
    <w:rsid w:val="00AF2F1B"/>
    <w:rsid w:val="00B0325F"/>
    <w:rsid w:val="00B20BA9"/>
    <w:rsid w:val="00B555CF"/>
    <w:rsid w:val="00B81982"/>
    <w:rsid w:val="00B910C6"/>
    <w:rsid w:val="00BF6E1B"/>
    <w:rsid w:val="00C07969"/>
    <w:rsid w:val="00C12C6C"/>
    <w:rsid w:val="00C23079"/>
    <w:rsid w:val="00C9096D"/>
    <w:rsid w:val="00C91912"/>
    <w:rsid w:val="00CB1E51"/>
    <w:rsid w:val="00CD2B13"/>
    <w:rsid w:val="00D20BB2"/>
    <w:rsid w:val="00D301C1"/>
    <w:rsid w:val="00D85F9A"/>
    <w:rsid w:val="00DA4D93"/>
    <w:rsid w:val="00DC78EF"/>
    <w:rsid w:val="00DD2424"/>
    <w:rsid w:val="00DD3B26"/>
    <w:rsid w:val="00DF054E"/>
    <w:rsid w:val="00DF34C7"/>
    <w:rsid w:val="00DF686E"/>
    <w:rsid w:val="00E07416"/>
    <w:rsid w:val="00E12346"/>
    <w:rsid w:val="00E15778"/>
    <w:rsid w:val="00E214BB"/>
    <w:rsid w:val="00E25BFB"/>
    <w:rsid w:val="00E33E02"/>
    <w:rsid w:val="00E67318"/>
    <w:rsid w:val="00E826B3"/>
    <w:rsid w:val="00E93616"/>
    <w:rsid w:val="00E94806"/>
    <w:rsid w:val="00F05074"/>
    <w:rsid w:val="00F0703D"/>
    <w:rsid w:val="00F11F1E"/>
    <w:rsid w:val="00F27209"/>
    <w:rsid w:val="00F349CE"/>
    <w:rsid w:val="00F420CE"/>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1F10CB"/>
  <w15:chartTrackingRefBased/>
  <w15:docId w15:val="{C5342DDF-3365-4378-BD71-F54D339DF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8"/>
        <w:lang w:val="en-IN" w:eastAsia="en-US" w:bidi="bn-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92A"/>
    <w:pPr>
      <w:spacing w:line="360" w:lineRule="auto"/>
      <w:jc w:val="both"/>
    </w:pPr>
    <w:rPr>
      <w:rFonts w:ascii="Arial" w:hAnsi="Arial"/>
      <w:sz w:val="24"/>
      <w:szCs w:val="24"/>
      <w:lang w:val="en-GB" w:bidi="ar-SA"/>
    </w:rPr>
  </w:style>
  <w:style w:type="paragraph" w:styleId="Heading1">
    <w:name w:val="heading 1"/>
    <w:basedOn w:val="Normal"/>
    <w:next w:val="Normal"/>
    <w:link w:val="Heading1Char"/>
    <w:uiPriority w:val="9"/>
    <w:qFormat/>
    <w:rsid w:val="002C75E6"/>
    <w:pPr>
      <w:keepNext/>
      <w:keepLines/>
      <w:spacing w:before="360" w:after="80"/>
      <w:outlineLvl w:val="0"/>
    </w:pPr>
    <w:rPr>
      <w:rFonts w:eastAsiaTheme="majorEastAsia" w:cstheme="majorBidi"/>
      <w:b/>
      <w:szCs w:val="40"/>
      <w:lang w:bidi="bn-IN"/>
    </w:rPr>
  </w:style>
  <w:style w:type="paragraph" w:styleId="Heading2">
    <w:name w:val="heading 2"/>
    <w:basedOn w:val="Normal"/>
    <w:next w:val="Normal"/>
    <w:link w:val="Heading2Char"/>
    <w:autoRedefine/>
    <w:uiPriority w:val="9"/>
    <w:unhideWhenUsed/>
    <w:qFormat/>
    <w:rsid w:val="00A277DC"/>
    <w:pPr>
      <w:keepNext/>
      <w:keepLines/>
      <w:outlineLvl w:val="1"/>
    </w:pPr>
    <w:rPr>
      <w:rFonts w:eastAsiaTheme="minorEastAsia"/>
      <w:b/>
      <w:lang w:eastAsia="ja-JP"/>
    </w:rPr>
  </w:style>
  <w:style w:type="paragraph" w:styleId="Heading3">
    <w:name w:val="heading 3"/>
    <w:basedOn w:val="Normal"/>
    <w:next w:val="Normal"/>
    <w:link w:val="Heading3Char"/>
    <w:uiPriority w:val="9"/>
    <w:unhideWhenUsed/>
    <w:qFormat/>
    <w:rsid w:val="00A277DC"/>
    <w:pPr>
      <w:keepNext/>
      <w:keepLines/>
      <w:outlineLvl w:val="2"/>
    </w:pPr>
    <w:rPr>
      <w:rFonts w:eastAsiaTheme="majorEastAsia" w:cstheme="majorBidi"/>
      <w:b/>
      <w:color w:val="000000" w:themeColor="text1"/>
      <w:lang w:eastAsia="ja-JP"/>
    </w:rPr>
  </w:style>
  <w:style w:type="paragraph" w:styleId="Heading4">
    <w:name w:val="heading 4"/>
    <w:basedOn w:val="Normal"/>
    <w:next w:val="Normal"/>
    <w:link w:val="Heading4Char"/>
    <w:uiPriority w:val="9"/>
    <w:unhideWhenUsed/>
    <w:qFormat/>
    <w:rsid w:val="008A5838"/>
    <w:pPr>
      <w:keepNext/>
      <w:keepLines/>
      <w:spacing w:before="80" w:after="40"/>
      <w:outlineLvl w:val="3"/>
    </w:pPr>
    <w:rPr>
      <w:rFonts w:eastAsiaTheme="majorEastAsia" w:cstheme="majorBidi"/>
      <w:b/>
      <w:iCs/>
      <w:color w:val="000000" w:themeColor="text1"/>
      <w:szCs w:val="28"/>
      <w:lang w:bidi="bn-IN"/>
    </w:rPr>
  </w:style>
  <w:style w:type="paragraph" w:styleId="Heading5">
    <w:name w:val="heading 5"/>
    <w:basedOn w:val="Normal"/>
    <w:next w:val="Normal"/>
    <w:link w:val="Heading5Char"/>
    <w:uiPriority w:val="9"/>
    <w:semiHidden/>
    <w:unhideWhenUsed/>
    <w:qFormat/>
    <w:rsid w:val="00410614"/>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41061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1061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1061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1061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75E6"/>
    <w:rPr>
      <w:rFonts w:ascii="Arial" w:eastAsiaTheme="majorEastAsia" w:hAnsi="Arial" w:cstheme="majorBidi"/>
      <w:b/>
      <w:kern w:val="0"/>
      <w:sz w:val="24"/>
      <w:szCs w:val="40"/>
      <w14:ligatures w14:val="none"/>
    </w:rPr>
  </w:style>
  <w:style w:type="character" w:customStyle="1" w:styleId="Heading2Char">
    <w:name w:val="Heading 2 Char"/>
    <w:basedOn w:val="DefaultParagraphFont"/>
    <w:link w:val="Heading2"/>
    <w:uiPriority w:val="9"/>
    <w:rsid w:val="00A277DC"/>
    <w:rPr>
      <w:rFonts w:ascii="Arial" w:eastAsiaTheme="minorEastAsia" w:hAnsi="Arial"/>
      <w:b/>
      <w:kern w:val="0"/>
      <w:sz w:val="24"/>
      <w:szCs w:val="24"/>
      <w:lang w:val="en-GB" w:eastAsia="ja-JP" w:bidi="ar-SA"/>
      <w14:ligatures w14:val="none"/>
    </w:rPr>
  </w:style>
  <w:style w:type="character" w:customStyle="1" w:styleId="Heading3Char">
    <w:name w:val="Heading 3 Char"/>
    <w:basedOn w:val="DefaultParagraphFont"/>
    <w:link w:val="Heading3"/>
    <w:uiPriority w:val="9"/>
    <w:rsid w:val="00A277DC"/>
    <w:rPr>
      <w:rFonts w:ascii="Arial" w:eastAsiaTheme="majorEastAsia" w:hAnsi="Arial" w:cstheme="majorBidi"/>
      <w:b/>
      <w:color w:val="000000" w:themeColor="text1"/>
      <w:kern w:val="0"/>
      <w:sz w:val="24"/>
      <w:szCs w:val="24"/>
      <w:lang w:val="en-GB" w:eastAsia="ja-JP" w:bidi="ar-SA"/>
      <w14:ligatures w14:val="none"/>
    </w:rPr>
  </w:style>
  <w:style w:type="character" w:customStyle="1" w:styleId="Heading4Char">
    <w:name w:val="Heading 4 Char"/>
    <w:basedOn w:val="DefaultParagraphFont"/>
    <w:link w:val="Heading4"/>
    <w:uiPriority w:val="9"/>
    <w:rsid w:val="008A5838"/>
    <w:rPr>
      <w:rFonts w:ascii="Arial" w:eastAsiaTheme="majorEastAsia" w:hAnsi="Arial" w:cstheme="majorBidi"/>
      <w:b/>
      <w:iCs/>
      <w:color w:val="000000" w:themeColor="text1"/>
      <w14:ligatures w14:val="none"/>
    </w:rPr>
  </w:style>
  <w:style w:type="character" w:customStyle="1" w:styleId="Heading5Char">
    <w:name w:val="Heading 5 Char"/>
    <w:basedOn w:val="DefaultParagraphFont"/>
    <w:link w:val="Heading5"/>
    <w:uiPriority w:val="9"/>
    <w:semiHidden/>
    <w:rsid w:val="00410614"/>
    <w:rPr>
      <w:rFonts w:eastAsiaTheme="majorEastAsia" w:cstheme="majorBidi"/>
      <w:color w:val="2F5496" w:themeColor="accent1" w:themeShade="BF"/>
      <w:sz w:val="24"/>
      <w:szCs w:val="24"/>
      <w:lang w:val="en-GB" w:bidi="ar-SA"/>
    </w:rPr>
  </w:style>
  <w:style w:type="character" w:customStyle="1" w:styleId="Heading6Char">
    <w:name w:val="Heading 6 Char"/>
    <w:basedOn w:val="DefaultParagraphFont"/>
    <w:link w:val="Heading6"/>
    <w:uiPriority w:val="9"/>
    <w:semiHidden/>
    <w:rsid w:val="00410614"/>
    <w:rPr>
      <w:rFonts w:eastAsiaTheme="majorEastAsia" w:cstheme="majorBidi"/>
      <w:i/>
      <w:iCs/>
      <w:color w:val="595959" w:themeColor="text1" w:themeTint="A6"/>
      <w:sz w:val="24"/>
      <w:szCs w:val="24"/>
      <w:lang w:val="en-GB" w:bidi="ar-SA"/>
    </w:rPr>
  </w:style>
  <w:style w:type="character" w:customStyle="1" w:styleId="Heading7Char">
    <w:name w:val="Heading 7 Char"/>
    <w:basedOn w:val="DefaultParagraphFont"/>
    <w:link w:val="Heading7"/>
    <w:uiPriority w:val="9"/>
    <w:semiHidden/>
    <w:rsid w:val="00410614"/>
    <w:rPr>
      <w:rFonts w:eastAsiaTheme="majorEastAsia" w:cstheme="majorBidi"/>
      <w:color w:val="595959" w:themeColor="text1" w:themeTint="A6"/>
      <w:sz w:val="24"/>
      <w:szCs w:val="24"/>
      <w:lang w:val="en-GB" w:bidi="ar-SA"/>
    </w:rPr>
  </w:style>
  <w:style w:type="character" w:customStyle="1" w:styleId="Heading8Char">
    <w:name w:val="Heading 8 Char"/>
    <w:basedOn w:val="DefaultParagraphFont"/>
    <w:link w:val="Heading8"/>
    <w:uiPriority w:val="9"/>
    <w:semiHidden/>
    <w:rsid w:val="00410614"/>
    <w:rPr>
      <w:rFonts w:eastAsiaTheme="majorEastAsia" w:cstheme="majorBidi"/>
      <w:i/>
      <w:iCs/>
      <w:color w:val="272727" w:themeColor="text1" w:themeTint="D8"/>
      <w:sz w:val="24"/>
      <w:szCs w:val="24"/>
      <w:lang w:val="en-GB" w:bidi="ar-SA"/>
    </w:rPr>
  </w:style>
  <w:style w:type="character" w:customStyle="1" w:styleId="Heading9Char">
    <w:name w:val="Heading 9 Char"/>
    <w:basedOn w:val="DefaultParagraphFont"/>
    <w:link w:val="Heading9"/>
    <w:uiPriority w:val="9"/>
    <w:semiHidden/>
    <w:rsid w:val="00410614"/>
    <w:rPr>
      <w:rFonts w:eastAsiaTheme="majorEastAsia" w:cstheme="majorBidi"/>
      <w:color w:val="272727" w:themeColor="text1" w:themeTint="D8"/>
      <w:sz w:val="24"/>
      <w:szCs w:val="24"/>
      <w:lang w:val="en-GB" w:bidi="ar-SA"/>
    </w:rPr>
  </w:style>
  <w:style w:type="paragraph" w:styleId="Title">
    <w:name w:val="Title"/>
    <w:basedOn w:val="Normal"/>
    <w:next w:val="Normal"/>
    <w:link w:val="TitleChar"/>
    <w:uiPriority w:val="10"/>
    <w:qFormat/>
    <w:rsid w:val="004106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0614"/>
    <w:rPr>
      <w:rFonts w:asciiTheme="majorHAnsi" w:eastAsiaTheme="majorEastAsia" w:hAnsiTheme="majorHAnsi" w:cstheme="majorBidi"/>
      <w:spacing w:val="-10"/>
      <w:kern w:val="28"/>
      <w:sz w:val="56"/>
      <w:szCs w:val="56"/>
      <w:lang w:val="en-GB" w:bidi="ar-SA"/>
    </w:rPr>
  </w:style>
  <w:style w:type="paragraph" w:styleId="Subtitle">
    <w:name w:val="Subtitle"/>
    <w:basedOn w:val="Normal"/>
    <w:next w:val="Normal"/>
    <w:link w:val="SubtitleChar"/>
    <w:uiPriority w:val="11"/>
    <w:qFormat/>
    <w:rsid w:val="0041061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0614"/>
    <w:rPr>
      <w:rFonts w:eastAsiaTheme="majorEastAsia" w:cstheme="majorBidi"/>
      <w:color w:val="595959" w:themeColor="text1" w:themeTint="A6"/>
      <w:spacing w:val="15"/>
      <w:sz w:val="28"/>
      <w:lang w:val="en-GB" w:bidi="ar-SA"/>
    </w:rPr>
  </w:style>
  <w:style w:type="paragraph" w:styleId="Quote">
    <w:name w:val="Quote"/>
    <w:basedOn w:val="Normal"/>
    <w:next w:val="Normal"/>
    <w:link w:val="QuoteChar"/>
    <w:uiPriority w:val="29"/>
    <w:qFormat/>
    <w:rsid w:val="00410614"/>
    <w:pPr>
      <w:spacing w:before="160"/>
      <w:jc w:val="center"/>
    </w:pPr>
    <w:rPr>
      <w:i/>
      <w:iCs/>
      <w:color w:val="404040" w:themeColor="text1" w:themeTint="BF"/>
    </w:rPr>
  </w:style>
  <w:style w:type="character" w:customStyle="1" w:styleId="QuoteChar">
    <w:name w:val="Quote Char"/>
    <w:basedOn w:val="DefaultParagraphFont"/>
    <w:link w:val="Quote"/>
    <w:uiPriority w:val="29"/>
    <w:rsid w:val="00410614"/>
    <w:rPr>
      <w:rFonts w:ascii="Arial" w:hAnsi="Arial"/>
      <w:i/>
      <w:iCs/>
      <w:color w:val="404040" w:themeColor="text1" w:themeTint="BF"/>
      <w:sz w:val="24"/>
      <w:szCs w:val="24"/>
      <w:lang w:val="en-GB" w:bidi="ar-SA"/>
    </w:rPr>
  </w:style>
  <w:style w:type="paragraph" w:styleId="ListParagraph">
    <w:name w:val="List Paragraph"/>
    <w:basedOn w:val="Normal"/>
    <w:uiPriority w:val="34"/>
    <w:qFormat/>
    <w:rsid w:val="00410614"/>
    <w:pPr>
      <w:ind w:left="720"/>
      <w:contextualSpacing/>
    </w:pPr>
  </w:style>
  <w:style w:type="character" w:styleId="IntenseEmphasis">
    <w:name w:val="Intense Emphasis"/>
    <w:basedOn w:val="DefaultParagraphFont"/>
    <w:uiPriority w:val="21"/>
    <w:qFormat/>
    <w:rsid w:val="00410614"/>
    <w:rPr>
      <w:i/>
      <w:iCs/>
      <w:color w:val="2F5496" w:themeColor="accent1" w:themeShade="BF"/>
    </w:rPr>
  </w:style>
  <w:style w:type="paragraph" w:styleId="IntenseQuote">
    <w:name w:val="Intense Quote"/>
    <w:basedOn w:val="Normal"/>
    <w:next w:val="Normal"/>
    <w:link w:val="IntenseQuoteChar"/>
    <w:uiPriority w:val="30"/>
    <w:qFormat/>
    <w:rsid w:val="0041061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10614"/>
    <w:rPr>
      <w:rFonts w:ascii="Arial" w:hAnsi="Arial"/>
      <w:i/>
      <w:iCs/>
      <w:color w:val="2F5496" w:themeColor="accent1" w:themeShade="BF"/>
      <w:sz w:val="24"/>
      <w:szCs w:val="24"/>
      <w:lang w:val="en-GB" w:bidi="ar-SA"/>
    </w:rPr>
  </w:style>
  <w:style w:type="character" w:styleId="IntenseReference">
    <w:name w:val="Intense Reference"/>
    <w:basedOn w:val="DefaultParagraphFont"/>
    <w:uiPriority w:val="32"/>
    <w:qFormat/>
    <w:rsid w:val="00410614"/>
    <w:rPr>
      <w:b/>
      <w:bCs/>
      <w:smallCaps/>
      <w:color w:val="2F5496" w:themeColor="accent1" w:themeShade="BF"/>
      <w:spacing w:val="5"/>
    </w:rPr>
  </w:style>
  <w:style w:type="character" w:styleId="Hyperlink">
    <w:name w:val="Hyperlink"/>
    <w:basedOn w:val="DefaultParagraphFont"/>
    <w:uiPriority w:val="99"/>
    <w:unhideWhenUsed/>
    <w:rsid w:val="00E826B3"/>
    <w:rPr>
      <w:color w:val="0563C1" w:themeColor="hyperlink"/>
      <w:u w:val="single"/>
    </w:rPr>
  </w:style>
  <w:style w:type="character" w:styleId="UnresolvedMention">
    <w:name w:val="Unresolved Mention"/>
    <w:basedOn w:val="DefaultParagraphFont"/>
    <w:uiPriority w:val="99"/>
    <w:semiHidden/>
    <w:unhideWhenUsed/>
    <w:rsid w:val="00E826B3"/>
    <w:rPr>
      <w:color w:val="605E5C"/>
      <w:shd w:val="clear" w:color="auto" w:fill="E1DFDD"/>
    </w:rPr>
  </w:style>
  <w:style w:type="paragraph" w:styleId="Header">
    <w:name w:val="header"/>
    <w:basedOn w:val="Normal"/>
    <w:link w:val="HeaderChar"/>
    <w:uiPriority w:val="99"/>
    <w:unhideWhenUsed/>
    <w:rsid w:val="00F070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703D"/>
    <w:rPr>
      <w:rFonts w:ascii="Arial" w:hAnsi="Arial"/>
      <w:sz w:val="24"/>
      <w:szCs w:val="24"/>
      <w:lang w:val="en-GB" w:bidi="ar-SA"/>
    </w:rPr>
  </w:style>
  <w:style w:type="paragraph" w:styleId="Footer">
    <w:name w:val="footer"/>
    <w:basedOn w:val="Normal"/>
    <w:link w:val="FooterChar"/>
    <w:uiPriority w:val="99"/>
    <w:unhideWhenUsed/>
    <w:rsid w:val="00F070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703D"/>
    <w:rPr>
      <w:rFonts w:ascii="Arial" w:hAnsi="Arial"/>
      <w:sz w:val="24"/>
      <w:szCs w:val="24"/>
      <w:lang w:val="en-GB" w:bidi="ar-SA"/>
    </w:rPr>
  </w:style>
  <w:style w:type="paragraph" w:styleId="TOCHeading">
    <w:name w:val="TOC Heading"/>
    <w:basedOn w:val="Heading1"/>
    <w:next w:val="Normal"/>
    <w:uiPriority w:val="39"/>
    <w:unhideWhenUsed/>
    <w:qFormat/>
    <w:rsid w:val="00F0703D"/>
    <w:pPr>
      <w:spacing w:before="240" w:after="0" w:line="259" w:lineRule="auto"/>
      <w:jc w:val="left"/>
      <w:outlineLvl w:val="9"/>
    </w:pPr>
    <w:rPr>
      <w:rFonts w:asciiTheme="majorHAnsi" w:hAnsiTheme="majorHAnsi"/>
      <w:b w:val="0"/>
      <w:color w:val="2F5496" w:themeColor="accent1" w:themeShade="BF"/>
      <w:kern w:val="0"/>
      <w:sz w:val="32"/>
      <w:szCs w:val="32"/>
      <w:lang w:val="en-US" w:bidi="ar-SA"/>
      <w14:ligatures w14:val="none"/>
    </w:rPr>
  </w:style>
  <w:style w:type="paragraph" w:styleId="TOC1">
    <w:name w:val="toc 1"/>
    <w:basedOn w:val="Normal"/>
    <w:next w:val="Normal"/>
    <w:autoRedefine/>
    <w:uiPriority w:val="39"/>
    <w:unhideWhenUsed/>
    <w:rsid w:val="00F0703D"/>
    <w:pPr>
      <w:spacing w:after="100"/>
    </w:pPr>
  </w:style>
  <w:style w:type="paragraph" w:styleId="TOC2">
    <w:name w:val="toc 2"/>
    <w:basedOn w:val="Normal"/>
    <w:next w:val="Normal"/>
    <w:autoRedefine/>
    <w:uiPriority w:val="39"/>
    <w:unhideWhenUsed/>
    <w:rsid w:val="00F0703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5503510">
      <w:bodyDiv w:val="1"/>
      <w:marLeft w:val="0"/>
      <w:marRight w:val="0"/>
      <w:marTop w:val="0"/>
      <w:marBottom w:val="0"/>
      <w:divBdr>
        <w:top w:val="none" w:sz="0" w:space="0" w:color="auto"/>
        <w:left w:val="none" w:sz="0" w:space="0" w:color="auto"/>
        <w:bottom w:val="none" w:sz="0" w:space="0" w:color="auto"/>
        <w:right w:val="none" w:sz="0" w:space="0" w:color="auto"/>
      </w:divBdr>
    </w:div>
    <w:div w:id="1654094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hp.com/sustainability/climate-change" TargetMode="External"/><Relationship Id="rId13" Type="http://schemas.openxmlformats.org/officeDocument/2006/relationships/hyperlink" Target="https://www.oecd.org/corporate/mne/mining.htm"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bhp.com/investors/annual-reporting" TargetMode="External"/><Relationship Id="rId12" Type="http://schemas.openxmlformats.org/officeDocument/2006/relationships/hyperlink" Target="https://www.iea.org/reports/critical-minerals-market-review-2023" TargetMode="External"/><Relationship Id="rId17" Type="http://schemas.openxmlformats.org/officeDocument/2006/relationships/hyperlink" Target="https://www.weforum.org/" TargetMode="External"/><Relationship Id="rId2" Type="http://schemas.openxmlformats.org/officeDocument/2006/relationships/styles" Target="styles.xml"/><Relationship Id="rId16" Type="http://schemas.openxmlformats.org/officeDocument/2006/relationships/hyperlink" Target="https://www.worldbank.org/en/topic/extractiveindustries/brief/climate-smart-mining-minerals-for-climate-acti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icmm.com/" TargetMode="External"/><Relationship Id="rId5" Type="http://schemas.openxmlformats.org/officeDocument/2006/relationships/footnotes" Target="footnotes.xml"/><Relationship Id="rId15" Type="http://schemas.openxmlformats.org/officeDocument/2006/relationships/hyperlink" Target="https://www.unep.org/resources/emissions-gap-report-2023" TargetMode="External"/><Relationship Id="rId10" Type="http://schemas.openxmlformats.org/officeDocument/2006/relationships/hyperlink" Target="https://www.ey.co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deloitte.com/" TargetMode="External"/><Relationship Id="rId14" Type="http://schemas.openxmlformats.org/officeDocument/2006/relationships/hyperlink" Target="https://www.pwc.com/gx/en/issues/c-suite-insights/global-investor-surve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B6EFE8-C766-47AA-9C9C-C4338FA20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11</Pages>
  <Words>3197</Words>
  <Characters>18224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10</cp:revision>
  <cp:lastPrinted>2026-06-25T18:56:00Z</cp:lastPrinted>
  <dcterms:created xsi:type="dcterms:W3CDTF">2026-06-25T18:38:00Z</dcterms:created>
  <dcterms:modified xsi:type="dcterms:W3CDTF">2026-06-25T18:57:00Z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dbf5b1c2-8614-4473-b035-4c271c40bd9c</vt:lpwstr>
  </property>
</Properties>
</file>