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823981" w:rsidRPr="00F92E2E" w:rsidRDefault="00823981" w:rsidP="00B46208">
      <w:pPr>
        <w:jc w:val="center"/>
        <w:rPr>
          <w:rFonts w:cstheme="minorHAnsi"/>
          <w:b/>
        </w:rPr>
      </w:pPr>
      <w:r w:rsidRPr="00F92E2E">
        <w:rPr>
          <w:rFonts w:cstheme="minorHAnsi"/>
          <w:b/>
        </w:rPr>
        <w:t>The life of a conscientious objector in Britain during The First World War was one dominated by institutional abuse and harsh treatment. Is this an accurate portrayal of their experiences or were the authorities more tolerant of those who refused to fight?</w:t>
      </w:r>
    </w:p>
    <w:p w:rsidR="00D15F8E" w:rsidRPr="00F92E2E" w:rsidRDefault="00B46208" w:rsidP="00B46208">
      <w:pPr>
        <w:jc w:val="center"/>
        <w:rPr>
          <w:rFonts w:cstheme="minorHAnsi"/>
        </w:rPr>
      </w:pPr>
      <w:r w:rsidRPr="00F92E2E">
        <w:rPr>
          <w:rFonts w:cstheme="minorHAnsi"/>
        </w:rPr>
        <w:t>Essay by Marcin Gawlik</w:t>
      </w:r>
    </w:p>
    <w:p w:rsidR="005D5FB4" w:rsidRPr="00F92E2E" w:rsidRDefault="005D5FB4" w:rsidP="005D5FB4">
      <w:pPr>
        <w:rPr>
          <w:rFonts w:cstheme="minorHAnsi"/>
        </w:rPr>
      </w:pPr>
    </w:p>
    <w:p w:rsidR="00443E83" w:rsidRDefault="009F1E11" w:rsidP="00823981">
      <w:pPr>
        <w:rPr>
          <w:rFonts w:cstheme="minorHAnsi"/>
        </w:rPr>
      </w:pPr>
      <w:r w:rsidRPr="00F92E2E">
        <w:rPr>
          <w:rFonts w:cstheme="minorHAnsi"/>
        </w:rPr>
        <w:t xml:space="preserve">In the First World War </w:t>
      </w:r>
      <w:r w:rsidR="00F92E2E">
        <w:rPr>
          <w:rFonts w:cstheme="minorHAnsi"/>
        </w:rPr>
        <w:t>Britain public opinion and</w:t>
      </w:r>
      <w:r w:rsidR="00357B51">
        <w:rPr>
          <w:rFonts w:cstheme="minorHAnsi"/>
        </w:rPr>
        <w:t xml:space="preserve"> the</w:t>
      </w:r>
      <w:r w:rsidR="00F92E2E">
        <w:rPr>
          <w:rFonts w:cstheme="minorHAnsi"/>
        </w:rPr>
        <w:t xml:space="preserve"> g</w:t>
      </w:r>
      <w:r w:rsidR="00F92E2E" w:rsidRPr="00F92E2E">
        <w:rPr>
          <w:rFonts w:cstheme="minorHAnsi"/>
        </w:rPr>
        <w:t xml:space="preserve">overnment struggled with the biggest wave of </w:t>
      </w:r>
      <w:r w:rsidR="00357B51">
        <w:rPr>
          <w:rFonts w:cstheme="minorHAnsi"/>
        </w:rPr>
        <w:t>recorded pacifism, or conscientious objectors</w:t>
      </w:r>
      <w:r w:rsidR="00F92E2E">
        <w:rPr>
          <w:rFonts w:cstheme="minorHAnsi"/>
        </w:rPr>
        <w:t xml:space="preserve">. </w:t>
      </w:r>
      <w:r w:rsidR="00357B51">
        <w:rPr>
          <w:rFonts w:cstheme="minorHAnsi"/>
        </w:rPr>
        <w:t>These</w:t>
      </w:r>
      <w:r w:rsidR="00F92E2E">
        <w:rPr>
          <w:rFonts w:cstheme="minorHAnsi"/>
        </w:rPr>
        <w:t xml:space="preserve"> people were often organized a</w:t>
      </w:r>
      <w:r w:rsidR="00357B51">
        <w:rPr>
          <w:rFonts w:cstheme="minorHAnsi"/>
        </w:rPr>
        <w:t>nd spread their ideas throughout the</w:t>
      </w:r>
      <w:r w:rsidR="00F92E2E">
        <w:rPr>
          <w:rFonts w:cstheme="minorHAnsi"/>
        </w:rPr>
        <w:t xml:space="preserve"> </w:t>
      </w:r>
      <w:r w:rsidR="00357B51">
        <w:rPr>
          <w:rFonts w:cstheme="minorHAnsi"/>
        </w:rPr>
        <w:t>United Kingdom</w:t>
      </w:r>
      <w:r w:rsidR="00F92E2E">
        <w:rPr>
          <w:rFonts w:cstheme="minorHAnsi"/>
        </w:rPr>
        <w:t xml:space="preserve">. </w:t>
      </w:r>
      <w:r w:rsidR="00292899">
        <w:rPr>
          <w:rFonts w:cstheme="minorHAnsi"/>
        </w:rPr>
        <w:t xml:space="preserve">Despite passing a law </w:t>
      </w:r>
      <w:r w:rsidR="001734E1">
        <w:rPr>
          <w:rFonts w:cstheme="minorHAnsi"/>
        </w:rPr>
        <w:t>of Military Service Act in 1916</w:t>
      </w:r>
      <w:r w:rsidR="00357B51">
        <w:rPr>
          <w:rFonts w:cstheme="minorHAnsi"/>
        </w:rPr>
        <w:t>, the</w:t>
      </w:r>
      <w:r w:rsidR="001734E1">
        <w:rPr>
          <w:rFonts w:cstheme="minorHAnsi"/>
        </w:rPr>
        <w:t xml:space="preserve"> British government continued its hostile activity</w:t>
      </w:r>
      <w:r w:rsidR="00357B51">
        <w:rPr>
          <w:rFonts w:cstheme="minorHAnsi"/>
        </w:rPr>
        <w:t xml:space="preserve"> towards conscientious objectors; aggression which was a necessity created </w:t>
      </w:r>
      <w:r w:rsidR="001734E1">
        <w:rPr>
          <w:rFonts w:cstheme="minorHAnsi"/>
        </w:rPr>
        <w:t xml:space="preserve"> by the conditions of war</w:t>
      </w:r>
      <w:r w:rsidR="00357B51">
        <w:rPr>
          <w:rFonts w:cstheme="minorHAnsi"/>
        </w:rPr>
        <w:t xml:space="preserve"> and the fact that the country was fighting for its survival. T</w:t>
      </w:r>
      <w:r w:rsidR="001734E1">
        <w:rPr>
          <w:rFonts w:cstheme="minorHAnsi"/>
        </w:rPr>
        <w:t>herefore</w:t>
      </w:r>
      <w:r w:rsidR="00357B51">
        <w:rPr>
          <w:rFonts w:cstheme="minorHAnsi"/>
        </w:rPr>
        <w:t>,</w:t>
      </w:r>
      <w:r w:rsidR="001734E1">
        <w:rPr>
          <w:rFonts w:cstheme="minorHAnsi"/>
        </w:rPr>
        <w:t xml:space="preserve"> the threat of losing recruits </w:t>
      </w:r>
      <w:r w:rsidR="00FC470B">
        <w:rPr>
          <w:rFonts w:cstheme="minorHAnsi"/>
        </w:rPr>
        <w:t>was more important than immorality, tradition</w:t>
      </w:r>
      <w:r w:rsidR="009273BD">
        <w:rPr>
          <w:rFonts w:cstheme="minorHAnsi"/>
        </w:rPr>
        <w:t xml:space="preserve">, belief or </w:t>
      </w:r>
      <w:r w:rsidR="00FC470B">
        <w:rPr>
          <w:rFonts w:cstheme="minorHAnsi"/>
        </w:rPr>
        <w:t>ideological identity</w:t>
      </w:r>
      <w:r w:rsidR="009273BD">
        <w:rPr>
          <w:rFonts w:cstheme="minorHAnsi"/>
        </w:rPr>
        <w:t xml:space="preserve"> individuals.</w:t>
      </w:r>
      <w:r w:rsidR="005D5FF2">
        <w:rPr>
          <w:rFonts w:cstheme="minorHAnsi"/>
        </w:rPr>
        <w:t xml:space="preserve"> </w:t>
      </w:r>
      <w:r w:rsidR="00323FFA">
        <w:rPr>
          <w:rFonts w:cstheme="minorHAnsi"/>
        </w:rPr>
        <w:t>"</w:t>
      </w:r>
      <w:r w:rsidR="005D5FF2">
        <w:rPr>
          <w:rFonts w:cstheme="minorHAnsi"/>
        </w:rPr>
        <w:t>Another reas</w:t>
      </w:r>
      <w:r w:rsidR="006866B3">
        <w:rPr>
          <w:rFonts w:cstheme="minorHAnsi"/>
        </w:rPr>
        <w:t>on of such treatment</w:t>
      </w:r>
      <w:r w:rsidR="005D5FF2">
        <w:rPr>
          <w:rFonts w:cstheme="minorHAnsi"/>
        </w:rPr>
        <w:t xml:space="preserve"> was British-European militaristic culture which sees avoiding patriotic duties</w:t>
      </w:r>
      <w:r w:rsidR="006866B3">
        <w:rPr>
          <w:rFonts w:cstheme="minorHAnsi"/>
        </w:rPr>
        <w:t xml:space="preserve"> or combat</w:t>
      </w:r>
      <w:r w:rsidR="005D5FF2">
        <w:rPr>
          <w:rFonts w:cstheme="minorHAnsi"/>
        </w:rPr>
        <w:t xml:space="preserve"> as nearly treachery</w:t>
      </w:r>
      <w:r w:rsidR="006866B3">
        <w:rPr>
          <w:rFonts w:cstheme="minorHAnsi"/>
        </w:rPr>
        <w:t>.</w:t>
      </w:r>
      <w:r w:rsidR="00323FFA">
        <w:rPr>
          <w:rFonts w:cstheme="minorHAnsi"/>
        </w:rPr>
        <w:t>"</w:t>
      </w:r>
      <w:r w:rsidR="002951CB">
        <w:rPr>
          <w:rStyle w:val="FootnoteReference"/>
          <w:rFonts w:cstheme="minorHAnsi"/>
        </w:rPr>
        <w:footnoteReference w:id="2"/>
      </w:r>
      <w:r w:rsidR="006866B3">
        <w:rPr>
          <w:rFonts w:cstheme="minorHAnsi"/>
        </w:rPr>
        <w:t xml:space="preserve"> Under these conditions British authorities were not willing to tolerate any form of contumaciousness</w:t>
      </w:r>
      <w:r w:rsidR="00FC470B">
        <w:rPr>
          <w:rFonts w:cstheme="minorHAnsi"/>
        </w:rPr>
        <w:t>. consequently,</w:t>
      </w:r>
      <w:r w:rsidR="006866B3">
        <w:rPr>
          <w:rFonts w:cstheme="minorHAnsi"/>
        </w:rPr>
        <w:t xml:space="preserve"> institutional abuse and harsh treatment</w:t>
      </w:r>
      <w:r w:rsidR="00FC470B">
        <w:rPr>
          <w:rFonts w:cstheme="minorHAnsi"/>
        </w:rPr>
        <w:t>s</w:t>
      </w:r>
      <w:r w:rsidR="006866B3">
        <w:rPr>
          <w:rFonts w:cstheme="minorHAnsi"/>
        </w:rPr>
        <w:t xml:space="preserve"> were implemented in</w:t>
      </w:r>
      <w:r w:rsidR="00FC470B">
        <w:rPr>
          <w:rFonts w:cstheme="minorHAnsi"/>
        </w:rPr>
        <w:t xml:space="preserve"> the</w:t>
      </w:r>
      <w:r w:rsidR="006866B3">
        <w:rPr>
          <w:rFonts w:cstheme="minorHAnsi"/>
        </w:rPr>
        <w:t xml:space="preserve"> hope</w:t>
      </w:r>
      <w:r w:rsidR="00FC470B">
        <w:rPr>
          <w:rFonts w:cstheme="minorHAnsi"/>
        </w:rPr>
        <w:t>s that6</w:t>
      </w:r>
      <w:r w:rsidR="006866B3">
        <w:rPr>
          <w:rFonts w:cstheme="minorHAnsi"/>
        </w:rPr>
        <w:t xml:space="preserve"> they </w:t>
      </w:r>
      <w:r w:rsidR="00FC470B">
        <w:rPr>
          <w:rFonts w:cstheme="minorHAnsi"/>
        </w:rPr>
        <w:t xml:space="preserve">would be able to </w:t>
      </w:r>
      <w:r w:rsidR="006866B3">
        <w:rPr>
          <w:rFonts w:cstheme="minorHAnsi"/>
        </w:rPr>
        <w:t xml:space="preserve">scare off </w:t>
      </w:r>
      <w:r w:rsidR="00454B3D">
        <w:rPr>
          <w:rFonts w:cstheme="minorHAnsi"/>
        </w:rPr>
        <w:t>persons with potentially dangerous ideologies</w:t>
      </w:r>
      <w:r w:rsidR="00A86B44">
        <w:rPr>
          <w:rFonts w:cstheme="minorHAnsi"/>
        </w:rPr>
        <w:t>.</w:t>
      </w:r>
    </w:p>
    <w:p w:rsidR="00823981" w:rsidRPr="00F92E2E" w:rsidRDefault="00BF074E" w:rsidP="00823981">
      <w:pPr>
        <w:rPr>
          <w:rFonts w:cstheme="minorHAnsi"/>
        </w:rPr>
      </w:pPr>
      <w:r w:rsidRPr="00F92E2E">
        <w:rPr>
          <w:rFonts w:cstheme="minorHAnsi"/>
        </w:rPr>
        <w:t>During the first world war there were three recognised categories of conscientious objectors; “’Absolutists’ - men who were categorically opposed to the war. These men were unwilling to perform any form of alternative non-combatant service that might aid the war effort. ‘Alternativists’ - men who would perform alternative work as long as it was outside of military control. ‘Non-Combatants’ - men who would join the army but on the basis that they were not trained to bear arms.”</w:t>
      </w:r>
      <w:r w:rsidRPr="00F92E2E">
        <w:rPr>
          <w:rStyle w:val="FootnoteReference"/>
          <w:rFonts w:cstheme="minorHAnsi"/>
        </w:rPr>
        <w:footnoteReference w:id="3"/>
      </w:r>
      <w:r w:rsidRPr="00F92E2E">
        <w:rPr>
          <w:rFonts w:cstheme="minorHAnsi"/>
        </w:rPr>
        <w:t>According to records there were “</w:t>
      </w:r>
      <w:r w:rsidR="00823981" w:rsidRPr="00F92E2E">
        <w:rPr>
          <w:rFonts w:cstheme="minorHAnsi"/>
        </w:rPr>
        <w:t>approximately 16,000 British men</w:t>
      </w:r>
      <w:r w:rsidRPr="00F92E2E">
        <w:rPr>
          <w:rFonts w:cstheme="minorHAnsi"/>
        </w:rPr>
        <w:t>”</w:t>
      </w:r>
      <w:r w:rsidRPr="00F92E2E">
        <w:rPr>
          <w:rStyle w:val="FootnoteReference"/>
          <w:rFonts w:cstheme="minorHAnsi"/>
        </w:rPr>
        <w:footnoteReference w:id="4"/>
      </w:r>
      <w:r w:rsidRPr="00F92E2E">
        <w:rPr>
          <w:rFonts w:cstheme="minorHAnsi"/>
        </w:rPr>
        <w:t>registered</w:t>
      </w:r>
      <w:r w:rsidR="00823981" w:rsidRPr="00F92E2E">
        <w:rPr>
          <w:rFonts w:cstheme="minorHAnsi"/>
        </w:rPr>
        <w:t xml:space="preserve"> as conscientious objectors (COs) to armed service during the First World War</w:t>
      </w:r>
      <w:r w:rsidR="00223C3B" w:rsidRPr="00F92E2E">
        <w:rPr>
          <w:rFonts w:cstheme="minorHAnsi"/>
        </w:rPr>
        <w:t>, nevertheless the classification of these men and the numbers of how many men were in which category are not included</w:t>
      </w:r>
      <w:r w:rsidR="00CA4C12" w:rsidRPr="00F92E2E">
        <w:rPr>
          <w:rFonts w:cstheme="minorHAnsi"/>
        </w:rPr>
        <w:t xml:space="preserve"> in these records</w:t>
      </w:r>
      <w:r w:rsidR="00223C3B" w:rsidRPr="00F92E2E">
        <w:rPr>
          <w:rFonts w:cstheme="minorHAnsi"/>
        </w:rPr>
        <w:t>. Also,</w:t>
      </w:r>
      <w:r w:rsidRPr="00F92E2E">
        <w:rPr>
          <w:rFonts w:cstheme="minorHAnsi"/>
        </w:rPr>
        <w:t xml:space="preserve"> this figure “</w:t>
      </w:r>
      <w:r w:rsidR="00823981" w:rsidRPr="00F92E2E">
        <w:rPr>
          <w:rFonts w:cstheme="minorHAnsi"/>
        </w:rPr>
        <w:t>does not include men who may have had anti-war sentiments but were either unfit, in reserved occupations, or had joined the forces anyway. The number of COs may appear small compared with the six million men who served, but the impact of these men on public opinion and on future governments was to be profound.”</w:t>
      </w:r>
      <w:r w:rsidR="00823981" w:rsidRPr="00F92E2E">
        <w:rPr>
          <w:rStyle w:val="FootnoteReference"/>
          <w:rFonts w:cstheme="minorHAnsi"/>
        </w:rPr>
        <w:footnoteReference w:id="5"/>
      </w:r>
    </w:p>
    <w:p w:rsidR="004A2EDF" w:rsidRPr="00F92E2E" w:rsidRDefault="004A2EDF" w:rsidP="004A2EDF">
      <w:pPr>
        <w:rPr>
          <w:rFonts w:cstheme="minorHAnsi"/>
        </w:rPr>
      </w:pPr>
      <w:r w:rsidRPr="00F92E2E">
        <w:rPr>
          <w:rFonts w:cstheme="minorHAnsi"/>
        </w:rPr>
        <w:t>Whilst individual COs’ experiences differed, popular culture was overwhelming hostile. “When John Hubert (Bert) Brocklesby, one of the Richmond Sixteen in prison for refusing to take part in the war effort, was released in April 1919, he noted the annoyance of those who were still waiting for their boys in the army to be demobbed: ‘Why should skunks and skirkers get free before men who have been fighting for their country?’”</w:t>
      </w:r>
      <w:r w:rsidRPr="00F92E2E">
        <w:rPr>
          <w:rStyle w:val="FootnoteReference"/>
          <w:rFonts w:cstheme="minorHAnsi"/>
        </w:rPr>
        <w:footnoteReference w:id="6"/>
      </w:r>
    </w:p>
    <w:p w:rsidR="00421E65" w:rsidRPr="00F92E2E" w:rsidRDefault="00223C3B" w:rsidP="00421E65">
      <w:pPr>
        <w:rPr>
          <w:rFonts w:cstheme="minorHAnsi"/>
        </w:rPr>
      </w:pPr>
      <w:r w:rsidRPr="00F92E2E">
        <w:rPr>
          <w:rFonts w:cstheme="minorHAnsi"/>
        </w:rPr>
        <w:t>Interestingly, in</w:t>
      </w:r>
      <w:r w:rsidR="00823981" w:rsidRPr="00F92E2E">
        <w:rPr>
          <w:rFonts w:cstheme="minorHAnsi"/>
        </w:rPr>
        <w:t xml:space="preserve"> practice, having been rejected on appeal </w:t>
      </w:r>
      <w:r w:rsidRPr="00F92E2E">
        <w:rPr>
          <w:rFonts w:cstheme="minorHAnsi"/>
        </w:rPr>
        <w:t>“</w:t>
      </w:r>
      <w:r w:rsidR="00823981" w:rsidRPr="00F92E2E">
        <w:rPr>
          <w:rFonts w:cstheme="minorHAnsi"/>
        </w:rPr>
        <w:t xml:space="preserve">a CO was a soldier absent without leave and as such was subject to arrest. COs who entered military service were also arrested for refusing </w:t>
      </w:r>
      <w:r w:rsidR="00823981" w:rsidRPr="00F92E2E">
        <w:rPr>
          <w:rFonts w:cstheme="minorHAnsi"/>
        </w:rPr>
        <w:lastRenderedPageBreak/>
        <w:t>to obey military orders.</w:t>
      </w:r>
      <w:r w:rsidRPr="00F92E2E">
        <w:rPr>
          <w:rFonts w:cstheme="minorHAnsi"/>
        </w:rPr>
        <w:t>”</w:t>
      </w:r>
      <w:r w:rsidRPr="00F92E2E">
        <w:rPr>
          <w:rStyle w:val="FootnoteReference"/>
          <w:rFonts w:cstheme="minorHAnsi"/>
        </w:rPr>
        <w:footnoteReference w:id="7"/>
      </w:r>
      <w:r w:rsidRPr="00F92E2E">
        <w:rPr>
          <w:rFonts w:cstheme="minorHAnsi"/>
        </w:rPr>
        <w:t>It is thought that o</w:t>
      </w:r>
      <w:r w:rsidR="00823981" w:rsidRPr="00F92E2E">
        <w:rPr>
          <w:rFonts w:cstheme="minorHAnsi"/>
        </w:rPr>
        <w:t>ver one-third of the 16,000 COs went to prison at least once, including the majority of absolutists who were imprisoned virtually for the duration</w:t>
      </w:r>
      <w:r w:rsidRPr="00F92E2E">
        <w:rPr>
          <w:rFonts w:cstheme="minorHAnsi"/>
        </w:rPr>
        <w:t xml:space="preserve"> of the war</w:t>
      </w:r>
      <w:r w:rsidRPr="00F92E2E">
        <w:rPr>
          <w:rStyle w:val="FootnoteReference"/>
          <w:rFonts w:cstheme="minorHAnsi"/>
        </w:rPr>
        <w:footnoteReference w:id="8"/>
      </w:r>
      <w:r w:rsidR="00823981" w:rsidRPr="00F92E2E">
        <w:rPr>
          <w:rFonts w:cstheme="minorHAnsi"/>
        </w:rPr>
        <w:t xml:space="preserve">. At first, </w:t>
      </w:r>
      <w:r w:rsidRPr="00F92E2E">
        <w:rPr>
          <w:rFonts w:cstheme="minorHAnsi"/>
        </w:rPr>
        <w:t>“</w:t>
      </w:r>
      <w:r w:rsidR="00823981" w:rsidRPr="00F92E2E">
        <w:rPr>
          <w:rFonts w:cstheme="minorHAnsi"/>
        </w:rPr>
        <w:t>COs were sent to military prisons because they were considered to be soldiers. It was a minor triumph for the anti-conscription movement when a mid-1916 Army order ruled that COs who had been court martialled were to be sent to civil prisons. The initial standard sentence was 112 days third division hard labour - the most severe level of prison sentence under English law at that time. This began with one month in solitary confinement on bread and water, performing arduous and boring manual jobs like breaking stone, hand-sewing mailbags and picking oakum. With good conduct remission, most COs served about three months. However, after being released a CO could be immediately arrested again as a deserter, court-martialled and returned to prison.</w:t>
      </w:r>
      <w:r w:rsidR="00913D12" w:rsidRPr="00F92E2E">
        <w:rPr>
          <w:rFonts w:cstheme="minorHAnsi"/>
        </w:rPr>
        <w:t>”</w:t>
      </w:r>
      <w:r w:rsidR="00913D12" w:rsidRPr="00F92E2E">
        <w:rPr>
          <w:rStyle w:val="FootnoteReference"/>
          <w:rFonts w:cstheme="minorHAnsi"/>
        </w:rPr>
        <w:footnoteReference w:id="9"/>
      </w:r>
      <w:r w:rsidR="00CA4C12" w:rsidRPr="00F92E2E">
        <w:rPr>
          <w:rFonts w:cstheme="minorHAnsi"/>
        </w:rPr>
        <w:t>The treatment which the COs were subjected to during their imprisonment is often linked with the treatment of the suffragettes, frequently referred to as the “Cat and Mouse” treatment “</w:t>
      </w:r>
      <w:r w:rsidR="00823981" w:rsidRPr="00F92E2E">
        <w:rPr>
          <w:rFonts w:cstheme="minorHAnsi"/>
        </w:rPr>
        <w:t>and as the war went on sentences handed down to COs increased. Over the course of the war, some conscientious objectors were actually taken with their regiments to France, where one could be shot for refusing to obey a military order. Thirty-four were sentenced to death after being court martialled but had their sentences commuted to penal servitude.</w:t>
      </w:r>
      <w:r w:rsidR="00913D12" w:rsidRPr="00F92E2E">
        <w:rPr>
          <w:rFonts w:cstheme="minorHAnsi"/>
        </w:rPr>
        <w:t>”</w:t>
      </w:r>
      <w:r w:rsidR="00913D12" w:rsidRPr="00F92E2E">
        <w:rPr>
          <w:rStyle w:val="FootnoteReference"/>
          <w:rFonts w:cstheme="minorHAnsi"/>
        </w:rPr>
        <w:footnoteReference w:id="10"/>
      </w:r>
      <w:r w:rsidR="00274DD5" w:rsidRPr="00F92E2E">
        <w:rPr>
          <w:rFonts w:cstheme="minorHAnsi"/>
        </w:rPr>
        <w:t>The most extreme example of brutal sentenc</w:t>
      </w:r>
      <w:r w:rsidR="0086658C" w:rsidRPr="00F92E2E">
        <w:rPr>
          <w:rFonts w:cstheme="minorHAnsi"/>
        </w:rPr>
        <w:t>ing</w:t>
      </w:r>
      <w:r w:rsidR="00274DD5" w:rsidRPr="00F92E2E">
        <w:rPr>
          <w:rFonts w:cstheme="minorHAnsi"/>
        </w:rPr>
        <w:t xml:space="preserve"> can potentially be found in the case of the Richmond Sixteen</w:t>
      </w:r>
      <w:r w:rsidR="00AC162C">
        <w:rPr>
          <w:rFonts w:cstheme="minorHAnsi"/>
        </w:rPr>
        <w:t xml:space="preserve"> </w:t>
      </w:r>
      <w:r w:rsidR="00274DD5" w:rsidRPr="00F92E2E">
        <w:rPr>
          <w:rFonts w:cstheme="minorHAnsi"/>
        </w:rPr>
        <w:t>“who were sent against their will to France with the Non-Combatant Corps in June 1916 and sentenced to death for refusing to obey orders.”</w:t>
      </w:r>
      <w:r w:rsidR="00274DD5" w:rsidRPr="00F92E2E">
        <w:rPr>
          <w:rStyle w:val="FootnoteReference"/>
          <w:rFonts w:cstheme="minorHAnsi"/>
        </w:rPr>
        <w:footnoteReference w:id="11"/>
      </w:r>
      <w:r w:rsidR="00421E65" w:rsidRPr="00F92E2E">
        <w:rPr>
          <w:rFonts w:cstheme="minorHAnsi"/>
        </w:rPr>
        <w:t>And, although, a reprieve commuted their sentence to 10 years’ imprisonment, this decision was only made</w:t>
      </w:r>
      <w:r w:rsidR="00AC162C">
        <w:rPr>
          <w:rFonts w:cstheme="minorHAnsi"/>
        </w:rPr>
        <w:t xml:space="preserve"> </w:t>
      </w:r>
      <w:r w:rsidR="00421E65" w:rsidRPr="00F92E2E">
        <w:rPr>
          <w:rFonts w:cstheme="minorHAnsi"/>
        </w:rPr>
        <w:t>“after one of the men threw a note from a train window to reveal their plight.”</w:t>
      </w:r>
      <w:r w:rsidR="00421E65" w:rsidRPr="00F92E2E">
        <w:rPr>
          <w:rStyle w:val="FootnoteReference"/>
          <w:rFonts w:cstheme="minorHAnsi"/>
        </w:rPr>
        <w:footnoteReference w:id="12"/>
      </w:r>
    </w:p>
    <w:p w:rsidR="00913D12" w:rsidRPr="00F92E2E" w:rsidRDefault="00CA4C12" w:rsidP="00913D12">
      <w:pPr>
        <w:rPr>
          <w:rFonts w:cstheme="minorHAnsi"/>
        </w:rPr>
      </w:pPr>
      <w:r w:rsidRPr="00F92E2E">
        <w:rPr>
          <w:rFonts w:cstheme="minorHAnsi"/>
        </w:rPr>
        <w:t>So</w:t>
      </w:r>
      <w:r w:rsidR="002F2C4B" w:rsidRPr="00F92E2E">
        <w:rPr>
          <w:rFonts w:cstheme="minorHAnsi"/>
        </w:rPr>
        <w:t>,</w:t>
      </w:r>
      <w:r w:rsidRPr="00F92E2E">
        <w:rPr>
          <w:rFonts w:cstheme="minorHAnsi"/>
        </w:rPr>
        <w:t xml:space="preserve"> as seen above life for COs was not easy </w:t>
      </w:r>
      <w:r w:rsidR="002F2C4B" w:rsidRPr="00F92E2E">
        <w:rPr>
          <w:rFonts w:cstheme="minorHAnsi"/>
        </w:rPr>
        <w:t>in relation to</w:t>
      </w:r>
      <w:r w:rsidRPr="00F92E2E">
        <w:rPr>
          <w:rFonts w:cstheme="minorHAnsi"/>
        </w:rPr>
        <w:t xml:space="preserve"> their physical existence within Britain</w:t>
      </w:r>
      <w:r w:rsidR="002F2C4B" w:rsidRPr="00F92E2E">
        <w:rPr>
          <w:rFonts w:cstheme="minorHAnsi"/>
        </w:rPr>
        <w:t xml:space="preserve">, </w:t>
      </w:r>
      <w:r w:rsidRPr="00F92E2E">
        <w:rPr>
          <w:rFonts w:cstheme="minorHAnsi"/>
        </w:rPr>
        <w:t>however</w:t>
      </w:r>
      <w:r w:rsidR="002F2C4B" w:rsidRPr="00F92E2E">
        <w:rPr>
          <w:rFonts w:cstheme="minorHAnsi"/>
        </w:rPr>
        <w:t>,</w:t>
      </w:r>
      <w:r w:rsidRPr="00F92E2E">
        <w:rPr>
          <w:rFonts w:cstheme="minorHAnsi"/>
        </w:rPr>
        <w:t xml:space="preserve"> another aspect that needs to be commented on is the emotional abuses suffered by COs at the hands of the media and</w:t>
      </w:r>
      <w:r w:rsidR="00EB5BDE" w:rsidRPr="00F92E2E">
        <w:rPr>
          <w:rFonts w:cstheme="minorHAnsi"/>
        </w:rPr>
        <w:t xml:space="preserve"> government</w:t>
      </w:r>
      <w:r w:rsidRPr="00F92E2E">
        <w:rPr>
          <w:rFonts w:cstheme="minorHAnsi"/>
        </w:rPr>
        <w:t xml:space="preserve"> campaigns.</w:t>
      </w:r>
      <w:r w:rsidR="00DC3387" w:rsidRPr="00F92E2E">
        <w:rPr>
          <w:rFonts w:cstheme="minorHAnsi"/>
        </w:rPr>
        <w:t>“</w:t>
      </w:r>
      <w:r w:rsidR="00913D12" w:rsidRPr="00F92E2E">
        <w:rPr>
          <w:rFonts w:cstheme="minorHAnsi"/>
        </w:rPr>
        <w:t>Representations of COs in the media were overwhelmingly negative. The derogatory term ‘conchie’ became the typical name for a man who appealed against his conscription. In newspapers COs were branded as lazy men who ‘shirked’ their duties. Sometimes they were portrayed as the enemy and branded as traitors, or alternatively as cowards who were too afraid to fight. In an atmosphere of popular support for the war, and propaganda that celebrated those who had volunteered to fight as heroes, the CO was seen to have betrayed his country.</w:t>
      </w:r>
      <w:r w:rsidR="00DC3387" w:rsidRPr="00F92E2E">
        <w:rPr>
          <w:rFonts w:cstheme="minorHAnsi"/>
        </w:rPr>
        <w:t>”</w:t>
      </w:r>
      <w:r w:rsidR="00DC3387" w:rsidRPr="00F92E2E">
        <w:rPr>
          <w:rStyle w:val="FootnoteReference"/>
          <w:rFonts w:cstheme="minorHAnsi"/>
        </w:rPr>
        <w:footnoteReference w:id="13"/>
      </w:r>
    </w:p>
    <w:p w:rsidR="006076D0" w:rsidRPr="00F92E2E" w:rsidRDefault="00EB5BDE" w:rsidP="00DC3387">
      <w:pPr>
        <w:rPr>
          <w:rFonts w:cstheme="minorHAnsi"/>
        </w:rPr>
      </w:pPr>
      <w:r w:rsidRPr="00F92E2E">
        <w:rPr>
          <w:rFonts w:cstheme="minorHAnsi"/>
        </w:rPr>
        <w:lastRenderedPageBreak/>
        <w:t>Also</w:t>
      </w:r>
      <w:r w:rsidR="00913D12" w:rsidRPr="00F92E2E">
        <w:rPr>
          <w:rFonts w:cstheme="minorHAnsi"/>
        </w:rPr>
        <w:t>, the men who refused to fight were shown in the press as unhealthy and physically weak. In contrast to the immaculately uniformed soldiers, COs were often portrayed as dressing shabbily, which suggested that they were incapable of looking after themselves.</w:t>
      </w:r>
      <w:r w:rsidRPr="00F92E2E">
        <w:rPr>
          <w:rStyle w:val="FootnoteReference"/>
          <w:rFonts w:cstheme="minorHAnsi"/>
        </w:rPr>
        <w:footnoteReference w:id="14"/>
      </w:r>
      <w:r w:rsidRPr="00F92E2E">
        <w:rPr>
          <w:rFonts w:cstheme="minorHAnsi"/>
        </w:rPr>
        <w:t>“</w:t>
      </w:r>
      <w:r w:rsidR="00913D12" w:rsidRPr="00F92E2E">
        <w:rPr>
          <w:rFonts w:cstheme="minorHAnsi"/>
        </w:rPr>
        <w:t>Rather than fulfilling the stereotype of the soldier hero, non-combatants could be depicted as blundering fools, incapable of being ‘real men’.</w:t>
      </w:r>
      <w:r w:rsidR="00DC3387" w:rsidRPr="00F92E2E">
        <w:rPr>
          <w:rFonts w:cstheme="minorHAnsi"/>
        </w:rPr>
        <w:t>”</w:t>
      </w:r>
      <w:r w:rsidR="00DC3387" w:rsidRPr="00F92E2E">
        <w:rPr>
          <w:rStyle w:val="FootnoteReference"/>
          <w:rFonts w:cstheme="minorHAnsi"/>
        </w:rPr>
        <w:footnoteReference w:id="15"/>
      </w:r>
    </w:p>
    <w:p w:rsidR="00DC3387" w:rsidRDefault="00DB5478" w:rsidP="00DC3387">
      <w:pPr>
        <w:rPr>
          <w:rFonts w:cstheme="minorHAnsi"/>
        </w:rPr>
      </w:pPr>
      <w:r w:rsidRPr="00F92E2E">
        <w:rPr>
          <w:rFonts w:cstheme="minorHAnsi"/>
        </w:rPr>
        <w:t xml:space="preserve">It has been said that Conscientious Objectors </w:t>
      </w:r>
      <w:r w:rsidR="006076D0" w:rsidRPr="00F92E2E">
        <w:rPr>
          <w:rFonts w:cstheme="minorHAnsi"/>
        </w:rPr>
        <w:t>were</w:t>
      </w:r>
      <w:r w:rsidR="002F2C4B" w:rsidRPr="00F92E2E">
        <w:rPr>
          <w:rFonts w:cstheme="minorHAnsi"/>
        </w:rPr>
        <w:t>,</w:t>
      </w:r>
      <w:r w:rsidR="006076D0" w:rsidRPr="00F92E2E">
        <w:rPr>
          <w:rFonts w:cstheme="minorHAnsi"/>
        </w:rPr>
        <w:t xml:space="preserve"> therefore</w:t>
      </w:r>
      <w:r w:rsidR="002F2C4B" w:rsidRPr="00F92E2E">
        <w:rPr>
          <w:rFonts w:cstheme="minorHAnsi"/>
        </w:rPr>
        <w:t>,</w:t>
      </w:r>
      <w:r w:rsidR="006076D0" w:rsidRPr="00F92E2E">
        <w:rPr>
          <w:rFonts w:cstheme="minorHAnsi"/>
        </w:rPr>
        <w:t xml:space="preserve"> also shown to be bending gender norms.</w:t>
      </w:r>
      <w:r w:rsidR="006076D0" w:rsidRPr="00F92E2E">
        <w:rPr>
          <w:rStyle w:val="FootnoteReference"/>
          <w:rFonts w:cstheme="minorHAnsi"/>
        </w:rPr>
        <w:footnoteReference w:id="16"/>
      </w:r>
      <w:r w:rsidR="006076D0" w:rsidRPr="00F92E2E">
        <w:rPr>
          <w:rFonts w:cstheme="minorHAnsi"/>
        </w:rPr>
        <w:t>“</w:t>
      </w:r>
      <w:r w:rsidR="00DC3387" w:rsidRPr="00F92E2E">
        <w:rPr>
          <w:rFonts w:cstheme="minorHAnsi"/>
        </w:rPr>
        <w:t>The press often called them ‘sissies’ or ‘pansies’. Cartoons and postcards pictured them wearing dresses or performing traditional female chores. In one postcard COs are shown wearing women’s aprons and sweeping the trenches while other soldiers sneer at them. Some men were accused of homosexuality (then illegal) and depicted acting in camp fashion.”</w:t>
      </w:r>
      <w:r w:rsidR="00DC3387" w:rsidRPr="00F92E2E">
        <w:rPr>
          <w:rStyle w:val="FootnoteReference"/>
          <w:rFonts w:cstheme="minorHAnsi"/>
        </w:rPr>
        <w:footnoteReference w:id="17"/>
      </w:r>
      <w:r w:rsidR="00DC3387" w:rsidRPr="00F92E2E">
        <w:rPr>
          <w:rFonts w:cstheme="minorHAnsi"/>
        </w:rPr>
        <w:t>Such depictions aimed to undermine and humiliate the non-combatants.</w:t>
      </w:r>
      <w:r w:rsidR="006076D0" w:rsidRPr="00F92E2E">
        <w:rPr>
          <w:rStyle w:val="FootnoteReference"/>
          <w:rFonts w:cstheme="minorHAnsi"/>
        </w:rPr>
        <w:footnoteReference w:id="18"/>
      </w:r>
      <w:r w:rsidR="006076D0" w:rsidRPr="00F92E2E">
        <w:rPr>
          <w:rFonts w:cstheme="minorHAnsi"/>
        </w:rPr>
        <w:t>“</w:t>
      </w:r>
      <w:r w:rsidR="00DC3387" w:rsidRPr="00F92E2E">
        <w:rPr>
          <w:rFonts w:cstheme="minorHAnsi"/>
        </w:rPr>
        <w:t>The ridicule extended to propaganda posters, contemporary literature and popular song, such as Alfred Lester’s famous ‘The Conscientious Objector’s Lament’.”</w:t>
      </w:r>
      <w:r w:rsidR="00DC3387" w:rsidRPr="00F92E2E">
        <w:rPr>
          <w:rStyle w:val="FootnoteReference"/>
          <w:rFonts w:cstheme="minorHAnsi"/>
        </w:rPr>
        <w:footnoteReference w:id="19"/>
      </w:r>
    </w:p>
    <w:p w:rsidR="0036696F" w:rsidRPr="00F92E2E" w:rsidRDefault="0036696F" w:rsidP="00DC3387">
      <w:pPr>
        <w:rPr>
          <w:rFonts w:cstheme="minorHAnsi"/>
        </w:rPr>
      </w:pPr>
      <w:r>
        <w:rPr>
          <w:rFonts w:cstheme="minorHAnsi"/>
        </w:rPr>
        <w:t xml:space="preserve">An example which can be found in Wales of a conscientious objector being </w:t>
      </w:r>
      <w:r w:rsidR="00616A64">
        <w:rPr>
          <w:rFonts w:cstheme="minorHAnsi"/>
        </w:rPr>
        <w:t>subjected to systematic abuse</w:t>
      </w:r>
      <w:r w:rsidR="00A17AD0">
        <w:rPr>
          <w:rFonts w:cstheme="minorHAnsi"/>
        </w:rPr>
        <w:t>,</w:t>
      </w:r>
      <w:r w:rsidR="00616A64">
        <w:rPr>
          <w:rFonts w:cstheme="minorHAnsi"/>
        </w:rPr>
        <w:t xml:space="preserve"> which was suffered by self professed pacifists comes from the accounts of Emrys Hughes. "</w:t>
      </w:r>
      <w:r w:rsidR="00616A64" w:rsidRPr="00616A64">
        <w:rPr>
          <w:rFonts w:cstheme="minorHAnsi"/>
        </w:rPr>
        <w:t>The arrest happened without warning, as he arrived at a railway station one day. He was handed over to the military authorities, and taken away, catching a last glimpse of the familiar hillsides and valleys of home as he went. He knew it might be a long time before he saw them again. Immediately, Emrys’ refusal to submit to military orders got him into trouble; he would not call the sergeant major ‘Sir’ or undress for a medical examination. He was sent to a ‘court martial’ or military court; the sergeant-major told Emrys and other conscientious objectors that he hoped they would all be shot.</w:t>
      </w:r>
      <w:r w:rsidR="00616A64">
        <w:rPr>
          <w:rFonts w:cstheme="minorHAnsi"/>
        </w:rPr>
        <w:t>"</w:t>
      </w:r>
      <w:r w:rsidR="00616A64">
        <w:rPr>
          <w:rStyle w:val="FootnoteReference"/>
          <w:rFonts w:cstheme="minorHAnsi"/>
        </w:rPr>
        <w:footnoteReference w:id="20"/>
      </w:r>
      <w:r w:rsidR="00E16AFE">
        <w:rPr>
          <w:rFonts w:cstheme="minorHAnsi"/>
        </w:rPr>
        <w:t xml:space="preserve"> Another prominent and not</w:t>
      </w:r>
      <w:r w:rsidR="00A17AD0">
        <w:rPr>
          <w:rFonts w:cstheme="minorHAnsi"/>
        </w:rPr>
        <w:t>e</w:t>
      </w:r>
      <w:r w:rsidR="00E16AFE">
        <w:rPr>
          <w:rFonts w:cstheme="minorHAnsi"/>
        </w:rPr>
        <w:t xml:space="preserve"> worthy example comes from </w:t>
      </w:r>
      <w:r w:rsidR="00E16AFE" w:rsidRPr="00E16AFE">
        <w:rPr>
          <w:rFonts w:cstheme="minorHAnsi"/>
        </w:rPr>
        <w:t>Clifford Allen</w:t>
      </w:r>
      <w:r w:rsidR="00E16AFE">
        <w:rPr>
          <w:rFonts w:cstheme="minorHAnsi"/>
        </w:rPr>
        <w:t xml:space="preserve"> who</w:t>
      </w:r>
      <w:r w:rsidR="00A17AD0">
        <w:rPr>
          <w:rFonts w:cstheme="minorHAnsi"/>
        </w:rPr>
        <w:t>,</w:t>
      </w:r>
      <w:r w:rsidR="00E16AFE">
        <w:rPr>
          <w:rFonts w:cstheme="minorHAnsi"/>
        </w:rPr>
        <w:t xml:space="preserve"> when the first world war </w:t>
      </w:r>
      <w:r w:rsidR="00A17AD0">
        <w:rPr>
          <w:rFonts w:cstheme="minorHAnsi"/>
        </w:rPr>
        <w:t>was declared f</w:t>
      </w:r>
      <w:r w:rsidR="00E16AFE" w:rsidRPr="00E16AFE">
        <w:rPr>
          <w:rFonts w:cstheme="minorHAnsi"/>
        </w:rPr>
        <w:t>ormed the No-Conscription Fellowship (NCF)</w:t>
      </w:r>
      <w:r w:rsidR="00A17AD0">
        <w:rPr>
          <w:rFonts w:cstheme="minorHAnsi"/>
        </w:rPr>
        <w:t xml:space="preserve"> with </w:t>
      </w:r>
      <w:r w:rsidR="00E16AFE">
        <w:rPr>
          <w:rFonts w:cstheme="minorHAnsi"/>
        </w:rPr>
        <w:t xml:space="preserve">Fenner Brockway; </w:t>
      </w:r>
      <w:r w:rsidR="00E16AFE" w:rsidRPr="00E16AFE">
        <w:rPr>
          <w:rFonts w:cstheme="minorHAnsi"/>
        </w:rPr>
        <w:t xml:space="preserve"> </w:t>
      </w:r>
      <w:r w:rsidR="00E16AFE">
        <w:rPr>
          <w:rFonts w:cstheme="minorHAnsi"/>
        </w:rPr>
        <w:t>"</w:t>
      </w:r>
      <w:r w:rsidR="00E16AFE" w:rsidRPr="00E16AFE">
        <w:rPr>
          <w:rFonts w:cstheme="minorHAnsi"/>
        </w:rPr>
        <w:t>an organisation that encouraged men to refuse war service. T</w:t>
      </w:r>
      <w:r w:rsidR="00A17AD0">
        <w:rPr>
          <w:rFonts w:cstheme="minorHAnsi"/>
        </w:rPr>
        <w:t>he NCF required its members to '</w:t>
      </w:r>
      <w:r w:rsidR="00E16AFE" w:rsidRPr="00E16AFE">
        <w:rPr>
          <w:rFonts w:cstheme="minorHAnsi"/>
        </w:rPr>
        <w:t>refuse from conscientious motives to bear arms because they consider human life to be sacred.</w:t>
      </w:r>
      <w:r w:rsidR="00A17AD0">
        <w:rPr>
          <w:rFonts w:cstheme="minorHAnsi"/>
        </w:rPr>
        <w:t>'"</w:t>
      </w:r>
      <w:r w:rsidR="00E16AFE">
        <w:rPr>
          <w:rStyle w:val="FootnoteReference"/>
          <w:rFonts w:cstheme="minorHAnsi"/>
        </w:rPr>
        <w:footnoteReference w:id="21"/>
      </w:r>
      <w:r w:rsidR="00A17AD0">
        <w:rPr>
          <w:rFonts w:cstheme="minorHAnsi"/>
        </w:rPr>
        <w:t xml:space="preserve"> Following what we have seen from previous examples it is hardly surprising that "</w:t>
      </w:r>
      <w:r w:rsidR="00A17AD0" w:rsidRPr="00A17AD0">
        <w:rPr>
          <w:rFonts w:cstheme="minorHAnsi"/>
        </w:rPr>
        <w:t xml:space="preserve">Fenner Brockway </w:t>
      </w:r>
      <w:r w:rsidR="00A17AD0" w:rsidRPr="00A17AD0">
        <w:rPr>
          <w:rFonts w:cstheme="minorHAnsi"/>
        </w:rPr>
        <w:lastRenderedPageBreak/>
        <w:t>and Clifford Allen were arrested for distributing a leaflet criticizing the introduction of conscription. When they refused to pay their fines, they were sentenced to two months in Pentonville Prison. Soon after being released, Brockway was re-arrested under the Military Service Act. As if he were a traitor, Brockway was held for one night in the Tower of London. He was later transferred to a dungeon at Chester Castle and finally served his sentence in Walton Prison in Liverpool. Brockway continued to write, and after meeting a soldier imprisoned for desertion, wrote an account of the Battle of Passchendaele. The article was discovered and Brockway was sentenced to six days on bread and water.</w:t>
      </w:r>
      <w:r w:rsidR="00A17AD0">
        <w:rPr>
          <w:rFonts w:cstheme="minorHAnsi"/>
        </w:rPr>
        <w:t>"</w:t>
      </w:r>
      <w:r w:rsidR="00A17AD0">
        <w:rPr>
          <w:rStyle w:val="FootnoteReference"/>
          <w:rFonts w:cstheme="minorHAnsi"/>
        </w:rPr>
        <w:footnoteReference w:id="22"/>
      </w:r>
    </w:p>
    <w:p w:rsidR="00DC3387" w:rsidRPr="00F92E2E" w:rsidRDefault="00DC3387" w:rsidP="00DC3387">
      <w:pPr>
        <w:rPr>
          <w:rFonts w:cstheme="minorHAnsi"/>
        </w:rPr>
      </w:pPr>
      <w:r w:rsidRPr="00F92E2E">
        <w:rPr>
          <w:rFonts w:cstheme="minorHAnsi"/>
        </w:rPr>
        <w:t xml:space="preserve">Although people were given the right to be </w:t>
      </w:r>
      <w:r w:rsidR="00421E65" w:rsidRPr="00F92E2E">
        <w:rPr>
          <w:rFonts w:cstheme="minorHAnsi"/>
        </w:rPr>
        <w:t>a conscientious objector</w:t>
      </w:r>
      <w:r w:rsidRPr="00F92E2E">
        <w:rPr>
          <w:rFonts w:cstheme="minorHAnsi"/>
        </w:rPr>
        <w:t xml:space="preserve"> in the 1916 conscription Act due to pressure from the Quaker MP’s, in practise they were very unsympathetic.</w:t>
      </w:r>
      <w:r w:rsidR="006076D0" w:rsidRPr="00F92E2E">
        <w:rPr>
          <w:rStyle w:val="FootnoteReference"/>
          <w:rFonts w:cstheme="minorHAnsi"/>
        </w:rPr>
        <w:footnoteReference w:id="23"/>
      </w:r>
      <w:r w:rsidR="006076D0" w:rsidRPr="00F92E2E">
        <w:rPr>
          <w:rFonts w:cstheme="minorHAnsi"/>
        </w:rPr>
        <w:t>“</w:t>
      </w:r>
      <w:r w:rsidRPr="00F92E2E">
        <w:rPr>
          <w:rFonts w:cstheme="minorHAnsi"/>
        </w:rPr>
        <w:t xml:space="preserve">In WW1 people who refused to work were severely punished.  Some punishments were worse than others but the worst was death by being shot. Some men were thrown in ponds repeatedly, given hard labour or put in a hole for large amounts of time. Men were also publicly humiliated by the white feather campaign. This involved women handing a man a white feather, in public. This was to signify his cowardice. By wearing this white </w:t>
      </w:r>
      <w:r w:rsidR="006076D0" w:rsidRPr="00F92E2E">
        <w:rPr>
          <w:rFonts w:cstheme="minorHAnsi"/>
        </w:rPr>
        <w:t>feather,</w:t>
      </w:r>
      <w:r w:rsidRPr="00F92E2E">
        <w:rPr>
          <w:rFonts w:cstheme="minorHAnsi"/>
        </w:rPr>
        <w:t xml:space="preserve"> the public would see that the man was a coward and they were often verbally abused and even beaten up. However, before the men were punished a Military Tribunal tried them. The Tribunals were made up of rich classes and ex-soldiers. These Tribunals were often harsh and biased. This was because the ex- soldiers gave little sympathy to men who would not fight. One man was told he was a ‘shivering mass of unwholesome fat!’ If the Tribunal found reason in which a man couldn’t fight he was given exemption. There were 16,000 conscientious objectors yet only 400 gained exemption. Although men were given exemption they were expected to find other ways in which they could help with war effort such as working in a munitions factory. Men who refused to have anything to do with the war effort were called absolutists. If the Military Tribunal found no reason for you to be given exemption you would then be punished.</w:t>
      </w:r>
      <w:r w:rsidR="00B330A3" w:rsidRPr="00F92E2E">
        <w:rPr>
          <w:rFonts w:cstheme="minorHAnsi"/>
        </w:rPr>
        <w:t>”</w:t>
      </w:r>
      <w:r w:rsidR="00B330A3" w:rsidRPr="00F92E2E">
        <w:rPr>
          <w:rStyle w:val="FootnoteReference"/>
          <w:rFonts w:cstheme="minorHAnsi"/>
        </w:rPr>
        <w:footnoteReference w:id="24"/>
      </w:r>
    </w:p>
    <w:p w:rsidR="00DC3387" w:rsidRPr="00F92E2E" w:rsidRDefault="00D15F8E" w:rsidP="00913D12">
      <w:pPr>
        <w:rPr>
          <w:rFonts w:cstheme="minorHAnsi"/>
        </w:rPr>
      </w:pPr>
      <w:r w:rsidRPr="00F92E2E">
        <w:rPr>
          <w:rFonts w:cstheme="minorHAnsi"/>
        </w:rPr>
        <w:t xml:space="preserve">There were many justifications for </w:t>
      </w:r>
      <w:r w:rsidR="00374DDF" w:rsidRPr="00F92E2E">
        <w:rPr>
          <w:rFonts w:cstheme="minorHAnsi"/>
        </w:rPr>
        <w:t xml:space="preserve">men </w:t>
      </w:r>
      <w:r w:rsidRPr="00F92E2E">
        <w:rPr>
          <w:rFonts w:cstheme="minorHAnsi"/>
        </w:rPr>
        <w:t>refusing</w:t>
      </w:r>
      <w:r w:rsidR="005D5FB4" w:rsidRPr="00F92E2E">
        <w:rPr>
          <w:rFonts w:cstheme="minorHAnsi"/>
        </w:rPr>
        <w:t xml:space="preserve"> </w:t>
      </w:r>
      <w:r w:rsidRPr="00F92E2E">
        <w:rPr>
          <w:rFonts w:cstheme="minorHAnsi"/>
        </w:rPr>
        <w:t>to fight</w:t>
      </w:r>
      <w:r w:rsidR="00374DDF" w:rsidRPr="00F92E2E">
        <w:rPr>
          <w:rFonts w:cstheme="minorHAnsi"/>
        </w:rPr>
        <w:t xml:space="preserve"> or support the war effort</w:t>
      </w:r>
      <w:r w:rsidRPr="00F92E2E">
        <w:rPr>
          <w:rFonts w:cstheme="minorHAnsi"/>
        </w:rPr>
        <w:t xml:space="preserve">. </w:t>
      </w:r>
      <w:r w:rsidR="00374DDF" w:rsidRPr="00F92E2E">
        <w:rPr>
          <w:rFonts w:cstheme="minorHAnsi"/>
        </w:rPr>
        <w:t>“</w:t>
      </w:r>
      <w:r w:rsidRPr="00F92E2E">
        <w:rPr>
          <w:rFonts w:cstheme="minorHAnsi"/>
        </w:rPr>
        <w:t xml:space="preserve">The most common was that war and the act of killing were inconsistent with most religious teaching. Many followed this conviction despite their respective churches often supporting the government’s position. Others made a political argument against the war. This was the age when socialism was growing in importance and war was deemed to have no place in a truly socialist society. In the words of Keir Hardie, founder of the Independent Labour Party: </w:t>
      </w:r>
      <w:r w:rsidR="00274DD5" w:rsidRPr="00F92E2E">
        <w:rPr>
          <w:rFonts w:cstheme="minorHAnsi"/>
        </w:rPr>
        <w:t>‘</w:t>
      </w:r>
      <w:r w:rsidRPr="00F92E2E">
        <w:rPr>
          <w:rFonts w:cstheme="minorHAnsi"/>
        </w:rPr>
        <w:t>Militarism and democracy cannot be blended.</w:t>
      </w:r>
      <w:r w:rsidR="00274DD5" w:rsidRPr="00F92E2E">
        <w:rPr>
          <w:rFonts w:cstheme="minorHAnsi"/>
        </w:rPr>
        <w:t>’</w:t>
      </w:r>
      <w:r w:rsidRPr="00F92E2E">
        <w:rPr>
          <w:rFonts w:cstheme="minorHAnsi"/>
        </w:rPr>
        <w:t xml:space="preserve"> Some regarded the conflict as a result of political manoeuvrings rather than having a clear moral purpose.”</w:t>
      </w:r>
      <w:r w:rsidRPr="00F92E2E">
        <w:rPr>
          <w:rStyle w:val="FootnoteReference"/>
          <w:rFonts w:cstheme="minorHAnsi"/>
        </w:rPr>
        <w:footnoteReference w:id="25"/>
      </w:r>
    </w:p>
    <w:p w:rsidR="00D15F8E" w:rsidRPr="00F92E2E" w:rsidRDefault="00421E65" w:rsidP="00D15F8E">
      <w:pPr>
        <w:rPr>
          <w:rFonts w:cstheme="minorHAnsi"/>
        </w:rPr>
      </w:pPr>
      <w:r w:rsidRPr="00F92E2E">
        <w:rPr>
          <w:rFonts w:cstheme="minorHAnsi"/>
        </w:rPr>
        <w:t>Some COs fared slightly better as people such as the non-combatants did not suffer as much abuse as absolutists, due to the fact that</w:t>
      </w:r>
      <w:r w:rsidR="00D15F8E" w:rsidRPr="00F92E2E">
        <w:rPr>
          <w:rFonts w:cstheme="minorHAnsi"/>
        </w:rPr>
        <w:t>“</w:t>
      </w:r>
      <w:r w:rsidRPr="00F92E2E">
        <w:rPr>
          <w:rFonts w:cstheme="minorHAnsi"/>
        </w:rPr>
        <w:t>d</w:t>
      </w:r>
      <w:r w:rsidR="00D15F8E" w:rsidRPr="00F92E2E">
        <w:rPr>
          <w:rFonts w:cstheme="minorHAnsi"/>
        </w:rPr>
        <w:t xml:space="preserve">espite their common portrayal at the time as cowards, the bravery and determination shown by many objectors in standing up for their beliefs led many people, even soldiers and politicians, to develop an admiration for them. Many‘conchies’ ended up </w:t>
      </w:r>
      <w:r w:rsidR="00D15F8E" w:rsidRPr="00F92E2E">
        <w:rPr>
          <w:rFonts w:cstheme="minorHAnsi"/>
        </w:rPr>
        <w:lastRenderedPageBreak/>
        <w:t>at the front line, serving as stretcher bearers in organisations such as the Friends Ambulance Unit. Many men were killed while demonstrating considerable courage under fire.”</w:t>
      </w:r>
      <w:r w:rsidR="00D15F8E" w:rsidRPr="00F92E2E">
        <w:rPr>
          <w:rStyle w:val="FootnoteReference"/>
          <w:rFonts w:cstheme="minorHAnsi"/>
        </w:rPr>
        <w:footnoteReference w:id="26"/>
      </w:r>
    </w:p>
    <w:p w:rsidR="00421E65" w:rsidRPr="00F92E2E" w:rsidRDefault="00421E65" w:rsidP="00D15F8E">
      <w:pPr>
        <w:rPr>
          <w:rFonts w:cstheme="minorHAnsi"/>
        </w:rPr>
      </w:pPr>
      <w:r w:rsidRPr="00F92E2E">
        <w:rPr>
          <w:rFonts w:cstheme="minorHAnsi"/>
        </w:rPr>
        <w:t xml:space="preserve">It is safe to assume, therefore, that the life of a conscientious objector in Britain during the first world war was one dominated by abuse institutionalised by the country’s government and popularised by the general population and media. </w:t>
      </w:r>
      <w:r w:rsidR="001A6E06" w:rsidRPr="00F92E2E">
        <w:rPr>
          <w:rFonts w:cstheme="minorHAnsi"/>
        </w:rPr>
        <w:t>Although there are examples of sentences being made more lenient and that seems to have only been done as a way for the British government to ensure they were not being seen as unfeeling murderers. However, men who attempted to avoid conscription were punished, facing legal ramifications as we as being ostracised and exiled from their communities. There seems to be very little evidence supporting the idea that the authorities were in any way tolerant of those who refused to fight. Instead it seems to be the complete opposite. Those who were unable to fight were made exempt from military serviced but were expected to contribute in some way to the war effort. Those who willingly refused, such as the absolutist, despite their ideology or personal theological persuasion to contribute; were harshly punished, and publicly denounced, and humiliated.</w:t>
      </w:r>
    </w:p>
    <w:p w:rsidR="001A6E06" w:rsidRPr="00F92E2E" w:rsidRDefault="001A6E06" w:rsidP="00823981">
      <w:pPr>
        <w:rPr>
          <w:rFonts w:cstheme="minorHAnsi"/>
          <w:b/>
        </w:rPr>
      </w:pPr>
    </w:p>
    <w:p w:rsidR="009229BD" w:rsidRDefault="009229BD" w:rsidP="00823981">
      <w:pPr>
        <w:rPr>
          <w:rFonts w:cstheme="minorHAnsi"/>
          <w:b/>
        </w:rPr>
      </w:pPr>
    </w:p>
    <w:p w:rsidR="009229BD" w:rsidRDefault="009229BD" w:rsidP="00823981">
      <w:pPr>
        <w:rPr>
          <w:rFonts w:cstheme="minorHAnsi"/>
          <w:b/>
        </w:rPr>
      </w:pPr>
    </w:p>
    <w:p w:rsidR="009229BD" w:rsidRDefault="009229BD" w:rsidP="00823981">
      <w:pPr>
        <w:rPr>
          <w:rFonts w:cstheme="minorHAnsi"/>
          <w:b/>
        </w:rPr>
      </w:pPr>
    </w:p>
    <w:p w:rsidR="009229BD" w:rsidRDefault="009229BD" w:rsidP="00823981">
      <w:pPr>
        <w:rPr>
          <w:rFonts w:cstheme="minorHAnsi"/>
          <w:b/>
        </w:rPr>
      </w:pPr>
    </w:p>
    <w:p w:rsidR="009229BD" w:rsidRDefault="009229BD" w:rsidP="00823981">
      <w:pPr>
        <w:rPr>
          <w:rFonts w:cstheme="minorHAnsi"/>
          <w:b/>
        </w:rPr>
      </w:pPr>
    </w:p>
    <w:p w:rsidR="00D972D9" w:rsidRDefault="00D972D9" w:rsidP="00823981">
      <w:pPr>
        <w:rPr>
          <w:rFonts w:cstheme="minorHAnsi"/>
          <w:b/>
        </w:rPr>
      </w:pPr>
    </w:p>
    <w:p w:rsidR="00D972D9" w:rsidRDefault="00D972D9" w:rsidP="00823981">
      <w:pPr>
        <w:rPr>
          <w:rFonts w:cstheme="minorHAnsi"/>
          <w:b/>
        </w:rPr>
      </w:pPr>
    </w:p>
    <w:p w:rsidR="00D972D9" w:rsidRDefault="00D972D9" w:rsidP="00823981">
      <w:pPr>
        <w:rPr>
          <w:rFonts w:cstheme="minorHAnsi"/>
          <w:b/>
        </w:rPr>
      </w:pPr>
    </w:p>
    <w:p w:rsidR="00D972D9" w:rsidRDefault="00D972D9" w:rsidP="00823981">
      <w:pPr>
        <w:rPr>
          <w:rFonts w:cstheme="minorHAnsi"/>
          <w:b/>
        </w:rPr>
      </w:pPr>
    </w:p>
    <w:p w:rsidR="00D972D9" w:rsidRDefault="00D972D9" w:rsidP="00823981">
      <w:pPr>
        <w:rPr>
          <w:rFonts w:cstheme="minorHAnsi"/>
          <w:b/>
        </w:rPr>
      </w:pPr>
    </w:p>
    <w:p w:rsidR="00D972D9" w:rsidRDefault="00D972D9" w:rsidP="00823981">
      <w:pPr>
        <w:rPr>
          <w:rFonts w:cstheme="minorHAnsi"/>
          <w:b/>
        </w:rPr>
      </w:pPr>
    </w:p>
    <w:p w:rsidR="00D972D9" w:rsidRDefault="00D972D9" w:rsidP="00823981">
      <w:pPr>
        <w:rPr>
          <w:rFonts w:cstheme="minorHAnsi"/>
          <w:b/>
        </w:rPr>
      </w:pPr>
    </w:p>
    <w:p w:rsidR="00D972D9" w:rsidRDefault="00D972D9" w:rsidP="00823981">
      <w:pPr>
        <w:rPr>
          <w:rFonts w:cstheme="minorHAnsi"/>
          <w:b/>
        </w:rPr>
      </w:pPr>
    </w:p>
    <w:p w:rsidR="00D972D9" w:rsidRDefault="00D972D9" w:rsidP="00823981">
      <w:pPr>
        <w:rPr>
          <w:rFonts w:cstheme="minorHAnsi"/>
          <w:b/>
        </w:rPr>
      </w:pPr>
    </w:p>
    <w:p w:rsidR="00D972D9" w:rsidRDefault="00D972D9" w:rsidP="00823981">
      <w:pPr>
        <w:rPr>
          <w:rFonts w:cstheme="minorHAnsi"/>
          <w:b/>
        </w:rPr>
      </w:pPr>
    </w:p>
    <w:p w:rsidR="00D972D9" w:rsidRDefault="00D972D9" w:rsidP="00823981">
      <w:pPr>
        <w:rPr>
          <w:rFonts w:cstheme="minorHAnsi"/>
          <w:b/>
        </w:rPr>
      </w:pPr>
    </w:p>
    <w:p w:rsidR="00D972D9" w:rsidRDefault="00D972D9" w:rsidP="00823981">
      <w:pPr>
        <w:rPr>
          <w:rFonts w:cstheme="minorHAnsi"/>
          <w:b/>
        </w:rPr>
      </w:pPr>
    </w:p>
    <w:p w:rsidR="00D972D9" w:rsidRDefault="00D972D9" w:rsidP="00823981">
      <w:pPr>
        <w:rPr>
          <w:rFonts w:cstheme="minorHAnsi"/>
          <w:b/>
        </w:rPr>
      </w:pPr>
    </w:p>
    <w:p w:rsidR="00823981" w:rsidRDefault="00823981" w:rsidP="00823981">
      <w:pPr>
        <w:rPr>
          <w:rFonts w:cstheme="minorHAnsi"/>
          <w:b/>
        </w:rPr>
      </w:pPr>
      <w:r w:rsidRPr="00F92E2E">
        <w:rPr>
          <w:rFonts w:cstheme="minorHAnsi"/>
          <w:b/>
        </w:rPr>
        <w:lastRenderedPageBreak/>
        <w:t>Bibliography</w:t>
      </w:r>
    </w:p>
    <w:p w:rsidR="009229BD" w:rsidRDefault="009229BD" w:rsidP="00823981">
      <w:r>
        <w:t xml:space="preserve">Brooks M., </w:t>
      </w:r>
      <w:r>
        <w:rPr>
          <w:i/>
        </w:rPr>
        <w:t>Conscientious objectors in their own words</w:t>
      </w:r>
      <w:r>
        <w:t>, (1988),   &lt;</w:t>
      </w:r>
      <w:hyperlink r:id="rId7" w:history="1">
        <w:r w:rsidRPr="00D20B6C">
          <w:rPr>
            <w:rStyle w:val="Hyperlink"/>
          </w:rPr>
          <w:t>http://www.iwm.org.uk/history/conscientious-objectors-in-their-own-words</w:t>
        </w:r>
      </w:hyperlink>
      <w:r>
        <w:t>&gt;, [accessed 2 January 2018]</w:t>
      </w:r>
    </w:p>
    <w:p w:rsidR="00F3443F" w:rsidRPr="00F92E2E" w:rsidRDefault="00F3443F" w:rsidP="00823981">
      <w:pPr>
        <w:rPr>
          <w:rFonts w:cstheme="minorHAnsi"/>
          <w:b/>
        </w:rPr>
      </w:pPr>
      <w:r>
        <w:t>Hancock</w:t>
      </w:r>
      <w:r w:rsidRPr="00BF074E">
        <w:t xml:space="preserve"> J</w:t>
      </w:r>
      <w:r>
        <w:t xml:space="preserve">., </w:t>
      </w:r>
      <w:r w:rsidRPr="004462D8">
        <w:rPr>
          <w:i/>
        </w:rPr>
        <w:t>Conscientious objectors during WW1</w:t>
      </w:r>
      <w:r>
        <w:t>,</w:t>
      </w:r>
      <w:r w:rsidRPr="00BF074E">
        <w:t xml:space="preserve"> </w:t>
      </w:r>
      <w:r>
        <w:t>(</w:t>
      </w:r>
      <w:r w:rsidRPr="00BF074E">
        <w:t>2016</w:t>
      </w:r>
      <w:r>
        <w:t>), &lt;</w:t>
      </w:r>
      <w:hyperlink r:id="rId8" w:history="1">
        <w:r w:rsidRPr="00A9774D">
          <w:rPr>
            <w:rStyle w:val="Hyperlink"/>
          </w:rPr>
          <w:t>https://owlcation.com/humanities/Conscientious-Objectors-During-World-War-1</w:t>
        </w:r>
      </w:hyperlink>
      <w:r>
        <w:t>&gt; [accessed 2 January 2018]</w:t>
      </w:r>
    </w:p>
    <w:p w:rsidR="002951CB" w:rsidRDefault="002951CB" w:rsidP="00DC3387">
      <w:pPr>
        <w:shd w:val="clear" w:color="auto" w:fill="FFFFFF"/>
        <w:spacing w:before="100" w:beforeAutospacing="1" w:after="100" w:afterAutospacing="1" w:line="240" w:lineRule="auto"/>
        <w:outlineLvl w:val="0"/>
        <w:rPr>
          <w:rFonts w:cstheme="minorHAnsi"/>
        </w:rPr>
      </w:pPr>
      <w:r>
        <w:rPr>
          <w:rFonts w:cstheme="minorHAnsi"/>
        </w:rPr>
        <w:t>Liponski, W.</w:t>
      </w:r>
      <w:r w:rsidR="00323FFA">
        <w:rPr>
          <w:rFonts w:cstheme="minorHAnsi"/>
        </w:rPr>
        <w:t xml:space="preserve">, </w:t>
      </w:r>
      <w:r w:rsidR="00323FFA" w:rsidRPr="002951CB">
        <w:rPr>
          <w:i/>
        </w:rPr>
        <w:t>History of British culture</w:t>
      </w:r>
      <w:r w:rsidR="00323FFA">
        <w:t>, (Warsaw, PWN, 2011)</w:t>
      </w:r>
    </w:p>
    <w:p w:rsidR="00F3443F" w:rsidRDefault="00F3443F" w:rsidP="00823981">
      <w:pPr>
        <w:rPr>
          <w:rFonts w:cstheme="minorHAnsi"/>
        </w:rPr>
      </w:pPr>
      <w:r>
        <w:t xml:space="preserve">Richards A., </w:t>
      </w:r>
      <w:r w:rsidRPr="00896C36">
        <w:rPr>
          <w:i/>
        </w:rPr>
        <w:t>The conscientious objectors paid a high price</w:t>
      </w:r>
      <w:r>
        <w:t>, (May 2014), &lt;</w:t>
      </w:r>
      <w:hyperlink r:id="rId9" w:history="1">
        <w:r w:rsidRPr="00A9774D">
          <w:rPr>
            <w:rStyle w:val="Hyperlink"/>
          </w:rPr>
          <w:t>http://www.telegraph.co.uk/history/world-war-one/inside-first-world-war/part-nine/10803538/conscientious-objectors-first-world-war.html</w:t>
        </w:r>
      </w:hyperlink>
      <w:r>
        <w:t>&gt;, [accessed 7 January 2018]</w:t>
      </w:r>
    </w:p>
    <w:p w:rsidR="00B330A3" w:rsidRDefault="009229BD" w:rsidP="00823981">
      <w:pPr>
        <w:rPr>
          <w:rFonts w:cstheme="minorHAnsi"/>
        </w:rPr>
      </w:pPr>
      <w:r>
        <w:rPr>
          <w:rFonts w:cstheme="minorHAnsi"/>
        </w:rPr>
        <w:t>Loez</w:t>
      </w:r>
      <w:r w:rsidR="00B330A3" w:rsidRPr="00F92E2E">
        <w:rPr>
          <w:rFonts w:cstheme="minorHAnsi"/>
        </w:rPr>
        <w:t xml:space="preserve"> A.</w:t>
      </w:r>
      <w:r>
        <w:rPr>
          <w:rFonts w:cstheme="minorHAnsi"/>
        </w:rPr>
        <w:t>,</w:t>
      </w:r>
      <w:r w:rsidR="00B330A3" w:rsidRPr="00F92E2E">
        <w:rPr>
          <w:rFonts w:cstheme="minorHAnsi"/>
        </w:rPr>
        <w:t xml:space="preserve"> 2014. </w:t>
      </w:r>
      <w:r w:rsidR="00B330A3" w:rsidRPr="00F3443F">
        <w:rPr>
          <w:rFonts w:cstheme="minorHAnsi"/>
          <w:i/>
        </w:rPr>
        <w:t>Between Acceptance and Refusal - Soldiers' Attitudes Towards War</w:t>
      </w:r>
      <w:r w:rsidRPr="00F3443F">
        <w:rPr>
          <w:rFonts w:cstheme="minorHAnsi"/>
          <w:i/>
        </w:rPr>
        <w:t>,</w:t>
      </w:r>
      <w:r>
        <w:rPr>
          <w:rFonts w:cstheme="minorHAnsi"/>
        </w:rPr>
        <w:t xml:space="preserve"> (2014), &lt;</w:t>
      </w:r>
      <w:hyperlink r:id="rId10" w:history="1">
        <w:r w:rsidR="00B330A3" w:rsidRPr="00F92E2E">
          <w:rPr>
            <w:rStyle w:val="Hyperlink"/>
            <w:rFonts w:cstheme="minorHAnsi"/>
          </w:rPr>
          <w:t>https://encyclopedia.1914-1918-online.net/article/between_acceptance_and_refusal_-_soldiers_attitudes_towards_war</w:t>
        </w:r>
      </w:hyperlink>
      <w:r>
        <w:rPr>
          <w:rFonts w:cstheme="minorHAnsi"/>
        </w:rPr>
        <w:t>&gt;, [accessed 8 January 2018]</w:t>
      </w:r>
      <w:r w:rsidR="00B330A3" w:rsidRPr="00F92E2E">
        <w:rPr>
          <w:rFonts w:cstheme="minorHAnsi"/>
        </w:rPr>
        <w:t xml:space="preserve"> </w:t>
      </w:r>
    </w:p>
    <w:p w:rsidR="00F3443F" w:rsidRPr="00F92E2E" w:rsidRDefault="00F3443F" w:rsidP="00823981">
      <w:pPr>
        <w:rPr>
          <w:rFonts w:cstheme="minorHAnsi"/>
        </w:rPr>
      </w:pPr>
      <w:r>
        <w:t xml:space="preserve">Tomlinson Charlotte, </w:t>
      </w:r>
      <w:r w:rsidRPr="00352A1D">
        <w:rPr>
          <w:i/>
        </w:rPr>
        <w:t>First World War attitudes to conscientious objectors</w:t>
      </w:r>
      <w:r>
        <w:t>, Richmond Castle, (2016), &lt;</w:t>
      </w:r>
      <w:hyperlink r:id="rId11" w:history="1">
        <w:r w:rsidRPr="00A9774D">
          <w:rPr>
            <w:rStyle w:val="Hyperlink"/>
          </w:rPr>
          <w:t>http://www.english-heritage.org.uk/visit/places/richmond-castle/richmond-graffiti/attitudes-to-cos/</w:t>
        </w:r>
      </w:hyperlink>
      <w:r>
        <w:t>&gt;, [accessed 5 January 2018]</w:t>
      </w:r>
    </w:p>
    <w:p w:rsidR="0036696F" w:rsidRDefault="00F3443F" w:rsidP="00F3443F">
      <w:pPr>
        <w:rPr>
          <w:rFonts w:cstheme="minorHAnsi"/>
        </w:rPr>
      </w:pPr>
      <w:r w:rsidRPr="00F92E2E">
        <w:rPr>
          <w:rFonts w:cstheme="minorHAnsi"/>
        </w:rPr>
        <w:t xml:space="preserve"> </w:t>
      </w:r>
      <w:r w:rsidRPr="00F3443F">
        <w:rPr>
          <w:rFonts w:cstheme="minorHAnsi"/>
          <w:i/>
        </w:rPr>
        <w:t xml:space="preserve">How far did attitudes towards conscientious objectors change between WW1 and WW2? </w:t>
      </w:r>
      <w:r>
        <w:rPr>
          <w:rFonts w:cstheme="minorHAnsi"/>
          <w:i/>
        </w:rPr>
        <w:t>&lt;</w:t>
      </w:r>
      <w:hyperlink r:id="rId12" w:history="1">
        <w:r w:rsidRPr="00F92E2E">
          <w:rPr>
            <w:rStyle w:val="Hyperlink"/>
            <w:rFonts w:cstheme="minorHAnsi"/>
          </w:rPr>
          <w:t>http://www.markedbyteachers.com/gcse/history/how-far-did-attitudes-towards-conscientious-objectors-change-between-ww1-and-ww2.html</w:t>
        </w:r>
      </w:hyperlink>
      <w:r>
        <w:rPr>
          <w:rFonts w:cstheme="minorHAnsi"/>
        </w:rPr>
        <w:t>&gt;, [accessed 10 January 2018]</w:t>
      </w:r>
    </w:p>
    <w:p w:rsidR="00AC162C" w:rsidRDefault="00D972D9" w:rsidP="00F3443F">
      <w:pPr>
        <w:rPr>
          <w:rFonts w:cstheme="minorHAnsi"/>
        </w:rPr>
      </w:pPr>
      <w:r>
        <w:rPr>
          <w:rFonts w:cstheme="minorHAnsi"/>
        </w:rPr>
        <w:t xml:space="preserve">Welsh Voices, </w:t>
      </w:r>
      <w:r w:rsidRPr="00D972D9">
        <w:rPr>
          <w:rFonts w:cstheme="minorHAnsi"/>
          <w:i/>
        </w:rPr>
        <w:t>Emrys Hughes</w:t>
      </w:r>
      <w:r>
        <w:rPr>
          <w:rFonts w:cstheme="minorHAnsi"/>
        </w:rPr>
        <w:t xml:space="preserve">, </w:t>
      </w:r>
      <w:r w:rsidR="0036696F">
        <w:rPr>
          <w:rFonts w:cstheme="minorHAnsi"/>
        </w:rPr>
        <w:t>&lt;</w:t>
      </w:r>
      <w:r w:rsidR="00AC162C" w:rsidRPr="00AC162C">
        <w:rPr>
          <w:rFonts w:cstheme="minorHAnsi"/>
        </w:rPr>
        <w:t>https://wciavoices.wordpres</w:t>
      </w:r>
      <w:r w:rsidR="00AC162C">
        <w:rPr>
          <w:rFonts w:cstheme="minorHAnsi"/>
        </w:rPr>
        <w:t>s.com/2016/03/07/emrys-hughes-2.</w:t>
      </w:r>
      <w:r w:rsidR="0036696F">
        <w:rPr>
          <w:rFonts w:cstheme="minorHAnsi"/>
        </w:rPr>
        <w:t>&gt;</w:t>
      </w:r>
      <w:r>
        <w:rPr>
          <w:rFonts w:cstheme="minorHAnsi"/>
        </w:rPr>
        <w:t>, [accessed 3 January 2018]</w:t>
      </w:r>
    </w:p>
    <w:p w:rsidR="00E16AFE" w:rsidRPr="00F92E2E" w:rsidRDefault="00D972D9" w:rsidP="00F3443F">
      <w:pPr>
        <w:rPr>
          <w:rFonts w:cstheme="minorHAnsi"/>
        </w:rPr>
      </w:pPr>
      <w:r>
        <w:rPr>
          <w:rFonts w:cstheme="minorHAnsi"/>
        </w:rPr>
        <w:t xml:space="preserve">Simkin J., </w:t>
      </w:r>
      <w:r w:rsidR="00E16AFE" w:rsidRPr="00D972D9">
        <w:rPr>
          <w:rFonts w:cstheme="minorHAnsi"/>
          <w:i/>
        </w:rPr>
        <w:t>No-Conscription Fellowship</w:t>
      </w:r>
      <w:r w:rsidR="00A17AD0">
        <w:rPr>
          <w:rFonts w:cstheme="minorHAnsi"/>
        </w:rPr>
        <w:t>, &lt;</w:t>
      </w:r>
      <w:r w:rsidR="00E16AFE" w:rsidRPr="00E16AFE">
        <w:rPr>
          <w:rFonts w:cstheme="minorHAnsi"/>
        </w:rPr>
        <w:t>http://spartacus-educational.com/FWWncf.htm</w:t>
      </w:r>
      <w:r w:rsidR="00A17AD0">
        <w:rPr>
          <w:rFonts w:cstheme="minorHAnsi"/>
        </w:rPr>
        <w:t xml:space="preserve">&gt;, </w:t>
      </w:r>
      <w:r>
        <w:rPr>
          <w:rFonts w:cstheme="minorHAnsi"/>
        </w:rPr>
        <w:t>[accessed 8 January 2018]</w:t>
      </w:r>
    </w:p>
    <w:p w:rsidR="00F3443F" w:rsidRPr="00F92E2E" w:rsidRDefault="00F3443F" w:rsidP="00D15F8E">
      <w:pPr>
        <w:spacing w:line="240" w:lineRule="auto"/>
        <w:rPr>
          <w:rFonts w:cstheme="minorHAnsi"/>
        </w:rPr>
      </w:pPr>
    </w:p>
    <w:p w:rsidR="00D15F8E" w:rsidRPr="00F92E2E" w:rsidRDefault="00D15F8E" w:rsidP="00D15F8E">
      <w:pPr>
        <w:spacing w:line="240" w:lineRule="auto"/>
        <w:rPr>
          <w:rFonts w:cstheme="minorHAnsi"/>
        </w:rPr>
      </w:pPr>
    </w:p>
    <w:sectPr w:rsidR="00D15F8E" w:rsidRPr="00F92E2E" w:rsidSect="006248C7">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497936" w:rsidRDefault="00497936" w:rsidP="00823981">
      <w:pPr>
        <w:spacing w:after="0" w:line="240" w:lineRule="auto"/>
      </w:pPr>
      <w:r>
        <w:separator/>
      </w:r>
    </w:p>
  </w:endnote>
  <w:endnote w:type="continuationSeparator" w:id="1">
    <w:p w:rsidR="00497936" w:rsidRDefault="00497936" w:rsidP="00823981">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10002FF" w:usb1="4000ACFF" w:usb2="00000009" w:usb3="00000000" w:csb0="0000019F" w:csb1="00000000"/>
  </w:font>
  <w:font w:name="Times New Roman">
    <w:panose1 w:val="02020603050405020304"/>
    <w:charset w:val="00"/>
    <w:family w:val="roman"/>
    <w:pitch w:val="variable"/>
    <w:sig w:usb0="E0002AFF" w:usb1="C0007841" w:usb2="00000009" w:usb3="00000000" w:csb0="000001FF" w:csb1="00000000"/>
  </w:font>
  <w:font w:name="Calibri Light">
    <w:altName w:val="Arial"/>
    <w:charset w:val="00"/>
    <w:family w:val="swiss"/>
    <w:pitch w:val="variable"/>
    <w:sig w:usb0="00000000" w:usb1="C000247B" w:usb2="00000009" w:usb3="00000000" w:csb0="000001FF"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497936" w:rsidRDefault="00497936" w:rsidP="00823981">
      <w:pPr>
        <w:spacing w:after="0" w:line="240" w:lineRule="auto"/>
      </w:pPr>
      <w:r>
        <w:separator/>
      </w:r>
    </w:p>
  </w:footnote>
  <w:footnote w:type="continuationSeparator" w:id="1">
    <w:p w:rsidR="00497936" w:rsidRDefault="00497936" w:rsidP="00823981">
      <w:pPr>
        <w:spacing w:after="0" w:line="240" w:lineRule="auto"/>
      </w:pPr>
      <w:r>
        <w:continuationSeparator/>
      </w:r>
    </w:p>
  </w:footnote>
  <w:footnote w:id="2">
    <w:p w:rsidR="002951CB" w:rsidRDefault="002951CB">
      <w:pPr>
        <w:pStyle w:val="FootnoteText"/>
      </w:pPr>
      <w:r>
        <w:rPr>
          <w:rStyle w:val="FootnoteReference"/>
        </w:rPr>
        <w:footnoteRef/>
      </w:r>
      <w:r>
        <w:t xml:space="preserve"> Liponski W</w:t>
      </w:r>
      <w:r w:rsidR="004462D8">
        <w:t>ojciech</w:t>
      </w:r>
      <w:r>
        <w:t xml:space="preserve">, </w:t>
      </w:r>
      <w:r w:rsidRPr="002951CB">
        <w:rPr>
          <w:i/>
        </w:rPr>
        <w:t xml:space="preserve">History of </w:t>
      </w:r>
      <w:r w:rsidR="00851215">
        <w:rPr>
          <w:i/>
        </w:rPr>
        <w:t xml:space="preserve">the </w:t>
      </w:r>
      <w:r w:rsidRPr="002951CB">
        <w:rPr>
          <w:i/>
        </w:rPr>
        <w:t>British culture</w:t>
      </w:r>
      <w:r>
        <w:t>, (Warsaw, PWN, 2011) p.11</w:t>
      </w:r>
    </w:p>
  </w:footnote>
  <w:footnote w:id="3">
    <w:p w:rsidR="00BF074E" w:rsidRDefault="00BF074E">
      <w:pPr>
        <w:pStyle w:val="FootnoteText"/>
      </w:pPr>
      <w:r>
        <w:rPr>
          <w:rStyle w:val="FootnoteReference"/>
        </w:rPr>
        <w:footnoteRef/>
      </w:r>
      <w:r w:rsidR="004462D8">
        <w:t>Hancock</w:t>
      </w:r>
      <w:r w:rsidRPr="00BF074E">
        <w:t xml:space="preserve"> J</w:t>
      </w:r>
      <w:r w:rsidR="004462D8">
        <w:t xml:space="preserve">udith, </w:t>
      </w:r>
      <w:r w:rsidR="004462D8" w:rsidRPr="004462D8">
        <w:rPr>
          <w:i/>
        </w:rPr>
        <w:t>Conscientious objectors during WW1</w:t>
      </w:r>
      <w:r w:rsidR="004462D8">
        <w:t>,</w:t>
      </w:r>
      <w:r w:rsidRPr="00BF074E">
        <w:t xml:space="preserve"> </w:t>
      </w:r>
      <w:r w:rsidR="004462D8">
        <w:t>(</w:t>
      </w:r>
      <w:r w:rsidRPr="00BF074E">
        <w:t>2016</w:t>
      </w:r>
      <w:r w:rsidR="004462D8">
        <w:t>), &lt;</w:t>
      </w:r>
      <w:hyperlink r:id="rId1" w:history="1">
        <w:r w:rsidRPr="00A9774D">
          <w:rPr>
            <w:rStyle w:val="Hyperlink"/>
          </w:rPr>
          <w:t>https://owlcation.com/humanities/Conscientious-Objectors-During-World-War-1</w:t>
        </w:r>
      </w:hyperlink>
      <w:r w:rsidR="004462D8">
        <w:t>&gt; [accessed 2 January 2018]</w:t>
      </w:r>
    </w:p>
  </w:footnote>
  <w:footnote w:id="4">
    <w:p w:rsidR="00BF074E" w:rsidRDefault="00BF074E">
      <w:pPr>
        <w:pStyle w:val="FootnoteText"/>
      </w:pPr>
      <w:r>
        <w:rPr>
          <w:rStyle w:val="FootnoteReference"/>
        </w:rPr>
        <w:footnoteRef/>
      </w:r>
      <w:r w:rsidR="004462D8">
        <w:t>Brooks</w:t>
      </w:r>
      <w:r>
        <w:t xml:space="preserve"> </w:t>
      </w:r>
      <w:r w:rsidR="00851215">
        <w:t>Margaret</w:t>
      </w:r>
      <w:r w:rsidR="004462D8">
        <w:t xml:space="preserve">, </w:t>
      </w:r>
      <w:r w:rsidR="004462D8">
        <w:rPr>
          <w:i/>
        </w:rPr>
        <w:t>Conscientious objectors in their own words</w:t>
      </w:r>
      <w:r w:rsidR="004462D8">
        <w:t>, (1988),</w:t>
      </w:r>
      <w:r>
        <w:t xml:space="preserve">  </w:t>
      </w:r>
      <w:r w:rsidR="004462D8">
        <w:t>&lt;</w:t>
      </w:r>
      <w:hyperlink r:id="rId2" w:history="1">
        <w:r w:rsidRPr="00D20B6C">
          <w:rPr>
            <w:rStyle w:val="Hyperlink"/>
          </w:rPr>
          <w:t>http://www.iwm.org.uk/history/conscientious-objectors-in-their-own-words</w:t>
        </w:r>
      </w:hyperlink>
      <w:r w:rsidR="004462D8">
        <w:t>&gt; [accessed 2 January 2018]</w:t>
      </w:r>
    </w:p>
  </w:footnote>
  <w:footnote w:id="5">
    <w:p w:rsidR="00823981" w:rsidRDefault="00823981">
      <w:pPr>
        <w:pStyle w:val="FootnoteText"/>
      </w:pPr>
      <w:r>
        <w:rPr>
          <w:rStyle w:val="FootnoteReference"/>
        </w:rPr>
        <w:footnoteRef/>
      </w:r>
      <w:r w:rsidR="004462D8">
        <w:t>Brooks</w:t>
      </w:r>
      <w:r w:rsidR="00913D12">
        <w:t xml:space="preserve"> </w:t>
      </w:r>
      <w:r w:rsidR="00851215">
        <w:t>Margaret</w:t>
      </w:r>
      <w:r w:rsidR="004462D8">
        <w:t xml:space="preserve">, </w:t>
      </w:r>
      <w:r w:rsidR="004462D8">
        <w:rPr>
          <w:i/>
        </w:rPr>
        <w:t>Conscientious objectors in their own word,</w:t>
      </w:r>
      <w:r w:rsidR="004462D8">
        <w:t xml:space="preserve"> (1988), &lt;</w:t>
      </w:r>
      <w:hyperlink r:id="rId3" w:history="1">
        <w:r w:rsidRPr="00D20B6C">
          <w:rPr>
            <w:rStyle w:val="Hyperlink"/>
          </w:rPr>
          <w:t>http://www.iwm.org.uk/history/conscientious-objectors-in-their-own-words</w:t>
        </w:r>
      </w:hyperlink>
      <w:r w:rsidR="004462D8">
        <w:t>&gt;</w:t>
      </w:r>
      <w:r w:rsidR="00443E83">
        <w:t>, [accessed 2 January 2018]</w:t>
      </w:r>
    </w:p>
  </w:footnote>
  <w:footnote w:id="6">
    <w:p w:rsidR="004A2EDF" w:rsidRDefault="004A2EDF" w:rsidP="004A2EDF">
      <w:pPr>
        <w:pStyle w:val="FootnoteText"/>
      </w:pPr>
      <w:r>
        <w:rPr>
          <w:rStyle w:val="FootnoteReference"/>
        </w:rPr>
        <w:footnoteRef/>
      </w:r>
      <w:r w:rsidR="00352A1D">
        <w:t xml:space="preserve">Tomlinson Charlotte, </w:t>
      </w:r>
      <w:r w:rsidR="00352A1D" w:rsidRPr="00352A1D">
        <w:rPr>
          <w:i/>
        </w:rPr>
        <w:t>First World War attitudes to conscientious objectors</w:t>
      </w:r>
      <w:r w:rsidR="00352A1D">
        <w:t xml:space="preserve">, </w:t>
      </w:r>
      <w:r w:rsidR="004462D8">
        <w:t>Richmond Castle,</w:t>
      </w:r>
      <w:r>
        <w:t xml:space="preserve"> </w:t>
      </w:r>
      <w:r w:rsidR="00352A1D">
        <w:t>(</w:t>
      </w:r>
      <w:r>
        <w:t>2016</w:t>
      </w:r>
      <w:r w:rsidR="00352A1D">
        <w:t>),</w:t>
      </w:r>
      <w:r>
        <w:t xml:space="preserve"> </w:t>
      </w:r>
      <w:r w:rsidR="00352A1D">
        <w:t>&lt;</w:t>
      </w:r>
      <w:hyperlink r:id="rId4" w:history="1">
        <w:r w:rsidRPr="00A9774D">
          <w:rPr>
            <w:rStyle w:val="Hyperlink"/>
          </w:rPr>
          <w:t>http://www.english-heritage.org.uk/visit/places/richmond-castle/richmond-graffiti/attitudes-to-cos/</w:t>
        </w:r>
      </w:hyperlink>
      <w:r w:rsidR="00352A1D">
        <w:t>&gt;, [accessed 5 January 2018]</w:t>
      </w:r>
    </w:p>
  </w:footnote>
  <w:footnote w:id="7">
    <w:p w:rsidR="00223C3B" w:rsidRDefault="00223C3B">
      <w:pPr>
        <w:pStyle w:val="FootnoteText"/>
      </w:pPr>
      <w:r>
        <w:rPr>
          <w:rStyle w:val="FootnoteReference"/>
        </w:rPr>
        <w:footnoteRef/>
      </w:r>
      <w:r w:rsidR="00851215">
        <w:t xml:space="preserve">Brooks Margaret, </w:t>
      </w:r>
      <w:r w:rsidR="00851215">
        <w:rPr>
          <w:i/>
        </w:rPr>
        <w:t>Conscientious objectors in their own words</w:t>
      </w:r>
      <w:r w:rsidR="00851215">
        <w:t>,</w:t>
      </w:r>
      <w:r>
        <w:t xml:space="preserve"> </w:t>
      </w:r>
      <w:r w:rsidR="00851215">
        <w:t>(</w:t>
      </w:r>
      <w:r>
        <w:t>1988</w:t>
      </w:r>
      <w:r w:rsidR="00851215">
        <w:t xml:space="preserve">), </w:t>
      </w:r>
      <w:r>
        <w:t xml:space="preserve">  </w:t>
      </w:r>
      <w:r w:rsidR="00851215">
        <w:t>&lt;</w:t>
      </w:r>
      <w:hyperlink r:id="rId5" w:history="1">
        <w:r w:rsidRPr="00D20B6C">
          <w:rPr>
            <w:rStyle w:val="Hyperlink"/>
          </w:rPr>
          <w:t>http://www.iwm.org.uk/history/conscientious-objectors-in-their-own-words</w:t>
        </w:r>
      </w:hyperlink>
      <w:r w:rsidR="00851215">
        <w:t>&gt;, [accessed 2 January 2018]</w:t>
      </w:r>
    </w:p>
  </w:footnote>
  <w:footnote w:id="8">
    <w:p w:rsidR="00223C3B" w:rsidRDefault="00223C3B">
      <w:pPr>
        <w:pStyle w:val="FootnoteText"/>
      </w:pPr>
      <w:r>
        <w:rPr>
          <w:rStyle w:val="FootnoteReference"/>
        </w:rPr>
        <w:footnoteRef/>
      </w:r>
      <w:r w:rsidR="00323FFA">
        <w:t>Brooks</w:t>
      </w:r>
      <w:r>
        <w:t xml:space="preserve"> </w:t>
      </w:r>
      <w:r w:rsidR="00851215">
        <w:t>Margaret</w:t>
      </w:r>
      <w:r w:rsidR="00323FFA">
        <w:t>,</w:t>
      </w:r>
      <w:r>
        <w:t xml:space="preserve"> </w:t>
      </w:r>
      <w:r w:rsidR="00851215">
        <w:rPr>
          <w:i/>
        </w:rPr>
        <w:t>Conscientious objectors in their own words</w:t>
      </w:r>
      <w:r w:rsidR="00851215">
        <w:t>, (</w:t>
      </w:r>
      <w:r>
        <w:t>1988</w:t>
      </w:r>
      <w:r w:rsidR="00851215">
        <w:t>),</w:t>
      </w:r>
      <w:r>
        <w:t xml:space="preserve">  </w:t>
      </w:r>
      <w:r w:rsidR="00851215">
        <w:t>&lt;</w:t>
      </w:r>
      <w:hyperlink r:id="rId6" w:history="1">
        <w:r w:rsidRPr="00D20B6C">
          <w:rPr>
            <w:rStyle w:val="Hyperlink"/>
          </w:rPr>
          <w:t>http://www.iwm.org.uk/history/conscientious-objectors-in-their-own-words</w:t>
        </w:r>
      </w:hyperlink>
      <w:r w:rsidR="00851215">
        <w:t>&gt;, [accessed 2 January 2018]</w:t>
      </w:r>
    </w:p>
  </w:footnote>
  <w:footnote w:id="9">
    <w:p w:rsidR="00913D12" w:rsidRDefault="00913D12">
      <w:pPr>
        <w:pStyle w:val="FootnoteText"/>
      </w:pPr>
      <w:r>
        <w:rPr>
          <w:rStyle w:val="FootnoteReference"/>
        </w:rPr>
        <w:footnoteRef/>
      </w:r>
      <w:r w:rsidR="00851215">
        <w:t>Brooks</w:t>
      </w:r>
      <w:r>
        <w:t xml:space="preserve"> </w:t>
      </w:r>
      <w:r w:rsidR="00851215">
        <w:t xml:space="preserve">Margaret, </w:t>
      </w:r>
      <w:r>
        <w:t xml:space="preserve"> </w:t>
      </w:r>
      <w:r w:rsidR="00851215">
        <w:rPr>
          <w:i/>
        </w:rPr>
        <w:t>Conscientious objectors in their own words,</w:t>
      </w:r>
      <w:r w:rsidR="00851215">
        <w:t xml:space="preserve"> (</w:t>
      </w:r>
      <w:r>
        <w:t>1988</w:t>
      </w:r>
      <w:r w:rsidR="00851215">
        <w:t>),</w:t>
      </w:r>
      <w:r>
        <w:t xml:space="preserve">  </w:t>
      </w:r>
      <w:r w:rsidR="00851215">
        <w:t>&lt;</w:t>
      </w:r>
      <w:hyperlink r:id="rId7" w:history="1">
        <w:r w:rsidRPr="00D20B6C">
          <w:rPr>
            <w:rStyle w:val="Hyperlink"/>
          </w:rPr>
          <w:t>http://www.iwm.org.uk/history/conscientious-objectors-in-their-own-words</w:t>
        </w:r>
      </w:hyperlink>
      <w:r w:rsidR="00851215">
        <w:t>&gt;, [accessed 2 January 2018]</w:t>
      </w:r>
    </w:p>
  </w:footnote>
  <w:footnote w:id="10">
    <w:p w:rsidR="00913D12" w:rsidRDefault="00913D12">
      <w:pPr>
        <w:pStyle w:val="FootnoteText"/>
      </w:pPr>
      <w:r>
        <w:rPr>
          <w:rStyle w:val="FootnoteReference"/>
        </w:rPr>
        <w:footnoteRef/>
      </w:r>
      <w:r w:rsidR="009F1E11">
        <w:t>Brooks</w:t>
      </w:r>
      <w:r>
        <w:t xml:space="preserve"> </w:t>
      </w:r>
      <w:r w:rsidR="00851215">
        <w:t>Margaret</w:t>
      </w:r>
      <w:r w:rsidR="009F1E11">
        <w:t xml:space="preserve">, </w:t>
      </w:r>
      <w:r w:rsidR="00851215">
        <w:rPr>
          <w:i/>
        </w:rPr>
        <w:t>Conscientious</w:t>
      </w:r>
      <w:r w:rsidR="009F1E11">
        <w:rPr>
          <w:i/>
        </w:rPr>
        <w:t xml:space="preserve"> objectors in their own words,</w:t>
      </w:r>
      <w:r>
        <w:t xml:space="preserve"> </w:t>
      </w:r>
      <w:r w:rsidR="009F1E11">
        <w:t>(</w:t>
      </w:r>
      <w:r>
        <w:t>1988</w:t>
      </w:r>
      <w:r w:rsidR="009F1E11">
        <w:t>), &lt;</w:t>
      </w:r>
      <w:hyperlink r:id="rId8" w:history="1">
        <w:r w:rsidRPr="00D20B6C">
          <w:rPr>
            <w:rStyle w:val="Hyperlink"/>
          </w:rPr>
          <w:t>http://www.iwm.org.uk/history/conscientious-objectors-in-their-own-words</w:t>
        </w:r>
      </w:hyperlink>
      <w:r w:rsidR="009F1E11">
        <w:t>&gt;</w:t>
      </w:r>
      <w:r w:rsidR="00851215">
        <w:t xml:space="preserve"> [accessed 2</w:t>
      </w:r>
      <w:r w:rsidR="009F1E11">
        <w:t xml:space="preserve"> January 2018]</w:t>
      </w:r>
    </w:p>
  </w:footnote>
  <w:footnote w:id="11">
    <w:p w:rsidR="00274DD5" w:rsidRDefault="00274DD5" w:rsidP="00274DD5">
      <w:pPr>
        <w:pStyle w:val="FootnoteText"/>
      </w:pPr>
      <w:r>
        <w:rPr>
          <w:rStyle w:val="FootnoteReference"/>
        </w:rPr>
        <w:footnoteRef/>
      </w:r>
      <w:r w:rsidR="00352A1D">
        <w:t xml:space="preserve"> Richards</w:t>
      </w:r>
      <w:r>
        <w:t xml:space="preserve"> A</w:t>
      </w:r>
      <w:r w:rsidR="00352A1D">
        <w:t xml:space="preserve">nthony, </w:t>
      </w:r>
      <w:r w:rsidR="00352A1D" w:rsidRPr="00896C36">
        <w:rPr>
          <w:i/>
        </w:rPr>
        <w:t>The conscientious objectors paid a high price</w:t>
      </w:r>
      <w:r w:rsidR="00352A1D">
        <w:t xml:space="preserve">, (May </w:t>
      </w:r>
      <w:r>
        <w:t>2014</w:t>
      </w:r>
      <w:r w:rsidR="00352A1D">
        <w:t>),</w:t>
      </w:r>
      <w:r>
        <w:t xml:space="preserve"> </w:t>
      </w:r>
      <w:r w:rsidR="00352A1D">
        <w:t>&lt;</w:t>
      </w:r>
      <w:hyperlink r:id="rId9" w:history="1">
        <w:r w:rsidRPr="00A9774D">
          <w:rPr>
            <w:rStyle w:val="Hyperlink"/>
          </w:rPr>
          <w:t>http://www.telegraph.co.uk/history/world-war-one/inside-first-world-war/part-nine/10803538/conscientious-objectors-first-world-war.html</w:t>
        </w:r>
      </w:hyperlink>
      <w:r w:rsidR="00352A1D">
        <w:t>&gt;, [accessed 7 January 2018]</w:t>
      </w:r>
    </w:p>
  </w:footnote>
  <w:footnote w:id="12">
    <w:p w:rsidR="00421E65" w:rsidRDefault="00421E65" w:rsidP="00421E65">
      <w:pPr>
        <w:pStyle w:val="FootnoteText"/>
      </w:pPr>
      <w:r>
        <w:rPr>
          <w:rStyle w:val="FootnoteReference"/>
        </w:rPr>
        <w:footnoteRef/>
      </w:r>
      <w:r w:rsidR="00352A1D">
        <w:t xml:space="preserve"> Richards</w:t>
      </w:r>
      <w:r>
        <w:t xml:space="preserve"> A</w:t>
      </w:r>
      <w:r w:rsidR="00352A1D">
        <w:t xml:space="preserve">nthony, </w:t>
      </w:r>
      <w:r w:rsidR="00896C36" w:rsidRPr="00896C36">
        <w:rPr>
          <w:i/>
        </w:rPr>
        <w:t>The conscientious objectors paid a high price</w:t>
      </w:r>
      <w:r w:rsidR="00896C36">
        <w:t>, (May 2014), &lt;</w:t>
      </w:r>
      <w:hyperlink r:id="rId10" w:history="1">
        <w:r w:rsidRPr="00A9774D">
          <w:rPr>
            <w:rStyle w:val="Hyperlink"/>
          </w:rPr>
          <w:t>http://www.telegraph.co.uk/history/world-war-one/inside-first-world-war/part-nine/10803538/conscientious-objectors-first-world-war.html</w:t>
        </w:r>
      </w:hyperlink>
      <w:r w:rsidR="00896C36">
        <w:t>&gt;, [accessed 7 January 2018]</w:t>
      </w:r>
    </w:p>
  </w:footnote>
  <w:footnote w:id="13">
    <w:p w:rsidR="00DC3387" w:rsidRDefault="00DC3387">
      <w:pPr>
        <w:pStyle w:val="FootnoteText"/>
      </w:pPr>
      <w:r>
        <w:rPr>
          <w:rStyle w:val="FootnoteReference"/>
        </w:rPr>
        <w:footnoteRef/>
      </w:r>
      <w:r w:rsidR="00896C36">
        <w:t xml:space="preserve">Tomlinson Charlotte, </w:t>
      </w:r>
      <w:r w:rsidR="00896C36" w:rsidRPr="00352A1D">
        <w:rPr>
          <w:i/>
        </w:rPr>
        <w:t>First World War attitudes to conscientious objectors</w:t>
      </w:r>
      <w:r w:rsidR="00896C36">
        <w:t>, Richmond Castle, (2016), &lt;</w:t>
      </w:r>
      <w:hyperlink r:id="rId11" w:history="1">
        <w:r w:rsidR="00896C36" w:rsidRPr="00A9774D">
          <w:rPr>
            <w:rStyle w:val="Hyperlink"/>
          </w:rPr>
          <w:t>http://www.english-heritage.org.uk/visit/places/richmond-castle/richmond-graffiti/attitudes-to-cos/</w:t>
        </w:r>
      </w:hyperlink>
      <w:r w:rsidR="00896C36">
        <w:t>&gt;, [accessed 5 January 2018]</w:t>
      </w:r>
    </w:p>
  </w:footnote>
  <w:footnote w:id="14">
    <w:p w:rsidR="00EB5BDE" w:rsidRPr="00D972D9" w:rsidRDefault="00EB5BDE">
      <w:pPr>
        <w:pStyle w:val="FootnoteText"/>
      </w:pPr>
      <w:r w:rsidRPr="00D972D9">
        <w:rPr>
          <w:rStyle w:val="FootnoteReference"/>
        </w:rPr>
        <w:footnoteRef/>
      </w:r>
      <w:r w:rsidR="00896C36" w:rsidRPr="00D972D9">
        <w:t xml:space="preserve">Tomlinson Charlotte, </w:t>
      </w:r>
      <w:r w:rsidR="00896C36" w:rsidRPr="00D972D9">
        <w:rPr>
          <w:i/>
        </w:rPr>
        <w:t>First World War attitudes to conscientious objectors</w:t>
      </w:r>
      <w:r w:rsidR="00896C36" w:rsidRPr="00D972D9">
        <w:t>, Richmond Castle, (2016), &lt;</w:t>
      </w:r>
      <w:hyperlink r:id="rId12" w:history="1">
        <w:r w:rsidR="00896C36" w:rsidRPr="00D972D9">
          <w:rPr>
            <w:rStyle w:val="Hyperlink"/>
          </w:rPr>
          <w:t>http://www.english-heritage.org.uk/visit/places/richmond-castle/richmond-graffiti/attitudes-to-cos/</w:t>
        </w:r>
      </w:hyperlink>
      <w:r w:rsidR="00896C36" w:rsidRPr="00D972D9">
        <w:t>&gt;, [accessed 5 January 2018]</w:t>
      </w:r>
    </w:p>
  </w:footnote>
  <w:footnote w:id="15">
    <w:p w:rsidR="00DC3387" w:rsidRPr="00D972D9" w:rsidRDefault="00DC3387">
      <w:pPr>
        <w:pStyle w:val="FootnoteText"/>
      </w:pPr>
      <w:r w:rsidRPr="00D972D9">
        <w:rPr>
          <w:rStyle w:val="FootnoteReference"/>
        </w:rPr>
        <w:footnoteRef/>
      </w:r>
      <w:r w:rsidR="00896C36" w:rsidRPr="00D972D9">
        <w:t xml:space="preserve">Tomlinson Charlotte, </w:t>
      </w:r>
      <w:r w:rsidR="00896C36" w:rsidRPr="00D972D9">
        <w:rPr>
          <w:i/>
        </w:rPr>
        <w:t>First World War attitudes to conscientious objectors</w:t>
      </w:r>
      <w:r w:rsidR="00896C36" w:rsidRPr="00D972D9">
        <w:t>, Richmond Castle, (2016), &lt;</w:t>
      </w:r>
      <w:hyperlink r:id="rId13" w:history="1">
        <w:r w:rsidR="00896C36" w:rsidRPr="00D972D9">
          <w:rPr>
            <w:rStyle w:val="Hyperlink"/>
          </w:rPr>
          <w:t>http://www.english-heritage.org.uk/visit/places/richmond-castle/richmond-graffiti/attitudes-to-cos/</w:t>
        </w:r>
      </w:hyperlink>
      <w:r w:rsidR="00896C36" w:rsidRPr="00D972D9">
        <w:t>&gt;, [accessed 5 January 2018]</w:t>
      </w:r>
    </w:p>
  </w:footnote>
  <w:footnote w:id="16">
    <w:p w:rsidR="006076D0" w:rsidRPr="00D972D9" w:rsidRDefault="006076D0">
      <w:pPr>
        <w:pStyle w:val="FootnoteText"/>
      </w:pPr>
      <w:r w:rsidRPr="00D972D9">
        <w:rPr>
          <w:rStyle w:val="FootnoteReference"/>
        </w:rPr>
        <w:footnoteRef/>
      </w:r>
      <w:r w:rsidR="00896C36" w:rsidRPr="00D972D9">
        <w:t xml:space="preserve">Tomlinson Charlotte, </w:t>
      </w:r>
      <w:r w:rsidR="00896C36" w:rsidRPr="00D972D9">
        <w:rPr>
          <w:i/>
        </w:rPr>
        <w:t>First World War attitudes to conscientious objectors</w:t>
      </w:r>
      <w:r w:rsidR="00896C36" w:rsidRPr="00D972D9">
        <w:t>, Richmond Castle, (2016), &lt;</w:t>
      </w:r>
      <w:hyperlink r:id="rId14" w:history="1">
        <w:r w:rsidR="00896C36" w:rsidRPr="00D972D9">
          <w:rPr>
            <w:rStyle w:val="Hyperlink"/>
          </w:rPr>
          <w:t>http://www.english-heritage.org.uk/visit/places/richmond-castle/richmond-graffiti/attitudes-to-cos/</w:t>
        </w:r>
      </w:hyperlink>
      <w:r w:rsidR="00896C36" w:rsidRPr="00D972D9">
        <w:t>&gt;, [accessed 5 January 2018]</w:t>
      </w:r>
    </w:p>
  </w:footnote>
  <w:footnote w:id="17">
    <w:p w:rsidR="00DC3387" w:rsidRPr="00D972D9" w:rsidRDefault="00DC3387">
      <w:pPr>
        <w:pStyle w:val="FootnoteText"/>
      </w:pPr>
      <w:r w:rsidRPr="00D972D9">
        <w:rPr>
          <w:rStyle w:val="FootnoteReference"/>
        </w:rPr>
        <w:footnoteRef/>
      </w:r>
      <w:r w:rsidR="00896C36" w:rsidRPr="00D972D9">
        <w:t xml:space="preserve">Tomlinson Charlotte, </w:t>
      </w:r>
      <w:r w:rsidR="00896C36" w:rsidRPr="00D972D9">
        <w:rPr>
          <w:i/>
        </w:rPr>
        <w:t>First World War attitudes to conscientious objectors</w:t>
      </w:r>
      <w:r w:rsidR="00896C36" w:rsidRPr="00D972D9">
        <w:t>, Richmond Castle, (2016), &lt;</w:t>
      </w:r>
      <w:hyperlink r:id="rId15" w:history="1">
        <w:r w:rsidR="00896C36" w:rsidRPr="00D972D9">
          <w:rPr>
            <w:rStyle w:val="Hyperlink"/>
          </w:rPr>
          <w:t>http://www.english-heritage.org.uk/visit/places/richmond-castle/richmond-graffiti/attitudes-to-cos/</w:t>
        </w:r>
      </w:hyperlink>
      <w:r w:rsidR="00896C36" w:rsidRPr="00D972D9">
        <w:t>&gt;, [accessed 5 January 2018]</w:t>
      </w:r>
    </w:p>
  </w:footnote>
  <w:footnote w:id="18">
    <w:p w:rsidR="006076D0" w:rsidRPr="00D972D9" w:rsidRDefault="006076D0">
      <w:pPr>
        <w:pStyle w:val="FootnoteText"/>
      </w:pPr>
      <w:r w:rsidRPr="00D972D9">
        <w:rPr>
          <w:rStyle w:val="FootnoteReference"/>
        </w:rPr>
        <w:footnoteRef/>
      </w:r>
      <w:r w:rsidR="00896C36" w:rsidRPr="00D972D9">
        <w:t xml:space="preserve">Tomlinson Charlotte, </w:t>
      </w:r>
      <w:r w:rsidR="00896C36" w:rsidRPr="00D972D9">
        <w:rPr>
          <w:i/>
        </w:rPr>
        <w:t>First World War attitudes to conscientious objectors</w:t>
      </w:r>
      <w:r w:rsidR="00896C36" w:rsidRPr="00D972D9">
        <w:t>, Richmond Castle, (2016), &lt;</w:t>
      </w:r>
      <w:hyperlink r:id="rId16" w:history="1">
        <w:r w:rsidR="00896C36" w:rsidRPr="00D972D9">
          <w:rPr>
            <w:rStyle w:val="Hyperlink"/>
          </w:rPr>
          <w:t>http://www.english-heritage.org.uk/visit/places/richmond-castle/richmond-graffiti/attitudes-to-cos/</w:t>
        </w:r>
      </w:hyperlink>
      <w:r w:rsidR="00896C36" w:rsidRPr="00D972D9">
        <w:t>&gt;, [accessed 5 January 2018]</w:t>
      </w:r>
    </w:p>
  </w:footnote>
  <w:footnote w:id="19">
    <w:p w:rsidR="00DC3387" w:rsidRPr="00D972D9" w:rsidRDefault="00DC3387">
      <w:pPr>
        <w:pStyle w:val="FootnoteText"/>
      </w:pPr>
      <w:r w:rsidRPr="00D972D9">
        <w:rPr>
          <w:rStyle w:val="FootnoteReference"/>
        </w:rPr>
        <w:footnoteRef/>
      </w:r>
      <w:r w:rsidR="006076D0" w:rsidRPr="00D972D9">
        <w:t xml:space="preserve"> </w:t>
      </w:r>
      <w:r w:rsidR="00896C36" w:rsidRPr="00D972D9">
        <w:t xml:space="preserve">Tomlinson Charlotte, </w:t>
      </w:r>
      <w:r w:rsidR="00896C36" w:rsidRPr="00D972D9">
        <w:rPr>
          <w:i/>
        </w:rPr>
        <w:t>First World War attitudes to conscientious objectors</w:t>
      </w:r>
      <w:r w:rsidR="00896C36" w:rsidRPr="00D972D9">
        <w:t>, Richmond Castle, (2016), &lt;</w:t>
      </w:r>
      <w:hyperlink r:id="rId17" w:history="1">
        <w:r w:rsidR="00896C36" w:rsidRPr="00D972D9">
          <w:rPr>
            <w:rStyle w:val="Hyperlink"/>
          </w:rPr>
          <w:t>http://www.english-heritage.org.uk/visit/places/richmond-castle/richmond-graffiti/attitudes-to-cos/</w:t>
        </w:r>
      </w:hyperlink>
      <w:r w:rsidR="00896C36" w:rsidRPr="00D972D9">
        <w:t>&gt;, [accessed 5 January 2018]</w:t>
      </w:r>
    </w:p>
  </w:footnote>
  <w:footnote w:id="20">
    <w:p w:rsidR="00616A64" w:rsidRPr="00D972D9" w:rsidRDefault="00616A64" w:rsidP="00D972D9">
      <w:pPr>
        <w:rPr>
          <w:rFonts w:cstheme="minorHAnsi"/>
          <w:sz w:val="20"/>
          <w:szCs w:val="20"/>
        </w:rPr>
      </w:pPr>
      <w:r w:rsidRPr="00D972D9">
        <w:rPr>
          <w:rStyle w:val="FootnoteReference"/>
          <w:sz w:val="20"/>
          <w:szCs w:val="20"/>
        </w:rPr>
        <w:footnoteRef/>
      </w:r>
      <w:r w:rsidRPr="00D972D9">
        <w:rPr>
          <w:sz w:val="20"/>
          <w:szCs w:val="20"/>
        </w:rPr>
        <w:t xml:space="preserve"> </w:t>
      </w:r>
      <w:r w:rsidR="00D972D9" w:rsidRPr="00D972D9">
        <w:rPr>
          <w:rFonts w:cstheme="minorHAnsi"/>
          <w:sz w:val="20"/>
          <w:szCs w:val="20"/>
        </w:rPr>
        <w:t xml:space="preserve">Welsh Voices, </w:t>
      </w:r>
      <w:r w:rsidR="00D972D9" w:rsidRPr="00D972D9">
        <w:rPr>
          <w:rFonts w:cstheme="minorHAnsi"/>
          <w:i/>
          <w:sz w:val="20"/>
          <w:szCs w:val="20"/>
        </w:rPr>
        <w:t>Emrys Hughes</w:t>
      </w:r>
      <w:r w:rsidR="00D972D9" w:rsidRPr="00D972D9">
        <w:rPr>
          <w:rFonts w:cstheme="minorHAnsi"/>
          <w:sz w:val="20"/>
          <w:szCs w:val="20"/>
        </w:rPr>
        <w:t>, &lt;https://wciavoices.wordpress.com/2016/03/07/emrys-hughes-2.&gt;, [accessed 3 January 2018]</w:t>
      </w:r>
    </w:p>
  </w:footnote>
  <w:footnote w:id="21">
    <w:p w:rsidR="00E16AFE" w:rsidRDefault="00E16AFE">
      <w:pPr>
        <w:pStyle w:val="FootnoteText"/>
      </w:pPr>
      <w:r w:rsidRPr="00D972D9">
        <w:rPr>
          <w:rStyle w:val="FootnoteReference"/>
        </w:rPr>
        <w:footnoteRef/>
      </w:r>
      <w:r w:rsidRPr="00D972D9">
        <w:t xml:space="preserve"> </w:t>
      </w:r>
      <w:r w:rsidR="00D972D9">
        <w:rPr>
          <w:rFonts w:cstheme="minorHAnsi"/>
        </w:rPr>
        <w:t xml:space="preserve">Simkin J., </w:t>
      </w:r>
      <w:r w:rsidR="00D972D9" w:rsidRPr="00D972D9">
        <w:rPr>
          <w:rFonts w:cstheme="minorHAnsi"/>
          <w:i/>
        </w:rPr>
        <w:t>No-Conscription Fellowship</w:t>
      </w:r>
      <w:r w:rsidR="00D972D9">
        <w:rPr>
          <w:rFonts w:cstheme="minorHAnsi"/>
        </w:rPr>
        <w:t>, &lt;</w:t>
      </w:r>
      <w:r w:rsidR="00D972D9" w:rsidRPr="00E16AFE">
        <w:rPr>
          <w:rFonts w:cstheme="minorHAnsi"/>
        </w:rPr>
        <w:t>http://spartacus-educational.com/FWWncf.htm</w:t>
      </w:r>
      <w:r w:rsidR="00D972D9">
        <w:rPr>
          <w:rFonts w:cstheme="minorHAnsi"/>
        </w:rPr>
        <w:t>&gt;, [accessed 8 January 2018]</w:t>
      </w:r>
    </w:p>
  </w:footnote>
  <w:footnote w:id="22">
    <w:p w:rsidR="00A17AD0" w:rsidRDefault="00A17AD0">
      <w:pPr>
        <w:pStyle w:val="FootnoteText"/>
      </w:pPr>
      <w:r>
        <w:rPr>
          <w:rStyle w:val="FootnoteReference"/>
        </w:rPr>
        <w:footnoteRef/>
      </w:r>
      <w:r>
        <w:t xml:space="preserve"> </w:t>
      </w:r>
      <w:r w:rsidR="003E5AFF">
        <w:rPr>
          <w:rFonts w:cstheme="minorHAnsi"/>
        </w:rPr>
        <w:t xml:space="preserve">Simkin J., </w:t>
      </w:r>
      <w:r w:rsidR="003E5AFF" w:rsidRPr="00D972D9">
        <w:rPr>
          <w:rFonts w:cstheme="minorHAnsi"/>
          <w:i/>
        </w:rPr>
        <w:t>No-Conscription Fellowship</w:t>
      </w:r>
      <w:r w:rsidR="003E5AFF">
        <w:rPr>
          <w:rFonts w:cstheme="minorHAnsi"/>
        </w:rPr>
        <w:t>, &lt;</w:t>
      </w:r>
      <w:r w:rsidR="003E5AFF" w:rsidRPr="00E16AFE">
        <w:rPr>
          <w:rFonts w:cstheme="minorHAnsi"/>
        </w:rPr>
        <w:t>http://spartacus-educational.com/FWWncf.htm</w:t>
      </w:r>
      <w:r w:rsidR="003E5AFF">
        <w:rPr>
          <w:rFonts w:cstheme="minorHAnsi"/>
        </w:rPr>
        <w:t>&gt;, [accessed 8 January 2018]</w:t>
      </w:r>
    </w:p>
  </w:footnote>
  <w:footnote w:id="23">
    <w:p w:rsidR="006076D0" w:rsidRDefault="006076D0">
      <w:pPr>
        <w:pStyle w:val="FootnoteText"/>
      </w:pPr>
      <w:r>
        <w:rPr>
          <w:rStyle w:val="FootnoteReference"/>
        </w:rPr>
        <w:footnoteRef/>
      </w:r>
      <w:r w:rsidR="004F60EC" w:rsidRPr="009229BD">
        <w:rPr>
          <w:i/>
        </w:rPr>
        <w:t>How far did attitudes towards conscientious objectors change between WW1 and WW2?,</w:t>
      </w:r>
      <w:r w:rsidR="004F60EC">
        <w:t xml:space="preserve">  </w:t>
      </w:r>
      <w:hyperlink r:id="rId18" w:history="1">
        <w:r w:rsidRPr="00A9774D">
          <w:rPr>
            <w:rStyle w:val="Hyperlink"/>
          </w:rPr>
          <w:t>http://www.markedbyteachers.com/gcse/history/how-far-did-attitudes-towards-conscientious-objectors-change-between-ww1-and-ww2.html</w:t>
        </w:r>
      </w:hyperlink>
      <w:r w:rsidR="004F60EC">
        <w:t>, [accessed 10 January 2018]</w:t>
      </w:r>
    </w:p>
  </w:footnote>
  <w:footnote w:id="24">
    <w:p w:rsidR="00B330A3" w:rsidRDefault="00B330A3">
      <w:pPr>
        <w:pStyle w:val="FootnoteText"/>
      </w:pPr>
      <w:r>
        <w:rPr>
          <w:rStyle w:val="FootnoteReference"/>
        </w:rPr>
        <w:footnoteRef/>
      </w:r>
      <w:r w:rsidR="009229BD">
        <w:t xml:space="preserve"> </w:t>
      </w:r>
      <w:r w:rsidR="009229BD" w:rsidRPr="009229BD">
        <w:rPr>
          <w:i/>
        </w:rPr>
        <w:t>How far did attitudes towards conscientious objectors change between WW1 and WW2?,</w:t>
      </w:r>
      <w:r w:rsidR="009229BD">
        <w:t xml:space="preserve">  &lt;</w:t>
      </w:r>
      <w:hyperlink r:id="rId19" w:history="1">
        <w:r w:rsidRPr="00A9774D">
          <w:rPr>
            <w:rStyle w:val="Hyperlink"/>
          </w:rPr>
          <w:t>http://www.markedbyteachers.com/gcse/history/how-far-did-attitudes-towards-conscientious-objectors-change-between-ww1-and-ww2.html</w:t>
        </w:r>
      </w:hyperlink>
      <w:r w:rsidR="009229BD">
        <w:t>&gt;, [accessed January 2018]</w:t>
      </w:r>
    </w:p>
  </w:footnote>
  <w:footnote w:id="25">
    <w:p w:rsidR="00D15F8E" w:rsidRDefault="00D15F8E">
      <w:pPr>
        <w:pStyle w:val="FootnoteText"/>
      </w:pPr>
      <w:r>
        <w:rPr>
          <w:rStyle w:val="FootnoteReference"/>
        </w:rPr>
        <w:footnoteRef/>
      </w:r>
      <w:r w:rsidR="009229BD">
        <w:t xml:space="preserve">Richards Anthony, </w:t>
      </w:r>
      <w:r w:rsidR="009229BD" w:rsidRPr="00896C36">
        <w:rPr>
          <w:i/>
        </w:rPr>
        <w:t>The conscientious objectors paid a high price</w:t>
      </w:r>
      <w:r w:rsidR="009229BD">
        <w:t>, (May 2014), &lt;</w:t>
      </w:r>
      <w:hyperlink r:id="rId20" w:history="1">
        <w:r w:rsidR="009229BD" w:rsidRPr="00A9774D">
          <w:rPr>
            <w:rStyle w:val="Hyperlink"/>
          </w:rPr>
          <w:t>http://www.telegraph.co.uk/history/world-war-one/inside-first-world-war/part-nine/10803538/conscientious-objectors-first-world-war.html</w:t>
        </w:r>
      </w:hyperlink>
      <w:r w:rsidR="009229BD">
        <w:t>&gt;, [accessed 7 January 2018]</w:t>
      </w:r>
    </w:p>
  </w:footnote>
  <w:footnote w:id="26">
    <w:p w:rsidR="00D15F8E" w:rsidRDefault="00D15F8E">
      <w:pPr>
        <w:pStyle w:val="FootnoteText"/>
      </w:pPr>
      <w:r>
        <w:rPr>
          <w:rStyle w:val="FootnoteReference"/>
        </w:rPr>
        <w:footnoteRef/>
      </w:r>
      <w:r w:rsidR="009229BD">
        <w:t xml:space="preserve">Richards Anthony, </w:t>
      </w:r>
      <w:r w:rsidR="009229BD" w:rsidRPr="00896C36">
        <w:rPr>
          <w:i/>
        </w:rPr>
        <w:t>The conscientious objectors paid a high price</w:t>
      </w:r>
      <w:r w:rsidR="009229BD">
        <w:t>, (May 2014), &lt;</w:t>
      </w:r>
      <w:hyperlink r:id="rId21" w:history="1">
        <w:r w:rsidR="009229BD" w:rsidRPr="00A9774D">
          <w:rPr>
            <w:rStyle w:val="Hyperlink"/>
          </w:rPr>
          <w:t>http://www.telegraph.co.uk/history/world-war-one/inside-first-world-war/part-nine/10803538/conscientious-objectors-first-world-war.html</w:t>
        </w:r>
      </w:hyperlink>
      <w:r w:rsidR="009229BD">
        <w:t>&gt;, [accessed 7 January 2018]</w:t>
      </w:r>
    </w:p>
  </w:footnote>
</w:footnote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footnotePr>
    <w:footnote w:id="0"/>
    <w:footnote w:id="1"/>
  </w:footnotePr>
  <w:endnotePr>
    <w:endnote w:id="0"/>
    <w:endnote w:id="1"/>
  </w:endnotePr>
  <w:compat/>
  <w:rsids>
    <w:rsidRoot w:val="00823981"/>
    <w:rsid w:val="001734E1"/>
    <w:rsid w:val="001A6E06"/>
    <w:rsid w:val="00223C3B"/>
    <w:rsid w:val="00240E80"/>
    <w:rsid w:val="00274DD5"/>
    <w:rsid w:val="00292899"/>
    <w:rsid w:val="002951CB"/>
    <w:rsid w:val="002F2C4B"/>
    <w:rsid w:val="00323FFA"/>
    <w:rsid w:val="00352A1D"/>
    <w:rsid w:val="00357B51"/>
    <w:rsid w:val="0036696F"/>
    <w:rsid w:val="00374DDF"/>
    <w:rsid w:val="003E5AFF"/>
    <w:rsid w:val="0041162D"/>
    <w:rsid w:val="00421E65"/>
    <w:rsid w:val="00443E83"/>
    <w:rsid w:val="004462D8"/>
    <w:rsid w:val="00454B3D"/>
    <w:rsid w:val="00497936"/>
    <w:rsid w:val="004A2EDF"/>
    <w:rsid w:val="004F60EC"/>
    <w:rsid w:val="00541471"/>
    <w:rsid w:val="005D5FB4"/>
    <w:rsid w:val="005D5FF2"/>
    <w:rsid w:val="006076D0"/>
    <w:rsid w:val="00616A64"/>
    <w:rsid w:val="006248C7"/>
    <w:rsid w:val="006866B3"/>
    <w:rsid w:val="00756CF4"/>
    <w:rsid w:val="007C4F22"/>
    <w:rsid w:val="00823981"/>
    <w:rsid w:val="00851215"/>
    <w:rsid w:val="0086658C"/>
    <w:rsid w:val="00896C36"/>
    <w:rsid w:val="00913D12"/>
    <w:rsid w:val="00921C60"/>
    <w:rsid w:val="009229BD"/>
    <w:rsid w:val="009273BD"/>
    <w:rsid w:val="009F1E11"/>
    <w:rsid w:val="00A17AD0"/>
    <w:rsid w:val="00A86B44"/>
    <w:rsid w:val="00AC162C"/>
    <w:rsid w:val="00B330A3"/>
    <w:rsid w:val="00B46208"/>
    <w:rsid w:val="00BF074E"/>
    <w:rsid w:val="00CA4C12"/>
    <w:rsid w:val="00CD72A0"/>
    <w:rsid w:val="00D15F8E"/>
    <w:rsid w:val="00D972D9"/>
    <w:rsid w:val="00DB5478"/>
    <w:rsid w:val="00DC3387"/>
    <w:rsid w:val="00E16AFE"/>
    <w:rsid w:val="00EB5BDE"/>
    <w:rsid w:val="00F3443F"/>
    <w:rsid w:val="00F92E2E"/>
    <w:rsid w:val="00FC470B"/>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307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6248C7"/>
  </w:style>
  <w:style w:type="paragraph" w:styleId="Heading1">
    <w:name w:val="heading 1"/>
    <w:basedOn w:val="Normal"/>
    <w:link w:val="Heading1Char"/>
    <w:uiPriority w:val="9"/>
    <w:qFormat/>
    <w:rsid w:val="00DC3387"/>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823981"/>
    <w:rPr>
      <w:color w:val="0563C1" w:themeColor="hyperlink"/>
      <w:u w:val="single"/>
    </w:rPr>
  </w:style>
  <w:style w:type="character" w:customStyle="1" w:styleId="UnresolvedMention">
    <w:name w:val="Unresolved Mention"/>
    <w:basedOn w:val="DefaultParagraphFont"/>
    <w:uiPriority w:val="99"/>
    <w:semiHidden/>
    <w:unhideWhenUsed/>
    <w:rsid w:val="00823981"/>
    <w:rPr>
      <w:color w:val="808080"/>
      <w:shd w:val="clear" w:color="auto" w:fill="E6E6E6"/>
    </w:rPr>
  </w:style>
  <w:style w:type="paragraph" w:styleId="FootnoteText">
    <w:name w:val="footnote text"/>
    <w:basedOn w:val="Normal"/>
    <w:link w:val="FootnoteTextChar"/>
    <w:uiPriority w:val="99"/>
    <w:semiHidden/>
    <w:unhideWhenUsed/>
    <w:rsid w:val="00823981"/>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823981"/>
    <w:rPr>
      <w:sz w:val="20"/>
      <w:szCs w:val="20"/>
    </w:rPr>
  </w:style>
  <w:style w:type="character" w:styleId="FootnoteReference">
    <w:name w:val="footnote reference"/>
    <w:basedOn w:val="DefaultParagraphFont"/>
    <w:uiPriority w:val="99"/>
    <w:semiHidden/>
    <w:unhideWhenUsed/>
    <w:rsid w:val="00823981"/>
    <w:rPr>
      <w:vertAlign w:val="superscript"/>
    </w:rPr>
  </w:style>
  <w:style w:type="character" w:customStyle="1" w:styleId="Heading1Char">
    <w:name w:val="Heading 1 Char"/>
    <w:basedOn w:val="DefaultParagraphFont"/>
    <w:link w:val="Heading1"/>
    <w:uiPriority w:val="9"/>
    <w:rsid w:val="00DC3387"/>
    <w:rPr>
      <w:rFonts w:ascii="Times New Roman" w:eastAsia="Times New Roman" w:hAnsi="Times New Roman" w:cs="Times New Roman"/>
      <w:b/>
      <w:bCs/>
      <w:kern w:val="36"/>
      <w:sz w:val="48"/>
      <w:szCs w:val="48"/>
      <w:lang w:eastAsia="en-GB"/>
    </w:rPr>
  </w:style>
</w:styles>
</file>

<file path=word/webSettings.xml><?xml version="1.0" encoding="utf-8"?>
<w:webSettings xmlns:r="http://schemas.openxmlformats.org/officeDocument/2006/relationships" xmlns:w="http://schemas.openxmlformats.org/wordprocessingml/2006/main">
  <w:divs>
    <w:div w:id="229195727">
      <w:bodyDiv w:val="1"/>
      <w:marLeft w:val="0"/>
      <w:marRight w:val="0"/>
      <w:marTop w:val="0"/>
      <w:marBottom w:val="0"/>
      <w:divBdr>
        <w:top w:val="none" w:sz="0" w:space="0" w:color="auto"/>
        <w:left w:val="none" w:sz="0" w:space="0" w:color="auto"/>
        <w:bottom w:val="none" w:sz="0" w:space="0" w:color="auto"/>
        <w:right w:val="none" w:sz="0" w:space="0" w:color="auto"/>
      </w:divBdr>
    </w:div>
    <w:div w:id="350110341">
      <w:bodyDiv w:val="1"/>
      <w:marLeft w:val="0"/>
      <w:marRight w:val="0"/>
      <w:marTop w:val="0"/>
      <w:marBottom w:val="0"/>
      <w:divBdr>
        <w:top w:val="none" w:sz="0" w:space="0" w:color="auto"/>
        <w:left w:val="none" w:sz="0" w:space="0" w:color="auto"/>
        <w:bottom w:val="none" w:sz="0" w:space="0" w:color="auto"/>
        <w:right w:val="none" w:sz="0" w:space="0" w:color="auto"/>
      </w:divBdr>
    </w:div>
    <w:div w:id="552546380">
      <w:bodyDiv w:val="1"/>
      <w:marLeft w:val="0"/>
      <w:marRight w:val="0"/>
      <w:marTop w:val="0"/>
      <w:marBottom w:val="0"/>
      <w:divBdr>
        <w:top w:val="none" w:sz="0" w:space="0" w:color="auto"/>
        <w:left w:val="none" w:sz="0" w:space="0" w:color="auto"/>
        <w:bottom w:val="none" w:sz="0" w:space="0" w:color="auto"/>
        <w:right w:val="none" w:sz="0" w:space="0" w:color="auto"/>
      </w:divBdr>
    </w:div>
    <w:div w:id="655494011">
      <w:bodyDiv w:val="1"/>
      <w:marLeft w:val="0"/>
      <w:marRight w:val="0"/>
      <w:marTop w:val="0"/>
      <w:marBottom w:val="0"/>
      <w:divBdr>
        <w:top w:val="none" w:sz="0" w:space="0" w:color="auto"/>
        <w:left w:val="none" w:sz="0" w:space="0" w:color="auto"/>
        <w:bottom w:val="none" w:sz="0" w:space="0" w:color="auto"/>
        <w:right w:val="none" w:sz="0" w:space="0" w:color="auto"/>
      </w:divBdr>
    </w:div>
    <w:div w:id="835151198">
      <w:bodyDiv w:val="1"/>
      <w:marLeft w:val="0"/>
      <w:marRight w:val="0"/>
      <w:marTop w:val="0"/>
      <w:marBottom w:val="0"/>
      <w:divBdr>
        <w:top w:val="none" w:sz="0" w:space="0" w:color="auto"/>
        <w:left w:val="none" w:sz="0" w:space="0" w:color="auto"/>
        <w:bottom w:val="none" w:sz="0" w:space="0" w:color="auto"/>
        <w:right w:val="none" w:sz="0" w:space="0" w:color="auto"/>
      </w:divBdr>
    </w:div>
    <w:div w:id="1201555451">
      <w:bodyDiv w:val="1"/>
      <w:marLeft w:val="0"/>
      <w:marRight w:val="0"/>
      <w:marTop w:val="0"/>
      <w:marBottom w:val="0"/>
      <w:divBdr>
        <w:top w:val="none" w:sz="0" w:space="0" w:color="auto"/>
        <w:left w:val="none" w:sz="0" w:space="0" w:color="auto"/>
        <w:bottom w:val="none" w:sz="0" w:space="0" w:color="auto"/>
        <w:right w:val="none" w:sz="0" w:space="0" w:color="auto"/>
      </w:divBdr>
    </w:div>
    <w:div w:id="1535920983">
      <w:bodyDiv w:val="1"/>
      <w:marLeft w:val="0"/>
      <w:marRight w:val="0"/>
      <w:marTop w:val="0"/>
      <w:marBottom w:val="0"/>
      <w:divBdr>
        <w:top w:val="none" w:sz="0" w:space="0" w:color="auto"/>
        <w:left w:val="none" w:sz="0" w:space="0" w:color="auto"/>
        <w:bottom w:val="none" w:sz="0" w:space="0" w:color="auto"/>
        <w:right w:val="none" w:sz="0" w:space="0" w:color="auto"/>
      </w:divBdr>
    </w:div>
    <w:div w:id="1563247659">
      <w:bodyDiv w:val="1"/>
      <w:marLeft w:val="0"/>
      <w:marRight w:val="0"/>
      <w:marTop w:val="0"/>
      <w:marBottom w:val="0"/>
      <w:divBdr>
        <w:top w:val="none" w:sz="0" w:space="0" w:color="auto"/>
        <w:left w:val="none" w:sz="0" w:space="0" w:color="auto"/>
        <w:bottom w:val="none" w:sz="0" w:space="0" w:color="auto"/>
        <w:right w:val="none" w:sz="0" w:space="0" w:color="auto"/>
      </w:divBdr>
      <w:divsChild>
        <w:div w:id="1878544185">
          <w:marLeft w:val="0"/>
          <w:marRight w:val="0"/>
          <w:marTop w:val="0"/>
          <w:marBottom w:val="0"/>
          <w:divBdr>
            <w:top w:val="none" w:sz="0" w:space="0" w:color="auto"/>
            <w:left w:val="none" w:sz="0" w:space="0" w:color="auto"/>
            <w:bottom w:val="none" w:sz="0" w:space="0" w:color="auto"/>
            <w:right w:val="none" w:sz="0" w:space="0" w:color="auto"/>
          </w:divBdr>
        </w:div>
      </w:divsChild>
    </w:div>
    <w:div w:id="1658068411">
      <w:bodyDiv w:val="1"/>
      <w:marLeft w:val="0"/>
      <w:marRight w:val="0"/>
      <w:marTop w:val="0"/>
      <w:marBottom w:val="0"/>
      <w:divBdr>
        <w:top w:val="none" w:sz="0" w:space="0" w:color="auto"/>
        <w:left w:val="none" w:sz="0" w:space="0" w:color="auto"/>
        <w:bottom w:val="none" w:sz="0" w:space="0" w:color="auto"/>
        <w:right w:val="none" w:sz="0" w:space="0" w:color="auto"/>
      </w:divBdr>
    </w:div>
    <w:div w:id="1822388583">
      <w:bodyDiv w:val="1"/>
      <w:marLeft w:val="0"/>
      <w:marRight w:val="0"/>
      <w:marTop w:val="0"/>
      <w:marBottom w:val="0"/>
      <w:divBdr>
        <w:top w:val="none" w:sz="0" w:space="0" w:color="auto"/>
        <w:left w:val="none" w:sz="0" w:space="0" w:color="auto"/>
        <w:bottom w:val="none" w:sz="0" w:space="0" w:color="auto"/>
        <w:right w:val="none" w:sz="0" w:space="0" w:color="auto"/>
      </w:divBdr>
    </w:div>
    <w:div w:id="2104455614">
      <w:bodyDiv w:val="1"/>
      <w:marLeft w:val="0"/>
      <w:marRight w:val="0"/>
      <w:marTop w:val="0"/>
      <w:marBottom w:val="0"/>
      <w:divBdr>
        <w:top w:val="none" w:sz="0" w:space="0" w:color="auto"/>
        <w:left w:val="none" w:sz="0" w:space="0" w:color="auto"/>
        <w:bottom w:val="none" w:sz="0" w:space="0" w:color="auto"/>
        <w:right w:val="none" w:sz="0" w:space="0" w:color="auto"/>
      </w:divBdr>
    </w:div>
    <w:div w:id="2113896090">
      <w:bodyDiv w:val="1"/>
      <w:marLeft w:val="0"/>
      <w:marRight w:val="0"/>
      <w:marTop w:val="0"/>
      <w:marBottom w:val="0"/>
      <w:divBdr>
        <w:top w:val="none" w:sz="0" w:space="0" w:color="auto"/>
        <w:left w:val="none" w:sz="0" w:space="0" w:color="auto"/>
        <w:bottom w:val="none" w:sz="0" w:space="0" w:color="auto"/>
        <w:right w:val="none" w:sz="0" w:space="0" w:color="auto"/>
      </w:divBdr>
      <w:divsChild>
        <w:div w:id="1382945102">
          <w:marLeft w:val="3150"/>
          <w:marRight w:val="450"/>
          <w:marTop w:val="0"/>
          <w:marBottom w:val="129"/>
          <w:divBdr>
            <w:top w:val="none" w:sz="0" w:space="0" w:color="auto"/>
            <w:left w:val="none" w:sz="0" w:space="0" w:color="auto"/>
            <w:bottom w:val="none" w:sz="0" w:space="0" w:color="auto"/>
            <w:right w:val="none" w:sz="0" w:space="0" w:color="auto"/>
          </w:divBdr>
          <w:divsChild>
            <w:div w:id="2142074123">
              <w:marLeft w:val="0"/>
              <w:marRight w:val="0"/>
              <w:marTop w:val="0"/>
              <w:marBottom w:val="0"/>
              <w:divBdr>
                <w:top w:val="none" w:sz="0" w:space="0" w:color="auto"/>
                <w:left w:val="none" w:sz="0" w:space="0" w:color="auto"/>
                <w:bottom w:val="none" w:sz="0" w:space="0" w:color="auto"/>
                <w:right w:val="none" w:sz="0" w:space="0" w:color="auto"/>
              </w:divBdr>
              <w:divsChild>
                <w:div w:id="128209786">
                  <w:marLeft w:val="0"/>
                  <w:marRight w:val="0"/>
                  <w:marTop w:val="0"/>
                  <w:marBottom w:val="0"/>
                  <w:divBdr>
                    <w:top w:val="none" w:sz="0" w:space="0" w:color="auto"/>
                    <w:left w:val="none" w:sz="0" w:space="0" w:color="auto"/>
                    <w:bottom w:val="none" w:sz="0" w:space="0" w:color="auto"/>
                    <w:right w:val="none" w:sz="0" w:space="0" w:color="auto"/>
                  </w:divBdr>
                  <w:divsChild>
                    <w:div w:id="1377046849">
                      <w:marLeft w:val="0"/>
                      <w:marRight w:val="0"/>
                      <w:marTop w:val="0"/>
                      <w:marBottom w:val="0"/>
                      <w:divBdr>
                        <w:top w:val="none" w:sz="0" w:space="0" w:color="auto"/>
                        <w:left w:val="none" w:sz="0" w:space="0" w:color="auto"/>
                        <w:bottom w:val="none" w:sz="0" w:space="0" w:color="auto"/>
                        <w:right w:val="none" w:sz="0" w:space="0" w:color="auto"/>
                      </w:divBdr>
                      <w:divsChild>
                        <w:div w:id="1166105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02987191">
          <w:marLeft w:val="3150"/>
          <w:marRight w:val="450"/>
          <w:marTop w:val="0"/>
          <w:marBottom w:val="0"/>
          <w:divBdr>
            <w:top w:val="none" w:sz="0" w:space="0" w:color="auto"/>
            <w:left w:val="none" w:sz="0" w:space="0" w:color="auto"/>
            <w:bottom w:val="none" w:sz="0" w:space="0" w:color="auto"/>
            <w:right w:val="none" w:sz="0" w:space="0" w:color="auto"/>
          </w:divBdr>
          <w:divsChild>
            <w:div w:id="1772625606">
              <w:marLeft w:val="0"/>
              <w:marRight w:val="0"/>
              <w:marTop w:val="0"/>
              <w:marBottom w:val="0"/>
              <w:divBdr>
                <w:top w:val="none" w:sz="0" w:space="0" w:color="auto"/>
                <w:left w:val="none" w:sz="0" w:space="0" w:color="auto"/>
                <w:bottom w:val="none" w:sz="0" w:space="0" w:color="auto"/>
                <w:right w:val="none" w:sz="0" w:space="0" w:color="auto"/>
              </w:divBdr>
            </w:div>
          </w:divsChild>
        </w:div>
        <w:div w:id="1006790817">
          <w:marLeft w:val="3150"/>
          <w:marRight w:val="450"/>
          <w:marTop w:val="0"/>
          <w:marBottom w:val="0"/>
          <w:divBdr>
            <w:top w:val="none" w:sz="0" w:space="0" w:color="auto"/>
            <w:left w:val="none" w:sz="0" w:space="0" w:color="auto"/>
            <w:bottom w:val="none" w:sz="0" w:space="0" w:color="auto"/>
            <w:right w:val="none" w:sz="0" w:space="0" w:color="auto"/>
          </w:divBdr>
          <w:divsChild>
            <w:div w:id="827211468">
              <w:marLeft w:val="0"/>
              <w:marRight w:val="0"/>
              <w:marTop w:val="0"/>
              <w:marBottom w:val="0"/>
              <w:divBdr>
                <w:top w:val="none" w:sz="0" w:space="0" w:color="auto"/>
                <w:left w:val="none" w:sz="0" w:space="0" w:color="auto"/>
                <w:bottom w:val="none" w:sz="0" w:space="0" w:color="auto"/>
                <w:right w:val="none" w:sz="0" w:space="0" w:color="auto"/>
              </w:divBdr>
              <w:divsChild>
                <w:div w:id="216011462">
                  <w:marLeft w:val="0"/>
                  <w:marRight w:val="0"/>
                  <w:marTop w:val="0"/>
                  <w:marBottom w:val="0"/>
                  <w:divBdr>
                    <w:top w:val="none" w:sz="0" w:space="0" w:color="auto"/>
                    <w:left w:val="none" w:sz="0" w:space="0" w:color="auto"/>
                    <w:bottom w:val="none" w:sz="0" w:space="0" w:color="auto"/>
                    <w:right w:val="none" w:sz="0" w:space="0" w:color="auto"/>
                  </w:divBdr>
                  <w:divsChild>
                    <w:div w:id="1476876902">
                      <w:marLeft w:val="0"/>
                      <w:marRight w:val="0"/>
                      <w:marTop w:val="0"/>
                      <w:marBottom w:val="0"/>
                      <w:divBdr>
                        <w:top w:val="none" w:sz="0" w:space="0" w:color="auto"/>
                        <w:left w:val="none" w:sz="0" w:space="0" w:color="auto"/>
                        <w:bottom w:val="none" w:sz="0" w:space="0" w:color="auto"/>
                        <w:right w:val="none" w:sz="0" w:space="0" w:color="auto"/>
                      </w:divBdr>
                      <w:divsChild>
                        <w:div w:id="142355585">
                          <w:marLeft w:val="0"/>
                          <w:marRight w:val="0"/>
                          <w:marTop w:val="0"/>
                          <w:marBottom w:val="0"/>
                          <w:divBdr>
                            <w:top w:val="none" w:sz="0" w:space="0" w:color="auto"/>
                            <w:left w:val="none" w:sz="0" w:space="0" w:color="auto"/>
                            <w:bottom w:val="none" w:sz="0" w:space="0" w:color="auto"/>
                            <w:right w:val="none" w:sz="0" w:space="0" w:color="auto"/>
                          </w:divBdr>
                          <w:divsChild>
                            <w:div w:id="145633370">
                              <w:marLeft w:val="0"/>
                              <w:marRight w:val="0"/>
                              <w:marTop w:val="0"/>
                              <w:marBottom w:val="0"/>
                              <w:divBdr>
                                <w:top w:val="none" w:sz="0" w:space="0" w:color="auto"/>
                                <w:left w:val="none" w:sz="0" w:space="0" w:color="auto"/>
                                <w:bottom w:val="none" w:sz="0" w:space="0" w:color="auto"/>
                                <w:right w:val="none" w:sz="0" w:space="0" w:color="auto"/>
                              </w:divBdr>
                              <w:divsChild>
                                <w:div w:id="1126897179">
                                  <w:marLeft w:val="0"/>
                                  <w:marRight w:val="0"/>
                                  <w:marTop w:val="0"/>
                                  <w:marBottom w:val="0"/>
                                  <w:divBdr>
                                    <w:top w:val="none" w:sz="0" w:space="0" w:color="auto"/>
                                    <w:left w:val="none" w:sz="0" w:space="0" w:color="auto"/>
                                    <w:bottom w:val="none" w:sz="0" w:space="0" w:color="auto"/>
                                    <w:right w:val="none" w:sz="0" w:space="0" w:color="auto"/>
                                  </w:divBdr>
                                  <w:divsChild>
                                    <w:div w:id="16279050">
                                      <w:marLeft w:val="0"/>
                                      <w:marRight w:val="0"/>
                                      <w:marTop w:val="0"/>
                                      <w:marBottom w:val="0"/>
                                      <w:divBdr>
                                        <w:top w:val="none" w:sz="0" w:space="0" w:color="auto"/>
                                        <w:left w:val="none" w:sz="0" w:space="0" w:color="auto"/>
                                        <w:bottom w:val="none" w:sz="0" w:space="0" w:color="auto"/>
                                        <w:right w:val="none" w:sz="0" w:space="0" w:color="auto"/>
                                      </w:divBdr>
                                      <w:divsChild>
                                        <w:div w:id="1372220684">
                                          <w:marLeft w:val="0"/>
                                          <w:marRight w:val="0"/>
                                          <w:marTop w:val="0"/>
                                          <w:marBottom w:val="0"/>
                                          <w:divBdr>
                                            <w:top w:val="none" w:sz="0" w:space="0" w:color="auto"/>
                                            <w:left w:val="none" w:sz="0" w:space="0" w:color="auto"/>
                                            <w:bottom w:val="none" w:sz="0" w:space="0" w:color="auto"/>
                                            <w:right w:val="none" w:sz="0" w:space="0" w:color="auto"/>
                                          </w:divBdr>
                                          <w:divsChild>
                                            <w:div w:id="1505626508">
                                              <w:marLeft w:val="0"/>
                                              <w:marRight w:val="0"/>
                                              <w:marTop w:val="0"/>
                                              <w:marBottom w:val="0"/>
                                              <w:divBdr>
                                                <w:top w:val="none" w:sz="0" w:space="0" w:color="auto"/>
                                                <w:left w:val="none" w:sz="0" w:space="0" w:color="auto"/>
                                                <w:bottom w:val="none" w:sz="0" w:space="0" w:color="auto"/>
                                                <w:right w:val="none" w:sz="0" w:space="0" w:color="auto"/>
                                              </w:divBdr>
                                              <w:divsChild>
                                                <w:div w:id="423647217">
                                                  <w:marLeft w:val="0"/>
                                                  <w:marRight w:val="0"/>
                                                  <w:marTop w:val="0"/>
                                                  <w:marBottom w:val="0"/>
                                                  <w:divBdr>
                                                    <w:top w:val="none" w:sz="0" w:space="0" w:color="auto"/>
                                                    <w:left w:val="none" w:sz="0" w:space="0" w:color="auto"/>
                                                    <w:bottom w:val="none" w:sz="0" w:space="0" w:color="auto"/>
                                                    <w:right w:val="none" w:sz="0" w:space="0" w:color="auto"/>
                                                  </w:divBdr>
                                                  <w:divsChild>
                                                    <w:div w:id="1902666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owlcation.com/humanities/Conscientious-Objectors-During-World-War-1"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www.iwm.org.uk/history/conscientious-objectors-in-their-own-words" TargetMode="External"/><Relationship Id="rId12" Type="http://schemas.openxmlformats.org/officeDocument/2006/relationships/hyperlink" Target="http://www.markedbyteachers.com/gcse/history/how-far-did-attitudes-towards-conscientious-objectors-change-between-ww1-and-ww2.html"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www.english-heritage.org.uk/visit/places/richmond-castle/richmond-graffiti/attitudes-to-cos/" TargetMode="External"/><Relationship Id="rId5" Type="http://schemas.openxmlformats.org/officeDocument/2006/relationships/footnotes" Target="footnotes.xml"/><Relationship Id="rId10" Type="http://schemas.openxmlformats.org/officeDocument/2006/relationships/hyperlink" Target="https://encyclopedia.1914-1918-online.net/article/between_acceptance_and_refusal_-_soldiers_attitudes_towards_war" TargetMode="External"/><Relationship Id="rId4" Type="http://schemas.openxmlformats.org/officeDocument/2006/relationships/webSettings" Target="webSettings.xml"/><Relationship Id="rId9" Type="http://schemas.openxmlformats.org/officeDocument/2006/relationships/hyperlink" Target="http://www.telegraph.co.uk/history/world-war-one/inside-first-world-war/part-nine/10803538/conscientious-objectors-first-world-war.html" TargetMode="External"/><Relationship Id="rId14" Type="http://schemas.openxmlformats.org/officeDocument/2006/relationships/theme" Target="theme/theme1.xml"/></Relationships>
</file>

<file path=word/_rels/footnotes.xml.rels><?xml version="1.0" encoding="UTF-8" standalone="yes"?>
<Relationships xmlns="http://schemas.openxmlformats.org/package/2006/relationships"><Relationship Id="rId8" Type="http://schemas.openxmlformats.org/officeDocument/2006/relationships/hyperlink" Target="http://www.iwm.org.uk/history/conscientious-objectors-in-their-own-words" TargetMode="External"/><Relationship Id="rId13" Type="http://schemas.openxmlformats.org/officeDocument/2006/relationships/hyperlink" Target="http://www.english-heritage.org.uk/visit/places/richmond-castle/richmond-graffiti/attitudes-to-cos/" TargetMode="External"/><Relationship Id="rId18" Type="http://schemas.openxmlformats.org/officeDocument/2006/relationships/hyperlink" Target="http://www.markedbyteachers.com/gcse/history/how-far-did-attitudes-towards-conscientious-objectors-change-between-ww1-and-ww2.html" TargetMode="External"/><Relationship Id="rId3" Type="http://schemas.openxmlformats.org/officeDocument/2006/relationships/hyperlink" Target="http://www.iwm.org.uk/history/conscientious-objectors-in-their-own-words" TargetMode="External"/><Relationship Id="rId21" Type="http://schemas.openxmlformats.org/officeDocument/2006/relationships/hyperlink" Target="http://www.telegraph.co.uk/history/world-war-one/inside-first-world-war/part-nine/10803538/conscientious-objectors-first-world-war.html" TargetMode="External"/><Relationship Id="rId7" Type="http://schemas.openxmlformats.org/officeDocument/2006/relationships/hyperlink" Target="http://www.iwm.org.uk/history/conscientious-objectors-in-their-own-words" TargetMode="External"/><Relationship Id="rId12" Type="http://schemas.openxmlformats.org/officeDocument/2006/relationships/hyperlink" Target="http://www.english-heritage.org.uk/visit/places/richmond-castle/richmond-graffiti/attitudes-to-cos/" TargetMode="External"/><Relationship Id="rId17" Type="http://schemas.openxmlformats.org/officeDocument/2006/relationships/hyperlink" Target="http://www.english-heritage.org.uk/visit/places/richmond-castle/richmond-graffiti/attitudes-to-cos/" TargetMode="External"/><Relationship Id="rId2" Type="http://schemas.openxmlformats.org/officeDocument/2006/relationships/hyperlink" Target="http://www.iwm.org.uk/history/conscientious-objectors-in-their-own-words" TargetMode="External"/><Relationship Id="rId16" Type="http://schemas.openxmlformats.org/officeDocument/2006/relationships/hyperlink" Target="http://www.english-heritage.org.uk/visit/places/richmond-castle/richmond-graffiti/attitudes-to-cos/" TargetMode="External"/><Relationship Id="rId20" Type="http://schemas.openxmlformats.org/officeDocument/2006/relationships/hyperlink" Target="http://www.telegraph.co.uk/history/world-war-one/inside-first-world-war/part-nine/10803538/conscientious-objectors-first-world-war.html" TargetMode="External"/><Relationship Id="rId1" Type="http://schemas.openxmlformats.org/officeDocument/2006/relationships/hyperlink" Target="https://owlcation.com/humanities/Conscientious-Objectors-During-World-War-1" TargetMode="External"/><Relationship Id="rId6" Type="http://schemas.openxmlformats.org/officeDocument/2006/relationships/hyperlink" Target="http://www.iwm.org.uk/history/conscientious-objectors-in-their-own-words" TargetMode="External"/><Relationship Id="rId11" Type="http://schemas.openxmlformats.org/officeDocument/2006/relationships/hyperlink" Target="http://www.english-heritage.org.uk/visit/places/richmond-castle/richmond-graffiti/attitudes-to-cos/" TargetMode="External"/><Relationship Id="rId5" Type="http://schemas.openxmlformats.org/officeDocument/2006/relationships/hyperlink" Target="http://www.iwm.org.uk/history/conscientious-objectors-in-their-own-words" TargetMode="External"/><Relationship Id="rId15" Type="http://schemas.openxmlformats.org/officeDocument/2006/relationships/hyperlink" Target="http://www.english-heritage.org.uk/visit/places/richmond-castle/richmond-graffiti/attitudes-to-cos/" TargetMode="External"/><Relationship Id="rId10" Type="http://schemas.openxmlformats.org/officeDocument/2006/relationships/hyperlink" Target="http://www.telegraph.co.uk/history/world-war-one/inside-first-world-war/part-nine/10803538/conscientious-objectors-first-world-war.html" TargetMode="External"/><Relationship Id="rId19" Type="http://schemas.openxmlformats.org/officeDocument/2006/relationships/hyperlink" Target="http://www.markedbyteachers.com/gcse/history/how-far-did-attitudes-towards-conscientious-objectors-change-between-ww1-and-ww2.html" TargetMode="External"/><Relationship Id="rId4" Type="http://schemas.openxmlformats.org/officeDocument/2006/relationships/hyperlink" Target="http://www.english-heritage.org.uk/visit/places/richmond-castle/richmond-graffiti/attitudes-to-cos/" TargetMode="External"/><Relationship Id="rId9" Type="http://schemas.openxmlformats.org/officeDocument/2006/relationships/hyperlink" Target="http://www.telegraph.co.uk/history/world-war-one/inside-first-world-war/part-nine/10803538/conscientious-objectors-first-world-war.html" TargetMode="External"/><Relationship Id="rId14" Type="http://schemas.openxmlformats.org/officeDocument/2006/relationships/hyperlink" Target="http://www.english-heritage.org.uk/visit/places/richmond-castle/richmond-graffiti/attitudes-to-co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3BEFDEE-7318-4082-BC06-180D8E96A55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69</TotalTime>
  <Pages>6</Pages>
  <Words>2245</Words>
  <Characters>12799</Characters>
  <Application>Microsoft Office Word</Application>
  <DocSecurity>0</DocSecurity>
  <Lines>106</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15014</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Elizabeth Anne Grace Webster</dc:creator>
  <cp:lastModifiedBy>marcin</cp:lastModifiedBy>
  <cp:revision>5</cp:revision>
  <dcterms:created xsi:type="dcterms:W3CDTF">2018-01-19T22:28:00Z</dcterms:created>
  <dcterms:modified xsi:type="dcterms:W3CDTF">2018-01-19T23:42:00Z</dcterms:modified>
</cp:coreProperties>
</file>