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EC5F91C" w14:textId="16A7AD46" w:rsidR="00E21832" w:rsidRPr="00EA5A0A" w:rsidRDefault="00E21832" w:rsidP="00EA5A0A">
      <w:pPr>
        <w:pStyle w:val="Title"/>
        <w:spacing w:line="360" w:lineRule="auto"/>
        <w:jc w:val="center"/>
        <w:rPr>
          <w:rFonts w:asciiTheme="majorBidi" w:hAnsiTheme="majorBidi"/>
          <w:i w:val="0"/>
          <w:iCs w:val="0"/>
          <w:color w:val="000000" w:themeColor="text1"/>
          <w:sz w:val="32"/>
          <w:szCs w:val="32"/>
        </w:rPr>
      </w:pPr>
      <w:r w:rsidRPr="00EA5A0A">
        <w:rPr>
          <w:rFonts w:asciiTheme="majorBidi" w:hAnsiTheme="majorBidi"/>
          <w:i w:val="0"/>
          <w:iCs w:val="0"/>
          <w:color w:val="000000" w:themeColor="text1"/>
          <w:sz w:val="32"/>
          <w:szCs w:val="32"/>
        </w:rPr>
        <w:drawing>
          <wp:inline distT="0" distB="0" distL="0" distR="0" wp14:anchorId="39AF112D" wp14:editId="11B0E914">
            <wp:extent cx="3328416" cy="1270374"/>
            <wp:effectExtent l="0" t="0" r="0" b="0"/>
            <wp:docPr id="1340328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328350" name=""/>
                    <pic:cNvPicPr/>
                  </pic:nvPicPr>
                  <pic:blipFill>
                    <a:blip r:embed="rId8"/>
                    <a:stretch>
                      <a:fillRect/>
                    </a:stretch>
                  </pic:blipFill>
                  <pic:spPr>
                    <a:xfrm>
                      <a:off x="0" y="0"/>
                      <a:ext cx="3362817" cy="1283504"/>
                    </a:xfrm>
                    <a:prstGeom prst="rect">
                      <a:avLst/>
                    </a:prstGeom>
                  </pic:spPr>
                </pic:pic>
              </a:graphicData>
            </a:graphic>
          </wp:inline>
        </w:drawing>
      </w:r>
    </w:p>
    <w:p w14:paraId="07E2CA19" w14:textId="76770349" w:rsidR="004218A9" w:rsidRPr="00EA5A0A" w:rsidRDefault="004218A9" w:rsidP="00EA5A0A">
      <w:pPr>
        <w:pStyle w:val="Title"/>
        <w:spacing w:line="360" w:lineRule="auto"/>
        <w:jc w:val="center"/>
        <w:rPr>
          <w:rFonts w:asciiTheme="majorBidi" w:hAnsiTheme="majorBidi"/>
          <w:i w:val="0"/>
          <w:iCs w:val="0"/>
          <w:color w:val="000000" w:themeColor="text1"/>
          <w:sz w:val="32"/>
          <w:szCs w:val="32"/>
        </w:rPr>
      </w:pPr>
      <w:r w:rsidRPr="00EA5A0A">
        <w:rPr>
          <w:rFonts w:asciiTheme="majorBidi" w:hAnsiTheme="majorBidi"/>
          <w:i w:val="0"/>
          <w:iCs w:val="0"/>
          <w:color w:val="000000" w:themeColor="text1"/>
          <w:sz w:val="32"/>
          <w:szCs w:val="32"/>
        </w:rPr>
        <w:t>International Market Entry Report: Tata Consumer Products’ Proposed Expansion into Morocco</w:t>
      </w:r>
    </w:p>
    <w:p w14:paraId="257492F6" w14:textId="77777777" w:rsidR="004218A9" w:rsidRPr="00EA5A0A" w:rsidRDefault="004218A9" w:rsidP="00EA5A0A">
      <w:pPr>
        <w:pStyle w:val="Title"/>
        <w:spacing w:line="360" w:lineRule="auto"/>
        <w:jc w:val="center"/>
        <w:rPr>
          <w:rFonts w:asciiTheme="majorBidi" w:hAnsiTheme="majorBidi"/>
          <w:i w:val="0"/>
          <w:iCs w:val="0"/>
          <w:color w:val="000000" w:themeColor="text1"/>
          <w:sz w:val="32"/>
          <w:szCs w:val="32"/>
        </w:rPr>
      </w:pPr>
      <w:r w:rsidRPr="00EA5A0A">
        <w:rPr>
          <w:rStyle w:val="Strong"/>
          <w:rFonts w:asciiTheme="majorBidi" w:hAnsiTheme="majorBidi"/>
          <w:b/>
          <w:bCs/>
          <w:i w:val="0"/>
          <w:iCs w:val="0"/>
          <w:color w:val="000000" w:themeColor="text1"/>
          <w:spacing w:val="10"/>
          <w:sz w:val="32"/>
          <w:szCs w:val="32"/>
        </w:rPr>
        <w:t>Programme:</w:t>
      </w:r>
      <w:r w:rsidRPr="00EA5A0A">
        <w:rPr>
          <w:rFonts w:asciiTheme="majorBidi" w:hAnsiTheme="majorBidi"/>
          <w:i w:val="0"/>
          <w:iCs w:val="0"/>
          <w:color w:val="000000" w:themeColor="text1"/>
          <w:sz w:val="32"/>
          <w:szCs w:val="32"/>
        </w:rPr>
        <w:t xml:space="preserve"> Master of Business Administration</w:t>
      </w:r>
      <w:r w:rsidRPr="00EA5A0A">
        <w:rPr>
          <w:rFonts w:asciiTheme="majorBidi" w:hAnsiTheme="majorBidi"/>
          <w:i w:val="0"/>
          <w:iCs w:val="0"/>
          <w:color w:val="000000" w:themeColor="text1"/>
          <w:sz w:val="32"/>
          <w:szCs w:val="32"/>
        </w:rPr>
        <w:br/>
      </w:r>
      <w:r w:rsidRPr="00EA5A0A">
        <w:rPr>
          <w:rStyle w:val="Strong"/>
          <w:rFonts w:asciiTheme="majorBidi" w:hAnsiTheme="majorBidi"/>
          <w:b/>
          <w:bCs/>
          <w:i w:val="0"/>
          <w:iCs w:val="0"/>
          <w:color w:val="000000" w:themeColor="text1"/>
          <w:spacing w:val="10"/>
          <w:sz w:val="32"/>
          <w:szCs w:val="32"/>
        </w:rPr>
        <w:t>Module:</w:t>
      </w:r>
      <w:r w:rsidRPr="00EA5A0A">
        <w:rPr>
          <w:rFonts w:asciiTheme="majorBidi" w:hAnsiTheme="majorBidi"/>
          <w:i w:val="0"/>
          <w:iCs w:val="0"/>
          <w:color w:val="000000" w:themeColor="text1"/>
          <w:sz w:val="32"/>
          <w:szCs w:val="32"/>
        </w:rPr>
        <w:t xml:space="preserve"> International Business Concepts</w:t>
      </w:r>
      <w:r w:rsidRPr="00EA5A0A">
        <w:rPr>
          <w:rFonts w:asciiTheme="majorBidi" w:hAnsiTheme="majorBidi"/>
          <w:i w:val="0"/>
          <w:iCs w:val="0"/>
          <w:color w:val="000000" w:themeColor="text1"/>
          <w:sz w:val="32"/>
          <w:szCs w:val="32"/>
        </w:rPr>
        <w:br/>
      </w:r>
      <w:r w:rsidRPr="00EA5A0A">
        <w:rPr>
          <w:rStyle w:val="Strong"/>
          <w:rFonts w:asciiTheme="majorBidi" w:hAnsiTheme="majorBidi"/>
          <w:b/>
          <w:bCs/>
          <w:i w:val="0"/>
          <w:iCs w:val="0"/>
          <w:color w:val="000000" w:themeColor="text1"/>
          <w:spacing w:val="10"/>
          <w:sz w:val="32"/>
          <w:szCs w:val="32"/>
        </w:rPr>
        <w:t>Module Code:</w:t>
      </w:r>
      <w:r w:rsidRPr="00EA5A0A">
        <w:rPr>
          <w:rFonts w:asciiTheme="majorBidi" w:hAnsiTheme="majorBidi"/>
          <w:i w:val="0"/>
          <w:iCs w:val="0"/>
          <w:color w:val="000000" w:themeColor="text1"/>
          <w:sz w:val="32"/>
          <w:szCs w:val="32"/>
        </w:rPr>
        <w:t xml:space="preserve"> LCMB7034</w:t>
      </w:r>
      <w:r w:rsidRPr="00EA5A0A">
        <w:rPr>
          <w:rFonts w:asciiTheme="majorBidi" w:hAnsiTheme="majorBidi"/>
          <w:i w:val="0"/>
          <w:iCs w:val="0"/>
          <w:color w:val="000000" w:themeColor="text1"/>
          <w:sz w:val="32"/>
          <w:szCs w:val="32"/>
        </w:rPr>
        <w:br/>
      </w:r>
      <w:r w:rsidRPr="00EA5A0A">
        <w:rPr>
          <w:rStyle w:val="Strong"/>
          <w:rFonts w:asciiTheme="majorBidi" w:hAnsiTheme="majorBidi"/>
          <w:b/>
          <w:bCs/>
          <w:i w:val="0"/>
          <w:iCs w:val="0"/>
          <w:color w:val="000000" w:themeColor="text1"/>
          <w:spacing w:val="10"/>
          <w:sz w:val="32"/>
          <w:szCs w:val="32"/>
        </w:rPr>
        <w:t>Assignment Title:</w:t>
      </w:r>
      <w:r w:rsidRPr="00EA5A0A">
        <w:rPr>
          <w:rFonts w:asciiTheme="majorBidi" w:hAnsiTheme="majorBidi"/>
          <w:i w:val="0"/>
          <w:iCs w:val="0"/>
          <w:color w:val="000000" w:themeColor="text1"/>
          <w:sz w:val="32"/>
          <w:szCs w:val="32"/>
        </w:rPr>
        <w:t xml:space="preserve"> International Market Entry Report: Tata Consumer Products’ Proposed Expansion into Morocco</w:t>
      </w:r>
    </w:p>
    <w:p w14:paraId="226FE1E6" w14:textId="5158C0E6" w:rsidR="004218A9" w:rsidRPr="00EA5A0A" w:rsidRDefault="004218A9" w:rsidP="00EA5A0A">
      <w:pPr>
        <w:pStyle w:val="Title"/>
        <w:spacing w:line="360" w:lineRule="auto"/>
        <w:jc w:val="center"/>
        <w:rPr>
          <w:rFonts w:asciiTheme="majorBidi" w:hAnsiTheme="majorBidi"/>
          <w:i w:val="0"/>
          <w:iCs w:val="0"/>
          <w:color w:val="000000" w:themeColor="text1"/>
          <w:sz w:val="32"/>
          <w:szCs w:val="32"/>
        </w:rPr>
      </w:pPr>
      <w:r w:rsidRPr="00EA5A0A">
        <w:rPr>
          <w:rStyle w:val="Strong"/>
          <w:rFonts w:asciiTheme="majorBidi" w:hAnsiTheme="majorBidi"/>
          <w:b/>
          <w:bCs/>
          <w:i w:val="0"/>
          <w:iCs w:val="0"/>
          <w:color w:val="000000" w:themeColor="text1"/>
          <w:spacing w:val="10"/>
          <w:sz w:val="32"/>
          <w:szCs w:val="32"/>
        </w:rPr>
        <w:t>Student Name:</w:t>
      </w:r>
      <w:r w:rsidRPr="00EA5A0A">
        <w:rPr>
          <w:rFonts w:asciiTheme="majorBidi" w:hAnsiTheme="majorBidi"/>
          <w:i w:val="0"/>
          <w:iCs w:val="0"/>
          <w:color w:val="000000" w:themeColor="text1"/>
          <w:sz w:val="32"/>
          <w:szCs w:val="32"/>
        </w:rPr>
        <w:t xml:space="preserve"> Ashaben Savdas Odedara</w:t>
      </w:r>
      <w:r w:rsidRPr="00EA5A0A">
        <w:rPr>
          <w:rFonts w:asciiTheme="majorBidi" w:hAnsiTheme="majorBidi"/>
          <w:i w:val="0"/>
          <w:iCs w:val="0"/>
          <w:color w:val="000000" w:themeColor="text1"/>
          <w:sz w:val="32"/>
          <w:szCs w:val="32"/>
        </w:rPr>
        <w:br/>
      </w:r>
      <w:r w:rsidRPr="00EA5A0A">
        <w:rPr>
          <w:rStyle w:val="Strong"/>
          <w:rFonts w:asciiTheme="majorBidi" w:hAnsiTheme="majorBidi"/>
          <w:b/>
          <w:bCs/>
          <w:i w:val="0"/>
          <w:iCs w:val="0"/>
          <w:color w:val="000000" w:themeColor="text1"/>
          <w:spacing w:val="10"/>
          <w:sz w:val="32"/>
          <w:szCs w:val="32"/>
        </w:rPr>
        <w:t>Student Number:</w:t>
      </w:r>
      <w:r w:rsidRPr="00EA5A0A">
        <w:rPr>
          <w:rFonts w:asciiTheme="majorBidi" w:hAnsiTheme="majorBidi"/>
          <w:i w:val="0"/>
          <w:iCs w:val="0"/>
          <w:color w:val="000000" w:themeColor="text1"/>
          <w:sz w:val="32"/>
          <w:szCs w:val="32"/>
        </w:rPr>
        <w:t xml:space="preserve"> 2525489</w:t>
      </w:r>
      <w:r w:rsidRPr="00EA5A0A">
        <w:rPr>
          <w:rFonts w:asciiTheme="majorBidi" w:hAnsiTheme="majorBidi"/>
          <w:i w:val="0"/>
          <w:iCs w:val="0"/>
          <w:color w:val="000000" w:themeColor="text1"/>
          <w:sz w:val="32"/>
          <w:szCs w:val="32"/>
        </w:rPr>
        <w:br/>
      </w:r>
      <w:r w:rsidRPr="00EA5A0A">
        <w:rPr>
          <w:rStyle w:val="Strong"/>
          <w:rFonts w:asciiTheme="majorBidi" w:hAnsiTheme="majorBidi"/>
          <w:b/>
          <w:bCs/>
          <w:i w:val="0"/>
          <w:iCs w:val="0"/>
          <w:color w:val="000000" w:themeColor="text1"/>
          <w:spacing w:val="10"/>
          <w:sz w:val="32"/>
          <w:szCs w:val="32"/>
        </w:rPr>
        <w:t>Word Count:</w:t>
      </w:r>
      <w:r w:rsidRPr="00EA5A0A">
        <w:rPr>
          <w:rFonts w:asciiTheme="majorBidi" w:hAnsiTheme="majorBidi"/>
          <w:i w:val="0"/>
          <w:iCs w:val="0"/>
          <w:color w:val="000000" w:themeColor="text1"/>
          <w:sz w:val="32"/>
          <w:szCs w:val="32"/>
        </w:rPr>
        <w:t xml:space="preserve"> </w:t>
      </w:r>
      <w:r w:rsidRPr="00EA5A0A">
        <w:rPr>
          <w:rFonts w:asciiTheme="majorBidi" w:hAnsiTheme="majorBidi"/>
          <w:i w:val="0"/>
          <w:iCs w:val="0"/>
          <w:color w:val="000000" w:themeColor="text1"/>
          <w:sz w:val="32"/>
          <w:szCs w:val="32"/>
        </w:rPr>
        <w:t>5367</w:t>
      </w:r>
      <w:r w:rsidRPr="00EA5A0A">
        <w:rPr>
          <w:rFonts w:asciiTheme="majorBidi" w:hAnsiTheme="majorBidi"/>
          <w:i w:val="0"/>
          <w:iCs w:val="0"/>
          <w:color w:val="000000" w:themeColor="text1"/>
          <w:sz w:val="32"/>
          <w:szCs w:val="32"/>
        </w:rPr>
        <w:br/>
      </w:r>
      <w:r w:rsidRPr="00EA5A0A">
        <w:rPr>
          <w:rStyle w:val="Strong"/>
          <w:rFonts w:asciiTheme="majorBidi" w:hAnsiTheme="majorBidi"/>
          <w:b/>
          <w:bCs/>
          <w:i w:val="0"/>
          <w:iCs w:val="0"/>
          <w:color w:val="000000" w:themeColor="text1"/>
          <w:spacing w:val="10"/>
          <w:sz w:val="32"/>
          <w:szCs w:val="32"/>
        </w:rPr>
        <w:t>Submission Date:</w:t>
      </w:r>
      <w:r w:rsidRPr="00EA5A0A">
        <w:rPr>
          <w:rFonts w:asciiTheme="majorBidi" w:hAnsiTheme="majorBidi"/>
          <w:i w:val="0"/>
          <w:iCs w:val="0"/>
          <w:color w:val="000000" w:themeColor="text1"/>
          <w:sz w:val="32"/>
          <w:szCs w:val="32"/>
        </w:rPr>
        <w:t xml:space="preserve"> 31 July 2026</w:t>
      </w:r>
    </w:p>
    <w:p w14:paraId="5C2B95B4" w14:textId="737B1077" w:rsidR="004218A9" w:rsidRPr="00EA5A0A" w:rsidRDefault="004218A9" w:rsidP="00EA5A0A">
      <w:pPr>
        <w:spacing w:line="360" w:lineRule="auto"/>
        <w:ind w:firstLine="0"/>
        <w:jc w:val="both"/>
        <w:rPr>
          <w:rFonts w:asciiTheme="majorBidi" w:hAnsiTheme="majorBidi" w:cstheme="majorBidi"/>
          <w:color w:val="000000" w:themeColor="text1"/>
          <w:sz w:val="24"/>
          <w:szCs w:val="24"/>
        </w:rPr>
      </w:pPr>
    </w:p>
    <w:p w14:paraId="2804572A" w14:textId="77777777" w:rsidR="00E21832" w:rsidRPr="00EA5A0A" w:rsidRDefault="00E21832" w:rsidP="00EA5A0A">
      <w:pPr>
        <w:spacing w:line="360" w:lineRule="auto"/>
        <w:ind w:firstLine="0"/>
        <w:jc w:val="both"/>
        <w:rPr>
          <w:rFonts w:asciiTheme="majorBidi" w:hAnsiTheme="majorBidi" w:cstheme="majorBidi"/>
          <w:color w:val="000000" w:themeColor="text1"/>
          <w:sz w:val="24"/>
          <w:szCs w:val="24"/>
        </w:rPr>
      </w:pPr>
    </w:p>
    <w:p w14:paraId="511DB124" w14:textId="77777777" w:rsidR="00E21832" w:rsidRPr="00EA5A0A" w:rsidRDefault="00E21832" w:rsidP="00EA5A0A">
      <w:pPr>
        <w:spacing w:line="360" w:lineRule="auto"/>
        <w:ind w:firstLine="0"/>
        <w:jc w:val="both"/>
        <w:rPr>
          <w:rFonts w:asciiTheme="majorBidi" w:hAnsiTheme="majorBidi" w:cstheme="majorBidi"/>
          <w:color w:val="000000" w:themeColor="text1"/>
          <w:sz w:val="24"/>
          <w:szCs w:val="24"/>
        </w:rPr>
      </w:pPr>
    </w:p>
    <w:p w14:paraId="6089F64E" w14:textId="77777777" w:rsidR="00EA5A0A" w:rsidRPr="00EA5A0A" w:rsidRDefault="00EA5A0A" w:rsidP="00EA5A0A">
      <w:pPr>
        <w:spacing w:line="360" w:lineRule="auto"/>
        <w:ind w:firstLine="0"/>
        <w:jc w:val="both"/>
        <w:rPr>
          <w:rFonts w:asciiTheme="majorBidi" w:hAnsiTheme="majorBidi" w:cstheme="majorBidi"/>
          <w:color w:val="000000" w:themeColor="text1"/>
          <w:sz w:val="24"/>
          <w:szCs w:val="24"/>
        </w:rPr>
      </w:pPr>
    </w:p>
    <w:p w14:paraId="481F3263" w14:textId="77777777" w:rsidR="00EA5A0A" w:rsidRDefault="00EA5A0A" w:rsidP="00EA5A0A">
      <w:pPr>
        <w:spacing w:line="360" w:lineRule="auto"/>
        <w:ind w:firstLine="0"/>
        <w:jc w:val="both"/>
        <w:rPr>
          <w:rFonts w:asciiTheme="majorBidi" w:hAnsiTheme="majorBidi" w:cstheme="majorBidi"/>
          <w:color w:val="000000" w:themeColor="text1"/>
          <w:sz w:val="24"/>
          <w:szCs w:val="24"/>
        </w:rPr>
      </w:pPr>
    </w:p>
    <w:p w14:paraId="1E3FE2A6" w14:textId="77777777" w:rsidR="00EA5A0A" w:rsidRDefault="00EA5A0A" w:rsidP="00EA5A0A">
      <w:pPr>
        <w:spacing w:line="360" w:lineRule="auto"/>
        <w:ind w:firstLine="0"/>
        <w:jc w:val="both"/>
        <w:rPr>
          <w:rFonts w:asciiTheme="majorBidi" w:hAnsiTheme="majorBidi" w:cstheme="majorBidi"/>
          <w:color w:val="000000" w:themeColor="text1"/>
          <w:sz w:val="24"/>
          <w:szCs w:val="24"/>
        </w:rPr>
      </w:pPr>
    </w:p>
    <w:p w14:paraId="18B04943" w14:textId="77777777" w:rsidR="00EA5A0A" w:rsidRPr="00EA5A0A" w:rsidRDefault="00EA5A0A" w:rsidP="00EA5A0A">
      <w:pPr>
        <w:spacing w:line="360" w:lineRule="auto"/>
        <w:ind w:firstLine="0"/>
        <w:jc w:val="both"/>
        <w:rPr>
          <w:rFonts w:asciiTheme="majorBidi" w:hAnsiTheme="majorBidi" w:cstheme="majorBidi"/>
          <w:color w:val="000000" w:themeColor="text1"/>
          <w:sz w:val="24"/>
          <w:szCs w:val="24"/>
        </w:rPr>
      </w:pPr>
    </w:p>
    <w:p w14:paraId="03FEC3A5" w14:textId="77777777" w:rsidR="00EA5A0A" w:rsidRPr="00EA5A0A" w:rsidRDefault="00EA5A0A" w:rsidP="00EA5A0A">
      <w:pPr>
        <w:spacing w:line="360" w:lineRule="auto"/>
        <w:ind w:firstLine="0"/>
        <w:jc w:val="both"/>
        <w:rPr>
          <w:rFonts w:asciiTheme="majorBidi" w:hAnsiTheme="majorBidi" w:cstheme="majorBidi"/>
          <w:color w:val="000000" w:themeColor="text1"/>
          <w:sz w:val="24"/>
          <w:szCs w:val="24"/>
        </w:rPr>
      </w:pPr>
    </w:p>
    <w:sdt>
      <w:sdtPr>
        <w:rPr>
          <w:color w:val="000000" w:themeColor="text1"/>
          <w:sz w:val="24"/>
          <w:szCs w:val="24"/>
        </w:rPr>
        <w:id w:val="388392934"/>
        <w:docPartObj>
          <w:docPartGallery w:val="Table of Contents"/>
          <w:docPartUnique/>
        </w:docPartObj>
      </w:sdtPr>
      <w:sdtEndPr>
        <w:rPr>
          <w:rFonts w:eastAsiaTheme="minorEastAsia"/>
          <w:noProof/>
        </w:rPr>
      </w:sdtEndPr>
      <w:sdtContent>
        <w:p w14:paraId="4393DC71" w14:textId="6637F3DE" w:rsidR="00EA5A0A" w:rsidRPr="00EA5A0A" w:rsidRDefault="00EA5A0A" w:rsidP="00EA5A0A">
          <w:pPr>
            <w:pStyle w:val="TOCHeading"/>
            <w:numPr>
              <w:ilvl w:val="0"/>
              <w:numId w:val="0"/>
            </w:numPr>
            <w:ind w:left="432" w:hanging="432"/>
            <w:jc w:val="both"/>
            <w:rPr>
              <w:color w:val="000000" w:themeColor="text1"/>
              <w:sz w:val="24"/>
              <w:szCs w:val="24"/>
            </w:rPr>
          </w:pPr>
          <w:r w:rsidRPr="00EA5A0A">
            <w:rPr>
              <w:color w:val="000000" w:themeColor="text1"/>
              <w:sz w:val="24"/>
              <w:szCs w:val="24"/>
            </w:rPr>
            <w:t>Table of Contents</w:t>
          </w:r>
        </w:p>
        <w:p w14:paraId="04B02844" w14:textId="0B3CAC3D" w:rsidR="00EA5A0A" w:rsidRPr="00EA5A0A" w:rsidRDefault="00EA5A0A" w:rsidP="00EA5A0A">
          <w:pPr>
            <w:pStyle w:val="TOC1"/>
            <w:tabs>
              <w:tab w:val="left" w:pos="352"/>
              <w:tab w:val="right" w:leader="dot" w:pos="9016"/>
            </w:tabs>
            <w:spacing w:line="360" w:lineRule="auto"/>
            <w:jc w:val="both"/>
            <w:rPr>
              <w:rFonts w:asciiTheme="majorBidi" w:hAnsiTheme="majorBidi" w:cstheme="majorBidi"/>
              <w:b w:val="0"/>
              <w:bCs w:val="0"/>
              <w:caps w:val="0"/>
              <w:noProof/>
              <w:color w:val="000000" w:themeColor="text1"/>
              <w:kern w:val="2"/>
              <w:sz w:val="24"/>
              <w:szCs w:val="24"/>
              <w:u w:val="none"/>
              <w:lang w:eastAsia="en-GB"/>
              <w14:ligatures w14:val="standardContextual"/>
            </w:rPr>
          </w:pPr>
          <w:r w:rsidRPr="00EA5A0A">
            <w:rPr>
              <w:rFonts w:asciiTheme="majorBidi" w:hAnsiTheme="majorBidi" w:cstheme="majorBidi"/>
              <w:b w:val="0"/>
              <w:bCs w:val="0"/>
              <w:color w:val="000000" w:themeColor="text1"/>
              <w:sz w:val="24"/>
              <w:szCs w:val="24"/>
            </w:rPr>
            <w:fldChar w:fldCharType="begin"/>
          </w:r>
          <w:r w:rsidRPr="00EA5A0A">
            <w:rPr>
              <w:rFonts w:asciiTheme="majorBidi" w:hAnsiTheme="majorBidi" w:cstheme="majorBidi"/>
              <w:color w:val="000000" w:themeColor="text1"/>
              <w:sz w:val="24"/>
              <w:szCs w:val="24"/>
            </w:rPr>
            <w:instrText xml:space="preserve"> TOC \o "1-3" \h \z \u </w:instrText>
          </w:r>
          <w:r w:rsidRPr="00EA5A0A">
            <w:rPr>
              <w:rFonts w:asciiTheme="majorBidi" w:hAnsiTheme="majorBidi" w:cstheme="majorBidi"/>
              <w:b w:val="0"/>
              <w:bCs w:val="0"/>
              <w:color w:val="000000" w:themeColor="text1"/>
              <w:sz w:val="24"/>
              <w:szCs w:val="24"/>
            </w:rPr>
            <w:fldChar w:fldCharType="separate"/>
          </w:r>
          <w:hyperlink w:anchor="_Toc236402237" w:history="1">
            <w:r w:rsidRPr="00EA5A0A">
              <w:rPr>
                <w:rStyle w:val="Hyperlink"/>
                <w:rFonts w:asciiTheme="majorBidi" w:hAnsiTheme="majorBidi" w:cstheme="majorBidi"/>
                <w:noProof/>
                <w:color w:val="000000" w:themeColor="text1"/>
                <w:sz w:val="24"/>
                <w:szCs w:val="24"/>
              </w:rPr>
              <w:t>1</w:t>
            </w:r>
            <w:r w:rsidRPr="00EA5A0A">
              <w:rPr>
                <w:rFonts w:asciiTheme="majorBidi" w:hAnsiTheme="majorBidi" w:cstheme="majorBidi"/>
                <w:b w:val="0"/>
                <w:bCs w:val="0"/>
                <w:caps w:val="0"/>
                <w:noProof/>
                <w:color w:val="000000" w:themeColor="text1"/>
                <w:kern w:val="2"/>
                <w:sz w:val="24"/>
                <w:szCs w:val="24"/>
                <w:u w:val="none"/>
                <w:lang w:eastAsia="en-GB"/>
                <w14:ligatures w14:val="standardContextual"/>
              </w:rPr>
              <w:tab/>
            </w:r>
            <w:r w:rsidRPr="00EA5A0A">
              <w:rPr>
                <w:rStyle w:val="Hyperlink"/>
                <w:rFonts w:asciiTheme="majorBidi" w:hAnsiTheme="majorBidi" w:cstheme="majorBidi"/>
                <w:noProof/>
                <w:color w:val="000000" w:themeColor="text1"/>
                <w:sz w:val="24"/>
                <w:szCs w:val="24"/>
              </w:rPr>
              <w:t>Section 1: International Market Entry Report</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_Toc236402237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4</w:t>
            </w:r>
            <w:r w:rsidRPr="00EA5A0A">
              <w:rPr>
                <w:rFonts w:asciiTheme="majorBidi" w:hAnsiTheme="majorBidi" w:cstheme="majorBidi"/>
                <w:noProof/>
                <w:webHidden/>
                <w:color w:val="000000" w:themeColor="text1"/>
                <w:sz w:val="24"/>
                <w:szCs w:val="24"/>
              </w:rPr>
              <w:fldChar w:fldCharType="end"/>
            </w:r>
          </w:hyperlink>
        </w:p>
        <w:p w14:paraId="75056582" w14:textId="2471C54C" w:rsidR="00EA5A0A" w:rsidRPr="00EA5A0A" w:rsidRDefault="00EA5A0A" w:rsidP="00EA5A0A">
          <w:pPr>
            <w:pStyle w:val="TOC2"/>
            <w:tabs>
              <w:tab w:val="left" w:pos="522"/>
              <w:tab w:val="right" w:leader="dot" w:pos="9016"/>
            </w:tabs>
            <w:spacing w:line="360" w:lineRule="auto"/>
            <w:jc w:val="both"/>
            <w:rPr>
              <w:rFonts w:asciiTheme="majorBidi" w:hAnsiTheme="majorBidi" w:cstheme="majorBidi"/>
              <w:b w:val="0"/>
              <w:bCs w:val="0"/>
              <w:smallCaps w:val="0"/>
              <w:noProof/>
              <w:color w:val="000000" w:themeColor="text1"/>
              <w:kern w:val="2"/>
              <w:sz w:val="24"/>
              <w:szCs w:val="24"/>
              <w:lang w:eastAsia="en-GB"/>
              <w14:ligatures w14:val="standardContextual"/>
            </w:rPr>
          </w:pPr>
          <w:hyperlink w:anchor="_Toc236402238" w:history="1">
            <w:r w:rsidRPr="00EA5A0A">
              <w:rPr>
                <w:rStyle w:val="Hyperlink"/>
                <w:rFonts w:asciiTheme="majorBidi" w:hAnsiTheme="majorBidi" w:cstheme="majorBidi"/>
                <w:noProof/>
                <w:color w:val="000000" w:themeColor="text1"/>
                <w:sz w:val="24"/>
                <w:szCs w:val="24"/>
              </w:rPr>
              <w:t>1.1</w:t>
            </w:r>
            <w:r w:rsidRPr="00EA5A0A">
              <w:rPr>
                <w:rFonts w:asciiTheme="majorBidi" w:hAnsiTheme="majorBidi" w:cstheme="majorBidi"/>
                <w:b w:val="0"/>
                <w:bCs w:val="0"/>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Introduction and Scope</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_Toc236402238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4</w:t>
            </w:r>
            <w:r w:rsidRPr="00EA5A0A">
              <w:rPr>
                <w:rFonts w:asciiTheme="majorBidi" w:hAnsiTheme="majorBidi" w:cstheme="majorBidi"/>
                <w:noProof/>
                <w:webHidden/>
                <w:color w:val="000000" w:themeColor="text1"/>
                <w:sz w:val="24"/>
                <w:szCs w:val="24"/>
              </w:rPr>
              <w:fldChar w:fldCharType="end"/>
            </w:r>
          </w:hyperlink>
        </w:p>
        <w:p w14:paraId="6B141DE4" w14:textId="224628E2" w:rsidR="00EA5A0A" w:rsidRPr="00EA5A0A" w:rsidRDefault="00EA5A0A" w:rsidP="00EA5A0A">
          <w:pPr>
            <w:pStyle w:val="TOC2"/>
            <w:tabs>
              <w:tab w:val="left" w:pos="522"/>
              <w:tab w:val="right" w:leader="dot" w:pos="9016"/>
            </w:tabs>
            <w:spacing w:line="360" w:lineRule="auto"/>
            <w:jc w:val="both"/>
            <w:rPr>
              <w:rFonts w:asciiTheme="majorBidi" w:hAnsiTheme="majorBidi" w:cstheme="majorBidi"/>
              <w:b w:val="0"/>
              <w:bCs w:val="0"/>
              <w:smallCaps w:val="0"/>
              <w:noProof/>
              <w:color w:val="000000" w:themeColor="text1"/>
              <w:kern w:val="2"/>
              <w:sz w:val="24"/>
              <w:szCs w:val="24"/>
              <w:lang w:eastAsia="en-GB"/>
              <w14:ligatures w14:val="standardContextual"/>
            </w:rPr>
          </w:pPr>
          <w:hyperlink w:anchor="_Toc236402239" w:history="1">
            <w:r w:rsidRPr="00EA5A0A">
              <w:rPr>
                <w:rStyle w:val="Hyperlink"/>
                <w:rFonts w:asciiTheme="majorBidi" w:hAnsiTheme="majorBidi" w:cstheme="majorBidi"/>
                <w:noProof/>
                <w:color w:val="000000" w:themeColor="text1"/>
                <w:sz w:val="24"/>
                <w:szCs w:val="24"/>
              </w:rPr>
              <w:t>1.2</w:t>
            </w:r>
            <w:r w:rsidRPr="00EA5A0A">
              <w:rPr>
                <w:rFonts w:asciiTheme="majorBidi" w:hAnsiTheme="majorBidi" w:cstheme="majorBidi"/>
                <w:b w:val="0"/>
                <w:bCs w:val="0"/>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Organisational Classification and Global Strategy</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_Toc236402239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5</w:t>
            </w:r>
            <w:r w:rsidRPr="00EA5A0A">
              <w:rPr>
                <w:rFonts w:asciiTheme="majorBidi" w:hAnsiTheme="majorBidi" w:cstheme="majorBidi"/>
                <w:noProof/>
                <w:webHidden/>
                <w:color w:val="000000" w:themeColor="text1"/>
                <w:sz w:val="24"/>
                <w:szCs w:val="24"/>
              </w:rPr>
              <w:fldChar w:fldCharType="end"/>
            </w:r>
          </w:hyperlink>
        </w:p>
        <w:p w14:paraId="7DCBA2CB" w14:textId="7410F354" w:rsidR="00EA5A0A" w:rsidRPr="00EA5A0A" w:rsidRDefault="00EA5A0A" w:rsidP="00EA5A0A">
          <w:pPr>
            <w:pStyle w:val="TOC3"/>
            <w:tabs>
              <w:tab w:val="left" w:pos="686"/>
              <w:tab w:val="right" w:leader="dot" w:pos="9016"/>
            </w:tabs>
            <w:spacing w:line="360" w:lineRule="auto"/>
            <w:jc w:val="both"/>
            <w:rPr>
              <w:rFonts w:asciiTheme="majorBidi" w:hAnsiTheme="majorBidi" w:cstheme="majorBidi"/>
              <w:smallCaps w:val="0"/>
              <w:noProof/>
              <w:color w:val="000000" w:themeColor="text1"/>
              <w:kern w:val="2"/>
              <w:sz w:val="24"/>
              <w:szCs w:val="24"/>
              <w:lang w:eastAsia="en-GB"/>
              <w14:ligatures w14:val="standardContextual"/>
            </w:rPr>
          </w:pPr>
          <w:hyperlink w:anchor="_Toc236402240" w:history="1">
            <w:r w:rsidRPr="00EA5A0A">
              <w:rPr>
                <w:rStyle w:val="Hyperlink"/>
                <w:rFonts w:asciiTheme="majorBidi" w:hAnsiTheme="majorBidi" w:cstheme="majorBidi"/>
                <w:noProof/>
                <w:color w:val="000000" w:themeColor="text1"/>
                <w:sz w:val="24"/>
                <w:szCs w:val="24"/>
              </w:rPr>
              <w:t>1.2.1</w:t>
            </w:r>
            <w:r w:rsidRPr="00EA5A0A">
              <w:rPr>
                <w:rFonts w:asciiTheme="majorBidi" w:hAnsiTheme="majorBidi" w:cstheme="majorBidi"/>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Strategic Categorisation</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_Toc236402240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5</w:t>
            </w:r>
            <w:r w:rsidRPr="00EA5A0A">
              <w:rPr>
                <w:rFonts w:asciiTheme="majorBidi" w:hAnsiTheme="majorBidi" w:cstheme="majorBidi"/>
                <w:noProof/>
                <w:webHidden/>
                <w:color w:val="000000" w:themeColor="text1"/>
                <w:sz w:val="24"/>
                <w:szCs w:val="24"/>
              </w:rPr>
              <w:fldChar w:fldCharType="end"/>
            </w:r>
          </w:hyperlink>
        </w:p>
        <w:p w14:paraId="08314667" w14:textId="2E7C8F7A" w:rsidR="00EA5A0A" w:rsidRPr="00EA5A0A" w:rsidRDefault="00EA5A0A" w:rsidP="00EA5A0A">
          <w:pPr>
            <w:pStyle w:val="TOC3"/>
            <w:tabs>
              <w:tab w:val="left" w:pos="686"/>
              <w:tab w:val="right" w:leader="dot" w:pos="9016"/>
            </w:tabs>
            <w:spacing w:line="360" w:lineRule="auto"/>
            <w:jc w:val="both"/>
            <w:rPr>
              <w:rFonts w:asciiTheme="majorBidi" w:hAnsiTheme="majorBidi" w:cstheme="majorBidi"/>
              <w:smallCaps w:val="0"/>
              <w:noProof/>
              <w:color w:val="000000" w:themeColor="text1"/>
              <w:kern w:val="2"/>
              <w:sz w:val="24"/>
              <w:szCs w:val="24"/>
              <w:lang w:eastAsia="en-GB"/>
              <w14:ligatures w14:val="standardContextual"/>
            </w:rPr>
          </w:pPr>
          <w:hyperlink w:anchor="_Toc236402241" w:history="1">
            <w:r w:rsidRPr="00EA5A0A">
              <w:rPr>
                <w:rStyle w:val="Hyperlink"/>
                <w:rFonts w:asciiTheme="majorBidi" w:hAnsiTheme="majorBidi" w:cstheme="majorBidi"/>
                <w:noProof/>
                <w:color w:val="000000" w:themeColor="text1"/>
                <w:sz w:val="24"/>
                <w:szCs w:val="24"/>
              </w:rPr>
              <w:t>1.2.2</w:t>
            </w:r>
            <w:r w:rsidRPr="00EA5A0A">
              <w:rPr>
                <w:rFonts w:asciiTheme="majorBidi" w:hAnsiTheme="majorBidi" w:cstheme="majorBidi"/>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Geographic Configuration and Value Creation</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_Toc236402241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7</w:t>
            </w:r>
            <w:r w:rsidRPr="00EA5A0A">
              <w:rPr>
                <w:rFonts w:asciiTheme="majorBidi" w:hAnsiTheme="majorBidi" w:cstheme="majorBidi"/>
                <w:noProof/>
                <w:webHidden/>
                <w:color w:val="000000" w:themeColor="text1"/>
                <w:sz w:val="24"/>
                <w:szCs w:val="24"/>
              </w:rPr>
              <w:fldChar w:fldCharType="end"/>
            </w:r>
          </w:hyperlink>
        </w:p>
        <w:p w14:paraId="65668C3F" w14:textId="36DCA4F6" w:rsidR="00EA5A0A" w:rsidRPr="00EA5A0A" w:rsidRDefault="00EA5A0A" w:rsidP="00EA5A0A">
          <w:pPr>
            <w:pStyle w:val="TOC2"/>
            <w:tabs>
              <w:tab w:val="left" w:pos="522"/>
              <w:tab w:val="right" w:leader="dot" w:pos="9016"/>
            </w:tabs>
            <w:spacing w:line="360" w:lineRule="auto"/>
            <w:jc w:val="both"/>
            <w:rPr>
              <w:rFonts w:asciiTheme="majorBidi" w:hAnsiTheme="majorBidi" w:cstheme="majorBidi"/>
              <w:b w:val="0"/>
              <w:bCs w:val="0"/>
              <w:smallCaps w:val="0"/>
              <w:noProof/>
              <w:color w:val="000000" w:themeColor="text1"/>
              <w:kern w:val="2"/>
              <w:sz w:val="24"/>
              <w:szCs w:val="24"/>
              <w:lang w:eastAsia="en-GB"/>
              <w14:ligatures w14:val="standardContextual"/>
            </w:rPr>
          </w:pPr>
          <w:hyperlink w:anchor="_Toc236402242" w:history="1">
            <w:r w:rsidRPr="00EA5A0A">
              <w:rPr>
                <w:rStyle w:val="Hyperlink"/>
                <w:rFonts w:asciiTheme="majorBidi" w:hAnsiTheme="majorBidi" w:cstheme="majorBidi"/>
                <w:noProof/>
                <w:color w:val="000000" w:themeColor="text1"/>
                <w:sz w:val="24"/>
                <w:szCs w:val="24"/>
              </w:rPr>
              <w:t>1.3</w:t>
            </w:r>
            <w:r w:rsidRPr="00EA5A0A">
              <w:rPr>
                <w:rFonts w:asciiTheme="majorBidi" w:hAnsiTheme="majorBidi" w:cstheme="majorBidi"/>
                <w:b w:val="0"/>
                <w:bCs w:val="0"/>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Macro-Environmental Appraisal and Market Attractiveness</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_Toc236402242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9</w:t>
            </w:r>
            <w:r w:rsidRPr="00EA5A0A">
              <w:rPr>
                <w:rFonts w:asciiTheme="majorBidi" w:hAnsiTheme="majorBidi" w:cstheme="majorBidi"/>
                <w:noProof/>
                <w:webHidden/>
                <w:color w:val="000000" w:themeColor="text1"/>
                <w:sz w:val="24"/>
                <w:szCs w:val="24"/>
              </w:rPr>
              <w:fldChar w:fldCharType="end"/>
            </w:r>
          </w:hyperlink>
        </w:p>
        <w:p w14:paraId="2A1F3AE2" w14:textId="2FDE961A" w:rsidR="00EA5A0A" w:rsidRPr="00EA5A0A" w:rsidRDefault="00EA5A0A" w:rsidP="00EA5A0A">
          <w:pPr>
            <w:pStyle w:val="TOC3"/>
            <w:tabs>
              <w:tab w:val="left" w:pos="686"/>
              <w:tab w:val="right" w:leader="dot" w:pos="9016"/>
            </w:tabs>
            <w:spacing w:line="360" w:lineRule="auto"/>
            <w:jc w:val="both"/>
            <w:rPr>
              <w:rFonts w:asciiTheme="majorBidi" w:hAnsiTheme="majorBidi" w:cstheme="majorBidi"/>
              <w:smallCaps w:val="0"/>
              <w:noProof/>
              <w:color w:val="000000" w:themeColor="text1"/>
              <w:kern w:val="2"/>
              <w:sz w:val="24"/>
              <w:szCs w:val="24"/>
              <w:lang w:eastAsia="en-GB"/>
              <w14:ligatures w14:val="standardContextual"/>
            </w:rPr>
          </w:pPr>
          <w:hyperlink w:anchor="_Toc236402243" w:history="1">
            <w:r w:rsidRPr="00EA5A0A">
              <w:rPr>
                <w:rStyle w:val="Hyperlink"/>
                <w:rFonts w:asciiTheme="majorBidi" w:hAnsiTheme="majorBidi" w:cstheme="majorBidi"/>
                <w:noProof/>
                <w:color w:val="000000" w:themeColor="text1"/>
                <w:sz w:val="24"/>
                <w:szCs w:val="24"/>
              </w:rPr>
              <w:t>1.3.1</w:t>
            </w:r>
            <w:r w:rsidRPr="00EA5A0A">
              <w:rPr>
                <w:rFonts w:asciiTheme="majorBidi" w:hAnsiTheme="majorBidi" w:cstheme="majorBidi"/>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Market and Industry Attractiveness</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_Toc236402243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9</w:t>
            </w:r>
            <w:r w:rsidRPr="00EA5A0A">
              <w:rPr>
                <w:rFonts w:asciiTheme="majorBidi" w:hAnsiTheme="majorBidi" w:cstheme="majorBidi"/>
                <w:noProof/>
                <w:webHidden/>
                <w:color w:val="000000" w:themeColor="text1"/>
                <w:sz w:val="24"/>
                <w:szCs w:val="24"/>
              </w:rPr>
              <w:fldChar w:fldCharType="end"/>
            </w:r>
          </w:hyperlink>
        </w:p>
        <w:p w14:paraId="0B22BC75" w14:textId="3F933C01" w:rsidR="00EA5A0A" w:rsidRPr="00EA5A0A" w:rsidRDefault="00EA5A0A" w:rsidP="00EA5A0A">
          <w:pPr>
            <w:pStyle w:val="TOC3"/>
            <w:tabs>
              <w:tab w:val="left" w:pos="686"/>
              <w:tab w:val="right" w:leader="dot" w:pos="9016"/>
            </w:tabs>
            <w:spacing w:line="360" w:lineRule="auto"/>
            <w:jc w:val="both"/>
            <w:rPr>
              <w:rFonts w:asciiTheme="majorBidi" w:hAnsiTheme="majorBidi" w:cstheme="majorBidi"/>
              <w:smallCaps w:val="0"/>
              <w:noProof/>
              <w:color w:val="000000" w:themeColor="text1"/>
              <w:kern w:val="2"/>
              <w:sz w:val="24"/>
              <w:szCs w:val="24"/>
              <w:lang w:eastAsia="en-GB"/>
              <w14:ligatures w14:val="standardContextual"/>
            </w:rPr>
          </w:pPr>
          <w:hyperlink w:anchor="_Toc236402244" w:history="1">
            <w:r w:rsidRPr="00EA5A0A">
              <w:rPr>
                <w:rStyle w:val="Hyperlink"/>
                <w:rFonts w:asciiTheme="majorBidi" w:hAnsiTheme="majorBidi" w:cstheme="majorBidi"/>
                <w:noProof/>
                <w:color w:val="000000" w:themeColor="text1"/>
                <w:sz w:val="24"/>
                <w:szCs w:val="24"/>
              </w:rPr>
              <w:t>1.3.2</w:t>
            </w:r>
            <w:r w:rsidRPr="00EA5A0A">
              <w:rPr>
                <w:rFonts w:asciiTheme="majorBidi" w:hAnsiTheme="majorBidi" w:cstheme="majorBidi"/>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Political and Governmental Environment</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_Toc236402244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11</w:t>
            </w:r>
            <w:r w:rsidRPr="00EA5A0A">
              <w:rPr>
                <w:rFonts w:asciiTheme="majorBidi" w:hAnsiTheme="majorBidi" w:cstheme="majorBidi"/>
                <w:noProof/>
                <w:webHidden/>
                <w:color w:val="000000" w:themeColor="text1"/>
                <w:sz w:val="24"/>
                <w:szCs w:val="24"/>
              </w:rPr>
              <w:fldChar w:fldCharType="end"/>
            </w:r>
          </w:hyperlink>
        </w:p>
        <w:p w14:paraId="4EA48B80" w14:textId="3E6EBBAB" w:rsidR="00EA5A0A" w:rsidRPr="00EA5A0A" w:rsidRDefault="00EA5A0A" w:rsidP="00EA5A0A">
          <w:pPr>
            <w:pStyle w:val="TOC3"/>
            <w:tabs>
              <w:tab w:val="left" w:pos="686"/>
              <w:tab w:val="right" w:leader="dot" w:pos="9016"/>
            </w:tabs>
            <w:spacing w:line="360" w:lineRule="auto"/>
            <w:jc w:val="both"/>
            <w:rPr>
              <w:rFonts w:asciiTheme="majorBidi" w:hAnsiTheme="majorBidi" w:cstheme="majorBidi"/>
              <w:smallCaps w:val="0"/>
              <w:noProof/>
              <w:color w:val="000000" w:themeColor="text1"/>
              <w:kern w:val="2"/>
              <w:sz w:val="24"/>
              <w:szCs w:val="24"/>
              <w:lang w:eastAsia="en-GB"/>
              <w14:ligatures w14:val="standardContextual"/>
            </w:rPr>
          </w:pPr>
          <w:hyperlink w:anchor="_Toc236402245" w:history="1">
            <w:r w:rsidRPr="00EA5A0A">
              <w:rPr>
                <w:rStyle w:val="Hyperlink"/>
                <w:rFonts w:asciiTheme="majorBidi" w:hAnsiTheme="majorBidi" w:cstheme="majorBidi"/>
                <w:noProof/>
                <w:color w:val="000000" w:themeColor="text1"/>
                <w:sz w:val="24"/>
                <w:szCs w:val="24"/>
              </w:rPr>
              <w:t>1.3.3</w:t>
            </w:r>
            <w:r w:rsidRPr="00EA5A0A">
              <w:rPr>
                <w:rFonts w:asciiTheme="majorBidi" w:hAnsiTheme="majorBidi" w:cstheme="majorBidi"/>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Economic and Financial Environment</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_Toc236402245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12</w:t>
            </w:r>
            <w:r w:rsidRPr="00EA5A0A">
              <w:rPr>
                <w:rFonts w:asciiTheme="majorBidi" w:hAnsiTheme="majorBidi" w:cstheme="majorBidi"/>
                <w:noProof/>
                <w:webHidden/>
                <w:color w:val="000000" w:themeColor="text1"/>
                <w:sz w:val="24"/>
                <w:szCs w:val="24"/>
              </w:rPr>
              <w:fldChar w:fldCharType="end"/>
            </w:r>
          </w:hyperlink>
        </w:p>
        <w:p w14:paraId="198893C8" w14:textId="75A353BF" w:rsidR="00EA5A0A" w:rsidRPr="00EA5A0A" w:rsidRDefault="00EA5A0A" w:rsidP="00EA5A0A">
          <w:pPr>
            <w:pStyle w:val="TOC3"/>
            <w:tabs>
              <w:tab w:val="left" w:pos="686"/>
              <w:tab w:val="right" w:leader="dot" w:pos="9016"/>
            </w:tabs>
            <w:spacing w:line="360" w:lineRule="auto"/>
            <w:jc w:val="both"/>
            <w:rPr>
              <w:rFonts w:asciiTheme="majorBidi" w:hAnsiTheme="majorBidi" w:cstheme="majorBidi"/>
              <w:smallCaps w:val="0"/>
              <w:noProof/>
              <w:color w:val="000000" w:themeColor="text1"/>
              <w:kern w:val="2"/>
              <w:sz w:val="24"/>
              <w:szCs w:val="24"/>
              <w:lang w:eastAsia="en-GB"/>
              <w14:ligatures w14:val="standardContextual"/>
            </w:rPr>
          </w:pPr>
          <w:hyperlink w:anchor="_Toc236402246" w:history="1">
            <w:r w:rsidRPr="00EA5A0A">
              <w:rPr>
                <w:rStyle w:val="Hyperlink"/>
                <w:rFonts w:asciiTheme="majorBidi" w:hAnsiTheme="majorBidi" w:cstheme="majorBidi"/>
                <w:noProof/>
                <w:color w:val="000000" w:themeColor="text1"/>
                <w:sz w:val="24"/>
                <w:szCs w:val="24"/>
              </w:rPr>
              <w:t>1.3.4</w:t>
            </w:r>
            <w:r w:rsidRPr="00EA5A0A">
              <w:rPr>
                <w:rFonts w:asciiTheme="majorBidi" w:hAnsiTheme="majorBidi" w:cstheme="majorBidi"/>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Legal and Regulatory Environment</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_Toc236402246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14</w:t>
            </w:r>
            <w:r w:rsidRPr="00EA5A0A">
              <w:rPr>
                <w:rFonts w:asciiTheme="majorBidi" w:hAnsiTheme="majorBidi" w:cstheme="majorBidi"/>
                <w:noProof/>
                <w:webHidden/>
                <w:color w:val="000000" w:themeColor="text1"/>
                <w:sz w:val="24"/>
                <w:szCs w:val="24"/>
              </w:rPr>
              <w:fldChar w:fldCharType="end"/>
            </w:r>
          </w:hyperlink>
        </w:p>
        <w:p w14:paraId="279A10D0" w14:textId="046DEB78" w:rsidR="00EA5A0A" w:rsidRPr="00EA5A0A" w:rsidRDefault="00EA5A0A" w:rsidP="00EA5A0A">
          <w:pPr>
            <w:pStyle w:val="TOC3"/>
            <w:tabs>
              <w:tab w:val="left" w:pos="686"/>
              <w:tab w:val="right" w:leader="dot" w:pos="9016"/>
            </w:tabs>
            <w:spacing w:line="360" w:lineRule="auto"/>
            <w:jc w:val="both"/>
            <w:rPr>
              <w:rFonts w:asciiTheme="majorBidi" w:hAnsiTheme="majorBidi" w:cstheme="majorBidi"/>
              <w:smallCaps w:val="0"/>
              <w:noProof/>
              <w:color w:val="000000" w:themeColor="text1"/>
              <w:kern w:val="2"/>
              <w:sz w:val="24"/>
              <w:szCs w:val="24"/>
              <w:lang w:eastAsia="en-GB"/>
              <w14:ligatures w14:val="standardContextual"/>
            </w:rPr>
          </w:pPr>
          <w:hyperlink w:anchor="_Toc236402247" w:history="1">
            <w:r w:rsidRPr="00EA5A0A">
              <w:rPr>
                <w:rStyle w:val="Hyperlink"/>
                <w:rFonts w:asciiTheme="majorBidi" w:hAnsiTheme="majorBidi" w:cstheme="majorBidi"/>
                <w:noProof/>
                <w:color w:val="000000" w:themeColor="text1"/>
                <w:sz w:val="24"/>
                <w:szCs w:val="24"/>
              </w:rPr>
              <w:t>1.3.5</w:t>
            </w:r>
            <w:r w:rsidRPr="00EA5A0A">
              <w:rPr>
                <w:rFonts w:asciiTheme="majorBidi" w:hAnsiTheme="majorBidi" w:cstheme="majorBidi"/>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Cultural and Consumer Environment</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_Toc236402247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16</w:t>
            </w:r>
            <w:r w:rsidRPr="00EA5A0A">
              <w:rPr>
                <w:rFonts w:asciiTheme="majorBidi" w:hAnsiTheme="majorBidi" w:cstheme="majorBidi"/>
                <w:noProof/>
                <w:webHidden/>
                <w:color w:val="000000" w:themeColor="text1"/>
                <w:sz w:val="24"/>
                <w:szCs w:val="24"/>
              </w:rPr>
              <w:fldChar w:fldCharType="end"/>
            </w:r>
          </w:hyperlink>
        </w:p>
        <w:p w14:paraId="5C83B508" w14:textId="7A182D68" w:rsidR="00EA5A0A" w:rsidRPr="00EA5A0A" w:rsidRDefault="00EA5A0A" w:rsidP="00EA5A0A">
          <w:pPr>
            <w:pStyle w:val="TOC2"/>
            <w:tabs>
              <w:tab w:val="left" w:pos="522"/>
              <w:tab w:val="right" w:leader="dot" w:pos="9016"/>
            </w:tabs>
            <w:spacing w:line="360" w:lineRule="auto"/>
            <w:jc w:val="both"/>
            <w:rPr>
              <w:rFonts w:asciiTheme="majorBidi" w:hAnsiTheme="majorBidi" w:cstheme="majorBidi"/>
              <w:b w:val="0"/>
              <w:bCs w:val="0"/>
              <w:smallCaps w:val="0"/>
              <w:noProof/>
              <w:color w:val="000000" w:themeColor="text1"/>
              <w:kern w:val="2"/>
              <w:sz w:val="24"/>
              <w:szCs w:val="24"/>
              <w:lang w:eastAsia="en-GB"/>
              <w14:ligatures w14:val="standardContextual"/>
            </w:rPr>
          </w:pPr>
          <w:hyperlink w:anchor="_Toc236402248" w:history="1">
            <w:r w:rsidRPr="00EA5A0A">
              <w:rPr>
                <w:rStyle w:val="Hyperlink"/>
                <w:rFonts w:asciiTheme="majorBidi" w:hAnsiTheme="majorBidi" w:cstheme="majorBidi"/>
                <w:noProof/>
                <w:color w:val="000000" w:themeColor="text1"/>
                <w:sz w:val="24"/>
                <w:szCs w:val="24"/>
              </w:rPr>
              <w:t>1.4</w:t>
            </w:r>
            <w:r w:rsidRPr="00EA5A0A">
              <w:rPr>
                <w:rFonts w:asciiTheme="majorBidi" w:hAnsiTheme="majorBidi" w:cstheme="majorBidi"/>
                <w:b w:val="0"/>
                <w:bCs w:val="0"/>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Application of Dunning’s OLI Framework</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_Toc236402248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18</w:t>
            </w:r>
            <w:r w:rsidRPr="00EA5A0A">
              <w:rPr>
                <w:rFonts w:asciiTheme="majorBidi" w:hAnsiTheme="majorBidi" w:cstheme="majorBidi"/>
                <w:noProof/>
                <w:webHidden/>
                <w:color w:val="000000" w:themeColor="text1"/>
                <w:sz w:val="24"/>
                <w:szCs w:val="24"/>
              </w:rPr>
              <w:fldChar w:fldCharType="end"/>
            </w:r>
          </w:hyperlink>
        </w:p>
        <w:p w14:paraId="43C4D9F5" w14:textId="782F9606" w:rsidR="00EA5A0A" w:rsidRPr="00EA5A0A" w:rsidRDefault="00EA5A0A" w:rsidP="00EA5A0A">
          <w:pPr>
            <w:pStyle w:val="TOC3"/>
            <w:tabs>
              <w:tab w:val="left" w:pos="686"/>
              <w:tab w:val="right" w:leader="dot" w:pos="9016"/>
            </w:tabs>
            <w:spacing w:line="360" w:lineRule="auto"/>
            <w:jc w:val="both"/>
            <w:rPr>
              <w:rFonts w:asciiTheme="majorBidi" w:hAnsiTheme="majorBidi" w:cstheme="majorBidi"/>
              <w:smallCaps w:val="0"/>
              <w:noProof/>
              <w:color w:val="000000" w:themeColor="text1"/>
              <w:kern w:val="2"/>
              <w:sz w:val="24"/>
              <w:szCs w:val="24"/>
              <w:lang w:eastAsia="en-GB"/>
              <w14:ligatures w14:val="standardContextual"/>
            </w:rPr>
          </w:pPr>
          <w:hyperlink w:anchor="_Toc236402249" w:history="1">
            <w:r w:rsidRPr="00EA5A0A">
              <w:rPr>
                <w:rStyle w:val="Hyperlink"/>
                <w:rFonts w:asciiTheme="majorBidi" w:hAnsiTheme="majorBidi" w:cstheme="majorBidi"/>
                <w:noProof/>
                <w:color w:val="000000" w:themeColor="text1"/>
                <w:sz w:val="24"/>
                <w:szCs w:val="24"/>
              </w:rPr>
              <w:t>1.4.1</w:t>
            </w:r>
            <w:r w:rsidRPr="00EA5A0A">
              <w:rPr>
                <w:rFonts w:asciiTheme="majorBidi" w:hAnsiTheme="majorBidi" w:cstheme="majorBidi"/>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Ownership Advantages</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_Toc236402249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18</w:t>
            </w:r>
            <w:r w:rsidRPr="00EA5A0A">
              <w:rPr>
                <w:rFonts w:asciiTheme="majorBidi" w:hAnsiTheme="majorBidi" w:cstheme="majorBidi"/>
                <w:noProof/>
                <w:webHidden/>
                <w:color w:val="000000" w:themeColor="text1"/>
                <w:sz w:val="24"/>
                <w:szCs w:val="24"/>
              </w:rPr>
              <w:fldChar w:fldCharType="end"/>
            </w:r>
          </w:hyperlink>
        </w:p>
        <w:p w14:paraId="71EA74FA" w14:textId="65C91368" w:rsidR="00EA5A0A" w:rsidRPr="00EA5A0A" w:rsidRDefault="00EA5A0A" w:rsidP="00EA5A0A">
          <w:pPr>
            <w:pStyle w:val="TOC3"/>
            <w:tabs>
              <w:tab w:val="left" w:pos="686"/>
              <w:tab w:val="right" w:leader="dot" w:pos="9016"/>
            </w:tabs>
            <w:spacing w:line="360" w:lineRule="auto"/>
            <w:jc w:val="both"/>
            <w:rPr>
              <w:rFonts w:asciiTheme="majorBidi" w:hAnsiTheme="majorBidi" w:cstheme="majorBidi"/>
              <w:smallCaps w:val="0"/>
              <w:noProof/>
              <w:color w:val="000000" w:themeColor="text1"/>
              <w:kern w:val="2"/>
              <w:sz w:val="24"/>
              <w:szCs w:val="24"/>
              <w:lang w:eastAsia="en-GB"/>
              <w14:ligatures w14:val="standardContextual"/>
            </w:rPr>
          </w:pPr>
          <w:hyperlink w:anchor="_Toc236402250" w:history="1">
            <w:r w:rsidRPr="00EA5A0A">
              <w:rPr>
                <w:rStyle w:val="Hyperlink"/>
                <w:rFonts w:asciiTheme="majorBidi" w:hAnsiTheme="majorBidi" w:cstheme="majorBidi"/>
                <w:noProof/>
                <w:color w:val="000000" w:themeColor="text1"/>
                <w:sz w:val="24"/>
                <w:szCs w:val="24"/>
              </w:rPr>
              <w:t>1.4.2</w:t>
            </w:r>
            <w:r w:rsidRPr="00EA5A0A">
              <w:rPr>
                <w:rFonts w:asciiTheme="majorBidi" w:hAnsiTheme="majorBidi" w:cstheme="majorBidi"/>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Location Advantages</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_Toc236402250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19</w:t>
            </w:r>
            <w:r w:rsidRPr="00EA5A0A">
              <w:rPr>
                <w:rFonts w:asciiTheme="majorBidi" w:hAnsiTheme="majorBidi" w:cstheme="majorBidi"/>
                <w:noProof/>
                <w:webHidden/>
                <w:color w:val="000000" w:themeColor="text1"/>
                <w:sz w:val="24"/>
                <w:szCs w:val="24"/>
              </w:rPr>
              <w:fldChar w:fldCharType="end"/>
            </w:r>
          </w:hyperlink>
        </w:p>
        <w:p w14:paraId="4A968704" w14:textId="37F3C245" w:rsidR="00EA5A0A" w:rsidRPr="00EA5A0A" w:rsidRDefault="00EA5A0A" w:rsidP="00EA5A0A">
          <w:pPr>
            <w:pStyle w:val="TOC3"/>
            <w:tabs>
              <w:tab w:val="left" w:pos="686"/>
              <w:tab w:val="right" w:leader="dot" w:pos="9016"/>
            </w:tabs>
            <w:spacing w:line="360" w:lineRule="auto"/>
            <w:jc w:val="both"/>
            <w:rPr>
              <w:rFonts w:asciiTheme="majorBidi" w:hAnsiTheme="majorBidi" w:cstheme="majorBidi"/>
              <w:smallCaps w:val="0"/>
              <w:noProof/>
              <w:color w:val="000000" w:themeColor="text1"/>
              <w:kern w:val="2"/>
              <w:sz w:val="24"/>
              <w:szCs w:val="24"/>
              <w:lang w:eastAsia="en-GB"/>
              <w14:ligatures w14:val="standardContextual"/>
            </w:rPr>
          </w:pPr>
          <w:hyperlink w:anchor="_Toc236402251" w:history="1">
            <w:r w:rsidRPr="00EA5A0A">
              <w:rPr>
                <w:rStyle w:val="Hyperlink"/>
                <w:rFonts w:asciiTheme="majorBidi" w:hAnsiTheme="majorBidi" w:cstheme="majorBidi"/>
                <w:noProof/>
                <w:color w:val="000000" w:themeColor="text1"/>
                <w:sz w:val="24"/>
                <w:szCs w:val="24"/>
              </w:rPr>
              <w:t>1.4.3</w:t>
            </w:r>
            <w:r w:rsidRPr="00EA5A0A">
              <w:rPr>
                <w:rFonts w:asciiTheme="majorBidi" w:hAnsiTheme="majorBidi" w:cstheme="majorBidi"/>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Internalisation Advantages</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_Toc236402251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19</w:t>
            </w:r>
            <w:r w:rsidRPr="00EA5A0A">
              <w:rPr>
                <w:rFonts w:asciiTheme="majorBidi" w:hAnsiTheme="majorBidi" w:cstheme="majorBidi"/>
                <w:noProof/>
                <w:webHidden/>
                <w:color w:val="000000" w:themeColor="text1"/>
                <w:sz w:val="24"/>
                <w:szCs w:val="24"/>
              </w:rPr>
              <w:fldChar w:fldCharType="end"/>
            </w:r>
          </w:hyperlink>
        </w:p>
        <w:p w14:paraId="0BC68963" w14:textId="067BD668" w:rsidR="00EA5A0A" w:rsidRPr="00EA5A0A" w:rsidRDefault="00EA5A0A" w:rsidP="00EA5A0A">
          <w:pPr>
            <w:pStyle w:val="TOC2"/>
            <w:tabs>
              <w:tab w:val="left" w:pos="522"/>
              <w:tab w:val="right" w:leader="dot" w:pos="9016"/>
            </w:tabs>
            <w:spacing w:line="360" w:lineRule="auto"/>
            <w:jc w:val="both"/>
            <w:rPr>
              <w:rFonts w:asciiTheme="majorBidi" w:hAnsiTheme="majorBidi" w:cstheme="majorBidi"/>
              <w:b w:val="0"/>
              <w:bCs w:val="0"/>
              <w:smallCaps w:val="0"/>
              <w:noProof/>
              <w:color w:val="000000" w:themeColor="text1"/>
              <w:kern w:val="2"/>
              <w:sz w:val="24"/>
              <w:szCs w:val="24"/>
              <w:lang w:eastAsia="en-GB"/>
              <w14:ligatures w14:val="standardContextual"/>
            </w:rPr>
          </w:pPr>
          <w:hyperlink w:anchor="_Toc236402252" w:history="1">
            <w:r w:rsidRPr="00EA5A0A">
              <w:rPr>
                <w:rStyle w:val="Hyperlink"/>
                <w:rFonts w:asciiTheme="majorBidi" w:hAnsiTheme="majorBidi" w:cstheme="majorBidi"/>
                <w:noProof/>
                <w:color w:val="000000" w:themeColor="text1"/>
                <w:sz w:val="24"/>
                <w:szCs w:val="24"/>
              </w:rPr>
              <w:t>1.5</w:t>
            </w:r>
            <w:r w:rsidRPr="00EA5A0A">
              <w:rPr>
                <w:rFonts w:asciiTheme="majorBidi" w:hAnsiTheme="majorBidi" w:cstheme="majorBidi"/>
                <w:b w:val="0"/>
                <w:bCs w:val="0"/>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Entry-Mode Strategy and Strategic Synthesis</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_Toc236402252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21</w:t>
            </w:r>
            <w:r w:rsidRPr="00EA5A0A">
              <w:rPr>
                <w:rFonts w:asciiTheme="majorBidi" w:hAnsiTheme="majorBidi" w:cstheme="majorBidi"/>
                <w:noProof/>
                <w:webHidden/>
                <w:color w:val="000000" w:themeColor="text1"/>
                <w:sz w:val="24"/>
                <w:szCs w:val="24"/>
              </w:rPr>
              <w:fldChar w:fldCharType="end"/>
            </w:r>
          </w:hyperlink>
        </w:p>
        <w:p w14:paraId="5A9141C7" w14:textId="53B19490" w:rsidR="00EA5A0A" w:rsidRPr="00EA5A0A" w:rsidRDefault="00EA5A0A" w:rsidP="00EA5A0A">
          <w:pPr>
            <w:pStyle w:val="TOC3"/>
            <w:tabs>
              <w:tab w:val="left" w:pos="686"/>
              <w:tab w:val="right" w:leader="dot" w:pos="9016"/>
            </w:tabs>
            <w:spacing w:line="360" w:lineRule="auto"/>
            <w:jc w:val="both"/>
            <w:rPr>
              <w:rFonts w:asciiTheme="majorBidi" w:hAnsiTheme="majorBidi" w:cstheme="majorBidi"/>
              <w:smallCaps w:val="0"/>
              <w:noProof/>
              <w:color w:val="000000" w:themeColor="text1"/>
              <w:kern w:val="2"/>
              <w:sz w:val="24"/>
              <w:szCs w:val="24"/>
              <w:lang w:eastAsia="en-GB"/>
              <w14:ligatures w14:val="standardContextual"/>
            </w:rPr>
          </w:pPr>
          <w:hyperlink w:anchor="_Toc236402253" w:history="1">
            <w:r w:rsidRPr="00EA5A0A">
              <w:rPr>
                <w:rStyle w:val="Hyperlink"/>
                <w:rFonts w:asciiTheme="majorBidi" w:hAnsiTheme="majorBidi" w:cstheme="majorBidi"/>
                <w:noProof/>
                <w:color w:val="000000" w:themeColor="text1"/>
                <w:sz w:val="24"/>
                <w:szCs w:val="24"/>
              </w:rPr>
              <w:t>1.5.1</w:t>
            </w:r>
            <w:r w:rsidRPr="00EA5A0A">
              <w:rPr>
                <w:rFonts w:asciiTheme="majorBidi" w:hAnsiTheme="majorBidi" w:cstheme="majorBidi"/>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TCPL’s Historical Entry-Mode Pattern</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_Toc236402253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21</w:t>
            </w:r>
            <w:r w:rsidRPr="00EA5A0A">
              <w:rPr>
                <w:rFonts w:asciiTheme="majorBidi" w:hAnsiTheme="majorBidi" w:cstheme="majorBidi"/>
                <w:noProof/>
                <w:webHidden/>
                <w:color w:val="000000" w:themeColor="text1"/>
                <w:sz w:val="24"/>
                <w:szCs w:val="24"/>
              </w:rPr>
              <w:fldChar w:fldCharType="end"/>
            </w:r>
          </w:hyperlink>
        </w:p>
        <w:p w14:paraId="11954C95" w14:textId="52A7B0AA" w:rsidR="00EA5A0A" w:rsidRPr="00EA5A0A" w:rsidRDefault="00EA5A0A" w:rsidP="00EA5A0A">
          <w:pPr>
            <w:pStyle w:val="TOC3"/>
            <w:tabs>
              <w:tab w:val="left" w:pos="686"/>
              <w:tab w:val="right" w:leader="dot" w:pos="9016"/>
            </w:tabs>
            <w:spacing w:line="360" w:lineRule="auto"/>
            <w:jc w:val="both"/>
            <w:rPr>
              <w:rFonts w:asciiTheme="majorBidi" w:hAnsiTheme="majorBidi" w:cstheme="majorBidi"/>
              <w:smallCaps w:val="0"/>
              <w:noProof/>
              <w:color w:val="000000" w:themeColor="text1"/>
              <w:kern w:val="2"/>
              <w:sz w:val="24"/>
              <w:szCs w:val="24"/>
              <w:lang w:eastAsia="en-GB"/>
              <w14:ligatures w14:val="standardContextual"/>
            </w:rPr>
          </w:pPr>
          <w:hyperlink w:anchor="_Toc236402254" w:history="1">
            <w:r w:rsidRPr="00EA5A0A">
              <w:rPr>
                <w:rStyle w:val="Hyperlink"/>
                <w:rFonts w:asciiTheme="majorBidi" w:hAnsiTheme="majorBidi" w:cstheme="majorBidi"/>
                <w:noProof/>
                <w:color w:val="000000" w:themeColor="text1"/>
                <w:sz w:val="24"/>
                <w:szCs w:val="24"/>
              </w:rPr>
              <w:t>1.5.2</w:t>
            </w:r>
            <w:r w:rsidRPr="00EA5A0A">
              <w:rPr>
                <w:rFonts w:asciiTheme="majorBidi" w:hAnsiTheme="majorBidi" w:cstheme="majorBidi"/>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Comparison of Entry Modes</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_Toc236402254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21</w:t>
            </w:r>
            <w:r w:rsidRPr="00EA5A0A">
              <w:rPr>
                <w:rFonts w:asciiTheme="majorBidi" w:hAnsiTheme="majorBidi" w:cstheme="majorBidi"/>
                <w:noProof/>
                <w:webHidden/>
                <w:color w:val="000000" w:themeColor="text1"/>
                <w:sz w:val="24"/>
                <w:szCs w:val="24"/>
              </w:rPr>
              <w:fldChar w:fldCharType="end"/>
            </w:r>
          </w:hyperlink>
        </w:p>
        <w:p w14:paraId="27A7A914" w14:textId="29A7E584" w:rsidR="00EA5A0A" w:rsidRPr="00EA5A0A" w:rsidRDefault="00EA5A0A" w:rsidP="00EA5A0A">
          <w:pPr>
            <w:pStyle w:val="TOC3"/>
            <w:tabs>
              <w:tab w:val="left" w:pos="686"/>
              <w:tab w:val="right" w:leader="dot" w:pos="9016"/>
            </w:tabs>
            <w:spacing w:line="360" w:lineRule="auto"/>
            <w:jc w:val="both"/>
            <w:rPr>
              <w:rFonts w:asciiTheme="majorBidi" w:hAnsiTheme="majorBidi" w:cstheme="majorBidi"/>
              <w:smallCaps w:val="0"/>
              <w:noProof/>
              <w:color w:val="000000" w:themeColor="text1"/>
              <w:kern w:val="2"/>
              <w:sz w:val="24"/>
              <w:szCs w:val="24"/>
              <w:lang w:eastAsia="en-GB"/>
              <w14:ligatures w14:val="standardContextual"/>
            </w:rPr>
          </w:pPr>
          <w:hyperlink w:anchor="_Toc236402255" w:history="1">
            <w:r w:rsidRPr="00EA5A0A">
              <w:rPr>
                <w:rStyle w:val="Hyperlink"/>
                <w:rFonts w:asciiTheme="majorBidi" w:hAnsiTheme="majorBidi" w:cstheme="majorBidi"/>
                <w:noProof/>
                <w:color w:val="000000" w:themeColor="text1"/>
                <w:sz w:val="24"/>
                <w:szCs w:val="24"/>
              </w:rPr>
              <w:t>1.5.3</w:t>
            </w:r>
            <w:r w:rsidRPr="00EA5A0A">
              <w:rPr>
                <w:rFonts w:asciiTheme="majorBidi" w:hAnsiTheme="majorBidi" w:cstheme="majorBidi"/>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Recommended Mode: Majority-Controlled Joint Venture</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_Toc236402255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23</w:t>
            </w:r>
            <w:r w:rsidRPr="00EA5A0A">
              <w:rPr>
                <w:rFonts w:asciiTheme="majorBidi" w:hAnsiTheme="majorBidi" w:cstheme="majorBidi"/>
                <w:noProof/>
                <w:webHidden/>
                <w:color w:val="000000" w:themeColor="text1"/>
                <w:sz w:val="24"/>
                <w:szCs w:val="24"/>
              </w:rPr>
              <w:fldChar w:fldCharType="end"/>
            </w:r>
          </w:hyperlink>
        </w:p>
        <w:p w14:paraId="660E198A" w14:textId="4FE11DA9" w:rsidR="00EA5A0A" w:rsidRPr="00EA5A0A" w:rsidRDefault="00EA5A0A" w:rsidP="00EA5A0A">
          <w:pPr>
            <w:pStyle w:val="TOC2"/>
            <w:tabs>
              <w:tab w:val="left" w:pos="522"/>
              <w:tab w:val="right" w:leader="dot" w:pos="9016"/>
            </w:tabs>
            <w:spacing w:line="360" w:lineRule="auto"/>
            <w:jc w:val="both"/>
            <w:rPr>
              <w:rFonts w:asciiTheme="majorBidi" w:hAnsiTheme="majorBidi" w:cstheme="majorBidi"/>
              <w:b w:val="0"/>
              <w:bCs w:val="0"/>
              <w:smallCaps w:val="0"/>
              <w:noProof/>
              <w:color w:val="000000" w:themeColor="text1"/>
              <w:kern w:val="2"/>
              <w:sz w:val="24"/>
              <w:szCs w:val="24"/>
              <w:lang w:eastAsia="en-GB"/>
              <w14:ligatures w14:val="standardContextual"/>
            </w:rPr>
          </w:pPr>
          <w:hyperlink w:anchor="_Toc236402256" w:history="1">
            <w:r w:rsidRPr="00EA5A0A">
              <w:rPr>
                <w:rStyle w:val="Hyperlink"/>
                <w:rFonts w:asciiTheme="majorBidi" w:hAnsiTheme="majorBidi" w:cstheme="majorBidi"/>
                <w:noProof/>
                <w:color w:val="000000" w:themeColor="text1"/>
                <w:sz w:val="24"/>
                <w:szCs w:val="24"/>
              </w:rPr>
              <w:t>1.6</w:t>
            </w:r>
            <w:r w:rsidRPr="00EA5A0A">
              <w:rPr>
                <w:rFonts w:asciiTheme="majorBidi" w:hAnsiTheme="majorBidi" w:cstheme="majorBidi"/>
                <w:b w:val="0"/>
                <w:bCs w:val="0"/>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Conclusion and Recommendations</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_Toc236402256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25</w:t>
            </w:r>
            <w:r w:rsidRPr="00EA5A0A">
              <w:rPr>
                <w:rFonts w:asciiTheme="majorBidi" w:hAnsiTheme="majorBidi" w:cstheme="majorBidi"/>
                <w:noProof/>
                <w:webHidden/>
                <w:color w:val="000000" w:themeColor="text1"/>
                <w:sz w:val="24"/>
                <w:szCs w:val="24"/>
              </w:rPr>
              <w:fldChar w:fldCharType="end"/>
            </w:r>
          </w:hyperlink>
        </w:p>
        <w:p w14:paraId="45F6A297" w14:textId="32770EB1" w:rsidR="00EA5A0A" w:rsidRPr="00EA5A0A" w:rsidRDefault="00EA5A0A" w:rsidP="00EA5A0A">
          <w:pPr>
            <w:pStyle w:val="TOC1"/>
            <w:tabs>
              <w:tab w:val="left" w:pos="352"/>
              <w:tab w:val="right" w:leader="dot" w:pos="9016"/>
            </w:tabs>
            <w:spacing w:line="360" w:lineRule="auto"/>
            <w:jc w:val="both"/>
            <w:rPr>
              <w:rFonts w:asciiTheme="majorBidi" w:hAnsiTheme="majorBidi" w:cstheme="majorBidi"/>
              <w:b w:val="0"/>
              <w:bCs w:val="0"/>
              <w:caps w:val="0"/>
              <w:noProof/>
              <w:color w:val="000000" w:themeColor="text1"/>
              <w:kern w:val="2"/>
              <w:sz w:val="24"/>
              <w:szCs w:val="24"/>
              <w:u w:val="none"/>
              <w:lang w:eastAsia="en-GB"/>
              <w14:ligatures w14:val="standardContextual"/>
            </w:rPr>
          </w:pPr>
          <w:hyperlink w:anchor="_Toc236402257" w:history="1">
            <w:r w:rsidRPr="00EA5A0A">
              <w:rPr>
                <w:rStyle w:val="Hyperlink"/>
                <w:rFonts w:asciiTheme="majorBidi" w:hAnsiTheme="majorBidi" w:cstheme="majorBidi"/>
                <w:noProof/>
                <w:color w:val="000000" w:themeColor="text1"/>
                <w:sz w:val="24"/>
                <w:szCs w:val="24"/>
              </w:rPr>
              <w:t>2</w:t>
            </w:r>
            <w:r w:rsidRPr="00EA5A0A">
              <w:rPr>
                <w:rFonts w:asciiTheme="majorBidi" w:hAnsiTheme="majorBidi" w:cstheme="majorBidi"/>
                <w:b w:val="0"/>
                <w:bCs w:val="0"/>
                <w:caps w:val="0"/>
                <w:noProof/>
                <w:color w:val="000000" w:themeColor="text1"/>
                <w:kern w:val="2"/>
                <w:sz w:val="24"/>
                <w:szCs w:val="24"/>
                <w:u w:val="none"/>
                <w:lang w:eastAsia="en-GB"/>
                <w14:ligatures w14:val="standardContextual"/>
              </w:rPr>
              <w:tab/>
            </w:r>
            <w:r w:rsidRPr="00EA5A0A">
              <w:rPr>
                <w:rStyle w:val="Hyperlink"/>
                <w:rFonts w:asciiTheme="majorBidi" w:hAnsiTheme="majorBidi" w:cstheme="majorBidi"/>
                <w:noProof/>
                <w:color w:val="000000" w:themeColor="text1"/>
                <w:sz w:val="24"/>
                <w:szCs w:val="24"/>
              </w:rPr>
              <w:t>Section 2: Kolb Reflective Account</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_Toc236402257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28</w:t>
            </w:r>
            <w:r w:rsidRPr="00EA5A0A">
              <w:rPr>
                <w:rFonts w:asciiTheme="majorBidi" w:hAnsiTheme="majorBidi" w:cstheme="majorBidi"/>
                <w:noProof/>
                <w:webHidden/>
                <w:color w:val="000000" w:themeColor="text1"/>
                <w:sz w:val="24"/>
                <w:szCs w:val="24"/>
              </w:rPr>
              <w:fldChar w:fldCharType="end"/>
            </w:r>
          </w:hyperlink>
        </w:p>
        <w:p w14:paraId="21C8646E" w14:textId="441D3B08" w:rsidR="00EA5A0A" w:rsidRPr="00EA5A0A" w:rsidRDefault="00EA5A0A" w:rsidP="00EA5A0A">
          <w:pPr>
            <w:pStyle w:val="TOC2"/>
            <w:tabs>
              <w:tab w:val="left" w:pos="522"/>
              <w:tab w:val="right" w:leader="dot" w:pos="9016"/>
            </w:tabs>
            <w:spacing w:line="360" w:lineRule="auto"/>
            <w:jc w:val="both"/>
            <w:rPr>
              <w:rFonts w:asciiTheme="majorBidi" w:hAnsiTheme="majorBidi" w:cstheme="majorBidi"/>
              <w:b w:val="0"/>
              <w:bCs w:val="0"/>
              <w:smallCaps w:val="0"/>
              <w:noProof/>
              <w:color w:val="000000" w:themeColor="text1"/>
              <w:kern w:val="2"/>
              <w:sz w:val="24"/>
              <w:szCs w:val="24"/>
              <w:lang w:eastAsia="en-GB"/>
              <w14:ligatures w14:val="standardContextual"/>
            </w:rPr>
          </w:pPr>
          <w:hyperlink w:anchor="_Toc236402258" w:history="1">
            <w:r w:rsidRPr="00EA5A0A">
              <w:rPr>
                <w:rStyle w:val="Hyperlink"/>
                <w:rFonts w:asciiTheme="majorBidi" w:hAnsiTheme="majorBidi" w:cstheme="majorBidi"/>
                <w:noProof/>
                <w:color w:val="000000" w:themeColor="text1"/>
                <w:sz w:val="24"/>
                <w:szCs w:val="24"/>
              </w:rPr>
              <w:t>2.1</w:t>
            </w:r>
            <w:r w:rsidRPr="00EA5A0A">
              <w:rPr>
                <w:rFonts w:asciiTheme="majorBidi" w:hAnsiTheme="majorBidi" w:cstheme="majorBidi"/>
                <w:b w:val="0"/>
                <w:bCs w:val="0"/>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Concrete Experience</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_Toc236402258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28</w:t>
            </w:r>
            <w:r w:rsidRPr="00EA5A0A">
              <w:rPr>
                <w:rFonts w:asciiTheme="majorBidi" w:hAnsiTheme="majorBidi" w:cstheme="majorBidi"/>
                <w:noProof/>
                <w:webHidden/>
                <w:color w:val="000000" w:themeColor="text1"/>
                <w:sz w:val="24"/>
                <w:szCs w:val="24"/>
              </w:rPr>
              <w:fldChar w:fldCharType="end"/>
            </w:r>
          </w:hyperlink>
        </w:p>
        <w:p w14:paraId="1FC1A72E" w14:textId="1851EE4A" w:rsidR="00EA5A0A" w:rsidRPr="00EA5A0A" w:rsidRDefault="00EA5A0A" w:rsidP="00EA5A0A">
          <w:pPr>
            <w:pStyle w:val="TOC2"/>
            <w:tabs>
              <w:tab w:val="left" w:pos="522"/>
              <w:tab w:val="right" w:leader="dot" w:pos="9016"/>
            </w:tabs>
            <w:spacing w:line="360" w:lineRule="auto"/>
            <w:jc w:val="both"/>
            <w:rPr>
              <w:rFonts w:asciiTheme="majorBidi" w:hAnsiTheme="majorBidi" w:cstheme="majorBidi"/>
              <w:b w:val="0"/>
              <w:bCs w:val="0"/>
              <w:smallCaps w:val="0"/>
              <w:noProof/>
              <w:color w:val="000000" w:themeColor="text1"/>
              <w:kern w:val="2"/>
              <w:sz w:val="24"/>
              <w:szCs w:val="24"/>
              <w:lang w:eastAsia="en-GB"/>
              <w14:ligatures w14:val="standardContextual"/>
            </w:rPr>
          </w:pPr>
          <w:hyperlink w:anchor="_Toc236402259" w:history="1">
            <w:r w:rsidRPr="00EA5A0A">
              <w:rPr>
                <w:rStyle w:val="Hyperlink"/>
                <w:rFonts w:asciiTheme="majorBidi" w:hAnsiTheme="majorBidi" w:cstheme="majorBidi"/>
                <w:noProof/>
                <w:color w:val="000000" w:themeColor="text1"/>
                <w:sz w:val="24"/>
                <w:szCs w:val="24"/>
              </w:rPr>
              <w:t>2.2</w:t>
            </w:r>
            <w:r w:rsidRPr="00EA5A0A">
              <w:rPr>
                <w:rFonts w:asciiTheme="majorBidi" w:hAnsiTheme="majorBidi" w:cstheme="majorBidi"/>
                <w:b w:val="0"/>
                <w:bCs w:val="0"/>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Reflective Observation</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_Toc236402259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29</w:t>
            </w:r>
            <w:r w:rsidRPr="00EA5A0A">
              <w:rPr>
                <w:rFonts w:asciiTheme="majorBidi" w:hAnsiTheme="majorBidi" w:cstheme="majorBidi"/>
                <w:noProof/>
                <w:webHidden/>
                <w:color w:val="000000" w:themeColor="text1"/>
                <w:sz w:val="24"/>
                <w:szCs w:val="24"/>
              </w:rPr>
              <w:fldChar w:fldCharType="end"/>
            </w:r>
          </w:hyperlink>
        </w:p>
        <w:p w14:paraId="633753AB" w14:textId="20A56807" w:rsidR="00EA5A0A" w:rsidRPr="00EA5A0A" w:rsidRDefault="00EA5A0A" w:rsidP="00EA5A0A">
          <w:pPr>
            <w:pStyle w:val="TOC2"/>
            <w:tabs>
              <w:tab w:val="left" w:pos="522"/>
              <w:tab w:val="right" w:leader="dot" w:pos="9016"/>
            </w:tabs>
            <w:spacing w:line="360" w:lineRule="auto"/>
            <w:jc w:val="both"/>
            <w:rPr>
              <w:rFonts w:asciiTheme="majorBidi" w:hAnsiTheme="majorBidi" w:cstheme="majorBidi"/>
              <w:b w:val="0"/>
              <w:bCs w:val="0"/>
              <w:smallCaps w:val="0"/>
              <w:noProof/>
              <w:color w:val="000000" w:themeColor="text1"/>
              <w:kern w:val="2"/>
              <w:sz w:val="24"/>
              <w:szCs w:val="24"/>
              <w:lang w:eastAsia="en-GB"/>
              <w14:ligatures w14:val="standardContextual"/>
            </w:rPr>
          </w:pPr>
          <w:hyperlink w:anchor="_Toc236402260" w:history="1">
            <w:r w:rsidRPr="00EA5A0A">
              <w:rPr>
                <w:rStyle w:val="Hyperlink"/>
                <w:rFonts w:asciiTheme="majorBidi" w:hAnsiTheme="majorBidi" w:cstheme="majorBidi"/>
                <w:noProof/>
                <w:color w:val="000000" w:themeColor="text1"/>
                <w:sz w:val="24"/>
                <w:szCs w:val="24"/>
              </w:rPr>
              <w:t>2.3</w:t>
            </w:r>
            <w:r w:rsidRPr="00EA5A0A">
              <w:rPr>
                <w:rFonts w:asciiTheme="majorBidi" w:hAnsiTheme="majorBidi" w:cstheme="majorBidi"/>
                <w:b w:val="0"/>
                <w:bCs w:val="0"/>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Abstract Conceptualisation</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_Toc236402260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30</w:t>
            </w:r>
            <w:r w:rsidRPr="00EA5A0A">
              <w:rPr>
                <w:rFonts w:asciiTheme="majorBidi" w:hAnsiTheme="majorBidi" w:cstheme="majorBidi"/>
                <w:noProof/>
                <w:webHidden/>
                <w:color w:val="000000" w:themeColor="text1"/>
                <w:sz w:val="24"/>
                <w:szCs w:val="24"/>
              </w:rPr>
              <w:fldChar w:fldCharType="end"/>
            </w:r>
          </w:hyperlink>
        </w:p>
        <w:p w14:paraId="5C91BDA8" w14:textId="5566091F" w:rsidR="00EA5A0A" w:rsidRPr="00EA5A0A" w:rsidRDefault="00EA5A0A" w:rsidP="00EA5A0A">
          <w:pPr>
            <w:pStyle w:val="TOC2"/>
            <w:tabs>
              <w:tab w:val="left" w:pos="522"/>
              <w:tab w:val="right" w:leader="dot" w:pos="9016"/>
            </w:tabs>
            <w:spacing w:line="360" w:lineRule="auto"/>
            <w:jc w:val="both"/>
            <w:rPr>
              <w:rFonts w:asciiTheme="majorBidi" w:hAnsiTheme="majorBidi" w:cstheme="majorBidi"/>
              <w:b w:val="0"/>
              <w:bCs w:val="0"/>
              <w:smallCaps w:val="0"/>
              <w:noProof/>
              <w:color w:val="000000" w:themeColor="text1"/>
              <w:kern w:val="2"/>
              <w:sz w:val="24"/>
              <w:szCs w:val="24"/>
              <w:lang w:eastAsia="en-GB"/>
              <w14:ligatures w14:val="standardContextual"/>
            </w:rPr>
          </w:pPr>
          <w:hyperlink w:anchor="_Toc236402261" w:history="1">
            <w:r w:rsidRPr="00EA5A0A">
              <w:rPr>
                <w:rStyle w:val="Hyperlink"/>
                <w:rFonts w:asciiTheme="majorBidi" w:hAnsiTheme="majorBidi" w:cstheme="majorBidi"/>
                <w:noProof/>
                <w:color w:val="000000" w:themeColor="text1"/>
                <w:sz w:val="24"/>
                <w:szCs w:val="24"/>
              </w:rPr>
              <w:t>2.4</w:t>
            </w:r>
            <w:r w:rsidRPr="00EA5A0A">
              <w:rPr>
                <w:rFonts w:asciiTheme="majorBidi" w:hAnsiTheme="majorBidi" w:cstheme="majorBidi"/>
                <w:b w:val="0"/>
                <w:bCs w:val="0"/>
                <w:smallCaps w:val="0"/>
                <w:noProof/>
                <w:color w:val="000000" w:themeColor="text1"/>
                <w:kern w:val="2"/>
                <w:sz w:val="24"/>
                <w:szCs w:val="24"/>
                <w:lang w:eastAsia="en-GB"/>
                <w14:ligatures w14:val="standardContextual"/>
              </w:rPr>
              <w:tab/>
            </w:r>
            <w:r w:rsidRPr="00EA5A0A">
              <w:rPr>
                <w:rStyle w:val="Hyperlink"/>
                <w:rFonts w:asciiTheme="majorBidi" w:hAnsiTheme="majorBidi" w:cstheme="majorBidi"/>
                <w:noProof/>
                <w:color w:val="000000" w:themeColor="text1"/>
                <w:sz w:val="24"/>
                <w:szCs w:val="24"/>
              </w:rPr>
              <w:t>Active Experimentation and Action Plan</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_Toc236402261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31</w:t>
            </w:r>
            <w:r w:rsidRPr="00EA5A0A">
              <w:rPr>
                <w:rFonts w:asciiTheme="majorBidi" w:hAnsiTheme="majorBidi" w:cstheme="majorBidi"/>
                <w:noProof/>
                <w:webHidden/>
                <w:color w:val="000000" w:themeColor="text1"/>
                <w:sz w:val="24"/>
                <w:szCs w:val="24"/>
              </w:rPr>
              <w:fldChar w:fldCharType="end"/>
            </w:r>
          </w:hyperlink>
        </w:p>
        <w:p w14:paraId="5E25BD81" w14:textId="20F3F789" w:rsidR="00EA5A0A" w:rsidRPr="00EA5A0A" w:rsidRDefault="00EA5A0A" w:rsidP="00EA5A0A">
          <w:pPr>
            <w:pStyle w:val="TOC1"/>
            <w:tabs>
              <w:tab w:val="left" w:pos="352"/>
              <w:tab w:val="right" w:leader="dot" w:pos="9016"/>
            </w:tabs>
            <w:spacing w:line="360" w:lineRule="auto"/>
            <w:jc w:val="both"/>
            <w:rPr>
              <w:rFonts w:asciiTheme="majorBidi" w:hAnsiTheme="majorBidi" w:cstheme="majorBidi"/>
              <w:b w:val="0"/>
              <w:bCs w:val="0"/>
              <w:caps w:val="0"/>
              <w:noProof/>
              <w:color w:val="000000" w:themeColor="text1"/>
              <w:kern w:val="2"/>
              <w:sz w:val="24"/>
              <w:szCs w:val="24"/>
              <w:u w:val="none"/>
              <w:lang w:eastAsia="en-GB"/>
              <w14:ligatures w14:val="standardContextual"/>
            </w:rPr>
          </w:pPr>
          <w:hyperlink w:anchor="_Toc236402262" w:history="1">
            <w:r w:rsidRPr="00EA5A0A">
              <w:rPr>
                <w:rStyle w:val="Hyperlink"/>
                <w:rFonts w:asciiTheme="majorBidi" w:hAnsiTheme="majorBidi" w:cstheme="majorBidi"/>
                <w:noProof/>
                <w:color w:val="000000" w:themeColor="text1"/>
                <w:sz w:val="24"/>
                <w:szCs w:val="24"/>
              </w:rPr>
              <w:t>3</w:t>
            </w:r>
            <w:r w:rsidRPr="00EA5A0A">
              <w:rPr>
                <w:rFonts w:asciiTheme="majorBidi" w:hAnsiTheme="majorBidi" w:cstheme="majorBidi"/>
                <w:b w:val="0"/>
                <w:bCs w:val="0"/>
                <w:caps w:val="0"/>
                <w:noProof/>
                <w:color w:val="000000" w:themeColor="text1"/>
                <w:kern w:val="2"/>
                <w:sz w:val="24"/>
                <w:szCs w:val="24"/>
                <w:u w:val="none"/>
                <w:lang w:eastAsia="en-GB"/>
                <w14:ligatures w14:val="standardContextual"/>
              </w:rPr>
              <w:tab/>
            </w:r>
            <w:r w:rsidRPr="00EA5A0A">
              <w:rPr>
                <w:rStyle w:val="Hyperlink"/>
                <w:rFonts w:asciiTheme="majorBidi" w:hAnsiTheme="majorBidi" w:cstheme="majorBidi"/>
                <w:noProof/>
                <w:color w:val="000000" w:themeColor="text1"/>
                <w:sz w:val="24"/>
                <w:szCs w:val="24"/>
              </w:rPr>
              <w:t>References</w:t>
            </w:r>
            <w:r w:rsidRPr="00EA5A0A">
              <w:rPr>
                <w:rFonts w:asciiTheme="majorBidi" w:hAnsiTheme="majorBidi" w:cstheme="majorBidi"/>
                <w:noProof/>
                <w:webHidden/>
                <w:color w:val="000000" w:themeColor="text1"/>
                <w:sz w:val="24"/>
                <w:szCs w:val="24"/>
              </w:rPr>
              <w:tab/>
            </w:r>
            <w:r w:rsidRPr="00EA5A0A">
              <w:rPr>
                <w:rFonts w:asciiTheme="majorBidi" w:hAnsiTheme="majorBidi" w:cstheme="majorBidi"/>
                <w:noProof/>
                <w:webHidden/>
                <w:color w:val="000000" w:themeColor="text1"/>
                <w:sz w:val="24"/>
                <w:szCs w:val="24"/>
              </w:rPr>
              <w:fldChar w:fldCharType="begin"/>
            </w:r>
            <w:r w:rsidRPr="00EA5A0A">
              <w:rPr>
                <w:rFonts w:asciiTheme="majorBidi" w:hAnsiTheme="majorBidi" w:cstheme="majorBidi"/>
                <w:noProof/>
                <w:webHidden/>
                <w:color w:val="000000" w:themeColor="text1"/>
                <w:sz w:val="24"/>
                <w:szCs w:val="24"/>
              </w:rPr>
              <w:instrText xml:space="preserve"> PAGEREF _Toc236402262 \h </w:instrText>
            </w:r>
            <w:r w:rsidRPr="00EA5A0A">
              <w:rPr>
                <w:rFonts w:asciiTheme="majorBidi" w:hAnsiTheme="majorBidi" w:cstheme="majorBidi"/>
                <w:noProof/>
                <w:webHidden/>
                <w:color w:val="000000" w:themeColor="text1"/>
                <w:sz w:val="24"/>
                <w:szCs w:val="24"/>
              </w:rPr>
            </w:r>
            <w:r w:rsidRPr="00EA5A0A">
              <w:rPr>
                <w:rFonts w:asciiTheme="majorBidi" w:hAnsiTheme="majorBidi" w:cstheme="majorBidi"/>
                <w:noProof/>
                <w:webHidden/>
                <w:color w:val="000000" w:themeColor="text1"/>
                <w:sz w:val="24"/>
                <w:szCs w:val="24"/>
              </w:rPr>
              <w:fldChar w:fldCharType="separate"/>
            </w:r>
            <w:r w:rsidRPr="00EA5A0A">
              <w:rPr>
                <w:rFonts w:asciiTheme="majorBidi" w:hAnsiTheme="majorBidi" w:cstheme="majorBidi"/>
                <w:noProof/>
                <w:webHidden/>
                <w:color w:val="000000" w:themeColor="text1"/>
                <w:sz w:val="24"/>
                <w:szCs w:val="24"/>
              </w:rPr>
              <w:t>32</w:t>
            </w:r>
            <w:r w:rsidRPr="00EA5A0A">
              <w:rPr>
                <w:rFonts w:asciiTheme="majorBidi" w:hAnsiTheme="majorBidi" w:cstheme="majorBidi"/>
                <w:noProof/>
                <w:webHidden/>
                <w:color w:val="000000" w:themeColor="text1"/>
                <w:sz w:val="24"/>
                <w:szCs w:val="24"/>
              </w:rPr>
              <w:fldChar w:fldCharType="end"/>
            </w:r>
          </w:hyperlink>
        </w:p>
        <w:p w14:paraId="1D83B7FF" w14:textId="2CAD63A9" w:rsidR="00EA5A0A" w:rsidRPr="00EA5A0A" w:rsidRDefault="00EA5A0A" w:rsidP="00EA5A0A">
          <w:pPr>
            <w:spacing w:line="360" w:lineRule="auto"/>
            <w:ind w:firstLine="0"/>
            <w:jc w:val="both"/>
            <w:rPr>
              <w:rFonts w:asciiTheme="majorBidi" w:hAnsiTheme="majorBidi" w:cstheme="majorBidi"/>
              <w:color w:val="000000" w:themeColor="text1"/>
              <w:sz w:val="24"/>
              <w:szCs w:val="24"/>
            </w:rPr>
          </w:pPr>
          <w:r w:rsidRPr="00EA5A0A">
            <w:rPr>
              <w:rFonts w:asciiTheme="majorBidi" w:hAnsiTheme="majorBidi" w:cstheme="majorBidi"/>
              <w:b/>
              <w:bCs/>
              <w:noProof/>
              <w:color w:val="000000" w:themeColor="text1"/>
              <w:sz w:val="24"/>
              <w:szCs w:val="24"/>
            </w:rPr>
            <w:lastRenderedPageBreak/>
            <w:fldChar w:fldCharType="end"/>
          </w:r>
        </w:p>
      </w:sdtContent>
    </w:sdt>
    <w:p w14:paraId="2D82DDB1" w14:textId="77777777" w:rsidR="00EA5A0A" w:rsidRPr="00EA5A0A" w:rsidRDefault="00EA5A0A" w:rsidP="00EA5A0A">
      <w:pPr>
        <w:spacing w:line="360" w:lineRule="auto"/>
        <w:ind w:firstLine="0"/>
        <w:jc w:val="both"/>
        <w:rPr>
          <w:rFonts w:asciiTheme="majorBidi" w:hAnsiTheme="majorBidi" w:cstheme="majorBidi"/>
          <w:color w:val="000000" w:themeColor="text1"/>
          <w:sz w:val="24"/>
          <w:szCs w:val="24"/>
        </w:rPr>
      </w:pPr>
    </w:p>
    <w:p w14:paraId="3B8A047E" w14:textId="77777777" w:rsidR="00EA5A0A" w:rsidRPr="00EA5A0A" w:rsidRDefault="00EA5A0A" w:rsidP="00EA5A0A">
      <w:pPr>
        <w:spacing w:line="360" w:lineRule="auto"/>
        <w:ind w:firstLine="0"/>
        <w:jc w:val="both"/>
        <w:rPr>
          <w:rFonts w:asciiTheme="majorBidi" w:hAnsiTheme="majorBidi" w:cstheme="majorBidi"/>
          <w:color w:val="000000" w:themeColor="text1"/>
          <w:sz w:val="24"/>
          <w:szCs w:val="24"/>
        </w:rPr>
      </w:pPr>
    </w:p>
    <w:p w14:paraId="0F1AFA87" w14:textId="77777777" w:rsidR="004218A9" w:rsidRPr="00EA5A0A" w:rsidRDefault="004218A9" w:rsidP="00EA5A0A">
      <w:pPr>
        <w:pStyle w:val="Heading1"/>
        <w:jc w:val="both"/>
        <w:rPr>
          <w:color w:val="000000" w:themeColor="text1"/>
          <w:sz w:val="24"/>
          <w:szCs w:val="24"/>
        </w:rPr>
      </w:pPr>
      <w:bookmarkStart w:id="0" w:name="_Toc236402237"/>
      <w:r w:rsidRPr="00EA5A0A">
        <w:rPr>
          <w:color w:val="000000" w:themeColor="text1"/>
          <w:sz w:val="24"/>
          <w:szCs w:val="24"/>
        </w:rPr>
        <w:t>Section 1: International Market Entry Report</w:t>
      </w:r>
      <w:bookmarkEnd w:id="0"/>
    </w:p>
    <w:p w14:paraId="1909C23F" w14:textId="53339147" w:rsidR="004218A9" w:rsidRPr="00EA5A0A" w:rsidRDefault="004218A9" w:rsidP="00EA5A0A">
      <w:pPr>
        <w:pStyle w:val="Heading2"/>
        <w:jc w:val="both"/>
        <w:rPr>
          <w:color w:val="000000" w:themeColor="text1"/>
        </w:rPr>
      </w:pPr>
      <w:bookmarkStart w:id="1" w:name="_Toc236402238"/>
      <w:r w:rsidRPr="00EA5A0A">
        <w:rPr>
          <w:color w:val="000000" w:themeColor="text1"/>
        </w:rPr>
        <w:t>Introduction and Scope</w:t>
      </w:r>
      <w:bookmarkEnd w:id="1"/>
    </w:p>
    <w:p w14:paraId="67A6B852"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Tata Consumer Products Limited, hereinafter TCPL, is an Indian Multinational Food and Beverage company with its brands such as Tata Tea, Tetley, Eight O'Clock Coffee, Good Earth, teapigs, Himalayan, Organic India, Tata Salt, Tata Sampann and Capital Foods. In FY2025-2026, the company has consolidated revenue of ₹20,290 crore, had 11,233 employees and served around 4.5 million retail outlets. International operations accounted for 27% of the branded revenue, which was not incidental to TCPL's strategy (Tata Consumer Products, 2026a, 2026b; Teece, 2025). </w:t>
      </w:r>
    </w:p>
    <w:p w14:paraId="01FA04A0"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The idea of this report is to enter Morocco via a localised Tetley Moroccan Mint Green Tea portfolio. The first collection will be a blend of Tetley's international brand and blending expertise with the Moroccan way of drinking tea, in the form of loose leaf gunpowder green tea, mint flavoured tea bags and top quality herbal infusions. Tetley is the second biggest branded tea company in the world and is available in over 40 countries including the UK, Canada and USA. But in its subsidiary disclosures March 2026 TCPL lists no Moroccan subsidiary, production plant or formal operating platform. Thus, Morocco fulfills the assessment criterion of having no significant operational presence as of 1 June 2026, per Tata Consumer Products (2026c, 2026d), in addition to Lu et al. (2022). </w:t>
      </w:r>
    </w:p>
    <w:p w14:paraId="6F9011A3"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Morocco is appealing as tea plays a significant part in the daily hospitality and consumption, and because Morocco is also very much dependent on imported green tea. Morocco imported approximately US$254.75 million and 78.97 million kilograms of tea in 2024. Of that total, US$236.82 million came from China, highlighting strong market demand as well as a heavy reliance on a single country of origin. Based on the statistics from World Integrated Trade Solution (WITS, 2026a, 2026b), and Chamchati &amp; El Mabrouki (2025), green tea not in immediate retail package alone represents about US$238.03 million and 76.86 </w:t>
      </w:r>
      <w:r w:rsidRPr="00EA5A0A">
        <w:rPr>
          <w:rFonts w:asciiTheme="majorBidi" w:hAnsiTheme="majorBidi" w:cstheme="majorBidi"/>
          <w:color w:val="000000" w:themeColor="text1"/>
          <w:sz w:val="24"/>
          <w:szCs w:val="24"/>
        </w:rPr>
        <w:lastRenderedPageBreak/>
        <w:t xml:space="preserve">million kilograms, which is a considerable size of domestic blending, packing and distribution industry. </w:t>
      </w:r>
    </w:p>
    <w:p w14:paraId="05019E2B"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The core thesis is that whilst there is a legitimate market-seeking and regional-platform opportunity in Morocco, early 100% equity acquisitions would put TCPL at risk of uncompensated institutional, regulatory and cultural risks. A step by step, majority controlled, joint venture with a well-known Moroccan tea importer/blender/distributer is recommended. This would enable TCPL to internalize brand-critical capabilities while leveraging local relationships, regulatory expertise, distribution network and product development capabilities grounded in local culture (Brouthers et al., 2022; Moreira da Silva et al., 2024; Teece, 2025).</w:t>
      </w:r>
    </w:p>
    <w:p w14:paraId="1A2928CA" w14:textId="5A13F529" w:rsidR="004218A9" w:rsidRPr="00EA5A0A" w:rsidRDefault="004218A9" w:rsidP="00EA5A0A">
      <w:pPr>
        <w:pStyle w:val="Heading2"/>
        <w:jc w:val="both"/>
        <w:rPr>
          <w:color w:val="000000" w:themeColor="text1"/>
        </w:rPr>
      </w:pPr>
      <w:bookmarkStart w:id="2" w:name="_Toc236402239"/>
      <w:r w:rsidRPr="00EA5A0A">
        <w:rPr>
          <w:color w:val="000000" w:themeColor="text1"/>
        </w:rPr>
        <w:t>Organisational Classification and Global Strategy</w:t>
      </w:r>
      <w:bookmarkEnd w:id="2"/>
    </w:p>
    <w:p w14:paraId="380E8C8C" w14:textId="4AB0FDA3" w:rsidR="004218A9" w:rsidRPr="00EA5A0A" w:rsidRDefault="004218A9" w:rsidP="00EA5A0A">
      <w:pPr>
        <w:pStyle w:val="Heading3"/>
        <w:jc w:val="both"/>
        <w:rPr>
          <w:rFonts w:asciiTheme="majorBidi" w:hAnsiTheme="majorBidi"/>
          <w:color w:val="000000" w:themeColor="text1"/>
          <w:sz w:val="24"/>
          <w:szCs w:val="24"/>
        </w:rPr>
      </w:pPr>
      <w:bookmarkStart w:id="3" w:name="_Toc236402240"/>
      <w:r w:rsidRPr="00EA5A0A">
        <w:rPr>
          <w:rFonts w:asciiTheme="majorBidi" w:hAnsiTheme="majorBidi"/>
          <w:color w:val="000000" w:themeColor="text1"/>
          <w:sz w:val="24"/>
          <w:szCs w:val="24"/>
        </w:rPr>
        <w:t>Strategic Categorisation</w:t>
      </w:r>
      <w:bookmarkEnd w:id="3"/>
    </w:p>
    <w:p w14:paraId="1B04E2F8"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Bartlett and Beamish's framework of integration-responsiveness has four types: international, global, multidomestic, and transnational. TCPL is best described as a transnational-leaning multinational enterprise, since it exhibits a high degree of ownership advantages that are coordinated globally, as well as a high degree of product and channel adaptations across countries. Central management for corporate governance, major brands, sourcing standards, innovation systems, sustainability commitments and capital allocation. Regional businesses still customize flavour, package size, price, communication and distribution to local conditions, however (Bartlett &amp; Beamish, 2018; Andrews et al., 2023; Lee et al., 2023). </w:t>
      </w:r>
    </w:p>
    <w:p w14:paraId="2583F540"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Examples of global integration include Tetley's shared brand architecture, TCPL's procurement capabilities and the group-wide sustainability standards. Tetley and products from Good Earth are available internationally with certified Rainforest Alliance tea and central corporate resources are invested in quality assurance, product development and brand investment. The centralised capabilities enable TCPL to share the research, sourcing and brand-development expenses amongst the many countries its operates, which creates a scale economy for it that a purely multidomestic company would be unable to reach (Tata Consumer Products, 2026e; Morris et al., 2023; Teece, 2025). </w:t>
      </w:r>
    </w:p>
    <w:p w14:paraId="526451B8"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Response to the local environment is also essential. In FY2026, TCPL continued to grow in the United States, further developed premium Tetley products in the United Kingdom and </w:t>
      </w:r>
      <w:r w:rsidRPr="00EA5A0A">
        <w:rPr>
          <w:rFonts w:asciiTheme="majorBidi" w:hAnsiTheme="majorBidi" w:cstheme="majorBidi"/>
          <w:color w:val="000000" w:themeColor="text1"/>
          <w:sz w:val="24"/>
          <w:szCs w:val="24"/>
        </w:rPr>
        <w:lastRenderedPageBreak/>
        <w:t xml:space="preserve">added more SKUs for Middle Eastern markets. Tetley has long manufactured speciality tea in the U.S. and pack formats appropriate to various local markets in other regions, while in Canada it has been making fortified tea. This variance indicates that TCPL does not just export Indian or British product unchanged globally (Tata Consumer Products, 2026f; Sousa et al., 2024; Solarino &amp; Buckley, 2023). </w:t>
      </w:r>
    </w:p>
    <w:p w14:paraId="6D9FE5E5"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However, TCPL is not yet a fully-fledged transnational company. Important brands are geographically local; Tata Tea is strong in India, Tetley is particularly strong in the UK and Canada, and Eight O'Clock Coffee is focused on North America. Foreign subsidiaries provide market knowledge, and a significant number of strategic and financial decisions are still very much headquarters driven. Transnational development is thus an ongoing process whereby central integration and subsidiary initiative must be continually re-balanced (Andrews et al., 2023; Liesch &amp; Welch, 2024; Reilly et al., 2023). </w:t>
      </w:r>
    </w:p>
    <w:p w14:paraId="2A436B2B"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Morocco would be found out if TCPL can be used to bring in world class expertise without a culturally inappropriate product. The social and symbolic significance of mint tea would be undervalued by a global-standardised approach and a completely multidomestic approach would result in a loss of control over quality and positioning. A transnational approach is better as TCPL can still have its global assurance systems and a Moroccan operation can determine flavour, packaging, language, price architecture and retail relationships (Morris et al., 2023; Edman et al., 2024; Lambarraa-Lehnhardt et al., 2021). </w:t>
      </w:r>
    </w:p>
    <w:p w14:paraId="30E175D4" w14:textId="633C1D94" w:rsidR="004218A9" w:rsidRPr="00EA5A0A" w:rsidRDefault="004218A9" w:rsidP="00EA5A0A">
      <w:pPr>
        <w:pStyle w:val="Heading3"/>
        <w:jc w:val="both"/>
        <w:rPr>
          <w:rFonts w:asciiTheme="majorBidi" w:hAnsiTheme="majorBidi"/>
          <w:color w:val="000000" w:themeColor="text1"/>
          <w:sz w:val="24"/>
          <w:szCs w:val="24"/>
        </w:rPr>
      </w:pPr>
      <w:bookmarkStart w:id="4" w:name="_Toc236402241"/>
      <w:r w:rsidRPr="00EA5A0A">
        <w:rPr>
          <w:rFonts w:asciiTheme="majorBidi" w:hAnsiTheme="majorBidi"/>
          <w:color w:val="000000" w:themeColor="text1"/>
          <w:sz w:val="24"/>
          <w:szCs w:val="24"/>
        </w:rPr>
        <w:t>Geographic Configuration and Value Creation</w:t>
      </w:r>
      <w:bookmarkEnd w:id="4"/>
    </w:p>
    <w:p w14:paraId="0EA3864D"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TCPL's current global footprint is a mix of 100% owned subsidiaries, acquisitions, joint ventures and distribution agreements. The group has subsidiaries in the United Kingdom, the United States, Canada, Australia, Poland, Bangladesh, Vietnam and South Africa. International leading brands are Tetley, Eight O'clock Coffee, Good Earth, teapigs, Vitax and Joekels. The setup affords geographic diversification and enables TCPL to have market specific brands, distribution relationships and product knowledge (Tata Consumer Products, 2026c; Lu, et al., 2022; Rumyantseva &amp; Welch, 2023). </w:t>
      </w:r>
    </w:p>
    <w:p w14:paraId="1C60E428" w14:textId="08D14C59" w:rsidR="004218A9" w:rsidRPr="00EA5A0A" w:rsidRDefault="004218A9" w:rsidP="00EA5A0A">
      <w:pPr>
        <w:spacing w:line="360" w:lineRule="auto"/>
        <w:ind w:left="360" w:firstLine="0"/>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Table 1</w:t>
      </w:r>
      <w:r w:rsidR="00E21832" w:rsidRPr="00EA5A0A">
        <w:rPr>
          <w:rFonts w:asciiTheme="majorBidi" w:hAnsiTheme="majorBidi" w:cstheme="majorBidi"/>
          <w:color w:val="000000" w:themeColor="text1"/>
          <w:sz w:val="24"/>
          <w:szCs w:val="24"/>
        </w:rPr>
        <w:t xml:space="preserve">: </w:t>
      </w:r>
      <w:r w:rsidRPr="00EA5A0A">
        <w:rPr>
          <w:rStyle w:val="Strong"/>
          <w:rFonts w:asciiTheme="majorBidi" w:hAnsiTheme="majorBidi" w:cstheme="majorBidi"/>
          <w:color w:val="000000" w:themeColor="text1"/>
          <w:sz w:val="24"/>
          <w:szCs w:val="24"/>
        </w:rPr>
        <w:t>TCPL’s International Configuration and Contribution to Competitive Advantage</w:t>
      </w:r>
    </w:p>
    <w:tbl>
      <w:tblPr>
        <w:tblStyle w:val="ListTable3-Accent4"/>
        <w:tblW w:w="0" w:type="auto"/>
        <w:tblLook w:val="04A0" w:firstRow="1" w:lastRow="0" w:firstColumn="1" w:lastColumn="0" w:noHBand="0" w:noVBand="1"/>
      </w:tblPr>
      <w:tblGrid>
        <w:gridCol w:w="2603"/>
        <w:gridCol w:w="2151"/>
        <w:gridCol w:w="2293"/>
        <w:gridCol w:w="1969"/>
      </w:tblGrid>
      <w:tr w:rsidR="004218A9" w:rsidRPr="00EA5A0A" w14:paraId="2A7C0A70" w14:textId="77777777" w:rsidTr="00E2183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C1D863B" w14:textId="77777777" w:rsidR="004218A9" w:rsidRPr="00EA5A0A" w:rsidRDefault="004218A9"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b w:val="0"/>
                <w:bCs w:val="0"/>
                <w:color w:val="000000" w:themeColor="text1"/>
                <w:sz w:val="24"/>
                <w:szCs w:val="24"/>
              </w:rPr>
              <w:lastRenderedPageBreak/>
              <w:t>Geography/platform</w:t>
            </w:r>
          </w:p>
        </w:tc>
        <w:tc>
          <w:tcPr>
            <w:tcW w:w="0" w:type="auto"/>
            <w:hideMark/>
          </w:tcPr>
          <w:p w14:paraId="23B36C03" w14:textId="77777777" w:rsidR="004218A9" w:rsidRPr="00EA5A0A" w:rsidRDefault="004218A9" w:rsidP="00EA5A0A">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EA5A0A">
              <w:rPr>
                <w:rFonts w:asciiTheme="majorBidi" w:hAnsiTheme="majorBidi" w:cstheme="majorBidi"/>
                <w:b w:val="0"/>
                <w:bCs w:val="0"/>
                <w:color w:val="000000" w:themeColor="text1"/>
                <w:sz w:val="24"/>
                <w:szCs w:val="24"/>
              </w:rPr>
              <w:t>Principal brands and activities</w:t>
            </w:r>
          </w:p>
        </w:tc>
        <w:tc>
          <w:tcPr>
            <w:tcW w:w="0" w:type="auto"/>
            <w:hideMark/>
          </w:tcPr>
          <w:p w14:paraId="35437C1E" w14:textId="77777777" w:rsidR="004218A9" w:rsidRPr="00EA5A0A" w:rsidRDefault="004218A9" w:rsidP="00EA5A0A">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EA5A0A">
              <w:rPr>
                <w:rFonts w:asciiTheme="majorBidi" w:hAnsiTheme="majorBidi" w:cstheme="majorBidi"/>
                <w:b w:val="0"/>
                <w:bCs w:val="0"/>
                <w:color w:val="000000" w:themeColor="text1"/>
                <w:sz w:val="24"/>
                <w:szCs w:val="24"/>
              </w:rPr>
              <w:t>Contribution to value creation</w:t>
            </w:r>
          </w:p>
        </w:tc>
        <w:tc>
          <w:tcPr>
            <w:tcW w:w="0" w:type="auto"/>
            <w:hideMark/>
          </w:tcPr>
          <w:p w14:paraId="78FD5A3F" w14:textId="77777777" w:rsidR="004218A9" w:rsidRPr="00EA5A0A" w:rsidRDefault="004218A9" w:rsidP="00EA5A0A">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EA5A0A">
              <w:rPr>
                <w:rFonts w:asciiTheme="majorBidi" w:hAnsiTheme="majorBidi" w:cstheme="majorBidi"/>
                <w:b w:val="0"/>
                <w:bCs w:val="0"/>
                <w:color w:val="000000" w:themeColor="text1"/>
                <w:sz w:val="24"/>
                <w:szCs w:val="24"/>
              </w:rPr>
              <w:t>Strategic limitation</w:t>
            </w:r>
          </w:p>
        </w:tc>
      </w:tr>
      <w:tr w:rsidR="004218A9" w:rsidRPr="00EA5A0A" w14:paraId="01435915" w14:textId="77777777" w:rsidTr="00E21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A94593" w14:textId="77777777" w:rsidR="004218A9" w:rsidRPr="00EA5A0A" w:rsidRDefault="004218A9" w:rsidP="00EA5A0A">
            <w:pPr>
              <w:spacing w:line="360" w:lineRule="auto"/>
              <w:jc w:val="both"/>
              <w:rPr>
                <w:rFonts w:asciiTheme="majorBidi" w:hAnsiTheme="majorBidi" w:cstheme="majorBidi"/>
                <w:b w:val="0"/>
                <w:bCs w:val="0"/>
                <w:color w:val="000000" w:themeColor="text1"/>
                <w:sz w:val="24"/>
                <w:szCs w:val="24"/>
              </w:rPr>
            </w:pPr>
            <w:r w:rsidRPr="00EA5A0A">
              <w:rPr>
                <w:rFonts w:asciiTheme="majorBidi" w:hAnsiTheme="majorBidi" w:cstheme="majorBidi"/>
                <w:color w:val="000000" w:themeColor="text1"/>
                <w:sz w:val="24"/>
                <w:szCs w:val="24"/>
              </w:rPr>
              <w:t>India</w:t>
            </w:r>
          </w:p>
        </w:tc>
        <w:tc>
          <w:tcPr>
            <w:tcW w:w="0" w:type="auto"/>
            <w:hideMark/>
          </w:tcPr>
          <w:p w14:paraId="3FDEFEE8"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Tata Tea, Tata Salt, Tata Sampann, Organic India, Capital Foods and manufacturing capabilities</w:t>
            </w:r>
          </w:p>
        </w:tc>
        <w:tc>
          <w:tcPr>
            <w:tcW w:w="0" w:type="auto"/>
            <w:hideMark/>
          </w:tcPr>
          <w:p w14:paraId="68E5D056"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Scale, sourcing, product development, financial resources and Tata-group legitimacy</w:t>
            </w:r>
          </w:p>
        </w:tc>
        <w:tc>
          <w:tcPr>
            <w:tcW w:w="0" w:type="auto"/>
            <w:hideMark/>
          </w:tcPr>
          <w:p w14:paraId="53766D13"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Significant dependence on the Indian consumer market</w:t>
            </w:r>
          </w:p>
        </w:tc>
      </w:tr>
      <w:tr w:rsidR="004218A9" w:rsidRPr="00EA5A0A" w14:paraId="23C10F67" w14:textId="77777777" w:rsidTr="00E21832">
        <w:tc>
          <w:tcPr>
            <w:cnfStyle w:val="001000000000" w:firstRow="0" w:lastRow="0" w:firstColumn="1" w:lastColumn="0" w:oddVBand="0" w:evenVBand="0" w:oddHBand="0" w:evenHBand="0" w:firstRowFirstColumn="0" w:firstRowLastColumn="0" w:lastRowFirstColumn="0" w:lastRowLastColumn="0"/>
            <w:tcW w:w="0" w:type="auto"/>
            <w:hideMark/>
          </w:tcPr>
          <w:p w14:paraId="0FBD32AE" w14:textId="77777777" w:rsidR="004218A9" w:rsidRPr="00EA5A0A" w:rsidRDefault="004218A9"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United Kingdom and Europe</w:t>
            </w:r>
          </w:p>
        </w:tc>
        <w:tc>
          <w:tcPr>
            <w:tcW w:w="0" w:type="auto"/>
            <w:hideMark/>
          </w:tcPr>
          <w:p w14:paraId="684DEB97"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Tetley, teapigs, Good Earth and Vitax</w:t>
            </w:r>
          </w:p>
        </w:tc>
        <w:tc>
          <w:tcPr>
            <w:tcW w:w="0" w:type="auto"/>
            <w:hideMark/>
          </w:tcPr>
          <w:p w14:paraId="1053F5E9"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Brand heritage, premium tea innovation and European retail knowledge</w:t>
            </w:r>
          </w:p>
        </w:tc>
        <w:tc>
          <w:tcPr>
            <w:tcW w:w="0" w:type="auto"/>
            <w:hideMark/>
          </w:tcPr>
          <w:p w14:paraId="000D92B0"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Mature tea category and intense private-label competition</w:t>
            </w:r>
          </w:p>
        </w:tc>
      </w:tr>
      <w:tr w:rsidR="004218A9" w:rsidRPr="00EA5A0A" w14:paraId="265B0D69" w14:textId="77777777" w:rsidTr="00E21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78B55E" w14:textId="77777777" w:rsidR="004218A9" w:rsidRPr="00EA5A0A" w:rsidRDefault="004218A9"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United States and Canada</w:t>
            </w:r>
          </w:p>
        </w:tc>
        <w:tc>
          <w:tcPr>
            <w:tcW w:w="0" w:type="auto"/>
            <w:hideMark/>
          </w:tcPr>
          <w:p w14:paraId="71D29B2E"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Eight O’Clock Coffee, Tetley, Good Earth and teapigs</w:t>
            </w:r>
          </w:p>
        </w:tc>
        <w:tc>
          <w:tcPr>
            <w:tcW w:w="0" w:type="auto"/>
            <w:hideMark/>
          </w:tcPr>
          <w:p w14:paraId="37983137"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Developed-market learning, coffee diversification and large retail accounts</w:t>
            </w:r>
          </w:p>
        </w:tc>
        <w:tc>
          <w:tcPr>
            <w:tcW w:w="0" w:type="auto"/>
            <w:hideMark/>
          </w:tcPr>
          <w:p w14:paraId="64A4EE69"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High promotional expenditure and retailer bargaining power</w:t>
            </w:r>
          </w:p>
        </w:tc>
      </w:tr>
      <w:tr w:rsidR="004218A9" w:rsidRPr="00EA5A0A" w14:paraId="3D521486" w14:textId="77777777" w:rsidTr="00E21832">
        <w:tc>
          <w:tcPr>
            <w:cnfStyle w:val="001000000000" w:firstRow="0" w:lastRow="0" w:firstColumn="1" w:lastColumn="0" w:oddVBand="0" w:evenVBand="0" w:oddHBand="0" w:evenHBand="0" w:firstRowFirstColumn="0" w:firstRowLastColumn="0" w:lastRowFirstColumn="0" w:lastRowLastColumn="0"/>
            <w:tcW w:w="0" w:type="auto"/>
            <w:hideMark/>
          </w:tcPr>
          <w:p w14:paraId="0E1E31C4" w14:textId="77777777" w:rsidR="004218A9" w:rsidRPr="00EA5A0A" w:rsidRDefault="004218A9"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South Africa</w:t>
            </w:r>
          </w:p>
        </w:tc>
        <w:tc>
          <w:tcPr>
            <w:tcW w:w="0" w:type="auto"/>
            <w:hideMark/>
          </w:tcPr>
          <w:p w14:paraId="3767DDA8"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Joekels Tea Packers and Tetley</w:t>
            </w:r>
          </w:p>
        </w:tc>
        <w:tc>
          <w:tcPr>
            <w:tcW w:w="0" w:type="auto"/>
            <w:hideMark/>
          </w:tcPr>
          <w:p w14:paraId="26AF4B60"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Local packing, retailer relationships, private-label capability and emerging-market learning</w:t>
            </w:r>
          </w:p>
        </w:tc>
        <w:tc>
          <w:tcPr>
            <w:tcW w:w="0" w:type="auto"/>
            <w:hideMark/>
          </w:tcPr>
          <w:p w14:paraId="2DEB7772"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Region-specific knowledge may not transfer automatically</w:t>
            </w:r>
          </w:p>
        </w:tc>
      </w:tr>
      <w:tr w:rsidR="004218A9" w:rsidRPr="00EA5A0A" w14:paraId="2ECB0450" w14:textId="77777777" w:rsidTr="00E21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EA36CB" w14:textId="77777777" w:rsidR="004218A9" w:rsidRPr="00EA5A0A" w:rsidRDefault="004218A9"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Middle East</w:t>
            </w:r>
          </w:p>
        </w:tc>
        <w:tc>
          <w:tcPr>
            <w:tcW w:w="0" w:type="auto"/>
            <w:hideMark/>
          </w:tcPr>
          <w:p w14:paraId="0444C29F"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Tetley and wider TCPL portfolio through expanding distribution</w:t>
            </w:r>
          </w:p>
        </w:tc>
        <w:tc>
          <w:tcPr>
            <w:tcW w:w="0" w:type="auto"/>
            <w:hideMark/>
          </w:tcPr>
          <w:p w14:paraId="5CEAFC11"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Experience in Muslim-majority markets, local pack formats and portfolio extension</w:t>
            </w:r>
          </w:p>
        </w:tc>
        <w:tc>
          <w:tcPr>
            <w:tcW w:w="0" w:type="auto"/>
            <w:hideMark/>
          </w:tcPr>
          <w:p w14:paraId="3DD4FBC2"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Operations remain less extensive than in established markets</w:t>
            </w:r>
          </w:p>
        </w:tc>
      </w:tr>
      <w:tr w:rsidR="004218A9" w:rsidRPr="00EA5A0A" w14:paraId="26DF7EB8" w14:textId="77777777" w:rsidTr="00E21832">
        <w:tc>
          <w:tcPr>
            <w:cnfStyle w:val="001000000000" w:firstRow="0" w:lastRow="0" w:firstColumn="1" w:lastColumn="0" w:oddVBand="0" w:evenVBand="0" w:oddHBand="0" w:evenHBand="0" w:firstRowFirstColumn="0" w:firstRowLastColumn="0" w:lastRowFirstColumn="0" w:lastRowLastColumn="0"/>
            <w:tcW w:w="0" w:type="auto"/>
            <w:hideMark/>
          </w:tcPr>
          <w:p w14:paraId="3D714BCD" w14:textId="77777777" w:rsidR="004218A9" w:rsidRPr="00EA5A0A" w:rsidRDefault="004218A9"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Proposed Morocco platform</w:t>
            </w:r>
          </w:p>
        </w:tc>
        <w:tc>
          <w:tcPr>
            <w:tcW w:w="0" w:type="auto"/>
            <w:hideMark/>
          </w:tcPr>
          <w:p w14:paraId="3E75D00A"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Tetley Moroccan Mint Green Tea</w:t>
            </w:r>
          </w:p>
        </w:tc>
        <w:tc>
          <w:tcPr>
            <w:tcW w:w="0" w:type="auto"/>
            <w:hideMark/>
          </w:tcPr>
          <w:p w14:paraId="48BADDEF"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North African growth, cultural product innovation </w:t>
            </w:r>
            <w:r w:rsidRPr="00EA5A0A">
              <w:rPr>
                <w:rFonts w:asciiTheme="majorBidi" w:hAnsiTheme="majorBidi" w:cstheme="majorBidi"/>
                <w:color w:val="000000" w:themeColor="text1"/>
                <w:sz w:val="24"/>
                <w:szCs w:val="24"/>
              </w:rPr>
              <w:lastRenderedPageBreak/>
              <w:t>and possible regional re-export platform</w:t>
            </w:r>
          </w:p>
        </w:tc>
        <w:tc>
          <w:tcPr>
            <w:tcW w:w="0" w:type="auto"/>
            <w:hideMark/>
          </w:tcPr>
          <w:p w14:paraId="43E0EC8C"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lastRenderedPageBreak/>
              <w:t xml:space="preserve">Strong local competition, regulation and </w:t>
            </w:r>
            <w:r w:rsidRPr="00EA5A0A">
              <w:rPr>
                <w:rFonts w:asciiTheme="majorBidi" w:hAnsiTheme="majorBidi" w:cstheme="majorBidi"/>
                <w:color w:val="000000" w:themeColor="text1"/>
                <w:sz w:val="24"/>
                <w:szCs w:val="24"/>
              </w:rPr>
              <w:lastRenderedPageBreak/>
              <w:t>limited brand awareness</w:t>
            </w:r>
          </w:p>
        </w:tc>
      </w:tr>
    </w:tbl>
    <w:p w14:paraId="670D13BC" w14:textId="67D1AF78" w:rsidR="004218A9" w:rsidRPr="00EA5A0A" w:rsidRDefault="004218A9" w:rsidP="00EA5A0A">
      <w:pPr>
        <w:pStyle w:val="NormalWeb"/>
        <w:spacing w:line="360" w:lineRule="auto"/>
        <w:jc w:val="both"/>
        <w:rPr>
          <w:rFonts w:asciiTheme="majorBidi" w:hAnsiTheme="majorBidi" w:cstheme="majorBidi"/>
          <w:color w:val="000000" w:themeColor="text1"/>
        </w:rPr>
      </w:pPr>
      <w:r w:rsidRPr="00EA5A0A">
        <w:rPr>
          <w:rStyle w:val="Strong"/>
          <w:rFonts w:asciiTheme="majorBidi" w:hAnsiTheme="majorBidi" w:cstheme="majorBidi"/>
          <w:color w:val="000000" w:themeColor="text1"/>
        </w:rPr>
        <w:t>Source:</w:t>
      </w:r>
      <w:r w:rsidRPr="00EA5A0A">
        <w:rPr>
          <w:rFonts w:asciiTheme="majorBidi" w:hAnsiTheme="majorBidi" w:cstheme="majorBidi"/>
          <w:color w:val="000000" w:themeColor="text1"/>
        </w:rPr>
        <w:t xml:space="preserve"> Tata Consumer Products (2026a, 2026c), Andrews et al. (2023), and Lee et al. (2023).</w:t>
      </w:r>
    </w:p>
    <w:p w14:paraId="0275FC76"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This setup has been greatly influenced by acquisitions made by TCPL. In 2000, the company acquired Tetley, and in 2005, it acquired Good Earth; in 2006 it acquired Eight O’Clock Coffee, and finally acquired an interest in Joekels in 2007. It later formed joint ventures with PepsiCo and Starbucks and, recently, bought Capital Foods and Organic India. The history suggests that TCPL adopts acquisitions in the cases where it needs to build an established brand and distribution channel, and it engages with joint ventures if it requires complementary local capabilities (Tata Consumer Products, 2026g; Brouthers et al., 2022; Teece, 2025). </w:t>
      </w:r>
    </w:p>
    <w:p w14:paraId="0362E2F5"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A relevant precedent is provided by Joekels. The South African offering is a blend of local packing and retailer expertise with TCPL's tea expertise; Tetley Green Tea is said to have become a category leader within six months of its local launch. While this case does not certify that the same performance would be obtained in Morocco, it does show how TCPL is able to locally embed operations to adapt and scale a global tea brand in an African market (Tata Consumer Products, 2026h; Li &amp; Fleury, 2020; Morris et al., 2023). </w:t>
      </w:r>
    </w:p>
    <w:p w14:paraId="621046A0" w14:textId="2B0570C7" w:rsidR="00EA5A0A" w:rsidRPr="00EA5A0A" w:rsidRDefault="00EA5A0A" w:rsidP="00EA5A0A">
      <w:pPr>
        <w:pStyle w:val="NormalWeb"/>
        <w:spacing w:line="360" w:lineRule="auto"/>
        <w:jc w:val="both"/>
        <w:rPr>
          <w:rFonts w:asciiTheme="majorBidi" w:hAnsiTheme="majorBidi" w:cstheme="majorBidi"/>
          <w:color w:val="000000" w:themeColor="text1"/>
        </w:rPr>
      </w:pPr>
      <w:r w:rsidRPr="00EA5A0A">
        <w:rPr>
          <w:rFonts w:asciiTheme="majorBidi" w:hAnsiTheme="majorBidi" w:cstheme="majorBidi"/>
          <w:color w:val="000000" w:themeColor="text1"/>
        </w:rPr>
        <w:lastRenderedPageBreak/>
        <w:drawing>
          <wp:inline distT="0" distB="0" distL="0" distR="0" wp14:anchorId="0AC45EE8" wp14:editId="40B1E405">
            <wp:extent cx="5731510" cy="3885565"/>
            <wp:effectExtent l="0" t="0" r="0" b="635"/>
            <wp:docPr id="1531339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339506" name=""/>
                    <pic:cNvPicPr/>
                  </pic:nvPicPr>
                  <pic:blipFill>
                    <a:blip r:embed="rId9"/>
                    <a:stretch>
                      <a:fillRect/>
                    </a:stretch>
                  </pic:blipFill>
                  <pic:spPr>
                    <a:xfrm>
                      <a:off x="0" y="0"/>
                      <a:ext cx="5731510" cy="3885565"/>
                    </a:xfrm>
                    <a:prstGeom prst="rect">
                      <a:avLst/>
                    </a:prstGeom>
                  </pic:spPr>
                </pic:pic>
              </a:graphicData>
            </a:graphic>
          </wp:inline>
        </w:drawing>
      </w:r>
    </w:p>
    <w:p w14:paraId="7563A52C" w14:textId="53C0C5CC" w:rsidR="004218A9" w:rsidRPr="00EA5A0A" w:rsidRDefault="004218A9" w:rsidP="00EA5A0A">
      <w:pPr>
        <w:pStyle w:val="NoSpacing"/>
        <w:spacing w:line="360" w:lineRule="auto"/>
        <w:jc w:val="both"/>
        <w:rPr>
          <w:rFonts w:asciiTheme="majorBidi" w:hAnsiTheme="majorBidi" w:cstheme="majorBidi"/>
          <w:b/>
          <w:bCs/>
          <w:color w:val="000000" w:themeColor="text1"/>
          <w:sz w:val="24"/>
          <w:szCs w:val="24"/>
        </w:rPr>
      </w:pPr>
      <w:r w:rsidRPr="00EA5A0A">
        <w:rPr>
          <w:rFonts w:asciiTheme="majorBidi" w:hAnsiTheme="majorBidi" w:cstheme="majorBidi"/>
          <w:b/>
          <w:bCs/>
          <w:color w:val="000000" w:themeColor="text1"/>
          <w:sz w:val="24"/>
          <w:szCs w:val="24"/>
        </w:rPr>
        <w:t>Figure 1</w:t>
      </w:r>
      <w:r w:rsidR="00E21832" w:rsidRPr="00EA5A0A">
        <w:rPr>
          <w:rFonts w:asciiTheme="majorBidi" w:hAnsiTheme="majorBidi" w:cstheme="majorBidi"/>
          <w:b/>
          <w:bCs/>
          <w:color w:val="000000" w:themeColor="text1"/>
          <w:sz w:val="24"/>
          <w:szCs w:val="24"/>
        </w:rPr>
        <w:t xml:space="preserve">: </w:t>
      </w:r>
      <w:r w:rsidRPr="00EA5A0A">
        <w:rPr>
          <w:rStyle w:val="Strong"/>
          <w:rFonts w:asciiTheme="majorBidi" w:hAnsiTheme="majorBidi" w:cstheme="majorBidi"/>
          <w:color w:val="000000" w:themeColor="text1"/>
          <w:sz w:val="24"/>
          <w:szCs w:val="24"/>
        </w:rPr>
        <w:t>Tata Consumer Products’ International Value-Creation Configuration</w:t>
      </w:r>
    </w:p>
    <w:p w14:paraId="3D5FFBC3" w14:textId="39D7C311" w:rsidR="004218A9" w:rsidRPr="00EA5A0A" w:rsidRDefault="004218A9" w:rsidP="00EA5A0A">
      <w:pPr>
        <w:pStyle w:val="NoSpacing"/>
        <w:spacing w:line="360" w:lineRule="auto"/>
        <w:jc w:val="both"/>
        <w:rPr>
          <w:rFonts w:asciiTheme="majorBidi" w:hAnsiTheme="majorBidi" w:cstheme="majorBidi"/>
          <w:b/>
          <w:bCs/>
          <w:color w:val="000000" w:themeColor="text1"/>
          <w:sz w:val="24"/>
          <w:szCs w:val="24"/>
        </w:rPr>
      </w:pPr>
      <w:r w:rsidRPr="00EA5A0A">
        <w:rPr>
          <w:rStyle w:val="Strong"/>
          <w:rFonts w:asciiTheme="majorBidi" w:hAnsiTheme="majorBidi" w:cstheme="majorBidi"/>
          <w:color w:val="000000" w:themeColor="text1"/>
          <w:sz w:val="24"/>
          <w:szCs w:val="24"/>
        </w:rPr>
        <w:t>Source:</w:t>
      </w:r>
      <w:r w:rsidRPr="00EA5A0A">
        <w:rPr>
          <w:rFonts w:asciiTheme="majorBidi" w:hAnsiTheme="majorBidi" w:cstheme="majorBidi"/>
          <w:b/>
          <w:bCs/>
          <w:color w:val="000000" w:themeColor="text1"/>
          <w:sz w:val="24"/>
          <w:szCs w:val="24"/>
        </w:rPr>
        <w:t xml:space="preserve"> Andrews et al. (2023).</w:t>
      </w:r>
    </w:p>
    <w:p w14:paraId="264A3278" w14:textId="256335E6" w:rsidR="004218A9" w:rsidRPr="00EA5A0A" w:rsidRDefault="004218A9" w:rsidP="00EA5A0A">
      <w:pPr>
        <w:pStyle w:val="Heading2"/>
        <w:jc w:val="both"/>
        <w:rPr>
          <w:color w:val="000000" w:themeColor="text1"/>
        </w:rPr>
      </w:pPr>
      <w:bookmarkStart w:id="5" w:name="_Toc236402242"/>
      <w:r w:rsidRPr="00EA5A0A">
        <w:rPr>
          <w:color w:val="000000" w:themeColor="text1"/>
        </w:rPr>
        <w:t>Macro-Environmental Appraisal and Market Attractiveness</w:t>
      </w:r>
      <w:bookmarkEnd w:id="5"/>
    </w:p>
    <w:p w14:paraId="077EFC24" w14:textId="670CCC13" w:rsidR="004218A9" w:rsidRPr="00EA5A0A" w:rsidRDefault="004218A9" w:rsidP="00EA5A0A">
      <w:pPr>
        <w:pStyle w:val="Heading3"/>
        <w:jc w:val="both"/>
        <w:rPr>
          <w:rFonts w:asciiTheme="majorBidi" w:hAnsiTheme="majorBidi"/>
          <w:color w:val="000000" w:themeColor="text1"/>
          <w:sz w:val="24"/>
          <w:szCs w:val="24"/>
        </w:rPr>
      </w:pPr>
      <w:bookmarkStart w:id="6" w:name="_Toc236402243"/>
      <w:r w:rsidRPr="00EA5A0A">
        <w:rPr>
          <w:rFonts w:asciiTheme="majorBidi" w:hAnsiTheme="majorBidi"/>
          <w:color w:val="000000" w:themeColor="text1"/>
          <w:sz w:val="24"/>
          <w:szCs w:val="24"/>
        </w:rPr>
        <w:t>Market and Industry Attractiveness</w:t>
      </w:r>
      <w:bookmarkEnd w:id="6"/>
    </w:p>
    <w:p w14:paraId="4B04921D"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Morocco is a unique tea opportunity as there is a significant amount of tea consumption, it's deeply rooted in Moroccan culture, and it's almost entirely green tea. Total imports of tea value amounted to US$254.75 million in 2024, and the value of imports of unpackaged green tea was over US$238 million. China's share in the total value of tea imports was about 93 percent while its share in volume of green tea without any packing was over 99 percent. The figures indicate that entry into Morocco is not about trigger: the creation of a new tea habit, but about capturing value within an already large consumption chain (WITS, 2026a, 2026b; Surya &amp; Palanisamy, 2025). </w:t>
      </w:r>
    </w:p>
    <w:p w14:paraId="096634BC"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But, the scale of import does not indicate a simple opportunity to make branded goods. In 2024, Morocco received about US$1.56 million worth of green-tea imports that were immediately packaged for retail. The majority of green tea comes in bulk and is then blended, packaged and sold by Moroccan companies. This makes it difficult for a packaged Tetley brand </w:t>
      </w:r>
      <w:r w:rsidRPr="00EA5A0A">
        <w:rPr>
          <w:rFonts w:asciiTheme="majorBidi" w:hAnsiTheme="majorBidi" w:cstheme="majorBidi"/>
          <w:color w:val="000000" w:themeColor="text1"/>
          <w:sz w:val="24"/>
          <w:szCs w:val="24"/>
        </w:rPr>
        <w:lastRenderedPageBreak/>
        <w:t xml:space="preserve">to compete, especially against local businesses that already have established relationships, where the products are culturally familiar, and where packaging and logistics might also be cheaper (WITS, 2026c; Lambarraa-Lehnhardt et al., 2021; Muchandiona et al., 2021). </w:t>
      </w:r>
    </w:p>
    <w:p w14:paraId="3101CDBD"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In addition, during 2024 Morocco exported US$73.14 million and 2.38 million kilograms of tea, including over US$27 million in immediately packaged green tea. Gross-trade statistics may not be considered as a measure of domestic tea growing but nevertheless show blending and packing and some regional-distribution facilities. A Moroccan joint venture could thus develop into a platform for Francophone West Africa, Western European markets, and some Middle Eastern markets (WITS, 2026d, 2026e; Lee et al., 2023; Teece, 2025). </w:t>
      </w:r>
    </w:p>
    <w:p w14:paraId="2D3EA367"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The first product should be called Tetley Atay Nana, using Tetley's master brand that is recognised internationally and Arabic and French words that are understood locally. There should be classic green tea (gunpowder) and mint green-tea bags, as well as premium loose-leaf green tea blends and unsweetened herbal green teas. Studies have shown that taste, aroma, availability, and package form and brand familiarity are responsible for tea selection. Portfolio strategy is also more suitable as consumers do not consume a standardised product and there are variations between tea bags and loose-leaf tea (Sousa et al., 2024; Surya &amp; Palanisamy, 2025; Al Falaha et al., 2024). </w:t>
      </w:r>
    </w:p>
    <w:p w14:paraId="552B9315" w14:textId="5CDCCE12" w:rsidR="00EA5A0A" w:rsidRPr="00EA5A0A" w:rsidRDefault="00EA5A0A" w:rsidP="00EA5A0A">
      <w:pPr>
        <w:pStyle w:val="NormalWeb"/>
        <w:spacing w:line="360" w:lineRule="auto"/>
        <w:jc w:val="both"/>
        <w:rPr>
          <w:rFonts w:asciiTheme="majorBidi" w:hAnsiTheme="majorBidi" w:cstheme="majorBidi"/>
          <w:color w:val="000000" w:themeColor="text1"/>
        </w:rPr>
      </w:pPr>
      <w:r w:rsidRPr="00EA5A0A">
        <w:rPr>
          <w:rFonts w:asciiTheme="majorBidi" w:hAnsiTheme="majorBidi" w:cstheme="majorBidi"/>
          <w:color w:val="000000" w:themeColor="text1"/>
        </w:rPr>
        <w:lastRenderedPageBreak/>
        <w:drawing>
          <wp:inline distT="0" distB="0" distL="0" distR="0" wp14:anchorId="1DDA8034" wp14:editId="6EB24991">
            <wp:extent cx="5731510" cy="3889375"/>
            <wp:effectExtent l="0" t="0" r="0" b="0"/>
            <wp:docPr id="361345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345449" name=""/>
                    <pic:cNvPicPr/>
                  </pic:nvPicPr>
                  <pic:blipFill>
                    <a:blip r:embed="rId10"/>
                    <a:stretch>
                      <a:fillRect/>
                    </a:stretch>
                  </pic:blipFill>
                  <pic:spPr>
                    <a:xfrm>
                      <a:off x="0" y="0"/>
                      <a:ext cx="5731510" cy="3889375"/>
                    </a:xfrm>
                    <a:prstGeom prst="rect">
                      <a:avLst/>
                    </a:prstGeom>
                  </pic:spPr>
                </pic:pic>
              </a:graphicData>
            </a:graphic>
          </wp:inline>
        </w:drawing>
      </w:r>
    </w:p>
    <w:p w14:paraId="63980F85" w14:textId="77777777" w:rsidR="00EA5A0A" w:rsidRPr="00EA5A0A" w:rsidRDefault="00EA5A0A" w:rsidP="00EA5A0A">
      <w:pPr>
        <w:pStyle w:val="NormalWeb"/>
        <w:spacing w:line="360" w:lineRule="auto"/>
        <w:jc w:val="both"/>
        <w:rPr>
          <w:rFonts w:asciiTheme="majorBidi" w:hAnsiTheme="majorBidi" w:cstheme="majorBidi"/>
          <w:color w:val="000000" w:themeColor="text1"/>
        </w:rPr>
      </w:pPr>
    </w:p>
    <w:p w14:paraId="6B8F439B" w14:textId="63FD8FC8" w:rsidR="004218A9" w:rsidRPr="00EA5A0A" w:rsidRDefault="004218A9" w:rsidP="00EA5A0A">
      <w:pPr>
        <w:spacing w:line="360" w:lineRule="auto"/>
        <w:ind w:firstLine="0"/>
        <w:jc w:val="both"/>
        <w:rPr>
          <w:rFonts w:asciiTheme="majorBidi" w:hAnsiTheme="majorBidi" w:cstheme="majorBidi"/>
          <w:b/>
          <w:bCs/>
          <w:color w:val="000000" w:themeColor="text1"/>
          <w:sz w:val="24"/>
          <w:szCs w:val="24"/>
        </w:rPr>
      </w:pPr>
      <w:r w:rsidRPr="00EA5A0A">
        <w:rPr>
          <w:rFonts w:asciiTheme="majorBidi" w:hAnsiTheme="majorBidi" w:cstheme="majorBidi"/>
          <w:b/>
          <w:bCs/>
          <w:color w:val="000000" w:themeColor="text1"/>
          <w:sz w:val="24"/>
          <w:szCs w:val="24"/>
        </w:rPr>
        <w:t>Figure 2</w:t>
      </w:r>
      <w:r w:rsidR="00E21832" w:rsidRPr="00EA5A0A">
        <w:rPr>
          <w:rFonts w:asciiTheme="majorBidi" w:hAnsiTheme="majorBidi" w:cstheme="majorBidi"/>
          <w:b/>
          <w:bCs/>
          <w:color w:val="000000" w:themeColor="text1"/>
          <w:sz w:val="24"/>
          <w:szCs w:val="24"/>
        </w:rPr>
        <w:t xml:space="preserve">: </w:t>
      </w:r>
      <w:r w:rsidRPr="00EA5A0A">
        <w:rPr>
          <w:rFonts w:asciiTheme="majorBidi" w:hAnsiTheme="majorBidi" w:cstheme="majorBidi"/>
          <w:b/>
          <w:bCs/>
          <w:color w:val="000000" w:themeColor="text1"/>
          <w:sz w:val="24"/>
          <w:szCs w:val="24"/>
        </w:rPr>
        <w:t>Morocco Tea-Market Attractiveness–Risk Balance</w:t>
      </w:r>
      <w:r w:rsidRPr="00EA5A0A">
        <w:rPr>
          <w:rFonts w:asciiTheme="majorBidi" w:hAnsiTheme="majorBidi" w:cstheme="majorBidi"/>
          <w:b/>
          <w:bCs/>
          <w:color w:val="000000" w:themeColor="text1"/>
          <w:sz w:val="24"/>
          <w:szCs w:val="24"/>
        </w:rPr>
        <w:br/>
        <w:t>Source: Chamchati and El Mabrouki (2025).</w:t>
      </w:r>
    </w:p>
    <w:p w14:paraId="72217A48" w14:textId="1181CC51" w:rsidR="004218A9" w:rsidRPr="00EA5A0A" w:rsidRDefault="004218A9" w:rsidP="00EA5A0A">
      <w:pPr>
        <w:pStyle w:val="Heading3"/>
        <w:jc w:val="both"/>
        <w:rPr>
          <w:rFonts w:asciiTheme="majorBidi" w:hAnsiTheme="majorBidi"/>
          <w:color w:val="000000" w:themeColor="text1"/>
          <w:sz w:val="24"/>
          <w:szCs w:val="24"/>
        </w:rPr>
      </w:pPr>
      <w:bookmarkStart w:id="7" w:name="_Toc236402244"/>
      <w:r w:rsidRPr="00EA5A0A">
        <w:rPr>
          <w:rFonts w:asciiTheme="majorBidi" w:hAnsiTheme="majorBidi"/>
          <w:color w:val="000000" w:themeColor="text1"/>
          <w:sz w:val="24"/>
          <w:szCs w:val="24"/>
        </w:rPr>
        <w:t>Political and Governmental Environment</w:t>
      </w:r>
      <w:bookmarkEnd w:id="7"/>
    </w:p>
    <w:p w14:paraId="474A3384"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Morocco has undertaken investment, infrastructure and private-sector reforms to increase her North African business platform. Agriculture and huge infrastructure investment projects boosted real GDP growth to an estimated 4.9% in 2025, with public investment associated with the 2030 FIFA World Cup likely to continue driving domestic demand. It also reflects a higher level of external confidence, although it does not eliminate firm-level regulatory risk (International Monetary Fund [IMF], 2026; World Bank, 2026; Teece, 2025). </w:t>
      </w:r>
    </w:p>
    <w:p w14:paraId="04A73B01"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Political conditions are fairly conducive to foreign investors. Foreign companies can open subsidiaries, branches or invest in local companies. Foreign currency-funded investments enjoy a convertibility regime which allows repatriation of investment income and proceeds from liquidation. This is significant to TCPL as it lowers the dangers of having profits generated by a Moroccan joint venture "trapped" locally (Office des Changes, 2026a, 2026b; Moreira da Silva et al., 2024). </w:t>
      </w:r>
    </w:p>
    <w:p w14:paraId="1E8F45FE"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lastRenderedPageBreak/>
        <w:t xml:space="preserve">However, there are administrative complications that go along with public investment and institutional reform. Foreign companies will need to deal with central authorities, customs officials, food-safety authorities and other government or sectoral demands. The IMF also notes the need to enhance the competitive neutrality of the private sector and state-related companies. Therefore, the TCRP should not expect that investment promotion at the national level will ensure speedy operational approvals (Chamchati &amp; El Mabrouki, 2025; Lu et al., 2022; IMF, 2026). </w:t>
      </w:r>
    </w:p>
    <w:p w14:paraId="797CF6B0"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Geopolitical risks must also be taken into account. Morocco relies on energy imports and other imports and conflict-related freight or energy shocks may impact transport and household purchasing power. The World Bank estimated that growth in 2026 could be lower compared to pre-conflict projections due to recent external conflict conditions. Although Morocco is politically stable (World Bank, 2026; IMF, 2026; Marano et al., 2020), the nation would be directly affected by international tea freight, packaging materials and foreign-exchange movements. </w:t>
      </w:r>
    </w:p>
    <w:p w14:paraId="4A10C0D6"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All of these factors lend themselves to a staged commitment. Partner due diligence, product testing and regulatory preparation should be the first step of TCPL, instead of building an entirely owned facility. Recent internationalisation studies highlight the need to match the time for pursuing external opportunities with the time of capability development. Too quick a commitment can lead to organisational asynchronicity, where the commercial expansion outpaces regulatory and operational learning (Liesch &amp; Welch, 2024; Rumyantseva &amp; Welch, 2023; Brouthers et al., 2022). </w:t>
      </w:r>
    </w:p>
    <w:p w14:paraId="584A186E" w14:textId="5BC5A881" w:rsidR="004218A9" w:rsidRPr="00EA5A0A" w:rsidRDefault="004218A9" w:rsidP="00EA5A0A">
      <w:pPr>
        <w:pStyle w:val="Heading3"/>
        <w:jc w:val="both"/>
        <w:rPr>
          <w:rFonts w:asciiTheme="majorBidi" w:hAnsiTheme="majorBidi"/>
          <w:color w:val="000000" w:themeColor="text1"/>
          <w:sz w:val="24"/>
          <w:szCs w:val="24"/>
        </w:rPr>
      </w:pPr>
      <w:bookmarkStart w:id="8" w:name="_Toc236402245"/>
      <w:r w:rsidRPr="00EA5A0A">
        <w:rPr>
          <w:rFonts w:asciiTheme="majorBidi" w:hAnsiTheme="majorBidi"/>
          <w:color w:val="000000" w:themeColor="text1"/>
          <w:sz w:val="24"/>
          <w:szCs w:val="24"/>
        </w:rPr>
        <w:t>Economic and Financial Environment</w:t>
      </w:r>
      <w:bookmarkEnd w:id="8"/>
    </w:p>
    <w:p w14:paraId="4BD1D20A"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The macro-economic context in Morocco is overall positive and socially differentiated. The International Monetary Fund (IMF) forecasts the growth of real GDP in 2026 at 4.4%, while the World Bank's July 2026 estimate is around 4.2%. Overall, inflation in 2025 was just 0.8%, easing the immediate strain on food and beverage budgets. Nevertheless, official unemployment levels were around 13% in 2025, while labour underutilisation in general hovered around 22.5%, reflecting that growth in the country does not necessarily equate to growth in purchasing power at a household level (IMF, 2026; World Bank, 2026). </w:t>
      </w:r>
    </w:p>
    <w:p w14:paraId="4B739E4D"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The economic implication is that the entire portfolio should not be seen as a premium imported tea. While there are wealthier urban groups in Casablanca, Rabat, Marrakech and </w:t>
      </w:r>
      <w:r w:rsidRPr="00EA5A0A">
        <w:rPr>
          <w:rFonts w:asciiTheme="majorBidi" w:hAnsiTheme="majorBidi" w:cstheme="majorBidi"/>
          <w:color w:val="000000" w:themeColor="text1"/>
          <w:sz w:val="24"/>
          <w:szCs w:val="24"/>
        </w:rPr>
        <w:lastRenderedPageBreak/>
        <w:t xml:space="preserve">Tangier, tea is also a daily necessity in Morocco. Thus, a multi-tiered structure is essential: a base product that can be sold at a competitive price and a high-value product that is traceable, herbal and with a sustainable packaging (Sousa et al., 2024; Surya &amp; Palanisamy, 2025; Shin et al., 2021). </w:t>
      </w:r>
    </w:p>
    <w:p w14:paraId="2D8CD38E"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Morocco's reliance on imported tea provides both opportunity and exposure. Initially, TCPL might buy gunpowder tea, green tea, and tea that is prepared and packaged in China by approved suppliers, as this corresponds to the taste and supply habits of Moroccans. It would be strategically wrong to try and substitute Indian black tea or green tea for Chinese tea because TCPL is Indian. India accounted for just about US$4.21 million out of Morocco's tea imports in 2024, with China providing over US$236 million, indicating a long-standing supply dynamic (WITS, 2026a; Kohler &amp; Wunderlich, 2022; Solarino &amp; Buckley, 2023).</w:t>
      </w:r>
    </w:p>
    <w:p w14:paraId="0E9CB16D"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TCPL's value proposition is its ability to manage a multi-origin supply chain, rather than impose ingredients from the home country into each market. The company could import the raw tea from abroad, blend and pack in Morocco, and add more value to the tea by adding mint, herbs, packaging, marketing and distribution processes. This would be a win-win strategy that would bring global sourcing efficiency with a local legitimacy and lower landed costs of shipping finished retail packs (Lee et al., 2023; Morris et al., 2023; Hult et al., 2020). </w:t>
      </w:r>
    </w:p>
    <w:p w14:paraId="2C4F56F9"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Risks associated with the exchange rate and commodity prices are still high. The revenues would be paid in Moroccan dirhams and the tea, packaging machines and certain inputs would be paid for in dollars, yuan, euros or British pounds. Forward contracts should be used as appropriate, currency adjustment clauses incorporated and there should be a limited stock of launch inventory at TCPL. Prices of the products should be declared through a transparent cost band, as frequent price changes could erode consumers' confidence in food products that are bought often (Teece, 2025; Kong et al., 2025; Milligan et al., 2025).</w:t>
      </w:r>
    </w:p>
    <w:p w14:paraId="7A375B42" w14:textId="0444C5E4" w:rsidR="004218A9" w:rsidRPr="00EA5A0A" w:rsidRDefault="004218A9" w:rsidP="00EA5A0A">
      <w:pPr>
        <w:pStyle w:val="Heading3"/>
        <w:jc w:val="both"/>
        <w:rPr>
          <w:rFonts w:asciiTheme="majorBidi" w:hAnsiTheme="majorBidi"/>
          <w:color w:val="000000" w:themeColor="text1"/>
          <w:sz w:val="24"/>
          <w:szCs w:val="24"/>
        </w:rPr>
      </w:pPr>
      <w:bookmarkStart w:id="9" w:name="_Toc236402246"/>
      <w:r w:rsidRPr="00EA5A0A">
        <w:rPr>
          <w:rFonts w:asciiTheme="majorBidi" w:hAnsiTheme="majorBidi"/>
          <w:color w:val="000000" w:themeColor="text1"/>
          <w:sz w:val="24"/>
          <w:szCs w:val="24"/>
        </w:rPr>
        <w:t>Legal and Regulatory Environment</w:t>
      </w:r>
      <w:bookmarkEnd w:id="9"/>
    </w:p>
    <w:p w14:paraId="70744F99"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The first, crucial entry condition is food regulation. Law 28-07 provides for a food-safety control system carried out by Morocco's National Office for Food Safety (ONSSA). Documentary, identity, physical and, if required, analytical checks are performed on imported plant and food products. This means that regulatory preparation can be a strategic capability and not an administrative afterthought, as a shipment could be delayed or rejected or not be </w:t>
      </w:r>
      <w:r w:rsidRPr="00EA5A0A">
        <w:rPr>
          <w:rFonts w:asciiTheme="majorBidi" w:hAnsiTheme="majorBidi" w:cstheme="majorBidi"/>
          <w:color w:val="000000" w:themeColor="text1"/>
          <w:sz w:val="24"/>
          <w:szCs w:val="24"/>
        </w:rPr>
        <w:lastRenderedPageBreak/>
        <w:t xml:space="preserve">allowed to enter the domestic market if it is not compliant (ONSSA, 2026a, 2026b; Teece, 2025). </w:t>
      </w:r>
    </w:p>
    <w:p w14:paraId="391EA4E8"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There are also product-specific regulations for tea. The quality and health safety of marketed tea is regulated by Decree No. 2-13-711 and the Ministerial Order No. 3231-15 regulate the chemical characteristics. Thus, before launching, TCPL would have to test the composition of tea, pesticide residues, contaminants and relevant quality parameters. Its joint-venture agreement should specify which party is responsible for laboratory testing, regulatory files, batch release and product recalls (ONSSA, 2026c; Lee et al., 2023; Reilly et al., 2023). </w:t>
      </w:r>
    </w:p>
    <w:p w14:paraId="67A92994"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Import documentation can encompass the customs declaration, commercial invoice, packing list, transport document, sanitary document and evidence of origin and/or geographical indication. To avoid delays or blockage at border-inspection posts, ONSSA recommends importers always verify requirements prior to shipment. Prior to commercial launch, a regulatory trial shipment should be conducted by TCPL, which is not achieved here. </w:t>
      </w:r>
    </w:p>
    <w:p w14:paraId="5FACEFAD"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Food labelling can be in French or Arabic; it must contain the country of origin. Metrics must be used, and day/month/year production/expiry dates should be used in the local format. However, a bilingual French – Arabic package would be better than the use of only one permitted language since it would maximize consumer accessibility and show cultural commitment (International Trade Administration, 2025a; Edman et al., 2024; Solarino &amp; Buckley, 2023). </w:t>
      </w:r>
    </w:p>
    <w:p w14:paraId="0873A2AF"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While plain tea is halal, TCPL should not be overzealous regarding halal claims. For flavoured, sweetened or processed ready-to-drink waters, certification can come into the picture and can help build consumer confidence when processes are not obvious. Earlier studies have revealed that Halal brand image, perceived quality and perceived trust have an impact on purchase intention for foreign food products, but evidence from other countries with a majority Muslim population cannot be directly applied to Morocco without the addition of local evidence (Pradana et al., 2024; Sungnoi &amp; Soonthonsmai, 2024; Solarino &amp; Buckley, 2023). </w:t>
      </w:r>
    </w:p>
    <w:p w14:paraId="5734B717"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Protection of IP should start prior to public market testing. TCPL should be registered Tetley, the proposed sub-brand names, bilingual packaging components and unique trademarks. The joint venture will also need to safeguard blending formulas, quality manuals, supplier information and customer data. Internalisation is especially crucial when the quality </w:t>
      </w:r>
      <w:r w:rsidRPr="00EA5A0A">
        <w:rPr>
          <w:rFonts w:asciiTheme="majorBidi" w:hAnsiTheme="majorBidi" w:cstheme="majorBidi"/>
          <w:color w:val="000000" w:themeColor="text1"/>
          <w:sz w:val="24"/>
          <w:szCs w:val="24"/>
        </w:rPr>
        <w:lastRenderedPageBreak/>
        <w:t xml:space="preserve">of the product or brand image is at stake due to a partner's inability to comply (Dunning &amp; Lundan, 2008; Narula et al., 2019; Brouthers et al., 2022). </w:t>
      </w:r>
    </w:p>
    <w:p w14:paraId="0E7F5B69" w14:textId="3F703B71" w:rsidR="004218A9" w:rsidRPr="00EA5A0A" w:rsidRDefault="004218A9" w:rsidP="00EA5A0A">
      <w:pPr>
        <w:pStyle w:val="NoSpacing"/>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Table 2</w:t>
      </w:r>
      <w:r w:rsidR="00E21832" w:rsidRPr="00EA5A0A">
        <w:rPr>
          <w:rFonts w:asciiTheme="majorBidi" w:hAnsiTheme="majorBidi" w:cstheme="majorBidi"/>
          <w:color w:val="000000" w:themeColor="text1"/>
          <w:sz w:val="24"/>
          <w:szCs w:val="24"/>
        </w:rPr>
        <w:t xml:space="preserve">: </w:t>
      </w:r>
      <w:r w:rsidRPr="00EA5A0A">
        <w:rPr>
          <w:rStyle w:val="Strong"/>
          <w:rFonts w:asciiTheme="majorBidi" w:hAnsiTheme="majorBidi" w:cstheme="majorBidi"/>
          <w:color w:val="000000" w:themeColor="text1"/>
          <w:sz w:val="24"/>
          <w:szCs w:val="24"/>
        </w:rPr>
        <w:t>Critical Political, Economic, Legal and Cultural Factors</w:t>
      </w:r>
    </w:p>
    <w:tbl>
      <w:tblPr>
        <w:tblStyle w:val="ListTable3-Accent2"/>
        <w:tblW w:w="0" w:type="auto"/>
        <w:tblLook w:val="04A0" w:firstRow="1" w:lastRow="0" w:firstColumn="1" w:lastColumn="0" w:noHBand="0" w:noVBand="1"/>
      </w:tblPr>
      <w:tblGrid>
        <w:gridCol w:w="1829"/>
        <w:gridCol w:w="2391"/>
        <w:gridCol w:w="2617"/>
        <w:gridCol w:w="2179"/>
      </w:tblGrid>
      <w:tr w:rsidR="004218A9" w:rsidRPr="00EA5A0A" w14:paraId="6A75AB00" w14:textId="77777777" w:rsidTr="00E2183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6E273C1" w14:textId="77777777" w:rsidR="004218A9" w:rsidRPr="00EA5A0A" w:rsidRDefault="004218A9"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b w:val="0"/>
                <w:bCs w:val="0"/>
                <w:color w:val="000000" w:themeColor="text1"/>
                <w:sz w:val="24"/>
                <w:szCs w:val="24"/>
              </w:rPr>
              <w:t>Factor</w:t>
            </w:r>
          </w:p>
        </w:tc>
        <w:tc>
          <w:tcPr>
            <w:tcW w:w="0" w:type="auto"/>
            <w:hideMark/>
          </w:tcPr>
          <w:p w14:paraId="787F9E2F" w14:textId="77777777" w:rsidR="004218A9" w:rsidRPr="00EA5A0A" w:rsidRDefault="004218A9" w:rsidP="00EA5A0A">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EA5A0A">
              <w:rPr>
                <w:rFonts w:asciiTheme="majorBidi" w:hAnsiTheme="majorBidi" w:cstheme="majorBidi"/>
                <w:b w:val="0"/>
                <w:bCs w:val="0"/>
                <w:color w:val="000000" w:themeColor="text1"/>
                <w:sz w:val="24"/>
                <w:szCs w:val="24"/>
              </w:rPr>
              <w:t>Opportunity for TCPL</w:t>
            </w:r>
          </w:p>
        </w:tc>
        <w:tc>
          <w:tcPr>
            <w:tcW w:w="0" w:type="auto"/>
            <w:hideMark/>
          </w:tcPr>
          <w:p w14:paraId="52E46091" w14:textId="77777777" w:rsidR="004218A9" w:rsidRPr="00EA5A0A" w:rsidRDefault="004218A9" w:rsidP="00EA5A0A">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EA5A0A">
              <w:rPr>
                <w:rFonts w:asciiTheme="majorBidi" w:hAnsiTheme="majorBidi" w:cstheme="majorBidi"/>
                <w:b w:val="0"/>
                <w:bCs w:val="0"/>
                <w:color w:val="000000" w:themeColor="text1"/>
                <w:sz w:val="24"/>
                <w:szCs w:val="24"/>
              </w:rPr>
              <w:t>Principal risk</w:t>
            </w:r>
          </w:p>
        </w:tc>
        <w:tc>
          <w:tcPr>
            <w:tcW w:w="0" w:type="auto"/>
            <w:hideMark/>
          </w:tcPr>
          <w:p w14:paraId="1E597F4F" w14:textId="77777777" w:rsidR="004218A9" w:rsidRPr="00EA5A0A" w:rsidRDefault="004218A9" w:rsidP="00EA5A0A">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EA5A0A">
              <w:rPr>
                <w:rFonts w:asciiTheme="majorBidi" w:hAnsiTheme="majorBidi" w:cstheme="majorBidi"/>
                <w:b w:val="0"/>
                <w:bCs w:val="0"/>
                <w:color w:val="000000" w:themeColor="text1"/>
                <w:sz w:val="24"/>
                <w:szCs w:val="24"/>
              </w:rPr>
              <w:t>Required strategic response</w:t>
            </w:r>
          </w:p>
        </w:tc>
      </w:tr>
      <w:tr w:rsidR="004218A9" w:rsidRPr="00EA5A0A" w14:paraId="457ABF61" w14:textId="77777777" w:rsidTr="00E21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2E0CC5" w14:textId="77777777" w:rsidR="004218A9" w:rsidRPr="00EA5A0A" w:rsidRDefault="004218A9" w:rsidP="00EA5A0A">
            <w:pPr>
              <w:spacing w:line="360" w:lineRule="auto"/>
              <w:jc w:val="both"/>
              <w:rPr>
                <w:rFonts w:asciiTheme="majorBidi" w:hAnsiTheme="majorBidi" w:cstheme="majorBidi"/>
                <w:b w:val="0"/>
                <w:bCs w:val="0"/>
                <w:color w:val="000000" w:themeColor="text1"/>
                <w:sz w:val="24"/>
                <w:szCs w:val="24"/>
              </w:rPr>
            </w:pPr>
            <w:r w:rsidRPr="00EA5A0A">
              <w:rPr>
                <w:rFonts w:asciiTheme="majorBidi" w:hAnsiTheme="majorBidi" w:cstheme="majorBidi"/>
                <w:color w:val="000000" w:themeColor="text1"/>
                <w:sz w:val="24"/>
                <w:szCs w:val="24"/>
              </w:rPr>
              <w:t>Political</w:t>
            </w:r>
          </w:p>
        </w:tc>
        <w:tc>
          <w:tcPr>
            <w:tcW w:w="0" w:type="auto"/>
            <w:hideMark/>
          </w:tcPr>
          <w:p w14:paraId="64ACBF60"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Investment reforms, infrastructure spending and foreign-investment convertibility</w:t>
            </w:r>
          </w:p>
        </w:tc>
        <w:tc>
          <w:tcPr>
            <w:tcW w:w="0" w:type="auto"/>
            <w:hideMark/>
          </w:tcPr>
          <w:p w14:paraId="5236AF99"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Administrative complexity and geopolitical commodity shocks</w:t>
            </w:r>
          </w:p>
        </w:tc>
        <w:tc>
          <w:tcPr>
            <w:tcW w:w="0" w:type="auto"/>
            <w:hideMark/>
          </w:tcPr>
          <w:p w14:paraId="16FB65BD"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Phased investment, regulatory mapping and scenario planning</w:t>
            </w:r>
          </w:p>
        </w:tc>
      </w:tr>
      <w:tr w:rsidR="004218A9" w:rsidRPr="00EA5A0A" w14:paraId="472FF41E" w14:textId="77777777" w:rsidTr="00E21832">
        <w:tc>
          <w:tcPr>
            <w:cnfStyle w:val="001000000000" w:firstRow="0" w:lastRow="0" w:firstColumn="1" w:lastColumn="0" w:oddVBand="0" w:evenVBand="0" w:oddHBand="0" w:evenHBand="0" w:firstRowFirstColumn="0" w:firstRowLastColumn="0" w:lastRowFirstColumn="0" w:lastRowLastColumn="0"/>
            <w:tcW w:w="0" w:type="auto"/>
            <w:hideMark/>
          </w:tcPr>
          <w:p w14:paraId="110CBD2A" w14:textId="77777777" w:rsidR="004218A9" w:rsidRPr="00EA5A0A" w:rsidRDefault="004218A9"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Economic</w:t>
            </w:r>
          </w:p>
        </w:tc>
        <w:tc>
          <w:tcPr>
            <w:tcW w:w="0" w:type="auto"/>
            <w:hideMark/>
          </w:tcPr>
          <w:p w14:paraId="30C1AE54"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Large tea-import market, low recent inflation and urban growth</w:t>
            </w:r>
          </w:p>
        </w:tc>
        <w:tc>
          <w:tcPr>
            <w:tcW w:w="0" w:type="auto"/>
            <w:hideMark/>
          </w:tcPr>
          <w:p w14:paraId="11499D97"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Unemployment, price sensitivity, exchange-rate and freight exposure</w:t>
            </w:r>
          </w:p>
        </w:tc>
        <w:tc>
          <w:tcPr>
            <w:tcW w:w="0" w:type="auto"/>
            <w:hideMark/>
          </w:tcPr>
          <w:p w14:paraId="502F71DC"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Tiered pricing, local packing, hedging and controlled inventory</w:t>
            </w:r>
          </w:p>
        </w:tc>
      </w:tr>
      <w:tr w:rsidR="004218A9" w:rsidRPr="00EA5A0A" w14:paraId="71A6DFDD" w14:textId="77777777" w:rsidTr="00E21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B4EBA8" w14:textId="77777777" w:rsidR="004218A9" w:rsidRPr="00EA5A0A" w:rsidRDefault="004218A9"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Legal</w:t>
            </w:r>
          </w:p>
        </w:tc>
        <w:tc>
          <w:tcPr>
            <w:tcW w:w="0" w:type="auto"/>
            <w:hideMark/>
          </w:tcPr>
          <w:p w14:paraId="58C14DD1"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Clear tea-specific and food-safety framework can reward reliable brands</w:t>
            </w:r>
          </w:p>
        </w:tc>
        <w:tc>
          <w:tcPr>
            <w:tcW w:w="0" w:type="auto"/>
            <w:hideMark/>
          </w:tcPr>
          <w:p w14:paraId="0AD33733"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Import delays, analytical testing and bilingual labelling requirements</w:t>
            </w:r>
          </w:p>
        </w:tc>
        <w:tc>
          <w:tcPr>
            <w:tcW w:w="0" w:type="auto"/>
            <w:hideMark/>
          </w:tcPr>
          <w:p w14:paraId="63F9650F"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ONSSA-approved systems, local compliance team and trial shipment</w:t>
            </w:r>
          </w:p>
        </w:tc>
      </w:tr>
      <w:tr w:rsidR="004218A9" w:rsidRPr="00EA5A0A" w14:paraId="4CAAD891" w14:textId="77777777" w:rsidTr="00E21832">
        <w:tc>
          <w:tcPr>
            <w:cnfStyle w:val="001000000000" w:firstRow="0" w:lastRow="0" w:firstColumn="1" w:lastColumn="0" w:oddVBand="0" w:evenVBand="0" w:oddHBand="0" w:evenHBand="0" w:firstRowFirstColumn="0" w:firstRowLastColumn="0" w:lastRowFirstColumn="0" w:lastRowLastColumn="0"/>
            <w:tcW w:w="0" w:type="auto"/>
            <w:hideMark/>
          </w:tcPr>
          <w:p w14:paraId="29E7254F" w14:textId="77777777" w:rsidR="004218A9" w:rsidRPr="00EA5A0A" w:rsidRDefault="004218A9"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Cultural</w:t>
            </w:r>
          </w:p>
        </w:tc>
        <w:tc>
          <w:tcPr>
            <w:tcW w:w="0" w:type="auto"/>
            <w:hideMark/>
          </w:tcPr>
          <w:p w14:paraId="238F237D"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Tea is integrated into hospitality and everyday social interaction</w:t>
            </w:r>
          </w:p>
        </w:tc>
        <w:tc>
          <w:tcPr>
            <w:tcW w:w="0" w:type="auto"/>
            <w:hideMark/>
          </w:tcPr>
          <w:p w14:paraId="45513971"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Rejection of foreign interpretations of Moroccan mint tea</w:t>
            </w:r>
          </w:p>
        </w:tc>
        <w:tc>
          <w:tcPr>
            <w:tcW w:w="0" w:type="auto"/>
            <w:hideMark/>
          </w:tcPr>
          <w:p w14:paraId="58158562"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Local co-creation, Arabic/French branding and Moroccan sensory testing</w:t>
            </w:r>
          </w:p>
        </w:tc>
      </w:tr>
      <w:tr w:rsidR="004218A9" w:rsidRPr="00EA5A0A" w14:paraId="67C4A2F4" w14:textId="77777777" w:rsidTr="00E21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4315F4" w14:textId="77777777" w:rsidR="004218A9" w:rsidRPr="00EA5A0A" w:rsidRDefault="004218A9"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Competitive</w:t>
            </w:r>
          </w:p>
        </w:tc>
        <w:tc>
          <w:tcPr>
            <w:tcW w:w="0" w:type="auto"/>
            <w:hideMark/>
          </w:tcPr>
          <w:p w14:paraId="15AE2555"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Fragmented branded opportunity and possible modern-retail growth</w:t>
            </w:r>
          </w:p>
        </w:tc>
        <w:tc>
          <w:tcPr>
            <w:tcW w:w="0" w:type="auto"/>
            <w:hideMark/>
          </w:tcPr>
          <w:p w14:paraId="54DAF2BD"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Entrenched local packers and China-dominated supply</w:t>
            </w:r>
          </w:p>
        </w:tc>
        <w:tc>
          <w:tcPr>
            <w:tcW w:w="0" w:type="auto"/>
            <w:hideMark/>
          </w:tcPr>
          <w:p w14:paraId="6E9F13B9" w14:textId="77777777" w:rsidR="004218A9" w:rsidRPr="00EA5A0A" w:rsidRDefault="004218A9" w:rsidP="00EA5A0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Partner with an established blender and differentiate through trust</w:t>
            </w:r>
          </w:p>
        </w:tc>
      </w:tr>
      <w:tr w:rsidR="004218A9" w:rsidRPr="00EA5A0A" w14:paraId="28C54C67" w14:textId="77777777" w:rsidTr="00E21832">
        <w:tc>
          <w:tcPr>
            <w:cnfStyle w:val="001000000000" w:firstRow="0" w:lastRow="0" w:firstColumn="1" w:lastColumn="0" w:oddVBand="0" w:evenVBand="0" w:oddHBand="0" w:evenHBand="0" w:firstRowFirstColumn="0" w:firstRowLastColumn="0" w:lastRowFirstColumn="0" w:lastRowLastColumn="0"/>
            <w:tcW w:w="0" w:type="auto"/>
            <w:hideMark/>
          </w:tcPr>
          <w:p w14:paraId="7DAC697E" w14:textId="77777777" w:rsidR="004218A9" w:rsidRPr="00EA5A0A" w:rsidRDefault="004218A9"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Digital</w:t>
            </w:r>
          </w:p>
        </w:tc>
        <w:tc>
          <w:tcPr>
            <w:tcW w:w="0" w:type="auto"/>
            <w:hideMark/>
          </w:tcPr>
          <w:p w14:paraId="5A57F478"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E-commerce can support discovery, </w:t>
            </w:r>
            <w:r w:rsidRPr="00EA5A0A">
              <w:rPr>
                <w:rFonts w:asciiTheme="majorBidi" w:hAnsiTheme="majorBidi" w:cstheme="majorBidi"/>
                <w:color w:val="000000" w:themeColor="text1"/>
                <w:sz w:val="24"/>
                <w:szCs w:val="24"/>
              </w:rPr>
              <w:lastRenderedPageBreak/>
              <w:t>subscriptions and gifting</w:t>
            </w:r>
          </w:p>
        </w:tc>
        <w:tc>
          <w:tcPr>
            <w:tcW w:w="0" w:type="auto"/>
            <w:hideMark/>
          </w:tcPr>
          <w:p w14:paraId="7B4A766F"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lastRenderedPageBreak/>
              <w:t>Grocery fulfilment costs and channel conflict</w:t>
            </w:r>
          </w:p>
        </w:tc>
        <w:tc>
          <w:tcPr>
            <w:tcW w:w="0" w:type="auto"/>
            <w:hideMark/>
          </w:tcPr>
          <w:p w14:paraId="72AE6E2B" w14:textId="77777777" w:rsidR="004218A9" w:rsidRPr="00EA5A0A" w:rsidRDefault="004218A9" w:rsidP="00EA5A0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Integrated retailer partnerships </w:t>
            </w:r>
            <w:r w:rsidRPr="00EA5A0A">
              <w:rPr>
                <w:rFonts w:asciiTheme="majorBidi" w:hAnsiTheme="majorBidi" w:cstheme="majorBidi"/>
                <w:color w:val="000000" w:themeColor="text1"/>
                <w:sz w:val="24"/>
                <w:szCs w:val="24"/>
              </w:rPr>
              <w:lastRenderedPageBreak/>
              <w:t>rather than online-only entry</w:t>
            </w:r>
          </w:p>
        </w:tc>
      </w:tr>
    </w:tbl>
    <w:p w14:paraId="3410CABC" w14:textId="378B1508" w:rsidR="004218A9" w:rsidRPr="00EA5A0A" w:rsidRDefault="004218A9" w:rsidP="00EA5A0A">
      <w:pPr>
        <w:pStyle w:val="NormalWeb"/>
        <w:spacing w:line="360" w:lineRule="auto"/>
        <w:jc w:val="both"/>
        <w:rPr>
          <w:rFonts w:asciiTheme="majorBidi" w:hAnsiTheme="majorBidi" w:cstheme="majorBidi"/>
          <w:color w:val="000000" w:themeColor="text1"/>
        </w:rPr>
      </w:pPr>
      <w:r w:rsidRPr="00EA5A0A">
        <w:rPr>
          <w:rStyle w:val="Strong"/>
          <w:rFonts w:asciiTheme="majorBidi" w:hAnsiTheme="majorBidi" w:cstheme="majorBidi"/>
          <w:color w:val="000000" w:themeColor="text1"/>
        </w:rPr>
        <w:t>Source:</w:t>
      </w:r>
      <w:r w:rsidRPr="00EA5A0A">
        <w:rPr>
          <w:rFonts w:asciiTheme="majorBidi" w:hAnsiTheme="majorBidi" w:cstheme="majorBidi"/>
          <w:color w:val="000000" w:themeColor="text1"/>
        </w:rPr>
        <w:t xml:space="preserve"> WITS (2026a), ONSSA (2026a), and Wang (2025).</w:t>
      </w:r>
    </w:p>
    <w:p w14:paraId="033E546F" w14:textId="6DB2A713" w:rsidR="004218A9" w:rsidRPr="00EA5A0A" w:rsidRDefault="004218A9" w:rsidP="00EA5A0A">
      <w:pPr>
        <w:pStyle w:val="Heading3"/>
        <w:jc w:val="both"/>
        <w:rPr>
          <w:rFonts w:asciiTheme="majorBidi" w:hAnsiTheme="majorBidi"/>
          <w:color w:val="000000" w:themeColor="text1"/>
          <w:sz w:val="24"/>
          <w:szCs w:val="24"/>
        </w:rPr>
      </w:pPr>
      <w:bookmarkStart w:id="10" w:name="_Toc236402247"/>
      <w:r w:rsidRPr="00EA5A0A">
        <w:rPr>
          <w:rFonts w:asciiTheme="majorBidi" w:hAnsiTheme="majorBidi"/>
          <w:color w:val="000000" w:themeColor="text1"/>
          <w:sz w:val="24"/>
          <w:szCs w:val="24"/>
        </w:rPr>
        <w:t>Cultural and Consumer Environment</w:t>
      </w:r>
      <w:bookmarkEnd w:id="10"/>
    </w:p>
    <w:p w14:paraId="79133C08"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In Morocco, mint tea is not just a utilitarian drink; it is linked to hospitality, family dynamics, business meetings, and even social identity. Thus, TCPL should not convey the message that Tetley is bringing the mint tea to Morocco. This type of messaging would be considered culturally insensitive. Edman et al., 2024; Khanna, 2021; Emile et al., 2021 argue for the stronger proposition that Tetley has brought global tea knowledge to a Moroccan tradition, the sensory authenticity of which is left to local tea specialists to decide. </w:t>
      </w:r>
    </w:p>
    <w:p w14:paraId="71F2FEE2"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Consumer testing should cover such issues as tea colour, aroma, bitterness, intensity of mint flavour, brewing strength, amount of sugar used, package size and whether loose tea or bagged tea is preferred. Research in the tea field has shown that taste expectation can be modified by contextual and visual clues and modern consumer studies have found that flavour, aroma, price and availability are major factors in purchasing. Therefore, a technically good blend can fail if the colour and/or aroma is not as per local learning (Sousa et al., 2024; Surya &amp; Palanisamy, 2025; Lambarraa-Lehnhardt et al., 2021). </w:t>
      </w:r>
    </w:p>
    <w:p w14:paraId="1229073C"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It is also important for TCPL to be aware that Moroccan customers appreciate local origin and authenticity even when raw tea is imported. Consumer research in the major cities of Morocco revealed that there were interesting segments that appreciate local origin, quality and sustainable production. Therefore, Tetley needs to focus on promoting Moroccan blending and Moroccan mint as well as highlighting the British origin of the corporate and employment of locals for the development of products, rather than relying on the British heritage and corporate origin (Lambarraa-Lehnhardt et al., 2021; Muchandiona et al., 2021; Edman et al., 2024). </w:t>
      </w:r>
    </w:p>
    <w:p w14:paraId="4B074843"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It is also crucial to adapt the language. Arabic is an official language and Darija is very widely spoken, while French still plays a role in business and formal business correspondence. French-only advertising risks being seen as socially limited and literal translation from English can lose the cultural nuances. For consumer-facing material, Arabic and French should be used, with campaign language in Moroccan professionals' (Darija) for the International Trade Administration (2025b) and Solarino &amp; Buckley (2023) and Edman et al. (2024). </w:t>
      </w:r>
    </w:p>
    <w:p w14:paraId="716C0668"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lastRenderedPageBreak/>
        <w:t xml:space="preserve">Reputation, personal contact and ongoing trust are also important in nurturing business relationships. In particular, the International Trade Administration guidance outlines the need for a reputable local partner and sensitivity to culture for successful selling in Morocco. In addition to warehouse capacity and retailer coverage, therefore, a partner ought to be assessed for regulatory reputation, supplier treatment, relationships and ethical conduct (International Trade Administration, 2025c; Lu et al., 2022; Chamchati &amp; El Mabrouki, 2025). </w:t>
      </w:r>
    </w:p>
    <w:p w14:paraId="583EBC57"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Digital channels need to complement retail distribution. Customers can find flavours online, compare products, or buy gifts, but the daily tea use is dependent on the availability of supermarkets, neighbourhood stores and wholesalers. Omnichannel research reveals that simply creating an online channel doesn't necessarily mean seamless integration and can lead to higher fulfilment costs and channel conflicts. TCPL should focus on linking its website and social media to the availability and promotion of its local retailers as well as recipes and loyalty programmes, rather than trying to bypass local retailers (Mrutzek-Hartmann et al., 2022; Milligan et al., 2025; Wang, 2025). </w:t>
      </w:r>
    </w:p>
    <w:p w14:paraId="72281D6F" w14:textId="174903E2" w:rsidR="004218A9" w:rsidRPr="00EA5A0A" w:rsidRDefault="004218A9" w:rsidP="00EA5A0A">
      <w:pPr>
        <w:pStyle w:val="Heading2"/>
        <w:jc w:val="both"/>
        <w:rPr>
          <w:color w:val="000000" w:themeColor="text1"/>
        </w:rPr>
      </w:pPr>
      <w:bookmarkStart w:id="11" w:name="_Toc236402248"/>
      <w:r w:rsidRPr="00EA5A0A">
        <w:rPr>
          <w:color w:val="000000" w:themeColor="text1"/>
        </w:rPr>
        <w:t>Application of Dunning’s OLI Framework</w:t>
      </w:r>
      <w:bookmarkEnd w:id="11"/>
    </w:p>
    <w:p w14:paraId="07D451A9"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Dunning's eclectic paradigm suggests that FDI would be most suitable if the company has transferable ownership advantages, the host country offers appealing location advantages and internalisation of activities adds more value than licensing or arm's length contracting. The framework cannot be applied mechanically as the extent of each advantage varies product to product depending on the market and the proposed activity (Dunning &amp; Lundan, 2008; Narula et al., 2019; Brouthers et al., 2022).</w:t>
      </w:r>
    </w:p>
    <w:p w14:paraId="3C34D316" w14:textId="79D3D2E3" w:rsidR="004218A9" w:rsidRPr="00EA5A0A" w:rsidRDefault="004218A9" w:rsidP="00EA5A0A">
      <w:pPr>
        <w:pStyle w:val="Heading3"/>
        <w:jc w:val="both"/>
        <w:rPr>
          <w:rFonts w:asciiTheme="majorBidi" w:hAnsiTheme="majorBidi"/>
          <w:color w:val="000000" w:themeColor="text1"/>
          <w:sz w:val="24"/>
          <w:szCs w:val="24"/>
        </w:rPr>
      </w:pPr>
      <w:bookmarkStart w:id="12" w:name="_Toc236402249"/>
      <w:r w:rsidRPr="00EA5A0A">
        <w:rPr>
          <w:rFonts w:asciiTheme="majorBidi" w:hAnsiTheme="majorBidi"/>
          <w:color w:val="000000" w:themeColor="text1"/>
          <w:sz w:val="24"/>
          <w:szCs w:val="24"/>
        </w:rPr>
        <w:t>Ownership Advantages</w:t>
      </w:r>
      <w:bookmarkEnd w:id="12"/>
    </w:p>
    <w:p w14:paraId="00FE3A8C"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The first ownership advantage for TCPL is that of the international brand heritage and tea category credibility of Tetley. Tetley has a history of over 180 years, and is present in more than 40 countries with significant market shares in the United Kingdom, Canada and the United States. This will give a higher credibility than if it is an unknown entrant, but Moroccan consumers may not know the brand at first (Tata Consumer Products, 2026d; Lu et al., 2022; Edman et al., 2024). </w:t>
      </w:r>
    </w:p>
    <w:p w14:paraId="3418BFD0"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Additional benefits include the ability to source tea globally, blending capabilities, quality systems, sustainability standards, innovation and the financial resources of TCPL. In FY2026, consolidated EBITDA was around ₹2,815 crore and revenue grew by 15% which provided the </w:t>
      </w:r>
      <w:r w:rsidRPr="00EA5A0A">
        <w:rPr>
          <w:rFonts w:asciiTheme="majorBidi" w:hAnsiTheme="majorBidi" w:cstheme="majorBidi"/>
          <w:color w:val="000000" w:themeColor="text1"/>
          <w:sz w:val="24"/>
          <w:szCs w:val="24"/>
        </w:rPr>
        <w:lastRenderedPageBreak/>
        <w:t xml:space="preserve">company with the ability to fund a controlled international pilot. TCPL can also be used to transfer knowledge from premiumisation in the United Kingdom, green-tea success in South Africa and product localisation in other international markets (Tata Consumer Products, 2026a, 2026f; Morris et al., 2023; Teece, 2025). </w:t>
      </w:r>
    </w:p>
    <w:p w14:paraId="348355D2"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The limitation is that there are context-dependency of ownership advantages. British brand heritage can be interpreted as quality by some urban consumers but cannot replace what is authentic in terms of taste in Morocco. TCPL needs to rethink its capacity based on local knowledge and not just international scale, which also provides legitimacy (Solarino &amp; Buckley, 2023; Lu et al., 2022; Lambarraa-Lehnhardt et al., 2021). </w:t>
      </w:r>
    </w:p>
    <w:p w14:paraId="299E7F52" w14:textId="42D3058D" w:rsidR="004218A9" w:rsidRPr="00EA5A0A" w:rsidRDefault="004218A9" w:rsidP="00EA5A0A">
      <w:pPr>
        <w:pStyle w:val="Heading3"/>
        <w:jc w:val="both"/>
        <w:rPr>
          <w:rFonts w:asciiTheme="majorBidi" w:hAnsiTheme="majorBidi"/>
          <w:color w:val="000000" w:themeColor="text1"/>
          <w:sz w:val="24"/>
          <w:szCs w:val="24"/>
        </w:rPr>
      </w:pPr>
      <w:bookmarkStart w:id="13" w:name="_Toc236402250"/>
      <w:r w:rsidRPr="00EA5A0A">
        <w:rPr>
          <w:rFonts w:asciiTheme="majorBidi" w:hAnsiTheme="majorBidi"/>
          <w:color w:val="000000" w:themeColor="text1"/>
          <w:sz w:val="24"/>
          <w:szCs w:val="24"/>
        </w:rPr>
        <w:t>Location Advantages</w:t>
      </w:r>
      <w:bookmarkEnd w:id="13"/>
    </w:p>
    <w:p w14:paraId="64AF3F2D"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Morocco's comparative advantages include high tea demand, existing import facilities, packing facilities available in Morocco, geographical closeness to Europe and access to larger African markets. The country's tea exports indicate that local enterprises have already the capacity to add value to the imported tea and market it abroad. The platform opportunity is further enhanced by economic growth and investment in infrastructure (WITS, 2026d; IMF, 2026; World Bank, 2026). </w:t>
      </w:r>
    </w:p>
    <w:p w14:paraId="32179BA2"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In addition, the cultural association with mint tea also gives the market an innovation location advantage. A Moroccan subsidiary could engender flavour, packaging and occasion-based knowledge pertinent to the North African and Francophone markets. Modern multi-national studies prove that foreign units are knowledge producers and not just executing instructions from headquarters (Morris et al., 2023; Andrews et al., 2023; Lee et al., 2023). </w:t>
      </w:r>
    </w:p>
    <w:p w14:paraId="4EBA5A1C"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Location disadvantages are the dependence on imported bulk tea, strong incumbent relationships, price sensitivity and large mass market. Thus, Morocco is more attractive as a demand, adaptation and regional-distribution location than as an immediate source of raw tea. TCPL should import appropriate leaves and search for blending, packing, marketing and distribution increasingly in Morocco.</w:t>
      </w:r>
    </w:p>
    <w:p w14:paraId="162E3680" w14:textId="4500BAC7" w:rsidR="004218A9" w:rsidRPr="00EA5A0A" w:rsidRDefault="004218A9" w:rsidP="00EA5A0A">
      <w:pPr>
        <w:pStyle w:val="Heading3"/>
        <w:jc w:val="both"/>
        <w:rPr>
          <w:rFonts w:asciiTheme="majorBidi" w:hAnsiTheme="majorBidi"/>
          <w:color w:val="000000" w:themeColor="text1"/>
          <w:sz w:val="24"/>
          <w:szCs w:val="24"/>
        </w:rPr>
      </w:pPr>
      <w:bookmarkStart w:id="14" w:name="_Toc236402251"/>
      <w:r w:rsidRPr="00EA5A0A">
        <w:rPr>
          <w:rFonts w:asciiTheme="majorBidi" w:hAnsiTheme="majorBidi"/>
          <w:color w:val="000000" w:themeColor="text1"/>
          <w:sz w:val="24"/>
          <w:szCs w:val="24"/>
        </w:rPr>
        <w:t>Internalisation Advantages</w:t>
      </w:r>
      <w:bookmarkEnd w:id="14"/>
    </w:p>
    <w:p w14:paraId="12DE0F5E"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Product specifications, approved sourcing, safety testing, masterbrand standards, consumer data and strategic decision-making should be within TCPL. The risk with licensing the Tetley name to an unrelated importer is that there could be short-term sales goals that may come at </w:t>
      </w:r>
      <w:r w:rsidRPr="00EA5A0A">
        <w:rPr>
          <w:rFonts w:asciiTheme="majorBidi" w:hAnsiTheme="majorBidi" w:cstheme="majorBidi"/>
          <w:color w:val="000000" w:themeColor="text1"/>
          <w:sz w:val="24"/>
          <w:szCs w:val="24"/>
        </w:rPr>
        <w:lastRenderedPageBreak/>
        <w:t xml:space="preserve">the expense of quality, traceability and long-term brand equity. When food sector failures occur, trust can be quickly lost, and consumers may not be able to assess numerous safety and quality attributes on their own (Dunning &amp; Lundan, 2008; Sungnoi &amp; Soonthonsmai, 2024; Al Falaha et al., 2024). </w:t>
      </w:r>
    </w:p>
    <w:p w14:paraId="6C0036A1"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However, in the first phase complete internalisation is not required. Access to the market through a Moroccan partner can be done more efficiently with regard to retailer access, regulatory communication, warehousing, procurement and culture. The best option is thus Selective Internalisation via the majority control Joint Venture, where TCPL keeps control of the brand critical assets and the majority of the activities are carried out in a shared manner (Brouthers et al., 2022; Chamchati &amp; El Mabrouki, 2025; Moreira da Silva et al., 2024). </w:t>
      </w:r>
    </w:p>
    <w:p w14:paraId="0AA8812A" w14:textId="441CB9D0" w:rsidR="00EA5A0A" w:rsidRPr="00EA5A0A" w:rsidRDefault="00EA5A0A" w:rsidP="00EA5A0A">
      <w:pPr>
        <w:pStyle w:val="NormalWeb"/>
        <w:spacing w:line="360" w:lineRule="auto"/>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 </w:t>
      </w:r>
      <w:r w:rsidRPr="00EA5A0A">
        <w:rPr>
          <w:rFonts w:asciiTheme="majorBidi" w:hAnsiTheme="majorBidi" w:cstheme="majorBidi"/>
          <w:color w:val="000000" w:themeColor="text1"/>
        </w:rPr>
        <w:drawing>
          <wp:inline distT="0" distB="0" distL="0" distR="0" wp14:anchorId="5D9B37DA" wp14:editId="47E435B7">
            <wp:extent cx="5731510" cy="4340860"/>
            <wp:effectExtent l="0" t="0" r="0" b="2540"/>
            <wp:docPr id="1081688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688999" name=""/>
                    <pic:cNvPicPr/>
                  </pic:nvPicPr>
                  <pic:blipFill>
                    <a:blip r:embed="rId11"/>
                    <a:stretch>
                      <a:fillRect/>
                    </a:stretch>
                  </pic:blipFill>
                  <pic:spPr>
                    <a:xfrm>
                      <a:off x="0" y="0"/>
                      <a:ext cx="5731510" cy="4340860"/>
                    </a:xfrm>
                    <a:prstGeom prst="rect">
                      <a:avLst/>
                    </a:prstGeom>
                  </pic:spPr>
                </pic:pic>
              </a:graphicData>
            </a:graphic>
          </wp:inline>
        </w:drawing>
      </w:r>
    </w:p>
    <w:p w14:paraId="7CD4986C" w14:textId="23BEFEA0" w:rsidR="004218A9" w:rsidRPr="00EA5A0A" w:rsidRDefault="004218A9" w:rsidP="00EA5A0A">
      <w:pPr>
        <w:spacing w:line="360" w:lineRule="auto"/>
        <w:ind w:left="360" w:firstLine="0"/>
        <w:jc w:val="both"/>
        <w:rPr>
          <w:rFonts w:asciiTheme="majorBidi" w:hAnsiTheme="majorBidi" w:cstheme="majorBidi"/>
          <w:b/>
          <w:bCs/>
          <w:color w:val="000000" w:themeColor="text1"/>
          <w:sz w:val="24"/>
          <w:szCs w:val="24"/>
        </w:rPr>
      </w:pPr>
      <w:r w:rsidRPr="00EA5A0A">
        <w:rPr>
          <w:rFonts w:asciiTheme="majorBidi" w:hAnsiTheme="majorBidi" w:cstheme="majorBidi"/>
          <w:b/>
          <w:bCs/>
          <w:color w:val="000000" w:themeColor="text1"/>
          <w:sz w:val="24"/>
          <w:szCs w:val="24"/>
        </w:rPr>
        <w:t>Figure 3</w:t>
      </w:r>
      <w:r w:rsidR="00E21832" w:rsidRPr="00EA5A0A">
        <w:rPr>
          <w:rFonts w:asciiTheme="majorBidi" w:hAnsiTheme="majorBidi" w:cstheme="majorBidi"/>
          <w:b/>
          <w:bCs/>
          <w:color w:val="000000" w:themeColor="text1"/>
          <w:sz w:val="24"/>
          <w:szCs w:val="24"/>
        </w:rPr>
        <w:t xml:space="preserve">: </w:t>
      </w:r>
      <w:r w:rsidRPr="00EA5A0A">
        <w:rPr>
          <w:rFonts w:asciiTheme="majorBidi" w:hAnsiTheme="majorBidi" w:cstheme="majorBidi"/>
          <w:b/>
          <w:bCs/>
          <w:color w:val="000000" w:themeColor="text1"/>
          <w:sz w:val="24"/>
          <w:szCs w:val="24"/>
        </w:rPr>
        <w:t>OLI Framework for Tetley’s Proposed Moroccan Entry</w:t>
      </w:r>
    </w:p>
    <w:p w14:paraId="3C17E421" w14:textId="5BF80CCA" w:rsidR="004218A9" w:rsidRPr="00EA5A0A" w:rsidRDefault="004218A9" w:rsidP="00EA5A0A">
      <w:pPr>
        <w:spacing w:line="360" w:lineRule="auto"/>
        <w:ind w:left="360" w:firstLine="0"/>
        <w:jc w:val="both"/>
        <w:rPr>
          <w:rFonts w:asciiTheme="majorBidi" w:hAnsiTheme="majorBidi" w:cstheme="majorBidi"/>
          <w:b/>
          <w:bCs/>
          <w:color w:val="000000" w:themeColor="text1"/>
          <w:sz w:val="24"/>
          <w:szCs w:val="24"/>
        </w:rPr>
      </w:pPr>
      <w:r w:rsidRPr="00EA5A0A">
        <w:rPr>
          <w:rFonts w:asciiTheme="majorBidi" w:hAnsiTheme="majorBidi" w:cstheme="majorBidi"/>
          <w:b/>
          <w:bCs/>
          <w:color w:val="000000" w:themeColor="text1"/>
          <w:sz w:val="24"/>
          <w:szCs w:val="24"/>
        </w:rPr>
        <w:t>Source: Tata Consumer Products (2026a).</w:t>
      </w:r>
    </w:p>
    <w:p w14:paraId="7B979E07" w14:textId="560F990B" w:rsidR="004218A9" w:rsidRPr="00EA5A0A" w:rsidRDefault="004218A9" w:rsidP="00EA5A0A">
      <w:pPr>
        <w:pStyle w:val="Heading2"/>
        <w:jc w:val="both"/>
        <w:rPr>
          <w:color w:val="000000" w:themeColor="text1"/>
        </w:rPr>
      </w:pPr>
      <w:bookmarkStart w:id="15" w:name="_Toc236402252"/>
      <w:r w:rsidRPr="00EA5A0A">
        <w:rPr>
          <w:color w:val="000000" w:themeColor="text1"/>
        </w:rPr>
        <w:lastRenderedPageBreak/>
        <w:t>Entry-Mode Strategy and Strategic Synthesis</w:t>
      </w:r>
      <w:bookmarkEnd w:id="15"/>
    </w:p>
    <w:p w14:paraId="02965CCC" w14:textId="37A7A726" w:rsidR="004218A9" w:rsidRPr="00EA5A0A" w:rsidRDefault="004218A9" w:rsidP="00EA5A0A">
      <w:pPr>
        <w:pStyle w:val="Heading3"/>
        <w:jc w:val="both"/>
        <w:rPr>
          <w:rFonts w:asciiTheme="majorBidi" w:hAnsiTheme="majorBidi"/>
          <w:color w:val="000000" w:themeColor="text1"/>
          <w:sz w:val="24"/>
          <w:szCs w:val="24"/>
        </w:rPr>
      </w:pPr>
      <w:bookmarkStart w:id="16" w:name="_Toc236402253"/>
      <w:r w:rsidRPr="00EA5A0A">
        <w:rPr>
          <w:rFonts w:asciiTheme="majorBidi" w:hAnsiTheme="majorBidi"/>
          <w:color w:val="000000" w:themeColor="text1"/>
          <w:sz w:val="24"/>
          <w:szCs w:val="24"/>
        </w:rPr>
        <w:t>TCPL’s Historical Entry-Mode Pattern</w:t>
      </w:r>
      <w:bookmarkEnd w:id="16"/>
    </w:p>
    <w:p w14:paraId="1D1128A6"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TCPL has not been using a single entry mode. It has international experience in exports, wholly owned subsidiaries, acquisitions &amp; minority investments and joint ventures. The Tetley, Good Earth, Eight O'Clock and Vitax deals brought brand names and packing and market expertise, while the Joekels investment provided local packing and market expertise. The Tata Starbucks is an example of a joint venture, in which both parties bring unique resources (Tata Consumer Products, 2026g; Brouthers et al., 2022; Andrews et al., 2023). </w:t>
      </w:r>
    </w:p>
    <w:p w14:paraId="36511D34"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TCPL's recent acquisitions of Organic India &amp; Capital Foods also highlight the company's approach of leveraging equity to gain brands and capabilities. But an acquisition strategy is most attractive if an appropriate acquisition candidate has some great IP or category leadership. It is possible that in Morocco, an immediate large incumbent acquisition could lead to integration challenges and unknown regulatory/commercial risks before TCPL fully grasps the market (Teece, 2025; Reilly et al., 2023; Lu et al., 2022).</w:t>
      </w:r>
    </w:p>
    <w:p w14:paraId="2DD7FCED" w14:textId="29496D27" w:rsidR="004218A9" w:rsidRPr="00EA5A0A" w:rsidRDefault="004218A9" w:rsidP="00EA5A0A">
      <w:pPr>
        <w:pStyle w:val="Heading3"/>
        <w:jc w:val="both"/>
        <w:rPr>
          <w:rFonts w:asciiTheme="majorBidi" w:hAnsiTheme="majorBidi"/>
          <w:color w:val="000000" w:themeColor="text1"/>
          <w:sz w:val="24"/>
          <w:szCs w:val="24"/>
        </w:rPr>
      </w:pPr>
      <w:bookmarkStart w:id="17" w:name="_Toc236402254"/>
      <w:r w:rsidRPr="00EA5A0A">
        <w:rPr>
          <w:rFonts w:asciiTheme="majorBidi" w:hAnsiTheme="majorBidi"/>
          <w:color w:val="000000" w:themeColor="text1"/>
          <w:sz w:val="24"/>
          <w:szCs w:val="24"/>
        </w:rPr>
        <w:t>Comparison of Entry Modes</w:t>
      </w:r>
      <w:bookmarkEnd w:id="17"/>
    </w:p>
    <w:p w14:paraId="204E5F86"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Limited product testing could be accomplished by direct exporting which would involve the least amount of capital. But locally packed tea would be a rival to finished imported packs, and would offer less cultural adaptation and less control over retail execution to TCPL. Pure exporting is not coherent with the value of the green tea industry since the value of the immediately packaged imports is negligible compared to bulk imports (WITS, 2026b, 2026c; Brouthers et al., 2022). </w:t>
      </w:r>
    </w:p>
    <w:p w14:paraId="79B35531"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Licensing and/or franchise would decrease investment, while allowing access to local capabilities, with the downside of compromising flavour, quality, marketing and food-safety compliance. Licensing is especially appropriate when the entrant's differentiation is based on more than just proprietary equipment and includes a sense of trust and repeat purchases (Sungnoi &amp; Soonthonsmai, 2024; Pradana et al., 2024; Al Falaha et al., 2024). </w:t>
      </w:r>
    </w:p>
    <w:p w14:paraId="6FD83DDF"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A 100% Greenfield subsidiary will enable us to have the maximum level of strategic control while also ensuring that we receive 100% of the profits going forward. However, TCPL would have to build relationships with retailers, regulation know-how, recruit in the local market, blend the product, and know the consumer market on its own. This would lead to greater time, </w:t>
      </w:r>
      <w:r w:rsidRPr="00EA5A0A">
        <w:rPr>
          <w:rFonts w:asciiTheme="majorBidi" w:hAnsiTheme="majorBidi" w:cstheme="majorBidi"/>
          <w:color w:val="000000" w:themeColor="text1"/>
          <w:sz w:val="24"/>
          <w:szCs w:val="24"/>
        </w:rPr>
        <w:lastRenderedPageBreak/>
        <w:t xml:space="preserve">foreignness capital exposure and liability (Lu et al., 2022; Moreira da Silva et al., 2024; Liesch &amp; Welch, 2024). </w:t>
      </w:r>
    </w:p>
    <w:p w14:paraId="55CA84A1"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This would give instant infrastructure and distribution through a Moroccan tea business. But it may be costly and complex to integrate, particularly if the target's own brands are incompatible with Tetley, or the target's systems have not been built to TCPL's standards. Acquisition should continue to be an option in the future, when TCPL has gained relevant market knowledge and a target firm that is compatible in terms of compliance, governance and brand (Reilly et al., 2023; Teece, 2025; Andrews et al., 2023). </w:t>
      </w:r>
    </w:p>
    <w:p w14:paraId="597C2C22" w14:textId="468F9102" w:rsidR="004218A9" w:rsidRPr="00EA5A0A" w:rsidRDefault="004218A9" w:rsidP="00EA5A0A">
      <w:pPr>
        <w:spacing w:line="360" w:lineRule="auto"/>
        <w:ind w:left="360" w:firstLine="0"/>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Table 3</w:t>
      </w:r>
      <w:r w:rsidR="00E21832" w:rsidRPr="00EA5A0A">
        <w:rPr>
          <w:rFonts w:asciiTheme="majorBidi" w:hAnsiTheme="majorBidi" w:cstheme="majorBidi"/>
          <w:color w:val="000000" w:themeColor="text1"/>
          <w:sz w:val="24"/>
          <w:szCs w:val="24"/>
        </w:rPr>
        <w:t xml:space="preserve">: </w:t>
      </w:r>
      <w:r w:rsidRPr="00EA5A0A">
        <w:rPr>
          <w:rStyle w:val="Strong"/>
          <w:rFonts w:asciiTheme="majorBidi" w:hAnsiTheme="majorBidi" w:cstheme="majorBidi"/>
          <w:color w:val="000000" w:themeColor="text1"/>
          <w:sz w:val="24"/>
          <w:szCs w:val="24"/>
        </w:rPr>
        <w:t>Weighted Evaluation of Entry Modes</w:t>
      </w:r>
    </w:p>
    <w:tbl>
      <w:tblPr>
        <w:tblStyle w:val="ListTable3-Accent5"/>
        <w:tblW w:w="0" w:type="auto"/>
        <w:tblLook w:val="04A0" w:firstRow="1" w:lastRow="0" w:firstColumn="1" w:lastColumn="0" w:noHBand="0" w:noVBand="1"/>
      </w:tblPr>
      <w:tblGrid>
        <w:gridCol w:w="1404"/>
        <w:gridCol w:w="1000"/>
        <w:gridCol w:w="1821"/>
        <w:gridCol w:w="1169"/>
        <w:gridCol w:w="1198"/>
        <w:gridCol w:w="1302"/>
        <w:gridCol w:w="1122"/>
      </w:tblGrid>
      <w:tr w:rsidR="004218A9" w:rsidRPr="00EA5A0A" w14:paraId="19A03E7A" w14:textId="77777777" w:rsidTr="00E2183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BB608B8" w14:textId="77777777" w:rsidR="004218A9" w:rsidRPr="00EA5A0A" w:rsidRDefault="004218A9" w:rsidP="00EA5A0A">
            <w:pPr>
              <w:spacing w:line="360" w:lineRule="auto"/>
              <w:ind w:left="360" w:firstLine="0"/>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Decision criterion</w:t>
            </w:r>
          </w:p>
        </w:tc>
        <w:tc>
          <w:tcPr>
            <w:tcW w:w="0" w:type="auto"/>
            <w:hideMark/>
          </w:tcPr>
          <w:p w14:paraId="617931B1" w14:textId="77777777" w:rsidR="004218A9" w:rsidRPr="00EA5A0A" w:rsidRDefault="004218A9" w:rsidP="00EA5A0A">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Weight</w:t>
            </w:r>
          </w:p>
        </w:tc>
        <w:tc>
          <w:tcPr>
            <w:tcW w:w="0" w:type="auto"/>
            <w:hideMark/>
          </w:tcPr>
          <w:p w14:paraId="01742BA5" w14:textId="77777777" w:rsidR="004218A9" w:rsidRPr="00EA5A0A" w:rsidRDefault="004218A9" w:rsidP="00EA5A0A">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Export/distributor</w:t>
            </w:r>
          </w:p>
        </w:tc>
        <w:tc>
          <w:tcPr>
            <w:tcW w:w="0" w:type="auto"/>
            <w:hideMark/>
          </w:tcPr>
          <w:p w14:paraId="60BB1256" w14:textId="77777777" w:rsidR="004218A9" w:rsidRPr="00EA5A0A" w:rsidRDefault="004218A9" w:rsidP="00EA5A0A">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Licensing</w:t>
            </w:r>
          </w:p>
        </w:tc>
        <w:tc>
          <w:tcPr>
            <w:tcW w:w="0" w:type="auto"/>
            <w:hideMark/>
          </w:tcPr>
          <w:p w14:paraId="03BB4C55" w14:textId="77777777" w:rsidR="004218A9" w:rsidRPr="00EA5A0A" w:rsidRDefault="004218A9" w:rsidP="00EA5A0A">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Wholly owned greenfield</w:t>
            </w:r>
          </w:p>
        </w:tc>
        <w:tc>
          <w:tcPr>
            <w:tcW w:w="0" w:type="auto"/>
            <w:hideMark/>
          </w:tcPr>
          <w:p w14:paraId="436C04B6" w14:textId="77777777" w:rsidR="004218A9" w:rsidRPr="00EA5A0A" w:rsidRDefault="004218A9" w:rsidP="00EA5A0A">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Acquisition</w:t>
            </w:r>
          </w:p>
        </w:tc>
        <w:tc>
          <w:tcPr>
            <w:tcW w:w="0" w:type="auto"/>
            <w:hideMark/>
          </w:tcPr>
          <w:p w14:paraId="21FD9DED" w14:textId="77777777" w:rsidR="004218A9" w:rsidRPr="00EA5A0A" w:rsidRDefault="004218A9" w:rsidP="00EA5A0A">
            <w:pPr>
              <w:spacing w:line="360" w:lineRule="auto"/>
              <w:ind w:left="360" w:firstLine="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Majority joint venture</w:t>
            </w:r>
          </w:p>
        </w:tc>
      </w:tr>
      <w:tr w:rsidR="004218A9" w:rsidRPr="00EA5A0A" w14:paraId="58414688" w14:textId="77777777" w:rsidTr="00E21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899CB2" w14:textId="77777777" w:rsidR="004218A9" w:rsidRPr="00EA5A0A" w:rsidRDefault="004218A9" w:rsidP="00EA5A0A">
            <w:pPr>
              <w:spacing w:line="360" w:lineRule="auto"/>
              <w:ind w:left="360" w:firstLine="0"/>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Product and brand control</w:t>
            </w:r>
          </w:p>
        </w:tc>
        <w:tc>
          <w:tcPr>
            <w:tcW w:w="0" w:type="auto"/>
            <w:hideMark/>
          </w:tcPr>
          <w:p w14:paraId="414D325A"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20%</w:t>
            </w:r>
          </w:p>
        </w:tc>
        <w:tc>
          <w:tcPr>
            <w:tcW w:w="0" w:type="auto"/>
            <w:hideMark/>
          </w:tcPr>
          <w:p w14:paraId="499190CB"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3</w:t>
            </w:r>
          </w:p>
        </w:tc>
        <w:tc>
          <w:tcPr>
            <w:tcW w:w="0" w:type="auto"/>
            <w:hideMark/>
          </w:tcPr>
          <w:p w14:paraId="706C9D60"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2</w:t>
            </w:r>
          </w:p>
        </w:tc>
        <w:tc>
          <w:tcPr>
            <w:tcW w:w="0" w:type="auto"/>
            <w:hideMark/>
          </w:tcPr>
          <w:p w14:paraId="11DE5FB8"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5</w:t>
            </w:r>
          </w:p>
        </w:tc>
        <w:tc>
          <w:tcPr>
            <w:tcW w:w="0" w:type="auto"/>
            <w:hideMark/>
          </w:tcPr>
          <w:p w14:paraId="1B0AC247"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4</w:t>
            </w:r>
          </w:p>
        </w:tc>
        <w:tc>
          <w:tcPr>
            <w:tcW w:w="0" w:type="auto"/>
            <w:hideMark/>
          </w:tcPr>
          <w:p w14:paraId="06CBEC9F"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4</w:t>
            </w:r>
          </w:p>
        </w:tc>
      </w:tr>
      <w:tr w:rsidR="004218A9" w:rsidRPr="00EA5A0A" w14:paraId="72FE04E4" w14:textId="77777777" w:rsidTr="00E21832">
        <w:tc>
          <w:tcPr>
            <w:cnfStyle w:val="001000000000" w:firstRow="0" w:lastRow="0" w:firstColumn="1" w:lastColumn="0" w:oddVBand="0" w:evenVBand="0" w:oddHBand="0" w:evenHBand="0" w:firstRowFirstColumn="0" w:firstRowLastColumn="0" w:lastRowFirstColumn="0" w:lastRowLastColumn="0"/>
            <w:tcW w:w="0" w:type="auto"/>
            <w:hideMark/>
          </w:tcPr>
          <w:p w14:paraId="5B3BC724" w14:textId="77777777" w:rsidR="004218A9" w:rsidRPr="00EA5A0A" w:rsidRDefault="004218A9" w:rsidP="00EA5A0A">
            <w:pPr>
              <w:spacing w:line="360" w:lineRule="auto"/>
              <w:ind w:left="360" w:firstLine="0"/>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Local market knowledge</w:t>
            </w:r>
          </w:p>
        </w:tc>
        <w:tc>
          <w:tcPr>
            <w:tcW w:w="0" w:type="auto"/>
            <w:hideMark/>
          </w:tcPr>
          <w:p w14:paraId="1F5393F6"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20%</w:t>
            </w:r>
          </w:p>
        </w:tc>
        <w:tc>
          <w:tcPr>
            <w:tcW w:w="0" w:type="auto"/>
            <w:hideMark/>
          </w:tcPr>
          <w:p w14:paraId="645FFCB6"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2</w:t>
            </w:r>
          </w:p>
        </w:tc>
        <w:tc>
          <w:tcPr>
            <w:tcW w:w="0" w:type="auto"/>
            <w:hideMark/>
          </w:tcPr>
          <w:p w14:paraId="516EC2BC"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4</w:t>
            </w:r>
          </w:p>
        </w:tc>
        <w:tc>
          <w:tcPr>
            <w:tcW w:w="0" w:type="auto"/>
            <w:hideMark/>
          </w:tcPr>
          <w:p w14:paraId="2131805D"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2</w:t>
            </w:r>
          </w:p>
        </w:tc>
        <w:tc>
          <w:tcPr>
            <w:tcW w:w="0" w:type="auto"/>
            <w:hideMark/>
          </w:tcPr>
          <w:p w14:paraId="03163001"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5</w:t>
            </w:r>
          </w:p>
        </w:tc>
        <w:tc>
          <w:tcPr>
            <w:tcW w:w="0" w:type="auto"/>
            <w:hideMark/>
          </w:tcPr>
          <w:p w14:paraId="053C3D08"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5</w:t>
            </w:r>
          </w:p>
        </w:tc>
      </w:tr>
      <w:tr w:rsidR="004218A9" w:rsidRPr="00EA5A0A" w14:paraId="4C2DB612" w14:textId="77777777" w:rsidTr="00E21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0E9D61" w14:textId="77777777" w:rsidR="004218A9" w:rsidRPr="00EA5A0A" w:rsidRDefault="004218A9" w:rsidP="00EA5A0A">
            <w:pPr>
              <w:spacing w:line="360" w:lineRule="auto"/>
              <w:ind w:left="360" w:firstLine="0"/>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Regulatory capability</w:t>
            </w:r>
          </w:p>
        </w:tc>
        <w:tc>
          <w:tcPr>
            <w:tcW w:w="0" w:type="auto"/>
            <w:hideMark/>
          </w:tcPr>
          <w:p w14:paraId="49B85C7E"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15%</w:t>
            </w:r>
          </w:p>
        </w:tc>
        <w:tc>
          <w:tcPr>
            <w:tcW w:w="0" w:type="auto"/>
            <w:hideMark/>
          </w:tcPr>
          <w:p w14:paraId="40C127D6"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2</w:t>
            </w:r>
          </w:p>
        </w:tc>
        <w:tc>
          <w:tcPr>
            <w:tcW w:w="0" w:type="auto"/>
            <w:hideMark/>
          </w:tcPr>
          <w:p w14:paraId="4D222352"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3</w:t>
            </w:r>
          </w:p>
        </w:tc>
        <w:tc>
          <w:tcPr>
            <w:tcW w:w="0" w:type="auto"/>
            <w:hideMark/>
          </w:tcPr>
          <w:p w14:paraId="31B1CDD1"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2</w:t>
            </w:r>
          </w:p>
        </w:tc>
        <w:tc>
          <w:tcPr>
            <w:tcW w:w="0" w:type="auto"/>
            <w:hideMark/>
          </w:tcPr>
          <w:p w14:paraId="0D319A47"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4</w:t>
            </w:r>
          </w:p>
        </w:tc>
        <w:tc>
          <w:tcPr>
            <w:tcW w:w="0" w:type="auto"/>
            <w:hideMark/>
          </w:tcPr>
          <w:p w14:paraId="42F856FB"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5</w:t>
            </w:r>
          </w:p>
        </w:tc>
      </w:tr>
      <w:tr w:rsidR="004218A9" w:rsidRPr="00EA5A0A" w14:paraId="65B41E3C" w14:textId="77777777" w:rsidTr="00E21832">
        <w:tc>
          <w:tcPr>
            <w:cnfStyle w:val="001000000000" w:firstRow="0" w:lastRow="0" w:firstColumn="1" w:lastColumn="0" w:oddVBand="0" w:evenVBand="0" w:oddHBand="0" w:evenHBand="0" w:firstRowFirstColumn="0" w:firstRowLastColumn="0" w:lastRowFirstColumn="0" w:lastRowLastColumn="0"/>
            <w:tcW w:w="0" w:type="auto"/>
            <w:hideMark/>
          </w:tcPr>
          <w:p w14:paraId="10AEB70B" w14:textId="77777777" w:rsidR="004218A9" w:rsidRPr="00EA5A0A" w:rsidRDefault="004218A9" w:rsidP="00EA5A0A">
            <w:pPr>
              <w:spacing w:line="360" w:lineRule="auto"/>
              <w:ind w:left="360" w:firstLine="0"/>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Capital-risk management</w:t>
            </w:r>
          </w:p>
        </w:tc>
        <w:tc>
          <w:tcPr>
            <w:tcW w:w="0" w:type="auto"/>
            <w:hideMark/>
          </w:tcPr>
          <w:p w14:paraId="19B0E70F"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15%</w:t>
            </w:r>
          </w:p>
        </w:tc>
        <w:tc>
          <w:tcPr>
            <w:tcW w:w="0" w:type="auto"/>
            <w:hideMark/>
          </w:tcPr>
          <w:p w14:paraId="329CD78F"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5</w:t>
            </w:r>
          </w:p>
        </w:tc>
        <w:tc>
          <w:tcPr>
            <w:tcW w:w="0" w:type="auto"/>
            <w:hideMark/>
          </w:tcPr>
          <w:p w14:paraId="460649C3"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5</w:t>
            </w:r>
          </w:p>
        </w:tc>
        <w:tc>
          <w:tcPr>
            <w:tcW w:w="0" w:type="auto"/>
            <w:hideMark/>
          </w:tcPr>
          <w:p w14:paraId="7A489C3F"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2</w:t>
            </w:r>
          </w:p>
        </w:tc>
        <w:tc>
          <w:tcPr>
            <w:tcW w:w="0" w:type="auto"/>
            <w:hideMark/>
          </w:tcPr>
          <w:p w14:paraId="4E9F17FE"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1</w:t>
            </w:r>
          </w:p>
        </w:tc>
        <w:tc>
          <w:tcPr>
            <w:tcW w:w="0" w:type="auto"/>
            <w:hideMark/>
          </w:tcPr>
          <w:p w14:paraId="486855E5"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3</w:t>
            </w:r>
          </w:p>
        </w:tc>
      </w:tr>
      <w:tr w:rsidR="004218A9" w:rsidRPr="00EA5A0A" w14:paraId="1C040DB3" w14:textId="77777777" w:rsidTr="00E21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F8E127" w14:textId="77777777" w:rsidR="004218A9" w:rsidRPr="00EA5A0A" w:rsidRDefault="004218A9" w:rsidP="00EA5A0A">
            <w:pPr>
              <w:spacing w:line="360" w:lineRule="auto"/>
              <w:ind w:left="360" w:firstLine="0"/>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lastRenderedPageBreak/>
              <w:t>Speed and distribution access</w:t>
            </w:r>
          </w:p>
        </w:tc>
        <w:tc>
          <w:tcPr>
            <w:tcW w:w="0" w:type="auto"/>
            <w:hideMark/>
          </w:tcPr>
          <w:p w14:paraId="6BE26A95"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15%</w:t>
            </w:r>
          </w:p>
        </w:tc>
        <w:tc>
          <w:tcPr>
            <w:tcW w:w="0" w:type="auto"/>
            <w:hideMark/>
          </w:tcPr>
          <w:p w14:paraId="681FD907"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4</w:t>
            </w:r>
          </w:p>
        </w:tc>
        <w:tc>
          <w:tcPr>
            <w:tcW w:w="0" w:type="auto"/>
            <w:hideMark/>
          </w:tcPr>
          <w:p w14:paraId="28D5C7F9"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4</w:t>
            </w:r>
          </w:p>
        </w:tc>
        <w:tc>
          <w:tcPr>
            <w:tcW w:w="0" w:type="auto"/>
            <w:hideMark/>
          </w:tcPr>
          <w:p w14:paraId="2C655A8C"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2</w:t>
            </w:r>
          </w:p>
        </w:tc>
        <w:tc>
          <w:tcPr>
            <w:tcW w:w="0" w:type="auto"/>
            <w:hideMark/>
          </w:tcPr>
          <w:p w14:paraId="474F8473"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5</w:t>
            </w:r>
          </w:p>
        </w:tc>
        <w:tc>
          <w:tcPr>
            <w:tcW w:w="0" w:type="auto"/>
            <w:hideMark/>
          </w:tcPr>
          <w:p w14:paraId="50991694"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4</w:t>
            </w:r>
          </w:p>
        </w:tc>
      </w:tr>
      <w:tr w:rsidR="004218A9" w:rsidRPr="00EA5A0A" w14:paraId="7063E4F0" w14:textId="77777777" w:rsidTr="00E21832">
        <w:tc>
          <w:tcPr>
            <w:cnfStyle w:val="001000000000" w:firstRow="0" w:lastRow="0" w:firstColumn="1" w:lastColumn="0" w:oddVBand="0" w:evenVBand="0" w:oddHBand="0" w:evenHBand="0" w:firstRowFirstColumn="0" w:firstRowLastColumn="0" w:lastRowFirstColumn="0" w:lastRowLastColumn="0"/>
            <w:tcW w:w="0" w:type="auto"/>
            <w:hideMark/>
          </w:tcPr>
          <w:p w14:paraId="628E4F03" w14:textId="77777777" w:rsidR="004218A9" w:rsidRPr="00EA5A0A" w:rsidRDefault="004218A9" w:rsidP="00EA5A0A">
            <w:pPr>
              <w:spacing w:line="360" w:lineRule="auto"/>
              <w:ind w:left="360" w:firstLine="0"/>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Long-term strategic learning</w:t>
            </w:r>
          </w:p>
        </w:tc>
        <w:tc>
          <w:tcPr>
            <w:tcW w:w="0" w:type="auto"/>
            <w:hideMark/>
          </w:tcPr>
          <w:p w14:paraId="087A0EC5"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15%</w:t>
            </w:r>
          </w:p>
        </w:tc>
        <w:tc>
          <w:tcPr>
            <w:tcW w:w="0" w:type="auto"/>
            <w:hideMark/>
          </w:tcPr>
          <w:p w14:paraId="4D954587"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2</w:t>
            </w:r>
          </w:p>
        </w:tc>
        <w:tc>
          <w:tcPr>
            <w:tcW w:w="0" w:type="auto"/>
            <w:hideMark/>
          </w:tcPr>
          <w:p w14:paraId="72991B17"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2</w:t>
            </w:r>
          </w:p>
        </w:tc>
        <w:tc>
          <w:tcPr>
            <w:tcW w:w="0" w:type="auto"/>
            <w:hideMark/>
          </w:tcPr>
          <w:p w14:paraId="76B13365"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5</w:t>
            </w:r>
          </w:p>
        </w:tc>
        <w:tc>
          <w:tcPr>
            <w:tcW w:w="0" w:type="auto"/>
            <w:hideMark/>
          </w:tcPr>
          <w:p w14:paraId="070D9511"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4</w:t>
            </w:r>
          </w:p>
        </w:tc>
        <w:tc>
          <w:tcPr>
            <w:tcW w:w="0" w:type="auto"/>
            <w:hideMark/>
          </w:tcPr>
          <w:p w14:paraId="2F1C6BE4" w14:textId="77777777" w:rsidR="004218A9" w:rsidRPr="00EA5A0A" w:rsidRDefault="004218A9" w:rsidP="00EA5A0A">
            <w:pPr>
              <w:spacing w:line="360" w:lineRule="auto"/>
              <w:ind w:left="360" w:firstLine="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5</w:t>
            </w:r>
          </w:p>
        </w:tc>
      </w:tr>
      <w:tr w:rsidR="004218A9" w:rsidRPr="00EA5A0A" w14:paraId="5CF48DE3" w14:textId="77777777" w:rsidTr="00E21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52C698" w14:textId="77777777" w:rsidR="004218A9" w:rsidRPr="00EA5A0A" w:rsidRDefault="004218A9" w:rsidP="00EA5A0A">
            <w:pPr>
              <w:spacing w:line="360" w:lineRule="auto"/>
              <w:ind w:left="360" w:firstLine="0"/>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Weighted score out of five</w:t>
            </w:r>
          </w:p>
        </w:tc>
        <w:tc>
          <w:tcPr>
            <w:tcW w:w="0" w:type="auto"/>
            <w:hideMark/>
          </w:tcPr>
          <w:p w14:paraId="5999955A"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100%</w:t>
            </w:r>
          </w:p>
        </w:tc>
        <w:tc>
          <w:tcPr>
            <w:tcW w:w="0" w:type="auto"/>
            <w:hideMark/>
          </w:tcPr>
          <w:p w14:paraId="74037941"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2.90</w:t>
            </w:r>
          </w:p>
        </w:tc>
        <w:tc>
          <w:tcPr>
            <w:tcW w:w="0" w:type="auto"/>
            <w:hideMark/>
          </w:tcPr>
          <w:p w14:paraId="444FB178"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3.25</w:t>
            </w:r>
          </w:p>
        </w:tc>
        <w:tc>
          <w:tcPr>
            <w:tcW w:w="0" w:type="auto"/>
            <w:hideMark/>
          </w:tcPr>
          <w:p w14:paraId="40581000"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3.10</w:t>
            </w:r>
          </w:p>
        </w:tc>
        <w:tc>
          <w:tcPr>
            <w:tcW w:w="0" w:type="auto"/>
            <w:hideMark/>
          </w:tcPr>
          <w:p w14:paraId="0D6AADD0"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3.90</w:t>
            </w:r>
          </w:p>
        </w:tc>
        <w:tc>
          <w:tcPr>
            <w:tcW w:w="0" w:type="auto"/>
            <w:hideMark/>
          </w:tcPr>
          <w:p w14:paraId="509AC7EC" w14:textId="77777777" w:rsidR="004218A9" w:rsidRPr="00EA5A0A" w:rsidRDefault="004218A9" w:rsidP="00EA5A0A">
            <w:pPr>
              <w:spacing w:line="360" w:lineRule="auto"/>
              <w:ind w:left="360" w:firstLine="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4.40</w:t>
            </w:r>
          </w:p>
        </w:tc>
      </w:tr>
    </w:tbl>
    <w:p w14:paraId="2CF41F8C" w14:textId="36D2124D" w:rsidR="004218A9" w:rsidRPr="00EA5A0A" w:rsidRDefault="004218A9" w:rsidP="00EA5A0A">
      <w:pPr>
        <w:pStyle w:val="NormalWeb"/>
        <w:spacing w:line="360" w:lineRule="auto"/>
        <w:jc w:val="both"/>
        <w:rPr>
          <w:rFonts w:asciiTheme="majorBidi" w:hAnsiTheme="majorBidi" w:cstheme="majorBidi"/>
          <w:color w:val="000000" w:themeColor="text1"/>
        </w:rPr>
      </w:pPr>
      <w:r w:rsidRPr="00EA5A0A">
        <w:rPr>
          <w:rStyle w:val="Strong"/>
          <w:rFonts w:asciiTheme="majorBidi" w:hAnsiTheme="majorBidi" w:cstheme="majorBidi"/>
          <w:color w:val="000000" w:themeColor="text1"/>
        </w:rPr>
        <w:t>Scoring:</w:t>
      </w:r>
      <w:r w:rsidRPr="00EA5A0A">
        <w:rPr>
          <w:rFonts w:asciiTheme="majorBidi" w:hAnsiTheme="majorBidi" w:cstheme="majorBidi"/>
          <w:color w:val="000000" w:themeColor="text1"/>
        </w:rPr>
        <w:t xml:space="preserve"> 1 = very weak; 5 = very strong.</w:t>
      </w:r>
      <w:r w:rsidRPr="00EA5A0A">
        <w:rPr>
          <w:rFonts w:asciiTheme="majorBidi" w:hAnsiTheme="majorBidi" w:cstheme="majorBidi"/>
          <w:color w:val="000000" w:themeColor="text1"/>
        </w:rPr>
        <w:br/>
      </w:r>
      <w:r w:rsidRPr="00EA5A0A">
        <w:rPr>
          <w:rStyle w:val="Strong"/>
          <w:rFonts w:asciiTheme="majorBidi" w:hAnsiTheme="majorBidi" w:cstheme="majorBidi"/>
          <w:color w:val="000000" w:themeColor="text1"/>
        </w:rPr>
        <w:t>Source:</w:t>
      </w:r>
      <w:r w:rsidRPr="00EA5A0A">
        <w:rPr>
          <w:rFonts w:asciiTheme="majorBidi" w:hAnsiTheme="majorBidi" w:cstheme="majorBidi"/>
          <w:color w:val="000000" w:themeColor="text1"/>
        </w:rPr>
        <w:t xml:space="preserve"> Lu et al. (2022).</w:t>
      </w:r>
    </w:p>
    <w:p w14:paraId="2C6B0EC9" w14:textId="3414D7C9" w:rsidR="004218A9" w:rsidRPr="00EA5A0A" w:rsidRDefault="004218A9" w:rsidP="00EA5A0A">
      <w:pPr>
        <w:pStyle w:val="Heading3"/>
        <w:jc w:val="both"/>
        <w:rPr>
          <w:rFonts w:asciiTheme="majorBidi" w:hAnsiTheme="majorBidi"/>
          <w:color w:val="000000" w:themeColor="text1"/>
          <w:sz w:val="24"/>
          <w:szCs w:val="24"/>
        </w:rPr>
      </w:pPr>
      <w:bookmarkStart w:id="18" w:name="_Toc236402255"/>
      <w:r w:rsidRPr="00EA5A0A">
        <w:rPr>
          <w:rFonts w:asciiTheme="majorBidi" w:hAnsiTheme="majorBidi"/>
          <w:color w:val="000000" w:themeColor="text1"/>
          <w:sz w:val="24"/>
          <w:szCs w:val="24"/>
        </w:rPr>
        <w:t>Recommended Mode: Majority-Controlled Joint Venture</w:t>
      </w:r>
      <w:bookmarkEnd w:id="18"/>
    </w:p>
    <w:p w14:paraId="630522C7"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TCPL should form a joint venture with a Moroccan tea importer, blender, packer or fast-moving-consumer-goods (FMCG) retailer, where they control the venture by 60:40 or 51:49 ratio. TCPL should have the majority ownership percentage, with the exact percentage to be determined based on the valuation and due diligence to comply with regulations, given that TCPL is contributing the international brand, technical systems and strategic capital. The local partner needs to have a high enough material share to ensure that they are incentivized to transfer knowledge and to commit (Brouthers et al., 2022; Chamchati &amp; El Mabrouki, 2025; Moreira da Silva et al., 2024). </w:t>
      </w:r>
    </w:p>
    <w:p w14:paraId="571429F2"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TCPL should manage product specifications, supplier approval, quality assurance, brand use and digital data, sustainability claims, senior finance appointments, and big capital decisions. The Moroccan partner to be responsible for regulatory liaison, local recruitment, negotiation with retail, logistics and Arabic/French communication and local sourcing of </w:t>
      </w:r>
      <w:r w:rsidRPr="00EA5A0A">
        <w:rPr>
          <w:rFonts w:asciiTheme="majorBidi" w:hAnsiTheme="majorBidi" w:cstheme="majorBidi"/>
          <w:color w:val="000000" w:themeColor="text1"/>
          <w:sz w:val="24"/>
          <w:szCs w:val="24"/>
        </w:rPr>
        <w:lastRenderedPageBreak/>
        <w:t>ingredients. Contractual provisions of reserved matters, audit rights, anti-corruption provisions, intellectual-property protection, dispute-resolution procedures should be in place.</w:t>
      </w:r>
    </w:p>
    <w:p w14:paraId="3B9A1A35"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A formal due-diligence scorecard should be used for partner selection, including ONSSA compliance, product-recall history, financial stability, retailer coverage, warehousing, management reputation and related-party relationships and environmental performance. Interorganisational trust is valuable, but does not replace governance and partner capability which is verifiable (Lu et al., 2022, Edman et al., 2024; Teece, 2025; international alliance research). </w:t>
      </w:r>
    </w:p>
    <w:p w14:paraId="11854049" w14:textId="3DCA107C" w:rsidR="00EA5A0A" w:rsidRPr="00EA5A0A" w:rsidRDefault="00EA5A0A" w:rsidP="00EA5A0A">
      <w:pPr>
        <w:pStyle w:val="NormalWeb"/>
        <w:spacing w:line="360" w:lineRule="auto"/>
        <w:jc w:val="both"/>
        <w:rPr>
          <w:rFonts w:asciiTheme="majorBidi" w:hAnsiTheme="majorBidi" w:cstheme="majorBidi"/>
          <w:color w:val="000000" w:themeColor="text1"/>
        </w:rPr>
      </w:pPr>
      <w:r w:rsidRPr="00EA5A0A">
        <w:rPr>
          <w:rFonts w:asciiTheme="majorBidi" w:hAnsiTheme="majorBidi" w:cstheme="majorBidi"/>
          <w:color w:val="000000" w:themeColor="text1"/>
        </w:rPr>
        <w:drawing>
          <wp:inline distT="0" distB="0" distL="0" distR="0" wp14:anchorId="0BE73C44" wp14:editId="2FEEBB6F">
            <wp:extent cx="5731510" cy="4166235"/>
            <wp:effectExtent l="0" t="0" r="0" b="0"/>
            <wp:docPr id="674601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601744" name=""/>
                    <pic:cNvPicPr/>
                  </pic:nvPicPr>
                  <pic:blipFill>
                    <a:blip r:embed="rId12"/>
                    <a:stretch>
                      <a:fillRect/>
                    </a:stretch>
                  </pic:blipFill>
                  <pic:spPr>
                    <a:xfrm>
                      <a:off x="0" y="0"/>
                      <a:ext cx="5731510" cy="4166235"/>
                    </a:xfrm>
                    <a:prstGeom prst="rect">
                      <a:avLst/>
                    </a:prstGeom>
                  </pic:spPr>
                </pic:pic>
              </a:graphicData>
            </a:graphic>
          </wp:inline>
        </w:drawing>
      </w:r>
    </w:p>
    <w:p w14:paraId="09093FDB" w14:textId="3962828C" w:rsidR="004218A9" w:rsidRPr="00EA5A0A" w:rsidRDefault="004218A9" w:rsidP="00EA5A0A">
      <w:pPr>
        <w:pStyle w:val="NoSpacing"/>
        <w:spacing w:line="360" w:lineRule="auto"/>
        <w:jc w:val="both"/>
        <w:rPr>
          <w:rFonts w:asciiTheme="majorBidi" w:hAnsiTheme="majorBidi" w:cstheme="majorBidi"/>
          <w:b/>
          <w:bCs/>
          <w:color w:val="000000" w:themeColor="text1"/>
          <w:sz w:val="24"/>
          <w:szCs w:val="24"/>
        </w:rPr>
      </w:pPr>
      <w:r w:rsidRPr="00EA5A0A">
        <w:rPr>
          <w:rFonts w:asciiTheme="majorBidi" w:hAnsiTheme="majorBidi" w:cstheme="majorBidi"/>
          <w:b/>
          <w:bCs/>
          <w:color w:val="000000" w:themeColor="text1"/>
          <w:sz w:val="24"/>
          <w:szCs w:val="24"/>
        </w:rPr>
        <w:t>Figure 4</w:t>
      </w:r>
      <w:r w:rsidR="00E21832" w:rsidRPr="00EA5A0A">
        <w:rPr>
          <w:rFonts w:asciiTheme="majorBidi" w:hAnsiTheme="majorBidi" w:cstheme="majorBidi"/>
          <w:b/>
          <w:bCs/>
          <w:color w:val="000000" w:themeColor="text1"/>
          <w:sz w:val="24"/>
          <w:szCs w:val="24"/>
        </w:rPr>
        <w:t xml:space="preserve">: </w:t>
      </w:r>
      <w:r w:rsidRPr="00EA5A0A">
        <w:rPr>
          <w:rStyle w:val="Strong"/>
          <w:rFonts w:asciiTheme="majorBidi" w:hAnsiTheme="majorBidi" w:cstheme="majorBidi"/>
          <w:color w:val="000000" w:themeColor="text1"/>
          <w:sz w:val="24"/>
          <w:szCs w:val="24"/>
        </w:rPr>
        <w:t>Recommended Phased Moroccan Market-Entry Roadmap</w:t>
      </w:r>
    </w:p>
    <w:p w14:paraId="4EE4C4DD" w14:textId="43A30A89" w:rsidR="004218A9" w:rsidRPr="00EA5A0A" w:rsidRDefault="004218A9" w:rsidP="00EA5A0A">
      <w:pPr>
        <w:pStyle w:val="NoSpacing"/>
        <w:spacing w:line="360" w:lineRule="auto"/>
        <w:jc w:val="both"/>
        <w:rPr>
          <w:rFonts w:asciiTheme="majorBidi" w:hAnsiTheme="majorBidi" w:cstheme="majorBidi"/>
          <w:b/>
          <w:bCs/>
          <w:color w:val="000000" w:themeColor="text1"/>
          <w:sz w:val="24"/>
          <w:szCs w:val="24"/>
        </w:rPr>
      </w:pPr>
      <w:r w:rsidRPr="00EA5A0A">
        <w:rPr>
          <w:rStyle w:val="Strong"/>
          <w:rFonts w:asciiTheme="majorBidi" w:hAnsiTheme="majorBidi" w:cstheme="majorBidi"/>
          <w:color w:val="000000" w:themeColor="text1"/>
          <w:sz w:val="24"/>
          <w:szCs w:val="24"/>
        </w:rPr>
        <w:t>Source:</w:t>
      </w:r>
      <w:r w:rsidRPr="00EA5A0A">
        <w:rPr>
          <w:rFonts w:asciiTheme="majorBidi" w:hAnsiTheme="majorBidi" w:cstheme="majorBidi"/>
          <w:b/>
          <w:bCs/>
          <w:color w:val="000000" w:themeColor="text1"/>
          <w:sz w:val="24"/>
          <w:szCs w:val="24"/>
        </w:rPr>
        <w:t xml:space="preserve"> Brouthers et al. (2022), and Teece (2025).</w:t>
      </w:r>
    </w:p>
    <w:p w14:paraId="57B2A2AC"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Testing should be done of 3 or 4 products (not an entire product line) in Phase 1. Sweetness expectation, brewing colour, mint intensity and package format are factors for consumer panels to compare. Modern retail stores and neighbourhood stores should be covered in sales tests as otherwise evidence would not be representative of the tea market in Morocco as a whole, and </w:t>
      </w:r>
      <w:r w:rsidRPr="00EA5A0A">
        <w:rPr>
          <w:rFonts w:asciiTheme="majorBidi" w:hAnsiTheme="majorBidi" w:cstheme="majorBidi"/>
          <w:color w:val="000000" w:themeColor="text1"/>
          <w:sz w:val="24"/>
          <w:szCs w:val="24"/>
        </w:rPr>
        <w:lastRenderedPageBreak/>
        <w:t>only in the supermarket. Aided brand awareness, trial, re-purchase, retailer re-order rate, gross margin and regulatory compliance should be included in performance indicators.</w:t>
      </w:r>
    </w:p>
    <w:p w14:paraId="7B1794FF"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Local blending and packing should be started during Phase 2 once demand has been validated. It could start importing bulk green tea that has been approved, and buy mint, selected herbs and some packaging locally. This would decrease freight on finished products, help to tell local-employment stories and generate quicker product adaption. TCPL should not, however, overstate the terms “Made in Morocco”, and the country of origin communication should be transparent (Lambarraa-Lehnhardt et al., 2021; Edman et al., 2024; Sousa et al., 2024). </w:t>
      </w:r>
    </w:p>
    <w:p w14:paraId="52BBE5C9"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Large supermarket, wholesalers, neighbourhood retailers, hospitality customers and e-commerce should be all incorporated in the channel strategy. Digital media is a way to show preparation techniques, provide sourcing information and/or subscriptions or gifts. However, there are also economic considerations for omnichannel investment, as online growth can lead to higher fulfilment expenses and conflicts may arise when selling the same product at varying prices in different channels (Milligan et al., 2025; Kong et al., 2025; Wang, 2025). </w:t>
      </w:r>
    </w:p>
    <w:p w14:paraId="376274B7"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The brand statement that was proposed is: ‘Tetley Atay Nana: global tea expertise, blended for Moroccan moments’. This placement strives to be both international and cultural. Packaging should steer clear of stereotypical and/or exoticised representations of Morocco. There should be participation of local designers, tea preparers and consumers in development and marketing should be approved by a Moroccan cultural-review panel.</w:t>
      </w:r>
    </w:p>
    <w:p w14:paraId="1A6CB6EF" w14:textId="613E8ADF"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TCPL needs to have explicit stop/ revise/ expand criteria. Increasing product volumes should only occur when repeat purchase, reordering by retailers, product compliance and unit economics are all above specific limits. If consumers reject the Tetley brand name, but accept the product, TCPL may need to strengthen its local brand. In cases of compliance failure or partner-governance failure, the company should stop the growth or take contractual exit actions, and not bear sunk costs (Liesch &amp; Welch, 2024; Reilly et al., 2023; Teece, 2025).</w:t>
      </w:r>
    </w:p>
    <w:p w14:paraId="09D34C40" w14:textId="45FEA181" w:rsidR="004218A9" w:rsidRPr="00EA5A0A" w:rsidRDefault="004218A9" w:rsidP="00EA5A0A">
      <w:pPr>
        <w:pStyle w:val="Heading2"/>
        <w:jc w:val="both"/>
        <w:rPr>
          <w:color w:val="000000" w:themeColor="text1"/>
        </w:rPr>
      </w:pPr>
      <w:bookmarkStart w:id="19" w:name="_Toc236402256"/>
      <w:r w:rsidRPr="00EA5A0A">
        <w:rPr>
          <w:color w:val="000000" w:themeColor="text1"/>
        </w:rPr>
        <w:t>Conclusion and Recommendations</w:t>
      </w:r>
      <w:bookmarkEnd w:id="19"/>
    </w:p>
    <w:p w14:paraId="71879FF0"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Morocco is an appealing market for TCPL, but challenging from an institutional perspective. It has imported nearly 79 million kilograms of tea every year and has a well-established green and mint tea culture and already has a significant blending, packing and re-</w:t>
      </w:r>
      <w:r w:rsidRPr="00EA5A0A">
        <w:rPr>
          <w:rFonts w:asciiTheme="majorBidi" w:hAnsiTheme="majorBidi" w:cstheme="majorBidi"/>
          <w:color w:val="000000" w:themeColor="text1"/>
          <w:sz w:val="24"/>
          <w:szCs w:val="24"/>
        </w:rPr>
        <w:lastRenderedPageBreak/>
        <w:t xml:space="preserve">export plants. The opportunity is thus sufficiently large enough that it is worthwhile to make a formal market entry, but its value can not only be captured by unadapted exports (WITS, 2026a, 2026b; IMF, 2026). </w:t>
      </w:r>
    </w:p>
    <w:p w14:paraId="7B0F9E83"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TCPL is a transnational-leaning multinational company that has centralised brand, sourcing, innovation and quality capabilities, which are its competitive advantage, and market level adaptation. Ownership advantages are provided by Tetley's reputation, global tea expertise, sustainability systems and TCPL's financial resources. To Morocco, the location benefits are provided in the form of demand, culture of tea, packing facilities, and connectivity to the region. Protection of the product quality, trust of consumers and the brand is required via internalisation, however the access of local knowledge will be lost if it will be owned.</w:t>
      </w:r>
    </w:p>
    <w:p w14:paraId="15895854" w14:textId="77777777" w:rsidR="004218A9" w:rsidRPr="00EA5A0A" w:rsidRDefault="004218A9" w:rsidP="00EA5A0A">
      <w:pPr>
        <w:pStyle w:val="NormalWeb"/>
        <w:spacing w:line="360" w:lineRule="auto"/>
        <w:jc w:val="both"/>
        <w:rPr>
          <w:rFonts w:asciiTheme="majorBidi" w:hAnsiTheme="majorBidi" w:cstheme="majorBidi"/>
          <w:color w:val="000000" w:themeColor="text1"/>
        </w:rPr>
      </w:pPr>
      <w:r w:rsidRPr="00EA5A0A">
        <w:rPr>
          <w:rFonts w:asciiTheme="majorBidi" w:hAnsiTheme="majorBidi" w:cstheme="majorBidi"/>
          <w:color w:val="000000" w:themeColor="text1"/>
        </w:rPr>
        <w:t>The final recommendation is to enter Morocco through a phased, majority-controlled joint venture with an established Moroccan importer, blender and distributor. TCPL should:</w:t>
      </w:r>
    </w:p>
    <w:p w14:paraId="510E4FB4" w14:textId="77777777" w:rsidR="004218A9" w:rsidRPr="00EA5A0A" w:rsidRDefault="004218A9" w:rsidP="00EA5A0A">
      <w:pPr>
        <w:pStyle w:val="NormalWeb"/>
        <w:numPr>
          <w:ilvl w:val="0"/>
          <w:numId w:val="14"/>
        </w:numPr>
        <w:spacing w:line="360" w:lineRule="auto"/>
        <w:jc w:val="both"/>
        <w:rPr>
          <w:rFonts w:asciiTheme="majorBidi" w:hAnsiTheme="majorBidi" w:cstheme="majorBidi"/>
          <w:color w:val="000000" w:themeColor="text1"/>
        </w:rPr>
      </w:pPr>
      <w:r w:rsidRPr="00EA5A0A">
        <w:rPr>
          <w:rFonts w:asciiTheme="majorBidi" w:hAnsiTheme="majorBidi" w:cstheme="majorBidi"/>
          <w:color w:val="000000" w:themeColor="text1"/>
        </w:rPr>
        <w:t>Register the Tetley brand and proposed sub-brands before public testing.</w:t>
      </w:r>
    </w:p>
    <w:p w14:paraId="2D148748" w14:textId="77777777" w:rsidR="004218A9" w:rsidRPr="00EA5A0A" w:rsidRDefault="004218A9" w:rsidP="00EA5A0A">
      <w:pPr>
        <w:pStyle w:val="NormalWeb"/>
        <w:numPr>
          <w:ilvl w:val="0"/>
          <w:numId w:val="14"/>
        </w:numPr>
        <w:spacing w:line="360" w:lineRule="auto"/>
        <w:jc w:val="both"/>
        <w:rPr>
          <w:rFonts w:asciiTheme="majorBidi" w:hAnsiTheme="majorBidi" w:cstheme="majorBidi"/>
          <w:color w:val="000000" w:themeColor="text1"/>
        </w:rPr>
      </w:pPr>
      <w:r w:rsidRPr="00EA5A0A">
        <w:rPr>
          <w:rFonts w:asciiTheme="majorBidi" w:hAnsiTheme="majorBidi" w:cstheme="majorBidi"/>
          <w:color w:val="000000" w:themeColor="text1"/>
        </w:rPr>
        <w:t>Complete ONSSA, tea-composition and labelling compliance before commercial shipment.</w:t>
      </w:r>
    </w:p>
    <w:p w14:paraId="0796954C" w14:textId="77777777" w:rsidR="004218A9" w:rsidRPr="00EA5A0A" w:rsidRDefault="004218A9" w:rsidP="00EA5A0A">
      <w:pPr>
        <w:pStyle w:val="NormalWeb"/>
        <w:numPr>
          <w:ilvl w:val="0"/>
          <w:numId w:val="14"/>
        </w:numPr>
        <w:spacing w:line="360" w:lineRule="auto"/>
        <w:jc w:val="both"/>
        <w:rPr>
          <w:rFonts w:asciiTheme="majorBidi" w:hAnsiTheme="majorBidi" w:cstheme="majorBidi"/>
          <w:color w:val="000000" w:themeColor="text1"/>
        </w:rPr>
      </w:pPr>
      <w:r w:rsidRPr="00EA5A0A">
        <w:rPr>
          <w:rFonts w:asciiTheme="majorBidi" w:hAnsiTheme="majorBidi" w:cstheme="majorBidi"/>
          <w:color w:val="000000" w:themeColor="text1"/>
        </w:rPr>
        <w:t>Launch a narrow Tetley Atay Nana portfolio using Arabic and French packaging.</w:t>
      </w:r>
    </w:p>
    <w:p w14:paraId="36EA4AAB" w14:textId="77777777" w:rsidR="004218A9" w:rsidRPr="00EA5A0A" w:rsidRDefault="004218A9" w:rsidP="00EA5A0A">
      <w:pPr>
        <w:pStyle w:val="NormalWeb"/>
        <w:numPr>
          <w:ilvl w:val="0"/>
          <w:numId w:val="14"/>
        </w:numPr>
        <w:spacing w:line="360" w:lineRule="auto"/>
        <w:jc w:val="both"/>
        <w:rPr>
          <w:rFonts w:asciiTheme="majorBidi" w:hAnsiTheme="majorBidi" w:cstheme="majorBidi"/>
          <w:color w:val="000000" w:themeColor="text1"/>
        </w:rPr>
      </w:pPr>
      <w:r w:rsidRPr="00EA5A0A">
        <w:rPr>
          <w:rFonts w:asciiTheme="majorBidi" w:hAnsiTheme="majorBidi" w:cstheme="majorBidi"/>
          <w:color w:val="000000" w:themeColor="text1"/>
        </w:rPr>
        <w:t>Co-create flavour, colour, aroma and package size with Moroccan consumers.</w:t>
      </w:r>
    </w:p>
    <w:p w14:paraId="553F5597" w14:textId="77777777" w:rsidR="004218A9" w:rsidRPr="00EA5A0A" w:rsidRDefault="004218A9" w:rsidP="00EA5A0A">
      <w:pPr>
        <w:pStyle w:val="NormalWeb"/>
        <w:numPr>
          <w:ilvl w:val="0"/>
          <w:numId w:val="14"/>
        </w:numPr>
        <w:spacing w:line="360" w:lineRule="auto"/>
        <w:jc w:val="both"/>
        <w:rPr>
          <w:rFonts w:asciiTheme="majorBidi" w:hAnsiTheme="majorBidi" w:cstheme="majorBidi"/>
          <w:color w:val="000000" w:themeColor="text1"/>
        </w:rPr>
      </w:pPr>
      <w:r w:rsidRPr="00EA5A0A">
        <w:rPr>
          <w:rFonts w:asciiTheme="majorBidi" w:hAnsiTheme="majorBidi" w:cstheme="majorBidi"/>
          <w:color w:val="000000" w:themeColor="text1"/>
        </w:rPr>
        <w:t>Begin with controlled distribution in Casablanca and Rabat.</w:t>
      </w:r>
    </w:p>
    <w:p w14:paraId="79C36907" w14:textId="77777777" w:rsidR="004218A9" w:rsidRPr="00EA5A0A" w:rsidRDefault="004218A9" w:rsidP="00EA5A0A">
      <w:pPr>
        <w:pStyle w:val="NormalWeb"/>
        <w:numPr>
          <w:ilvl w:val="0"/>
          <w:numId w:val="14"/>
        </w:numPr>
        <w:spacing w:line="360" w:lineRule="auto"/>
        <w:jc w:val="both"/>
        <w:rPr>
          <w:rFonts w:asciiTheme="majorBidi" w:hAnsiTheme="majorBidi" w:cstheme="majorBidi"/>
          <w:color w:val="000000" w:themeColor="text1"/>
        </w:rPr>
      </w:pPr>
      <w:r w:rsidRPr="00EA5A0A">
        <w:rPr>
          <w:rFonts w:asciiTheme="majorBidi" w:hAnsiTheme="majorBidi" w:cstheme="majorBidi"/>
          <w:color w:val="000000" w:themeColor="text1"/>
        </w:rPr>
        <w:t>Move to local blending and packing only after repeat demand is demonstrated.</w:t>
      </w:r>
    </w:p>
    <w:p w14:paraId="58A13651" w14:textId="77777777" w:rsidR="004218A9" w:rsidRPr="00EA5A0A" w:rsidRDefault="004218A9" w:rsidP="00EA5A0A">
      <w:pPr>
        <w:pStyle w:val="NormalWeb"/>
        <w:numPr>
          <w:ilvl w:val="0"/>
          <w:numId w:val="14"/>
        </w:numPr>
        <w:spacing w:line="360" w:lineRule="auto"/>
        <w:jc w:val="both"/>
        <w:rPr>
          <w:rFonts w:asciiTheme="majorBidi" w:hAnsiTheme="majorBidi" w:cstheme="majorBidi"/>
          <w:color w:val="000000" w:themeColor="text1"/>
        </w:rPr>
      </w:pPr>
      <w:r w:rsidRPr="00EA5A0A">
        <w:rPr>
          <w:rFonts w:asciiTheme="majorBidi" w:hAnsiTheme="majorBidi" w:cstheme="majorBidi"/>
          <w:color w:val="000000" w:themeColor="text1"/>
        </w:rPr>
        <w:t>Retain control over quality, sourcing, brand use, data and major investment decisions.</w:t>
      </w:r>
    </w:p>
    <w:p w14:paraId="3BAD962C" w14:textId="77777777" w:rsidR="004218A9" w:rsidRPr="00EA5A0A" w:rsidRDefault="004218A9" w:rsidP="00EA5A0A">
      <w:pPr>
        <w:pStyle w:val="NormalWeb"/>
        <w:numPr>
          <w:ilvl w:val="0"/>
          <w:numId w:val="14"/>
        </w:numPr>
        <w:spacing w:line="360" w:lineRule="auto"/>
        <w:jc w:val="both"/>
        <w:rPr>
          <w:rFonts w:asciiTheme="majorBidi" w:hAnsiTheme="majorBidi" w:cstheme="majorBidi"/>
          <w:color w:val="000000" w:themeColor="text1"/>
        </w:rPr>
      </w:pPr>
      <w:r w:rsidRPr="00EA5A0A">
        <w:rPr>
          <w:rFonts w:asciiTheme="majorBidi" w:hAnsiTheme="majorBidi" w:cstheme="majorBidi"/>
          <w:color w:val="000000" w:themeColor="text1"/>
        </w:rPr>
        <w:t>Develop Morocco into a regional platform only after domestic profitability and governance are proven.</w:t>
      </w:r>
    </w:p>
    <w:p w14:paraId="6F8E6528"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This entry mode is more flexible than exporting, licensing or immediate Greenfield investment or acquisition, but provides more control than the latter entry modes. It also furthers TCPL's transformation from a series of brands spread across the globe to a more tightly-knit transnational business with the ability to innovate in culturally unique global markets.</w:t>
      </w:r>
    </w:p>
    <w:p w14:paraId="3DCC88B3" w14:textId="28557B51" w:rsidR="004218A9" w:rsidRPr="00EA5A0A" w:rsidRDefault="004218A9" w:rsidP="00EA5A0A">
      <w:pPr>
        <w:spacing w:line="360" w:lineRule="auto"/>
        <w:jc w:val="both"/>
        <w:rPr>
          <w:rFonts w:asciiTheme="majorBidi" w:hAnsiTheme="majorBidi" w:cstheme="majorBidi"/>
          <w:color w:val="000000" w:themeColor="text1"/>
          <w:sz w:val="24"/>
          <w:szCs w:val="24"/>
        </w:rPr>
      </w:pPr>
    </w:p>
    <w:p w14:paraId="304A308E"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7C19D173"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6079573E"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7AC72FE4"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002270A9"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34D2F83B"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6915E0FA"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3E5E239C"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69B20246"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511AE5D5"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027DE2C3"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36651395"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2F4CB3D0"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6AA51623" w14:textId="77777777" w:rsidR="004218A9" w:rsidRPr="00EA5A0A" w:rsidRDefault="004218A9" w:rsidP="00EA5A0A">
      <w:pPr>
        <w:pStyle w:val="Heading1"/>
        <w:jc w:val="both"/>
        <w:rPr>
          <w:color w:val="000000" w:themeColor="text1"/>
          <w:sz w:val="24"/>
          <w:szCs w:val="24"/>
        </w:rPr>
      </w:pPr>
      <w:bookmarkStart w:id="20" w:name="_Toc236402257"/>
      <w:r w:rsidRPr="00EA5A0A">
        <w:rPr>
          <w:color w:val="000000" w:themeColor="text1"/>
          <w:sz w:val="24"/>
          <w:szCs w:val="24"/>
        </w:rPr>
        <w:t>Section 2: Kolb Reflective Account</w:t>
      </w:r>
      <w:bookmarkEnd w:id="20"/>
    </w:p>
    <w:p w14:paraId="5A4F381F" w14:textId="2C9AFE8B" w:rsidR="004218A9" w:rsidRPr="00EA5A0A" w:rsidRDefault="004218A9" w:rsidP="00EA5A0A">
      <w:pPr>
        <w:pStyle w:val="Heading2"/>
        <w:jc w:val="both"/>
        <w:rPr>
          <w:color w:val="000000" w:themeColor="text1"/>
        </w:rPr>
      </w:pPr>
      <w:bookmarkStart w:id="21" w:name="_Toc236402258"/>
      <w:r w:rsidRPr="00EA5A0A">
        <w:rPr>
          <w:color w:val="000000" w:themeColor="text1"/>
        </w:rPr>
        <w:t>Concrete Experience</w:t>
      </w:r>
      <w:bookmarkEnd w:id="21"/>
    </w:p>
    <w:p w14:paraId="58308AE4"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My assignment was to find out if Tata Consumer Products should or shouldn't enter Morocco and if it does what should it do to enter Morocco. First, I divided the task into 4 parts; Organisational Strategy, Country Analysis, OLI application, Entry-Mode comparison and recommendations. I chose Tetley's Moroccan mint-green-tea portfolio as the choice would raise a particular strategic question and not simply talk about TCPL's product offerings in general.</w:t>
      </w:r>
    </w:p>
    <w:p w14:paraId="594D3055"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The data I collected were from TCPL's annual report for FY2025–2026, subsidiary disclosures, official brand pages and financial announcements. The data used was information from the host-country, which was gathered from the IMF, World Bank, Morocco's Office des Changes, ONSSA, and international trade information and guidance. These facts were analyzed by using internationalisation, foreignness, consumer-culture and omnichannel theories from </w:t>
      </w:r>
      <w:r w:rsidRPr="00EA5A0A">
        <w:rPr>
          <w:rFonts w:asciiTheme="majorBidi" w:hAnsiTheme="majorBidi" w:cstheme="majorBidi"/>
          <w:color w:val="000000" w:themeColor="text1"/>
          <w:sz w:val="24"/>
          <w:szCs w:val="24"/>
        </w:rPr>
        <w:lastRenderedPageBreak/>
        <w:t>peer-reviewed literature. This was in line with the assessment requirement of blending public evidence and theory.</w:t>
      </w:r>
    </w:p>
    <w:p w14:paraId="39ABBEB8" w14:textId="2610694C" w:rsidR="00EA5A0A" w:rsidRPr="00EA5A0A" w:rsidRDefault="00EA5A0A" w:rsidP="00EA5A0A">
      <w:pPr>
        <w:pStyle w:val="NormalWeb"/>
        <w:spacing w:line="360" w:lineRule="auto"/>
        <w:jc w:val="both"/>
        <w:rPr>
          <w:rFonts w:asciiTheme="majorBidi" w:hAnsiTheme="majorBidi" w:cstheme="majorBidi"/>
          <w:color w:val="000000" w:themeColor="text1"/>
        </w:rPr>
      </w:pPr>
      <w:r w:rsidRPr="00EA5A0A">
        <w:rPr>
          <w:rFonts w:asciiTheme="majorBidi" w:hAnsiTheme="majorBidi" w:cstheme="majorBidi"/>
          <w:color w:val="000000" w:themeColor="text1"/>
        </w:rPr>
        <w:drawing>
          <wp:inline distT="0" distB="0" distL="0" distR="0" wp14:anchorId="5EA45C27" wp14:editId="0F739955">
            <wp:extent cx="5731510" cy="4152900"/>
            <wp:effectExtent l="0" t="0" r="0" b="0"/>
            <wp:docPr id="1317292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292970" name=""/>
                    <pic:cNvPicPr/>
                  </pic:nvPicPr>
                  <pic:blipFill>
                    <a:blip r:embed="rId13"/>
                    <a:stretch>
                      <a:fillRect/>
                    </a:stretch>
                  </pic:blipFill>
                  <pic:spPr>
                    <a:xfrm>
                      <a:off x="0" y="0"/>
                      <a:ext cx="5731510" cy="4152900"/>
                    </a:xfrm>
                    <a:prstGeom prst="rect">
                      <a:avLst/>
                    </a:prstGeom>
                  </pic:spPr>
                </pic:pic>
              </a:graphicData>
            </a:graphic>
          </wp:inline>
        </w:drawing>
      </w:r>
    </w:p>
    <w:p w14:paraId="2F31BFF0" w14:textId="3CF8FB92" w:rsidR="004218A9" w:rsidRPr="00EA5A0A" w:rsidRDefault="004218A9" w:rsidP="00EA5A0A">
      <w:pPr>
        <w:spacing w:line="360" w:lineRule="auto"/>
        <w:ind w:left="360" w:firstLine="0"/>
        <w:jc w:val="both"/>
        <w:rPr>
          <w:rFonts w:asciiTheme="majorBidi" w:hAnsiTheme="majorBidi" w:cstheme="majorBidi"/>
          <w:b/>
          <w:bCs/>
          <w:color w:val="000000" w:themeColor="text1"/>
          <w:sz w:val="24"/>
          <w:szCs w:val="24"/>
        </w:rPr>
      </w:pPr>
      <w:r w:rsidRPr="00EA5A0A">
        <w:rPr>
          <w:rFonts w:asciiTheme="majorBidi" w:hAnsiTheme="majorBidi" w:cstheme="majorBidi"/>
          <w:b/>
          <w:bCs/>
          <w:color w:val="000000" w:themeColor="text1"/>
          <w:sz w:val="24"/>
          <w:szCs w:val="24"/>
        </w:rPr>
        <w:t>Figure 5</w:t>
      </w:r>
      <w:r w:rsidR="00E21832" w:rsidRPr="00EA5A0A">
        <w:rPr>
          <w:rFonts w:asciiTheme="majorBidi" w:hAnsiTheme="majorBidi" w:cstheme="majorBidi"/>
          <w:b/>
          <w:bCs/>
          <w:color w:val="000000" w:themeColor="text1"/>
          <w:sz w:val="24"/>
          <w:szCs w:val="24"/>
        </w:rPr>
        <w:t xml:space="preserve">: </w:t>
      </w:r>
      <w:r w:rsidRPr="00EA5A0A">
        <w:rPr>
          <w:rFonts w:asciiTheme="majorBidi" w:hAnsiTheme="majorBidi" w:cstheme="majorBidi"/>
          <w:b/>
          <w:bCs/>
          <w:color w:val="000000" w:themeColor="text1"/>
          <w:sz w:val="24"/>
          <w:szCs w:val="24"/>
        </w:rPr>
        <w:t>Application of Kolb’s Experiential Learning Cycle</w:t>
      </w:r>
    </w:p>
    <w:p w14:paraId="2F8626DA" w14:textId="23D61232" w:rsidR="004218A9" w:rsidRPr="00EA5A0A" w:rsidRDefault="004218A9" w:rsidP="00EA5A0A">
      <w:pPr>
        <w:spacing w:line="360" w:lineRule="auto"/>
        <w:ind w:left="360" w:firstLine="0"/>
        <w:jc w:val="both"/>
        <w:rPr>
          <w:rFonts w:asciiTheme="majorBidi" w:hAnsiTheme="majorBidi" w:cstheme="majorBidi"/>
          <w:b/>
          <w:bCs/>
          <w:color w:val="000000" w:themeColor="text1"/>
          <w:sz w:val="24"/>
          <w:szCs w:val="24"/>
        </w:rPr>
      </w:pPr>
      <w:r w:rsidRPr="00EA5A0A">
        <w:rPr>
          <w:rFonts w:asciiTheme="majorBidi" w:hAnsiTheme="majorBidi" w:cstheme="majorBidi"/>
          <w:b/>
          <w:bCs/>
          <w:color w:val="000000" w:themeColor="text1"/>
          <w:sz w:val="24"/>
          <w:szCs w:val="24"/>
        </w:rPr>
        <w:t>Source: Kolb (2015).</w:t>
      </w:r>
    </w:p>
    <w:p w14:paraId="488D4B17" w14:textId="10F8620C" w:rsidR="004218A9" w:rsidRPr="00EA5A0A" w:rsidRDefault="004218A9" w:rsidP="00EA5A0A">
      <w:pPr>
        <w:pStyle w:val="Heading2"/>
        <w:jc w:val="both"/>
        <w:rPr>
          <w:color w:val="000000" w:themeColor="text1"/>
        </w:rPr>
      </w:pPr>
      <w:bookmarkStart w:id="22" w:name="_Toc236402259"/>
      <w:r w:rsidRPr="00EA5A0A">
        <w:rPr>
          <w:color w:val="000000" w:themeColor="text1"/>
        </w:rPr>
        <w:t>Reflective Observation</w:t>
      </w:r>
      <w:bookmarkEnd w:id="22"/>
    </w:p>
    <w:p w14:paraId="0FB887F4"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First I thought it was possible for TCPL to do business in Morocco via a distributor exporting Tetley mint-tea bags. This approach appeared to be easy and risk-free in the case of Morocco where consumption of high tea is high. However, this was not the case after looking at the trade data. Local blending and packing plays a key role in the structure of the market as most green tea imports are in bulk and not in ready-to-sell packages. Therefore, the export strategy for a finished product would disregard the creation of value.</w:t>
      </w:r>
    </w:p>
    <w:p w14:paraId="35445350"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I also originally believed that the Chinese dominance was a barrier for market entry. After some more thought, it was recognised as a fact of sourcing life instead of a market no-go area. That does not mean that TCPL has to stop using Chinese green tea and use Indian tea instead </w:t>
      </w:r>
      <w:r w:rsidRPr="00EA5A0A">
        <w:rPr>
          <w:rFonts w:asciiTheme="majorBidi" w:hAnsiTheme="majorBidi" w:cstheme="majorBidi"/>
          <w:color w:val="000000" w:themeColor="text1"/>
          <w:sz w:val="24"/>
          <w:szCs w:val="24"/>
        </w:rPr>
        <w:lastRenderedPageBreak/>
        <w:t>for value creation. It can leverage its expertise in supplier selection, blending, safety, branding and distribution with a grade of tea to meet Moroccan expectations. This separation was useful in separating corporate nationality from strategic sourcing for me.</w:t>
      </w:r>
    </w:p>
    <w:p w14:paraId="193CFC55"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Cultural analysis was more challenging than statistical analysis. While it was easy to say that mint tea is important in Morocco, such a simple statement did not provide the answer as to how TCPL should act. At some point I realized that there is a shift in the communication position of the entrant because of the cultural importance. It's not as if Tetley is claiming to be the first or modernising a Moroccan tradition. It needs to look like an expertise, where Moroccan consumer and employees still have the power over authenticity.</w:t>
      </w:r>
    </w:p>
    <w:p w14:paraId="37276ACE" w14:textId="6684C59A" w:rsidR="004218A9" w:rsidRPr="00EA5A0A" w:rsidRDefault="004218A9" w:rsidP="00EA5A0A">
      <w:pPr>
        <w:pStyle w:val="Heading2"/>
        <w:jc w:val="both"/>
        <w:rPr>
          <w:color w:val="000000" w:themeColor="text1"/>
        </w:rPr>
      </w:pPr>
      <w:bookmarkStart w:id="23" w:name="_Toc236402260"/>
      <w:r w:rsidRPr="00EA5A0A">
        <w:rPr>
          <w:color w:val="000000" w:themeColor="text1"/>
        </w:rPr>
        <w:t>Abstract Conceptualisation</w:t>
      </w:r>
      <w:bookmarkEnd w:id="23"/>
    </w:p>
    <w:p w14:paraId="6FE2D277"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Using the integration–responsiveness model altered the classification of TCPL. First, I thought that it was a worldwide one as it has brands in several countries. But geographic reach is not enough to make a global strategy. TCPL focuses on centralisation of major capabilities, and differs products, brands and channels across countries. Hence I decided to label it transnational-leaning, instead of global.</w:t>
      </w:r>
    </w:p>
    <w:p w14:paraId="6BB1080E"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The OLI framework proved to be most helpful when the three components were all taken together. TCPL possesses some considerable ownership advantages; Morocco has location advantages, so direct investment is warranted. An advantage of internalisation is control of the quality and brand. However, not all activities are necessarily 100% owned. If there are vital capabilities that need protecting, and local knowledge to be obtained, then internalisation through a joint venture can be the option.</w:t>
      </w:r>
    </w:p>
    <w:p w14:paraId="018EDF6D"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The entry-mode analysis also indicated the constraints of mimicking the past actions of the company. TCPL has had acquisition success, however, this will not necessarily work in Morocco. Entry modes should be sensitive to the availability of targets, cultural differences, regulatory restrictions, capital risk and the type of resource sought. The most balanced was a majority joint venture as the firm requires control and local embeddedness.</w:t>
      </w:r>
    </w:p>
    <w:p w14:paraId="740BB17E" w14:textId="0E9DA30E" w:rsidR="004218A9" w:rsidRPr="00EA5A0A" w:rsidRDefault="004218A9" w:rsidP="00EA5A0A">
      <w:pPr>
        <w:pStyle w:val="Heading2"/>
        <w:jc w:val="both"/>
        <w:rPr>
          <w:color w:val="000000" w:themeColor="text1"/>
        </w:rPr>
      </w:pPr>
      <w:bookmarkStart w:id="24" w:name="_Toc236402261"/>
      <w:r w:rsidRPr="00EA5A0A">
        <w:rPr>
          <w:color w:val="000000" w:themeColor="text1"/>
        </w:rPr>
        <w:t>Active Experimentation and Action Plan</w:t>
      </w:r>
      <w:bookmarkEnd w:id="24"/>
    </w:p>
    <w:p w14:paraId="49281E76"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 xml:space="preserve">I will start with an evidence matrix for future assignments, which links each requirement with company evidence, evidence from the host country and theory and a counter argument. </w:t>
      </w:r>
      <w:r w:rsidRPr="00EA5A0A">
        <w:rPr>
          <w:rFonts w:asciiTheme="majorBidi" w:hAnsiTheme="majorBidi" w:cstheme="majorBidi"/>
          <w:color w:val="000000" w:themeColor="text1"/>
          <w:sz w:val="24"/>
          <w:szCs w:val="24"/>
        </w:rPr>
        <w:lastRenderedPageBreak/>
        <w:t>This should help to manage the collection of descriptive information. In addition, I'll note when it was published and what type and potential bias of the source it is when it is first picked up.</w:t>
      </w:r>
    </w:p>
    <w:p w14:paraId="23257620"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I will test explicitly my initial assumptions. For instance, I might state my initial thesis, e.g., “exporting is the most suitable mode”, and actively look for evidence which would disprove it. This will diminish confirmation bias, and generate real, critical analysis.</w:t>
      </w:r>
    </w:p>
    <w:p w14:paraId="6F317A9F"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I will also come up with recommendations with implementation requirements. Recommendation should include: Ownership, Location, Product, Timing, Decision Rights, Risk, Milestones and Exit Conditions. The joint-venture recommendation for this assignment was no longer a statement, but rather a planned strategy with the introduction of a phased roadmap.</w:t>
      </w:r>
    </w:p>
    <w:p w14:paraId="583A0D29" w14:textId="77777777" w:rsidR="00EA5A0A" w:rsidRPr="00EA5A0A" w:rsidRDefault="00EA5A0A" w:rsidP="00EA5A0A">
      <w:pPr>
        <w:spacing w:line="360" w:lineRule="auto"/>
        <w:jc w:val="both"/>
        <w:rPr>
          <w:rFonts w:asciiTheme="majorBidi" w:hAnsiTheme="majorBidi" w:cstheme="majorBidi"/>
          <w:color w:val="000000" w:themeColor="text1"/>
          <w:sz w:val="24"/>
          <w:szCs w:val="24"/>
        </w:rPr>
      </w:pPr>
      <w:r w:rsidRPr="00EA5A0A">
        <w:rPr>
          <w:rFonts w:asciiTheme="majorBidi" w:hAnsiTheme="majorBidi" w:cstheme="majorBidi"/>
          <w:color w:val="000000" w:themeColor="text1"/>
          <w:sz w:val="24"/>
          <w:szCs w:val="24"/>
        </w:rPr>
        <w:t>Lastly, I will discuss constraints in a more systematic way. But partner valuations, retailer margins, detailed customs costs and city-level consumer preferences are not available in the public information. To be noted that TCPL would need to conduct Primary Sensory research, Legal Due Diligence, Partner Audit and Financial Modelling before a real investment would take place. This understanding of the constraints reinforced the final recommendation; it showed what management needs to have confirmed prior to making significant capital investment.</w:t>
      </w:r>
    </w:p>
    <w:p w14:paraId="13AB61C9"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2A70FF0C"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170C947E"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7721B7C5"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3BE665AB"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2705AEA8"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416F83F9"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5DD5892C"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5DD5CE10"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6F70C620"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0D54303C"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1B718D74"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037EB1E6"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50656BD6" w14:textId="77777777" w:rsidR="00E21832" w:rsidRPr="00EA5A0A" w:rsidRDefault="00E21832" w:rsidP="00EA5A0A">
      <w:pPr>
        <w:spacing w:line="360" w:lineRule="auto"/>
        <w:jc w:val="both"/>
        <w:rPr>
          <w:rFonts w:asciiTheme="majorBidi" w:hAnsiTheme="majorBidi" w:cstheme="majorBidi"/>
          <w:color w:val="000000" w:themeColor="text1"/>
          <w:sz w:val="24"/>
          <w:szCs w:val="24"/>
        </w:rPr>
      </w:pPr>
    </w:p>
    <w:p w14:paraId="627C5322" w14:textId="77777777" w:rsidR="004218A9" w:rsidRPr="00EA5A0A" w:rsidRDefault="004218A9" w:rsidP="00EA5A0A">
      <w:pPr>
        <w:pStyle w:val="Heading1"/>
        <w:jc w:val="both"/>
        <w:rPr>
          <w:color w:val="000000" w:themeColor="text1"/>
          <w:sz w:val="24"/>
          <w:szCs w:val="24"/>
        </w:rPr>
      </w:pPr>
      <w:bookmarkStart w:id="25" w:name="_Toc236402262"/>
      <w:r w:rsidRPr="00EA5A0A">
        <w:rPr>
          <w:color w:val="000000" w:themeColor="text1"/>
          <w:sz w:val="24"/>
          <w:szCs w:val="24"/>
        </w:rPr>
        <w:t>References</w:t>
      </w:r>
      <w:bookmarkEnd w:id="25"/>
    </w:p>
    <w:p w14:paraId="6D542E6D"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Al Falaha, K., Al Sughayir, A., &amp; Albarq, A. N. (2024). The importance of environmental concern, trust and convenience in consumers’ purchase intentions of organic foods in a developing country. </w:t>
      </w:r>
      <w:r w:rsidRPr="00EA5A0A">
        <w:rPr>
          <w:rStyle w:val="Emphasis"/>
          <w:rFonts w:asciiTheme="majorBidi" w:hAnsiTheme="majorBidi" w:cstheme="majorBidi"/>
          <w:b w:val="0"/>
          <w:bCs w:val="0"/>
          <w:color w:val="000000" w:themeColor="text1"/>
        </w:rPr>
        <w:t>Cogent Business &amp; Management, 11</w:t>
      </w:r>
      <w:r w:rsidRPr="00EA5A0A">
        <w:rPr>
          <w:rFonts w:asciiTheme="majorBidi" w:hAnsiTheme="majorBidi" w:cstheme="majorBidi"/>
          <w:color w:val="000000" w:themeColor="text1"/>
        </w:rPr>
        <w:t xml:space="preserve">(1), 2361319. </w:t>
      </w:r>
      <w:hyperlink r:id="rId14" w:history="1">
        <w:r w:rsidRPr="00EA5A0A">
          <w:rPr>
            <w:rStyle w:val="Hyperlink"/>
            <w:rFonts w:asciiTheme="majorBidi" w:hAnsiTheme="majorBidi" w:cstheme="majorBidi"/>
            <w:color w:val="000000" w:themeColor="text1"/>
          </w:rPr>
          <w:t>https://www.tandfonline.com/doi/full/10.108</w:t>
        </w:r>
        <w:r w:rsidRPr="00EA5A0A">
          <w:rPr>
            <w:rStyle w:val="Hyperlink"/>
            <w:rFonts w:asciiTheme="majorBidi" w:hAnsiTheme="majorBidi" w:cstheme="majorBidi"/>
            <w:color w:val="000000" w:themeColor="text1"/>
          </w:rPr>
          <w:t>0</w:t>
        </w:r>
        <w:r w:rsidRPr="00EA5A0A">
          <w:rPr>
            <w:rStyle w:val="Hyperlink"/>
            <w:rFonts w:asciiTheme="majorBidi" w:hAnsiTheme="majorBidi" w:cstheme="majorBidi"/>
            <w:color w:val="000000" w:themeColor="text1"/>
          </w:rPr>
          <w:t>/23311975.2024.2361319</w:t>
        </w:r>
      </w:hyperlink>
    </w:p>
    <w:p w14:paraId="5185F8B1"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Andrews, D. S., Nell, P. C., Schotter, A. P. J., &amp; Laamanen, T. (2023). And the subsidiary lives on: Harnessing complex realities in the contemporary MNE. </w:t>
      </w:r>
      <w:r w:rsidRPr="00EA5A0A">
        <w:rPr>
          <w:rStyle w:val="Emphasis"/>
          <w:rFonts w:asciiTheme="majorBidi" w:hAnsiTheme="majorBidi" w:cstheme="majorBidi"/>
          <w:b w:val="0"/>
          <w:bCs w:val="0"/>
          <w:color w:val="000000" w:themeColor="text1"/>
        </w:rPr>
        <w:t>Journal of International Business Studies, 54</w:t>
      </w:r>
      <w:r w:rsidRPr="00EA5A0A">
        <w:rPr>
          <w:rFonts w:asciiTheme="majorBidi" w:hAnsiTheme="majorBidi" w:cstheme="majorBidi"/>
          <w:color w:val="000000" w:themeColor="text1"/>
        </w:rPr>
        <w:t xml:space="preserve">(3), 538–549. </w:t>
      </w:r>
      <w:hyperlink r:id="rId15" w:history="1">
        <w:r w:rsidRPr="00EA5A0A">
          <w:rPr>
            <w:rStyle w:val="Hyperlink"/>
            <w:rFonts w:asciiTheme="majorBidi" w:hAnsiTheme="majorBidi" w:cstheme="majorBidi"/>
            <w:color w:val="000000" w:themeColor="text1"/>
          </w:rPr>
          <w:t>https://link.springer.com/article/10.1057/s41267-022-00552-4</w:t>
        </w:r>
      </w:hyperlink>
    </w:p>
    <w:p w14:paraId="1BA28A20"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Bartlett, C. A., &amp; Beamish, P. W. (2018). </w:t>
      </w:r>
      <w:r w:rsidRPr="00EA5A0A">
        <w:rPr>
          <w:rStyle w:val="Emphasis"/>
          <w:rFonts w:asciiTheme="majorBidi" w:hAnsiTheme="majorBidi" w:cstheme="majorBidi"/>
          <w:b w:val="0"/>
          <w:bCs w:val="0"/>
          <w:color w:val="000000" w:themeColor="text1"/>
        </w:rPr>
        <w:t>Transnational management: Text, cases, and readings in cross-border management</w:t>
      </w:r>
      <w:r w:rsidRPr="00EA5A0A">
        <w:rPr>
          <w:rFonts w:asciiTheme="majorBidi" w:hAnsiTheme="majorBidi" w:cstheme="majorBidi"/>
          <w:color w:val="000000" w:themeColor="text1"/>
        </w:rPr>
        <w:t xml:space="preserve"> (8th ed.). Cambridge University Press. </w:t>
      </w:r>
      <w:hyperlink r:id="rId16" w:history="1">
        <w:r w:rsidRPr="00EA5A0A">
          <w:rPr>
            <w:rStyle w:val="Hyperlink"/>
            <w:rFonts w:asciiTheme="majorBidi" w:hAnsiTheme="majorBidi" w:cstheme="majorBidi"/>
            <w:color w:val="000000" w:themeColor="text1"/>
          </w:rPr>
          <w:t>https://www.cambridge.org/highereducation/books/transnational-management/EE38D8BC7883944A20606DE5D3E96E5E</w:t>
        </w:r>
      </w:hyperlink>
    </w:p>
    <w:p w14:paraId="4599AFB6"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Brouthers, K. D., Chen, L., Li, S., &amp; Shaheer, N. (2022). Charting new courses to enter foreign markets: Conceptualization, theoretical framework, and research directions on non-traditional entry modes. </w:t>
      </w:r>
      <w:r w:rsidRPr="00EA5A0A">
        <w:rPr>
          <w:rStyle w:val="Emphasis"/>
          <w:rFonts w:asciiTheme="majorBidi" w:hAnsiTheme="majorBidi" w:cstheme="majorBidi"/>
          <w:b w:val="0"/>
          <w:bCs w:val="0"/>
          <w:color w:val="000000" w:themeColor="text1"/>
        </w:rPr>
        <w:t>Journal of International Business Studies, 53</w:t>
      </w:r>
      <w:r w:rsidRPr="00EA5A0A">
        <w:rPr>
          <w:rFonts w:asciiTheme="majorBidi" w:hAnsiTheme="majorBidi" w:cstheme="majorBidi"/>
          <w:color w:val="000000" w:themeColor="text1"/>
        </w:rPr>
        <w:t xml:space="preserve">(9), 2088–2115. </w:t>
      </w:r>
      <w:hyperlink r:id="rId17" w:history="1">
        <w:r w:rsidRPr="00EA5A0A">
          <w:rPr>
            <w:rStyle w:val="Hyperlink"/>
            <w:rFonts w:asciiTheme="majorBidi" w:hAnsiTheme="majorBidi" w:cstheme="majorBidi"/>
            <w:color w:val="000000" w:themeColor="text1"/>
          </w:rPr>
          <w:t>https://link.springer.com/article/10.1057/s41267-022-00521-x</w:t>
        </w:r>
      </w:hyperlink>
    </w:p>
    <w:p w14:paraId="33F6BAE6"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Chamchati, O., &amp; El Mabrouki, M. N. (2025). Revisiting the CAGE model: An application for entry-mode choices in intra-African internationalization. </w:t>
      </w:r>
      <w:r w:rsidRPr="00EA5A0A">
        <w:rPr>
          <w:rStyle w:val="Emphasis"/>
          <w:rFonts w:asciiTheme="majorBidi" w:hAnsiTheme="majorBidi" w:cstheme="majorBidi"/>
          <w:b w:val="0"/>
          <w:bCs w:val="0"/>
          <w:color w:val="000000" w:themeColor="text1"/>
        </w:rPr>
        <w:t>Thunderbird International Business Review, 67</w:t>
      </w:r>
      <w:r w:rsidRPr="00EA5A0A">
        <w:rPr>
          <w:rFonts w:asciiTheme="majorBidi" w:hAnsiTheme="majorBidi" w:cstheme="majorBidi"/>
          <w:color w:val="000000" w:themeColor="text1"/>
        </w:rPr>
        <w:t xml:space="preserve">(6), 723–738. </w:t>
      </w:r>
      <w:hyperlink r:id="rId18" w:history="1">
        <w:r w:rsidRPr="00EA5A0A">
          <w:rPr>
            <w:rStyle w:val="Hyperlink"/>
            <w:rFonts w:asciiTheme="majorBidi" w:hAnsiTheme="majorBidi" w:cstheme="majorBidi"/>
            <w:color w:val="000000" w:themeColor="text1"/>
          </w:rPr>
          <w:t>https://onlinelibrary.wiley.com/doi/full/10.1002/tie.70008</w:t>
        </w:r>
      </w:hyperlink>
    </w:p>
    <w:p w14:paraId="1B6CE4F8"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lastRenderedPageBreak/>
        <w:t xml:space="preserve">Dunning, J. H., &amp; Lundan, S. M. (2008). </w:t>
      </w:r>
      <w:r w:rsidRPr="00EA5A0A">
        <w:rPr>
          <w:rStyle w:val="Emphasis"/>
          <w:rFonts w:asciiTheme="majorBidi" w:hAnsiTheme="majorBidi" w:cstheme="majorBidi"/>
          <w:b w:val="0"/>
          <w:bCs w:val="0"/>
          <w:color w:val="000000" w:themeColor="text1"/>
        </w:rPr>
        <w:t>Multinational enterprises and the global economy</w:t>
      </w:r>
      <w:r w:rsidRPr="00EA5A0A">
        <w:rPr>
          <w:rFonts w:asciiTheme="majorBidi" w:hAnsiTheme="majorBidi" w:cstheme="majorBidi"/>
          <w:color w:val="000000" w:themeColor="text1"/>
        </w:rPr>
        <w:t xml:space="preserve"> (2nd ed.). Edward Elgar. </w:t>
      </w:r>
      <w:hyperlink r:id="rId19" w:history="1">
        <w:r w:rsidRPr="00EA5A0A">
          <w:rPr>
            <w:rStyle w:val="Hyperlink"/>
            <w:rFonts w:asciiTheme="majorBidi" w:hAnsiTheme="majorBidi" w:cstheme="majorBidi"/>
            <w:color w:val="000000" w:themeColor="text1"/>
          </w:rPr>
          <w:t>https://books.google.com/books?id=xIk3fF2z5KcC</w:t>
        </w:r>
      </w:hyperlink>
    </w:p>
    <w:p w14:paraId="3B98C8A6"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Edman, J., Cuypers, I. R. P., Ertug, G., &amp; Aguilera, R. V. (2024). Nationalist sentiments and the multinational enterprise: Insights from organizational sociology. </w:t>
      </w:r>
      <w:r w:rsidRPr="00EA5A0A">
        <w:rPr>
          <w:rStyle w:val="Emphasis"/>
          <w:rFonts w:asciiTheme="majorBidi" w:hAnsiTheme="majorBidi" w:cstheme="majorBidi"/>
          <w:b w:val="0"/>
          <w:bCs w:val="0"/>
          <w:color w:val="000000" w:themeColor="text1"/>
        </w:rPr>
        <w:t>Journal of International Business Studies, 55</w:t>
      </w:r>
      <w:r w:rsidRPr="00EA5A0A">
        <w:rPr>
          <w:rFonts w:asciiTheme="majorBidi" w:hAnsiTheme="majorBidi" w:cstheme="majorBidi"/>
          <w:color w:val="000000" w:themeColor="text1"/>
        </w:rPr>
        <w:t xml:space="preserve">, 825–839. </w:t>
      </w:r>
      <w:hyperlink r:id="rId20" w:history="1">
        <w:r w:rsidRPr="00EA5A0A">
          <w:rPr>
            <w:rStyle w:val="Hyperlink"/>
            <w:rFonts w:asciiTheme="majorBidi" w:hAnsiTheme="majorBidi" w:cstheme="majorBidi"/>
            <w:color w:val="000000" w:themeColor="text1"/>
          </w:rPr>
          <w:t>https://link.springer.com/article/10.1057/s41267-024-00713-7</w:t>
        </w:r>
      </w:hyperlink>
    </w:p>
    <w:p w14:paraId="6F5657E0"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Elia, S., Larsen, M. M., &amp; Piscitello, L. (2019). Entry-mode deviation: A behavioural approach to internalization theory. </w:t>
      </w:r>
      <w:r w:rsidRPr="00EA5A0A">
        <w:rPr>
          <w:rStyle w:val="Emphasis"/>
          <w:rFonts w:asciiTheme="majorBidi" w:hAnsiTheme="majorBidi" w:cstheme="majorBidi"/>
          <w:b w:val="0"/>
          <w:bCs w:val="0"/>
          <w:color w:val="000000" w:themeColor="text1"/>
        </w:rPr>
        <w:t>Journal of International Business Studies, 50</w:t>
      </w:r>
      <w:r w:rsidRPr="00EA5A0A">
        <w:rPr>
          <w:rFonts w:asciiTheme="majorBidi" w:hAnsiTheme="majorBidi" w:cstheme="majorBidi"/>
          <w:color w:val="000000" w:themeColor="text1"/>
        </w:rPr>
        <w:t xml:space="preserve">(8), 1359–1371. </w:t>
      </w:r>
      <w:hyperlink r:id="rId21" w:history="1">
        <w:r w:rsidRPr="00EA5A0A">
          <w:rPr>
            <w:rStyle w:val="Hyperlink"/>
            <w:rFonts w:asciiTheme="majorBidi" w:hAnsiTheme="majorBidi" w:cstheme="majorBidi"/>
            <w:color w:val="000000" w:themeColor="text1"/>
          </w:rPr>
          <w:t>https://link.springer.com/journal/41267</w:t>
        </w:r>
      </w:hyperlink>
    </w:p>
    <w:p w14:paraId="5E7628D4"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Emile, R., Belk, R. W., &amp; Clammer, J. R. (2021). Localizing taste: Using metaphors to understand loctural consumptionscapes. </w:t>
      </w:r>
      <w:r w:rsidRPr="00EA5A0A">
        <w:rPr>
          <w:rStyle w:val="Emphasis"/>
          <w:rFonts w:asciiTheme="majorBidi" w:hAnsiTheme="majorBidi" w:cstheme="majorBidi"/>
          <w:b w:val="0"/>
          <w:bCs w:val="0"/>
          <w:color w:val="000000" w:themeColor="text1"/>
        </w:rPr>
        <w:t>Food, Culture &amp; Society, 24</w:t>
      </w:r>
      <w:r w:rsidRPr="00EA5A0A">
        <w:rPr>
          <w:rFonts w:asciiTheme="majorBidi" w:hAnsiTheme="majorBidi" w:cstheme="majorBidi"/>
          <w:color w:val="000000" w:themeColor="text1"/>
        </w:rPr>
        <w:t xml:space="preserve">(3), 431–445. </w:t>
      </w:r>
      <w:hyperlink r:id="rId22" w:history="1">
        <w:r w:rsidRPr="00EA5A0A">
          <w:rPr>
            <w:rStyle w:val="Hyperlink"/>
            <w:rFonts w:asciiTheme="majorBidi" w:hAnsiTheme="majorBidi" w:cstheme="majorBidi"/>
            <w:color w:val="000000" w:themeColor="text1"/>
          </w:rPr>
          <w:t>https://www.tandfonline.com/doi/full/10.1080/15528014.2021.1882169</w:t>
        </w:r>
      </w:hyperlink>
    </w:p>
    <w:p w14:paraId="760941FA"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Hult, G. T. M., Gonzalez-Perez, M. A., &amp; Lagerström, K. (2020). The theoretical evolution and use of the Uppsala model of internationalization in the international business ecosystem. </w:t>
      </w:r>
      <w:r w:rsidRPr="00EA5A0A">
        <w:rPr>
          <w:rStyle w:val="Emphasis"/>
          <w:rFonts w:asciiTheme="majorBidi" w:hAnsiTheme="majorBidi" w:cstheme="majorBidi"/>
          <w:b w:val="0"/>
          <w:bCs w:val="0"/>
          <w:color w:val="000000" w:themeColor="text1"/>
        </w:rPr>
        <w:t>Journal of International Business Studies, 51</w:t>
      </w:r>
      <w:r w:rsidRPr="00EA5A0A">
        <w:rPr>
          <w:rFonts w:asciiTheme="majorBidi" w:hAnsiTheme="majorBidi" w:cstheme="majorBidi"/>
          <w:color w:val="000000" w:themeColor="text1"/>
        </w:rPr>
        <w:t xml:space="preserve">(1), 38–49. </w:t>
      </w:r>
      <w:hyperlink r:id="rId23" w:history="1">
        <w:r w:rsidRPr="00EA5A0A">
          <w:rPr>
            <w:rStyle w:val="Hyperlink"/>
            <w:rFonts w:asciiTheme="majorBidi" w:hAnsiTheme="majorBidi" w:cstheme="majorBidi"/>
            <w:color w:val="000000" w:themeColor="text1"/>
          </w:rPr>
          <w:t>https://link.springer.com/journal/41267</w:t>
        </w:r>
      </w:hyperlink>
    </w:p>
    <w:p w14:paraId="5C35026A"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International Monetary Fund. (2026). </w:t>
      </w:r>
      <w:r w:rsidRPr="00EA5A0A">
        <w:rPr>
          <w:rStyle w:val="Emphasis"/>
          <w:rFonts w:asciiTheme="majorBidi" w:hAnsiTheme="majorBidi" w:cstheme="majorBidi"/>
          <w:b w:val="0"/>
          <w:bCs w:val="0"/>
          <w:color w:val="000000" w:themeColor="text1"/>
        </w:rPr>
        <w:t>Morocco: 2026 Article IV consultation and review under the Flexible Credit Line arrangement</w:t>
      </w:r>
      <w:r w:rsidRPr="00EA5A0A">
        <w:rPr>
          <w:rFonts w:asciiTheme="majorBidi" w:hAnsiTheme="majorBidi" w:cstheme="majorBidi"/>
          <w:color w:val="000000" w:themeColor="text1"/>
        </w:rPr>
        <w:t xml:space="preserve">. </w:t>
      </w:r>
      <w:hyperlink r:id="rId24" w:history="1">
        <w:r w:rsidRPr="00EA5A0A">
          <w:rPr>
            <w:rStyle w:val="Hyperlink"/>
            <w:rFonts w:asciiTheme="majorBidi" w:hAnsiTheme="majorBidi" w:cstheme="majorBidi"/>
            <w:color w:val="000000" w:themeColor="text1"/>
          </w:rPr>
          <w:t>https://www.imf.org/en/publications/cr/issues/2026/03/30/morocco-2026-article-iv-consultation-and-review-under-the-flexible-credit-line-arrangement-575083</w:t>
        </w:r>
      </w:hyperlink>
    </w:p>
    <w:p w14:paraId="78AA7A3D"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International Trade Administration. (2025a). </w:t>
      </w:r>
      <w:r w:rsidRPr="00EA5A0A">
        <w:rPr>
          <w:rStyle w:val="Emphasis"/>
          <w:rFonts w:asciiTheme="majorBidi" w:hAnsiTheme="majorBidi" w:cstheme="majorBidi"/>
          <w:b w:val="0"/>
          <w:bCs w:val="0"/>
          <w:color w:val="000000" w:themeColor="text1"/>
        </w:rPr>
        <w:t>Morocco: Labeling and marking requirements</w:t>
      </w:r>
      <w:r w:rsidRPr="00EA5A0A">
        <w:rPr>
          <w:rFonts w:asciiTheme="majorBidi" w:hAnsiTheme="majorBidi" w:cstheme="majorBidi"/>
          <w:color w:val="000000" w:themeColor="text1"/>
        </w:rPr>
        <w:t xml:space="preserve">. </w:t>
      </w:r>
      <w:hyperlink r:id="rId25" w:history="1">
        <w:r w:rsidRPr="00EA5A0A">
          <w:rPr>
            <w:rStyle w:val="Hyperlink"/>
            <w:rFonts w:asciiTheme="majorBidi" w:hAnsiTheme="majorBidi" w:cstheme="majorBidi"/>
            <w:color w:val="000000" w:themeColor="text1"/>
          </w:rPr>
          <w:t>https://www.trade.gov/country-commercial-guides/morocco-labelingmarking-requirements</w:t>
        </w:r>
      </w:hyperlink>
    </w:p>
    <w:p w14:paraId="3F207F48"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International Trade Administration. (2025b). </w:t>
      </w:r>
      <w:r w:rsidRPr="00EA5A0A">
        <w:rPr>
          <w:rStyle w:val="Emphasis"/>
          <w:rFonts w:asciiTheme="majorBidi" w:hAnsiTheme="majorBidi" w:cstheme="majorBidi"/>
          <w:b w:val="0"/>
          <w:bCs w:val="0"/>
          <w:color w:val="000000" w:themeColor="text1"/>
        </w:rPr>
        <w:t>Morocco: Business travel</w:t>
      </w:r>
      <w:r w:rsidRPr="00EA5A0A">
        <w:rPr>
          <w:rFonts w:asciiTheme="majorBidi" w:hAnsiTheme="majorBidi" w:cstheme="majorBidi"/>
          <w:color w:val="000000" w:themeColor="text1"/>
        </w:rPr>
        <w:t xml:space="preserve">. </w:t>
      </w:r>
      <w:hyperlink r:id="rId26" w:history="1">
        <w:r w:rsidRPr="00EA5A0A">
          <w:rPr>
            <w:rStyle w:val="Hyperlink"/>
            <w:rFonts w:asciiTheme="majorBidi" w:hAnsiTheme="majorBidi" w:cstheme="majorBidi"/>
            <w:color w:val="000000" w:themeColor="text1"/>
          </w:rPr>
          <w:t>https://www.trade.gov/country-commercial-guides/morocco-business-travel</w:t>
        </w:r>
      </w:hyperlink>
    </w:p>
    <w:p w14:paraId="5CBFB011"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International Trade Administration. (2025c). </w:t>
      </w:r>
      <w:r w:rsidRPr="00EA5A0A">
        <w:rPr>
          <w:rStyle w:val="Emphasis"/>
          <w:rFonts w:asciiTheme="majorBidi" w:hAnsiTheme="majorBidi" w:cstheme="majorBidi"/>
          <w:b w:val="0"/>
          <w:bCs w:val="0"/>
          <w:color w:val="000000" w:themeColor="text1"/>
        </w:rPr>
        <w:t>Morocco: Selling factors and techniques</w:t>
      </w:r>
      <w:r w:rsidRPr="00EA5A0A">
        <w:rPr>
          <w:rFonts w:asciiTheme="majorBidi" w:hAnsiTheme="majorBidi" w:cstheme="majorBidi"/>
          <w:color w:val="000000" w:themeColor="text1"/>
        </w:rPr>
        <w:t xml:space="preserve">. </w:t>
      </w:r>
      <w:hyperlink r:id="rId27" w:history="1">
        <w:r w:rsidRPr="00EA5A0A">
          <w:rPr>
            <w:rStyle w:val="Hyperlink"/>
            <w:rFonts w:asciiTheme="majorBidi" w:hAnsiTheme="majorBidi" w:cstheme="majorBidi"/>
            <w:color w:val="000000" w:themeColor="text1"/>
          </w:rPr>
          <w:t>https://www.trade.gov/country-commercial-guides/morocco-selling-factors-and-techniques</w:t>
        </w:r>
      </w:hyperlink>
    </w:p>
    <w:p w14:paraId="40D25DE2"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lastRenderedPageBreak/>
        <w:t xml:space="preserve">Jean, R.-J. B., Kim, D., Zhou, K. Z., &amp; Cavusgil, S. T. (2021). E-platform use and exporting in the context of Alibaba: A signalling theory perspective. </w:t>
      </w:r>
      <w:r w:rsidRPr="00EA5A0A">
        <w:rPr>
          <w:rStyle w:val="Emphasis"/>
          <w:rFonts w:asciiTheme="majorBidi" w:hAnsiTheme="majorBidi" w:cstheme="majorBidi"/>
          <w:b w:val="0"/>
          <w:bCs w:val="0"/>
          <w:color w:val="000000" w:themeColor="text1"/>
        </w:rPr>
        <w:t>Journal of International Business Studies, 52</w:t>
      </w:r>
      <w:r w:rsidRPr="00EA5A0A">
        <w:rPr>
          <w:rFonts w:asciiTheme="majorBidi" w:hAnsiTheme="majorBidi" w:cstheme="majorBidi"/>
          <w:color w:val="000000" w:themeColor="text1"/>
        </w:rPr>
        <w:t xml:space="preserve">(8), 1501–1528. </w:t>
      </w:r>
      <w:hyperlink r:id="rId28" w:history="1">
        <w:r w:rsidRPr="00EA5A0A">
          <w:rPr>
            <w:rStyle w:val="Hyperlink"/>
            <w:rFonts w:asciiTheme="majorBidi" w:hAnsiTheme="majorBidi" w:cstheme="majorBidi"/>
            <w:color w:val="000000" w:themeColor="text1"/>
          </w:rPr>
          <w:t>https://link.springer.com/journal/41267</w:t>
        </w:r>
      </w:hyperlink>
    </w:p>
    <w:p w14:paraId="61687B8B"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Khanna, S. K. (2021). Cultural influences on food: Dietary and health implications. </w:t>
      </w:r>
      <w:r w:rsidRPr="00EA5A0A">
        <w:rPr>
          <w:rStyle w:val="Emphasis"/>
          <w:rFonts w:asciiTheme="majorBidi" w:hAnsiTheme="majorBidi" w:cstheme="majorBidi"/>
          <w:b w:val="0"/>
          <w:bCs w:val="0"/>
          <w:color w:val="000000" w:themeColor="text1"/>
        </w:rPr>
        <w:t>Ecology of Food and Nutrition, 60</w:t>
      </w:r>
      <w:r w:rsidRPr="00EA5A0A">
        <w:rPr>
          <w:rFonts w:asciiTheme="majorBidi" w:hAnsiTheme="majorBidi" w:cstheme="majorBidi"/>
          <w:color w:val="000000" w:themeColor="text1"/>
        </w:rPr>
        <w:t xml:space="preserve">(6), 633–635. </w:t>
      </w:r>
      <w:hyperlink r:id="rId29" w:history="1">
        <w:r w:rsidRPr="00EA5A0A">
          <w:rPr>
            <w:rStyle w:val="Hyperlink"/>
            <w:rFonts w:asciiTheme="majorBidi" w:hAnsiTheme="majorBidi" w:cstheme="majorBidi"/>
            <w:color w:val="000000" w:themeColor="text1"/>
          </w:rPr>
          <w:t>https://www.tandfonline.com/doi/full/10.1080/03670244.2021.1999153</w:t>
        </w:r>
      </w:hyperlink>
    </w:p>
    <w:p w14:paraId="0058788A"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Kohler, A., &amp; Wunderlich, A. (2022). How migrants’ food tastes shape international agro-food trade. </w:t>
      </w:r>
      <w:r w:rsidRPr="00EA5A0A">
        <w:rPr>
          <w:rStyle w:val="Emphasis"/>
          <w:rFonts w:asciiTheme="majorBidi" w:hAnsiTheme="majorBidi" w:cstheme="majorBidi"/>
          <w:b w:val="0"/>
          <w:bCs w:val="0"/>
          <w:color w:val="000000" w:themeColor="text1"/>
        </w:rPr>
        <w:t>Applied Economics Letters, 29</w:t>
      </w:r>
      <w:r w:rsidRPr="00EA5A0A">
        <w:rPr>
          <w:rFonts w:asciiTheme="majorBidi" w:hAnsiTheme="majorBidi" w:cstheme="majorBidi"/>
          <w:color w:val="000000" w:themeColor="text1"/>
        </w:rPr>
        <w:t xml:space="preserve">(5), 469–476. </w:t>
      </w:r>
      <w:hyperlink r:id="rId30" w:history="1">
        <w:r w:rsidRPr="00EA5A0A">
          <w:rPr>
            <w:rStyle w:val="Hyperlink"/>
            <w:rFonts w:asciiTheme="majorBidi" w:hAnsiTheme="majorBidi" w:cstheme="majorBidi"/>
            <w:color w:val="000000" w:themeColor="text1"/>
          </w:rPr>
          <w:t>https://www.tandfonline.com/doi/full/10.1080/13504851.2021.1912695</w:t>
        </w:r>
      </w:hyperlink>
    </w:p>
    <w:p w14:paraId="5D14EEF8"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Kolb, D. A. (2015). </w:t>
      </w:r>
      <w:r w:rsidRPr="00EA5A0A">
        <w:rPr>
          <w:rStyle w:val="Emphasis"/>
          <w:rFonts w:asciiTheme="majorBidi" w:hAnsiTheme="majorBidi" w:cstheme="majorBidi"/>
          <w:b w:val="0"/>
          <w:bCs w:val="0"/>
          <w:color w:val="000000" w:themeColor="text1"/>
        </w:rPr>
        <w:t>Experiential learning: Experience as the source of learning and development</w:t>
      </w:r>
      <w:r w:rsidRPr="00EA5A0A">
        <w:rPr>
          <w:rFonts w:asciiTheme="majorBidi" w:hAnsiTheme="majorBidi" w:cstheme="majorBidi"/>
          <w:color w:val="000000" w:themeColor="text1"/>
        </w:rPr>
        <w:t xml:space="preserve"> (2nd ed.). Pearson. </w:t>
      </w:r>
      <w:hyperlink r:id="rId31" w:history="1">
        <w:r w:rsidRPr="00EA5A0A">
          <w:rPr>
            <w:rStyle w:val="Hyperlink"/>
            <w:rFonts w:asciiTheme="majorBidi" w:hAnsiTheme="majorBidi" w:cstheme="majorBidi"/>
            <w:color w:val="000000" w:themeColor="text1"/>
          </w:rPr>
          <w:t>https://www.pearson.com/en-us/subject-catalog/p/Kolb-Experiential-Learning-Experience-as-the-Source-of-Learning-and-Development-2nd-Edition/P200000000384</w:t>
        </w:r>
      </w:hyperlink>
    </w:p>
    <w:p w14:paraId="072079B7"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Kong, X., Çakır, M., &amp; Li, Q. (2025). Growth of omnichannel grocery retailing and food prices. </w:t>
      </w:r>
      <w:r w:rsidRPr="00EA5A0A">
        <w:rPr>
          <w:rStyle w:val="Emphasis"/>
          <w:rFonts w:asciiTheme="majorBidi" w:hAnsiTheme="majorBidi" w:cstheme="majorBidi"/>
          <w:b w:val="0"/>
          <w:bCs w:val="0"/>
          <w:color w:val="000000" w:themeColor="text1"/>
        </w:rPr>
        <w:t>Agribusiness</w:t>
      </w:r>
      <w:r w:rsidRPr="00EA5A0A">
        <w:rPr>
          <w:rFonts w:asciiTheme="majorBidi" w:hAnsiTheme="majorBidi" w:cstheme="majorBidi"/>
          <w:color w:val="000000" w:themeColor="text1"/>
        </w:rPr>
        <w:t xml:space="preserve">. </w:t>
      </w:r>
      <w:hyperlink r:id="rId32" w:history="1">
        <w:r w:rsidRPr="00EA5A0A">
          <w:rPr>
            <w:rStyle w:val="Hyperlink"/>
            <w:rFonts w:asciiTheme="majorBidi" w:hAnsiTheme="majorBidi" w:cstheme="majorBidi"/>
            <w:color w:val="000000" w:themeColor="text1"/>
          </w:rPr>
          <w:t>https://onlinelibrary.wiley.com/doi/full/10.1002/agr.22027</w:t>
        </w:r>
      </w:hyperlink>
    </w:p>
    <w:p w14:paraId="03EA0646"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Lambarraa-Lehnhardt, F., Ihle, R., &amp; Elyoubi, H. (2021). How successful is origin labeling in a developing-country context? Moroccan consumers’ preferences toward local products. </w:t>
      </w:r>
      <w:r w:rsidRPr="00EA5A0A">
        <w:rPr>
          <w:rStyle w:val="Emphasis"/>
          <w:rFonts w:asciiTheme="majorBidi" w:hAnsiTheme="majorBidi" w:cstheme="majorBidi"/>
          <w:b w:val="0"/>
          <w:bCs w:val="0"/>
          <w:color w:val="000000" w:themeColor="text1"/>
        </w:rPr>
        <w:t>Sustainability, 13</w:t>
      </w:r>
      <w:r w:rsidRPr="00EA5A0A">
        <w:rPr>
          <w:rFonts w:asciiTheme="majorBidi" w:hAnsiTheme="majorBidi" w:cstheme="majorBidi"/>
          <w:color w:val="000000" w:themeColor="text1"/>
        </w:rPr>
        <w:t xml:space="preserve">(15), 8433. </w:t>
      </w:r>
      <w:hyperlink r:id="rId33" w:history="1">
        <w:r w:rsidRPr="00EA5A0A">
          <w:rPr>
            <w:rStyle w:val="Hyperlink"/>
            <w:rFonts w:asciiTheme="majorBidi" w:hAnsiTheme="majorBidi" w:cstheme="majorBidi"/>
            <w:color w:val="000000" w:themeColor="text1"/>
          </w:rPr>
          <w:t>https://www.mdpi.com/2071-1050/13/15/8433</w:t>
        </w:r>
      </w:hyperlink>
    </w:p>
    <w:p w14:paraId="43FF6606"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Lee, J. Y., Kim, D., Choi, B., &amp; Jiménez, A. (2023). Early evidence on how Industry 4.0 reshapes MNEs’ global value chains: The role of value creation versus value capturing by headquarters and foreign subsidiaries. </w:t>
      </w:r>
      <w:r w:rsidRPr="00EA5A0A">
        <w:rPr>
          <w:rStyle w:val="Emphasis"/>
          <w:rFonts w:asciiTheme="majorBidi" w:hAnsiTheme="majorBidi" w:cstheme="majorBidi"/>
          <w:b w:val="0"/>
          <w:bCs w:val="0"/>
          <w:color w:val="000000" w:themeColor="text1"/>
        </w:rPr>
        <w:t>Journal of International Business Studies, 54</w:t>
      </w:r>
      <w:r w:rsidRPr="00EA5A0A">
        <w:rPr>
          <w:rFonts w:asciiTheme="majorBidi" w:hAnsiTheme="majorBidi" w:cstheme="majorBidi"/>
          <w:color w:val="000000" w:themeColor="text1"/>
        </w:rPr>
        <w:t xml:space="preserve">, 599–630. </w:t>
      </w:r>
      <w:hyperlink r:id="rId34" w:history="1">
        <w:r w:rsidRPr="00EA5A0A">
          <w:rPr>
            <w:rStyle w:val="Hyperlink"/>
            <w:rFonts w:asciiTheme="majorBidi" w:hAnsiTheme="majorBidi" w:cstheme="majorBidi"/>
            <w:color w:val="000000" w:themeColor="text1"/>
          </w:rPr>
          <w:t>https://link.springer.com/article/10.1057/s41267-022-00596-6</w:t>
        </w:r>
      </w:hyperlink>
    </w:p>
    <w:p w14:paraId="37F9CFAB"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Li, J., &amp; Fleury, M. T. L. (2020). Overcoming the liability of outsidership for emerging-market MNEs: A capability-building perspective. </w:t>
      </w:r>
      <w:r w:rsidRPr="00EA5A0A">
        <w:rPr>
          <w:rStyle w:val="Emphasis"/>
          <w:rFonts w:asciiTheme="majorBidi" w:hAnsiTheme="majorBidi" w:cstheme="majorBidi"/>
          <w:b w:val="0"/>
          <w:bCs w:val="0"/>
          <w:color w:val="000000" w:themeColor="text1"/>
        </w:rPr>
        <w:t>Journal of International Business Studies, 51</w:t>
      </w:r>
      <w:r w:rsidRPr="00EA5A0A">
        <w:rPr>
          <w:rFonts w:asciiTheme="majorBidi" w:hAnsiTheme="majorBidi" w:cstheme="majorBidi"/>
          <w:color w:val="000000" w:themeColor="text1"/>
        </w:rPr>
        <w:t xml:space="preserve">(1), 23–37. </w:t>
      </w:r>
      <w:hyperlink r:id="rId35" w:history="1">
        <w:r w:rsidRPr="00EA5A0A">
          <w:rPr>
            <w:rStyle w:val="Hyperlink"/>
            <w:rFonts w:asciiTheme="majorBidi" w:hAnsiTheme="majorBidi" w:cstheme="majorBidi"/>
            <w:color w:val="000000" w:themeColor="text1"/>
          </w:rPr>
          <w:t>https://link.springer.com/journal/41267</w:t>
        </w:r>
      </w:hyperlink>
    </w:p>
    <w:p w14:paraId="05A0A4A6"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Liesch, P. W., &amp; Welch, C. (2024). Asynchronicities of growth: A process extension to the Uppsala model of internationalisation. </w:t>
      </w:r>
      <w:r w:rsidRPr="00EA5A0A">
        <w:rPr>
          <w:rStyle w:val="Emphasis"/>
          <w:rFonts w:asciiTheme="majorBidi" w:hAnsiTheme="majorBidi" w:cstheme="majorBidi"/>
          <w:b w:val="0"/>
          <w:bCs w:val="0"/>
          <w:color w:val="000000" w:themeColor="text1"/>
        </w:rPr>
        <w:t>Journal of International Business Studies, 55</w:t>
      </w:r>
      <w:r w:rsidRPr="00EA5A0A">
        <w:rPr>
          <w:rFonts w:asciiTheme="majorBidi" w:hAnsiTheme="majorBidi" w:cstheme="majorBidi"/>
          <w:color w:val="000000" w:themeColor="text1"/>
        </w:rPr>
        <w:t xml:space="preserve">, 796–804. </w:t>
      </w:r>
      <w:hyperlink r:id="rId36" w:history="1">
        <w:r w:rsidRPr="00EA5A0A">
          <w:rPr>
            <w:rStyle w:val="Hyperlink"/>
            <w:rFonts w:asciiTheme="majorBidi" w:hAnsiTheme="majorBidi" w:cstheme="majorBidi"/>
            <w:color w:val="000000" w:themeColor="text1"/>
          </w:rPr>
          <w:t>https://link.springer.com/article/10.1057/s41267-024-00702-w</w:t>
        </w:r>
      </w:hyperlink>
    </w:p>
    <w:p w14:paraId="7ED91964"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lastRenderedPageBreak/>
        <w:t xml:space="preserve">Lu, J. W., Ma, H., &amp; Xie, X. (2022). Foreignness research in international business: Major streams and future directions. </w:t>
      </w:r>
      <w:r w:rsidRPr="00EA5A0A">
        <w:rPr>
          <w:rStyle w:val="Emphasis"/>
          <w:rFonts w:asciiTheme="majorBidi" w:hAnsiTheme="majorBidi" w:cstheme="majorBidi"/>
          <w:b w:val="0"/>
          <w:bCs w:val="0"/>
          <w:color w:val="000000" w:themeColor="text1"/>
        </w:rPr>
        <w:t>Journal of International Business Studies, 53</w:t>
      </w:r>
      <w:r w:rsidRPr="00EA5A0A">
        <w:rPr>
          <w:rFonts w:asciiTheme="majorBidi" w:hAnsiTheme="majorBidi" w:cstheme="majorBidi"/>
          <w:color w:val="000000" w:themeColor="text1"/>
        </w:rPr>
        <w:t xml:space="preserve">(3), 449–480. </w:t>
      </w:r>
      <w:hyperlink r:id="rId37" w:history="1">
        <w:r w:rsidRPr="00EA5A0A">
          <w:rPr>
            <w:rStyle w:val="Hyperlink"/>
            <w:rFonts w:asciiTheme="majorBidi" w:hAnsiTheme="majorBidi" w:cstheme="majorBidi"/>
            <w:color w:val="000000" w:themeColor="text1"/>
          </w:rPr>
          <w:t>https://link.springer.com/article/10.1057/s41267-021-00465-8</w:t>
        </w:r>
      </w:hyperlink>
    </w:p>
    <w:p w14:paraId="69B00E28"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Marano, V., Tallman, S., &amp; Teegen, H. J. (2020). The liability of disruption. </w:t>
      </w:r>
      <w:r w:rsidRPr="00EA5A0A">
        <w:rPr>
          <w:rStyle w:val="Emphasis"/>
          <w:rFonts w:asciiTheme="majorBidi" w:hAnsiTheme="majorBidi" w:cstheme="majorBidi"/>
          <w:b w:val="0"/>
          <w:bCs w:val="0"/>
          <w:color w:val="000000" w:themeColor="text1"/>
        </w:rPr>
        <w:t>Global Strategy Journal, 10</w:t>
      </w:r>
      <w:r w:rsidRPr="00EA5A0A">
        <w:rPr>
          <w:rFonts w:asciiTheme="majorBidi" w:hAnsiTheme="majorBidi" w:cstheme="majorBidi"/>
          <w:color w:val="000000" w:themeColor="text1"/>
        </w:rPr>
        <w:t xml:space="preserve">(1), 174–209. </w:t>
      </w:r>
      <w:hyperlink r:id="rId38" w:history="1">
        <w:r w:rsidRPr="00EA5A0A">
          <w:rPr>
            <w:rStyle w:val="Hyperlink"/>
            <w:rFonts w:asciiTheme="majorBidi" w:hAnsiTheme="majorBidi" w:cstheme="majorBidi"/>
            <w:color w:val="000000" w:themeColor="text1"/>
          </w:rPr>
          <w:t>https://onlinelibrary.wiley.com/journal/20425805</w:t>
        </w:r>
      </w:hyperlink>
    </w:p>
    <w:p w14:paraId="221C05E6"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Milligan, S., Davies, I., Yalabik, B., Çelik, M., &amp; Squire, B. (2025). Evolutions of omni-channel fulfilment performance: An in-depth case study in grocery retailing. </w:t>
      </w:r>
      <w:r w:rsidRPr="00EA5A0A">
        <w:rPr>
          <w:rStyle w:val="Emphasis"/>
          <w:rFonts w:asciiTheme="majorBidi" w:hAnsiTheme="majorBidi" w:cstheme="majorBidi"/>
          <w:b w:val="0"/>
          <w:bCs w:val="0"/>
          <w:color w:val="000000" w:themeColor="text1"/>
        </w:rPr>
        <w:t>Journal of Operations Management, 71</w:t>
      </w:r>
      <w:r w:rsidRPr="00EA5A0A">
        <w:rPr>
          <w:rFonts w:asciiTheme="majorBidi" w:hAnsiTheme="majorBidi" w:cstheme="majorBidi"/>
          <w:color w:val="000000" w:themeColor="text1"/>
        </w:rPr>
        <w:t xml:space="preserve">(5), 651–669. </w:t>
      </w:r>
      <w:hyperlink r:id="rId39" w:history="1">
        <w:r w:rsidRPr="00EA5A0A">
          <w:rPr>
            <w:rStyle w:val="Hyperlink"/>
            <w:rFonts w:asciiTheme="majorBidi" w:hAnsiTheme="majorBidi" w:cstheme="majorBidi"/>
            <w:color w:val="000000" w:themeColor="text1"/>
          </w:rPr>
          <w:t>https://onlinelibrary.wiley.com/doi/full/10.1002/joom.1362</w:t>
        </w:r>
      </w:hyperlink>
    </w:p>
    <w:p w14:paraId="281B1B94"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Moreira da Silva, F., Ogasavara, M. H., &amp; Pereira, R. (2024). Institutional distances and equity-based entry modes: A systematic literature review. </w:t>
      </w:r>
      <w:r w:rsidRPr="00EA5A0A">
        <w:rPr>
          <w:rStyle w:val="Emphasis"/>
          <w:rFonts w:asciiTheme="majorBidi" w:hAnsiTheme="majorBidi" w:cstheme="majorBidi"/>
          <w:b w:val="0"/>
          <w:bCs w:val="0"/>
          <w:color w:val="000000" w:themeColor="text1"/>
        </w:rPr>
        <w:t>Management Review Quarterly, 74</w:t>
      </w:r>
      <w:r w:rsidRPr="00EA5A0A">
        <w:rPr>
          <w:rFonts w:asciiTheme="majorBidi" w:hAnsiTheme="majorBidi" w:cstheme="majorBidi"/>
          <w:color w:val="000000" w:themeColor="text1"/>
        </w:rPr>
        <w:t xml:space="preserve">, 1723–1790. </w:t>
      </w:r>
      <w:hyperlink r:id="rId40" w:history="1">
        <w:r w:rsidRPr="00EA5A0A">
          <w:rPr>
            <w:rStyle w:val="Hyperlink"/>
            <w:rFonts w:asciiTheme="majorBidi" w:hAnsiTheme="majorBidi" w:cstheme="majorBidi"/>
            <w:color w:val="000000" w:themeColor="text1"/>
          </w:rPr>
          <w:t>https://link.springer.com/article/10.1007/s11301-023-00346-4</w:t>
        </w:r>
      </w:hyperlink>
    </w:p>
    <w:p w14:paraId="32FDBA22"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Morris, S., Oldroyd, J., Allen, R. T., Chng, D. H. M., &amp; Han, J. (2023). From local modification to global innovation: How research units in emerging economies innovate for the world. </w:t>
      </w:r>
      <w:r w:rsidRPr="00EA5A0A">
        <w:rPr>
          <w:rStyle w:val="Emphasis"/>
          <w:rFonts w:asciiTheme="majorBidi" w:hAnsiTheme="majorBidi" w:cstheme="majorBidi"/>
          <w:b w:val="0"/>
          <w:bCs w:val="0"/>
          <w:color w:val="000000" w:themeColor="text1"/>
        </w:rPr>
        <w:t>Journal of International Business Studies, 54</w:t>
      </w:r>
      <w:r w:rsidRPr="00EA5A0A">
        <w:rPr>
          <w:rFonts w:asciiTheme="majorBidi" w:hAnsiTheme="majorBidi" w:cstheme="majorBidi"/>
          <w:color w:val="000000" w:themeColor="text1"/>
        </w:rPr>
        <w:t xml:space="preserve">, 418–440. </w:t>
      </w:r>
      <w:hyperlink r:id="rId41" w:history="1">
        <w:r w:rsidRPr="00EA5A0A">
          <w:rPr>
            <w:rStyle w:val="Hyperlink"/>
            <w:rFonts w:asciiTheme="majorBidi" w:hAnsiTheme="majorBidi" w:cstheme="majorBidi"/>
            <w:color w:val="000000" w:themeColor="text1"/>
          </w:rPr>
          <w:t>https://link.springer.com/article/10.1057/s41267-022-00570-2</w:t>
        </w:r>
      </w:hyperlink>
    </w:p>
    <w:p w14:paraId="4ADA7B20"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Mrutzek-Hartmann, B., Kotzab, H., Yumurtacı Hüseyinoğlu, I. Ö., &amp; Kühling, S. (2022). Omni-channel retailing resources and capabilities of SME specialty retailers: Insights from Germany and Turkey. </w:t>
      </w:r>
      <w:r w:rsidRPr="00EA5A0A">
        <w:rPr>
          <w:rStyle w:val="Emphasis"/>
          <w:rFonts w:asciiTheme="majorBidi" w:hAnsiTheme="majorBidi" w:cstheme="majorBidi"/>
          <w:b w:val="0"/>
          <w:bCs w:val="0"/>
          <w:color w:val="000000" w:themeColor="text1"/>
        </w:rPr>
        <w:t>International Journal of Retail &amp; Distribution Management, 50</w:t>
      </w:r>
      <w:r w:rsidRPr="00EA5A0A">
        <w:rPr>
          <w:rFonts w:asciiTheme="majorBidi" w:hAnsiTheme="majorBidi" w:cstheme="majorBidi"/>
          <w:color w:val="000000" w:themeColor="text1"/>
        </w:rPr>
        <w:t xml:space="preserve">(8/9), 1129–1155. </w:t>
      </w:r>
      <w:hyperlink r:id="rId42" w:history="1">
        <w:r w:rsidRPr="00EA5A0A">
          <w:rPr>
            <w:rStyle w:val="Hyperlink"/>
            <w:rFonts w:asciiTheme="majorBidi" w:hAnsiTheme="majorBidi" w:cstheme="majorBidi"/>
            <w:color w:val="000000" w:themeColor="text1"/>
          </w:rPr>
          <w:t>https://www.emerald.com/ijrdm/article/50/8-9/1129/154622/Omni-channel-retailing-resources-and-capabilities</w:t>
        </w:r>
      </w:hyperlink>
    </w:p>
    <w:p w14:paraId="3AB24D1F"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Muchandiona, C., Kakava, N. Z., &amp; Makanyeza, C. (2021). The effect of consumer ethnocentrism on the acceptance of imported grocery products in Harare, Zimbabwe. </w:t>
      </w:r>
      <w:r w:rsidRPr="00EA5A0A">
        <w:rPr>
          <w:rStyle w:val="Emphasis"/>
          <w:rFonts w:asciiTheme="majorBidi" w:hAnsiTheme="majorBidi" w:cstheme="majorBidi"/>
          <w:b w:val="0"/>
          <w:bCs w:val="0"/>
          <w:color w:val="000000" w:themeColor="text1"/>
        </w:rPr>
        <w:t>Cogent Business &amp; Management, 8</w:t>
      </w:r>
      <w:r w:rsidRPr="00EA5A0A">
        <w:rPr>
          <w:rFonts w:asciiTheme="majorBidi" w:hAnsiTheme="majorBidi" w:cstheme="majorBidi"/>
          <w:color w:val="000000" w:themeColor="text1"/>
        </w:rPr>
        <w:t xml:space="preserve">(1), 1963167. </w:t>
      </w:r>
      <w:hyperlink r:id="rId43" w:history="1">
        <w:r w:rsidRPr="00EA5A0A">
          <w:rPr>
            <w:rStyle w:val="Hyperlink"/>
            <w:rFonts w:asciiTheme="majorBidi" w:hAnsiTheme="majorBidi" w:cstheme="majorBidi"/>
            <w:color w:val="000000" w:themeColor="text1"/>
          </w:rPr>
          <w:t>https://www.tandfonline.com/doi/full/10.1080/23311975.2021.1963167</w:t>
        </w:r>
      </w:hyperlink>
    </w:p>
    <w:p w14:paraId="65457793"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Narula, R., Asmussen, C. G., Chi, T., &amp; Kundu, S. K. (2019). Applying and advancing internalization theory: The multinational enterprise in the twenty-first century. </w:t>
      </w:r>
      <w:r w:rsidRPr="00EA5A0A">
        <w:rPr>
          <w:rStyle w:val="Emphasis"/>
          <w:rFonts w:asciiTheme="majorBidi" w:hAnsiTheme="majorBidi" w:cstheme="majorBidi"/>
          <w:b w:val="0"/>
          <w:bCs w:val="0"/>
          <w:color w:val="000000" w:themeColor="text1"/>
        </w:rPr>
        <w:t>Journal of International Business Studies, 50</w:t>
      </w:r>
      <w:r w:rsidRPr="00EA5A0A">
        <w:rPr>
          <w:rFonts w:asciiTheme="majorBidi" w:hAnsiTheme="majorBidi" w:cstheme="majorBidi"/>
          <w:color w:val="000000" w:themeColor="text1"/>
        </w:rPr>
        <w:t xml:space="preserve">(8), 1231–1252. </w:t>
      </w:r>
      <w:hyperlink r:id="rId44" w:history="1">
        <w:r w:rsidRPr="00EA5A0A">
          <w:rPr>
            <w:rStyle w:val="Hyperlink"/>
            <w:rFonts w:asciiTheme="majorBidi" w:hAnsiTheme="majorBidi" w:cstheme="majorBidi"/>
            <w:color w:val="000000" w:themeColor="text1"/>
          </w:rPr>
          <w:t>https://link.springer.com/journal/41267</w:t>
        </w:r>
      </w:hyperlink>
    </w:p>
    <w:p w14:paraId="35093006"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lastRenderedPageBreak/>
        <w:t xml:space="preserve">Office des Changes. (2026a). </w:t>
      </w:r>
      <w:r w:rsidRPr="00EA5A0A">
        <w:rPr>
          <w:rStyle w:val="Emphasis"/>
          <w:rFonts w:asciiTheme="majorBidi" w:hAnsiTheme="majorBidi" w:cstheme="majorBidi"/>
          <w:b w:val="0"/>
          <w:bCs w:val="0"/>
          <w:color w:val="000000" w:themeColor="text1"/>
        </w:rPr>
        <w:t>Foreign investment in Morocco</w:t>
      </w:r>
      <w:r w:rsidRPr="00EA5A0A">
        <w:rPr>
          <w:rFonts w:asciiTheme="majorBidi" w:hAnsiTheme="majorBidi" w:cstheme="majorBidi"/>
          <w:color w:val="000000" w:themeColor="text1"/>
        </w:rPr>
        <w:t xml:space="preserve">. </w:t>
      </w:r>
      <w:hyperlink r:id="rId45" w:history="1">
        <w:r w:rsidRPr="00EA5A0A">
          <w:rPr>
            <w:rStyle w:val="Hyperlink"/>
            <w:rFonts w:asciiTheme="majorBidi" w:hAnsiTheme="majorBidi" w:cstheme="majorBidi"/>
            <w:color w:val="000000" w:themeColor="text1"/>
          </w:rPr>
          <w:t>https://www.oc.gov.ma/en/resident-foreigners/foreign-investment-morocco</w:t>
        </w:r>
      </w:hyperlink>
    </w:p>
    <w:p w14:paraId="3C84260E"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Office des Changes. (2026b). </w:t>
      </w:r>
      <w:r w:rsidRPr="00EA5A0A">
        <w:rPr>
          <w:rStyle w:val="Emphasis"/>
          <w:rFonts w:asciiTheme="majorBidi" w:hAnsiTheme="majorBidi" w:cstheme="majorBidi"/>
          <w:b w:val="0"/>
          <w:bCs w:val="0"/>
          <w:color w:val="000000" w:themeColor="text1"/>
        </w:rPr>
        <w:t>Income, assignment and liquidation of foreign investment</w:t>
      </w:r>
      <w:r w:rsidRPr="00EA5A0A">
        <w:rPr>
          <w:rFonts w:asciiTheme="majorBidi" w:hAnsiTheme="majorBidi" w:cstheme="majorBidi"/>
          <w:color w:val="000000" w:themeColor="text1"/>
        </w:rPr>
        <w:t xml:space="preserve">. </w:t>
      </w:r>
      <w:hyperlink r:id="rId46" w:history="1">
        <w:r w:rsidRPr="00EA5A0A">
          <w:rPr>
            <w:rStyle w:val="Hyperlink"/>
            <w:rFonts w:asciiTheme="majorBidi" w:hAnsiTheme="majorBidi" w:cstheme="majorBidi"/>
            <w:color w:val="000000" w:themeColor="text1"/>
          </w:rPr>
          <w:t>https://www.oc.gov.ma/en/non-resident-foreigners/income-assignment-liquidation-and-testamentary-disposition-or-succession</w:t>
        </w:r>
      </w:hyperlink>
    </w:p>
    <w:p w14:paraId="34B4B2B1"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Office National de Sécurité Sanitaire des Produits Alimentaires. (2026a). </w:t>
      </w:r>
      <w:r w:rsidRPr="00EA5A0A">
        <w:rPr>
          <w:rStyle w:val="Emphasis"/>
          <w:rFonts w:asciiTheme="majorBidi" w:hAnsiTheme="majorBidi" w:cstheme="majorBidi"/>
          <w:b w:val="0"/>
          <w:bCs w:val="0"/>
          <w:color w:val="000000" w:themeColor="text1"/>
        </w:rPr>
        <w:t>Import and export controls</w:t>
      </w:r>
      <w:r w:rsidRPr="00EA5A0A">
        <w:rPr>
          <w:rFonts w:asciiTheme="majorBidi" w:hAnsiTheme="majorBidi" w:cstheme="majorBidi"/>
          <w:color w:val="000000" w:themeColor="text1"/>
        </w:rPr>
        <w:t xml:space="preserve">. </w:t>
      </w:r>
      <w:hyperlink r:id="rId47" w:history="1">
        <w:r w:rsidRPr="00EA5A0A">
          <w:rPr>
            <w:rStyle w:val="Hyperlink"/>
            <w:rFonts w:asciiTheme="majorBidi" w:hAnsiTheme="majorBidi" w:cstheme="majorBidi"/>
            <w:color w:val="000000" w:themeColor="text1"/>
          </w:rPr>
          <w:t>https://www.onssa.gov.ma/import-and-export-controls/?lang=en</w:t>
        </w:r>
      </w:hyperlink>
    </w:p>
    <w:p w14:paraId="1337EE58"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Office National de Sécurité Sanitaire des Produits Alimentaires. (2026b). </w:t>
      </w:r>
      <w:r w:rsidRPr="00EA5A0A">
        <w:rPr>
          <w:rStyle w:val="Emphasis"/>
          <w:rFonts w:asciiTheme="majorBidi" w:hAnsiTheme="majorBidi" w:cstheme="majorBidi"/>
          <w:b w:val="0"/>
          <w:bCs w:val="0"/>
          <w:color w:val="000000" w:themeColor="text1"/>
        </w:rPr>
        <w:t>Control procedure for plant and vegetable products</w:t>
      </w:r>
      <w:r w:rsidRPr="00EA5A0A">
        <w:rPr>
          <w:rFonts w:asciiTheme="majorBidi" w:hAnsiTheme="majorBidi" w:cstheme="majorBidi"/>
          <w:color w:val="000000" w:themeColor="text1"/>
        </w:rPr>
        <w:t xml:space="preserve">. </w:t>
      </w:r>
      <w:hyperlink r:id="rId48" w:history="1">
        <w:r w:rsidRPr="00EA5A0A">
          <w:rPr>
            <w:rStyle w:val="Hyperlink"/>
            <w:rFonts w:asciiTheme="majorBidi" w:hAnsiTheme="majorBidi" w:cstheme="majorBidi"/>
            <w:color w:val="000000" w:themeColor="text1"/>
          </w:rPr>
          <w:t>https://www.onssa.gov.ma/vegetable-products/control-procedure/?lang=en</w:t>
        </w:r>
      </w:hyperlink>
    </w:p>
    <w:p w14:paraId="63BF68BA"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Office National de Sécurité Sanitaire des Produits Alimentaires. (2026c). </w:t>
      </w:r>
      <w:r w:rsidRPr="00EA5A0A">
        <w:rPr>
          <w:rStyle w:val="Emphasis"/>
          <w:rFonts w:asciiTheme="majorBidi" w:hAnsiTheme="majorBidi" w:cstheme="majorBidi"/>
          <w:b w:val="0"/>
          <w:bCs w:val="0"/>
          <w:color w:val="000000" w:themeColor="text1"/>
        </w:rPr>
        <w:t>Products of plant origin: Coffee, tea and chicory regulation</w:t>
      </w:r>
      <w:r w:rsidRPr="00EA5A0A">
        <w:rPr>
          <w:rFonts w:asciiTheme="majorBidi" w:hAnsiTheme="majorBidi" w:cstheme="majorBidi"/>
          <w:color w:val="000000" w:themeColor="text1"/>
        </w:rPr>
        <w:t xml:space="preserve">. </w:t>
      </w:r>
      <w:hyperlink r:id="rId49" w:history="1">
        <w:r w:rsidRPr="00EA5A0A">
          <w:rPr>
            <w:rStyle w:val="Hyperlink"/>
            <w:rFonts w:asciiTheme="majorBidi" w:hAnsiTheme="majorBidi" w:cstheme="majorBidi"/>
            <w:color w:val="000000" w:themeColor="text1"/>
          </w:rPr>
          <w:t>https://www.onssa.gov.ma/products-of-plant-origin/?lang=en</w:t>
        </w:r>
      </w:hyperlink>
    </w:p>
    <w:p w14:paraId="4121A1B4"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Office National de Sécurité Sanitaire des Produits Alimentaires. (2026d). </w:t>
      </w:r>
      <w:r w:rsidRPr="00EA5A0A">
        <w:rPr>
          <w:rStyle w:val="Emphasis"/>
          <w:rFonts w:asciiTheme="majorBidi" w:hAnsiTheme="majorBidi" w:cstheme="majorBidi"/>
          <w:b w:val="0"/>
          <w:bCs w:val="0"/>
          <w:color w:val="000000" w:themeColor="text1"/>
        </w:rPr>
        <w:t>Import procedures</w:t>
      </w:r>
      <w:r w:rsidRPr="00EA5A0A">
        <w:rPr>
          <w:rFonts w:asciiTheme="majorBidi" w:hAnsiTheme="majorBidi" w:cstheme="majorBidi"/>
          <w:color w:val="000000" w:themeColor="text1"/>
        </w:rPr>
        <w:t xml:space="preserve">. </w:t>
      </w:r>
      <w:hyperlink r:id="rId50" w:history="1">
        <w:r w:rsidRPr="00EA5A0A">
          <w:rPr>
            <w:rStyle w:val="Hyperlink"/>
            <w:rFonts w:asciiTheme="majorBidi" w:hAnsiTheme="majorBidi" w:cstheme="majorBidi"/>
            <w:color w:val="000000" w:themeColor="text1"/>
          </w:rPr>
          <w:t>https://www.onssa.gov.ma/import-procedures/?lang=en</w:t>
        </w:r>
      </w:hyperlink>
    </w:p>
    <w:p w14:paraId="42455314"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Pradana, M., Rubiyanti, N., &amp; Marimon, F. (2024). Measuring Indonesian young consumers’ halal purchase intention of foreign-branded food products. </w:t>
      </w:r>
      <w:r w:rsidRPr="00EA5A0A">
        <w:rPr>
          <w:rStyle w:val="Emphasis"/>
          <w:rFonts w:asciiTheme="majorBidi" w:hAnsiTheme="majorBidi" w:cstheme="majorBidi"/>
          <w:b w:val="0"/>
          <w:bCs w:val="0"/>
          <w:color w:val="000000" w:themeColor="text1"/>
        </w:rPr>
        <w:t>Humanities and Social Sciences Communications, 11</w:t>
      </w:r>
      <w:r w:rsidRPr="00EA5A0A">
        <w:rPr>
          <w:rFonts w:asciiTheme="majorBidi" w:hAnsiTheme="majorBidi" w:cstheme="majorBidi"/>
          <w:color w:val="000000" w:themeColor="text1"/>
        </w:rPr>
        <w:t xml:space="preserve">, 150. </w:t>
      </w:r>
      <w:hyperlink r:id="rId51" w:history="1">
        <w:r w:rsidRPr="00EA5A0A">
          <w:rPr>
            <w:rStyle w:val="Hyperlink"/>
            <w:rFonts w:asciiTheme="majorBidi" w:hAnsiTheme="majorBidi" w:cstheme="majorBidi"/>
            <w:color w:val="000000" w:themeColor="text1"/>
          </w:rPr>
          <w:t>https://www.nature.com/articles/s41599-023-02559-0</w:t>
        </w:r>
      </w:hyperlink>
    </w:p>
    <w:p w14:paraId="7890F430"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Reilly, M., Tippmann, E., &amp; Sharkey Scott, P. (2023). Subsidiary closures and relocations in the multinational enterprise: Reinstating cooperation in subsidiaries to enable knowledge transfer. </w:t>
      </w:r>
      <w:r w:rsidRPr="00EA5A0A">
        <w:rPr>
          <w:rStyle w:val="Emphasis"/>
          <w:rFonts w:asciiTheme="majorBidi" w:hAnsiTheme="majorBidi" w:cstheme="majorBidi"/>
          <w:b w:val="0"/>
          <w:bCs w:val="0"/>
          <w:color w:val="000000" w:themeColor="text1"/>
        </w:rPr>
        <w:t>Journal of International Business Studies, 54</w:t>
      </w:r>
      <w:r w:rsidRPr="00EA5A0A">
        <w:rPr>
          <w:rFonts w:asciiTheme="majorBidi" w:hAnsiTheme="majorBidi" w:cstheme="majorBidi"/>
          <w:color w:val="000000" w:themeColor="text1"/>
        </w:rPr>
        <w:t xml:space="preserve">, 997–1026. </w:t>
      </w:r>
      <w:hyperlink r:id="rId52" w:history="1">
        <w:r w:rsidRPr="00EA5A0A">
          <w:rPr>
            <w:rStyle w:val="Hyperlink"/>
            <w:rFonts w:asciiTheme="majorBidi" w:hAnsiTheme="majorBidi" w:cstheme="majorBidi"/>
            <w:color w:val="000000" w:themeColor="text1"/>
          </w:rPr>
          <w:t>https://link.springer.com/article/10.1057/s41267-022-00592-w</w:t>
        </w:r>
      </w:hyperlink>
    </w:p>
    <w:p w14:paraId="6BF4D20A"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Rumyantseva, M., &amp; Welch, C. (2023). The born global and international new venture revisited: An alternative explanation for early and rapid internationalization. </w:t>
      </w:r>
      <w:r w:rsidRPr="00EA5A0A">
        <w:rPr>
          <w:rStyle w:val="Emphasis"/>
          <w:rFonts w:asciiTheme="majorBidi" w:hAnsiTheme="majorBidi" w:cstheme="majorBidi"/>
          <w:b w:val="0"/>
          <w:bCs w:val="0"/>
          <w:color w:val="000000" w:themeColor="text1"/>
        </w:rPr>
        <w:t>Journal of International Business Studies, 54</w:t>
      </w:r>
      <w:r w:rsidRPr="00EA5A0A">
        <w:rPr>
          <w:rFonts w:asciiTheme="majorBidi" w:hAnsiTheme="majorBidi" w:cstheme="majorBidi"/>
          <w:color w:val="000000" w:themeColor="text1"/>
        </w:rPr>
        <w:t xml:space="preserve">, 1193–1221. </w:t>
      </w:r>
      <w:hyperlink r:id="rId53" w:history="1">
        <w:r w:rsidRPr="00EA5A0A">
          <w:rPr>
            <w:rStyle w:val="Hyperlink"/>
            <w:rFonts w:asciiTheme="majorBidi" w:hAnsiTheme="majorBidi" w:cstheme="majorBidi"/>
            <w:color w:val="000000" w:themeColor="text1"/>
          </w:rPr>
          <w:t>https://link.springer.com/article/10.1057/s41267-023-00613-2</w:t>
        </w:r>
      </w:hyperlink>
    </w:p>
    <w:p w14:paraId="2A2ACC89"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lastRenderedPageBreak/>
        <w:t xml:space="preserve">Shin, Y. H., Kim, H., &amp; Severt, K. (2021). Predicting college students’ intention to purchase local food using the theory of consumption values. </w:t>
      </w:r>
      <w:r w:rsidRPr="00EA5A0A">
        <w:rPr>
          <w:rStyle w:val="Emphasis"/>
          <w:rFonts w:asciiTheme="majorBidi" w:hAnsiTheme="majorBidi" w:cstheme="majorBidi"/>
          <w:b w:val="0"/>
          <w:bCs w:val="0"/>
          <w:color w:val="000000" w:themeColor="text1"/>
        </w:rPr>
        <w:t>Journal of Foodservice Business Research, 24</w:t>
      </w:r>
      <w:r w:rsidRPr="00EA5A0A">
        <w:rPr>
          <w:rFonts w:asciiTheme="majorBidi" w:hAnsiTheme="majorBidi" w:cstheme="majorBidi"/>
          <w:color w:val="000000" w:themeColor="text1"/>
        </w:rPr>
        <w:t xml:space="preserve">(3), 286–309. </w:t>
      </w:r>
      <w:hyperlink r:id="rId54" w:history="1">
        <w:r w:rsidRPr="00EA5A0A">
          <w:rPr>
            <w:rStyle w:val="Hyperlink"/>
            <w:rFonts w:asciiTheme="majorBidi" w:hAnsiTheme="majorBidi" w:cstheme="majorBidi"/>
            <w:color w:val="000000" w:themeColor="text1"/>
          </w:rPr>
          <w:t>https://www.tandfonline.com/doi/full/10.1080/15378020.2020.1848259</w:t>
        </w:r>
      </w:hyperlink>
    </w:p>
    <w:p w14:paraId="46F563D5"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Solarino, A. M., &amp; Buckley, P. J. (2023). Equivalence in international business research: A three-step approach. </w:t>
      </w:r>
      <w:r w:rsidRPr="00EA5A0A">
        <w:rPr>
          <w:rStyle w:val="Emphasis"/>
          <w:rFonts w:asciiTheme="majorBidi" w:hAnsiTheme="majorBidi" w:cstheme="majorBidi"/>
          <w:b w:val="0"/>
          <w:bCs w:val="0"/>
          <w:color w:val="000000" w:themeColor="text1"/>
        </w:rPr>
        <w:t>Journal of International Business Studies, 54</w:t>
      </w:r>
      <w:r w:rsidRPr="00EA5A0A">
        <w:rPr>
          <w:rFonts w:asciiTheme="majorBidi" w:hAnsiTheme="majorBidi" w:cstheme="majorBidi"/>
          <w:color w:val="000000" w:themeColor="text1"/>
        </w:rPr>
        <w:t xml:space="preserve">, 550–567. </w:t>
      </w:r>
      <w:hyperlink r:id="rId55" w:history="1">
        <w:r w:rsidRPr="00EA5A0A">
          <w:rPr>
            <w:rStyle w:val="Hyperlink"/>
            <w:rFonts w:asciiTheme="majorBidi" w:hAnsiTheme="majorBidi" w:cstheme="majorBidi"/>
            <w:color w:val="000000" w:themeColor="text1"/>
          </w:rPr>
          <w:t>https://link.springer.com/article/10.1057/s41267-022-00562-2</w:t>
        </w:r>
      </w:hyperlink>
    </w:p>
    <w:p w14:paraId="4F03C7D5"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Sousa, A. C., Pádua, I., Gonçalves, V. M. F., Ribeiro, C., &amp; Leal, S. (2024). Exploring tea and herbal infusions consumption patterns and behaviours: The case of Portuguese consumers. </w:t>
      </w:r>
      <w:r w:rsidRPr="00EA5A0A">
        <w:rPr>
          <w:rStyle w:val="Emphasis"/>
          <w:rFonts w:asciiTheme="majorBidi" w:hAnsiTheme="majorBidi" w:cstheme="majorBidi"/>
          <w:b w:val="0"/>
          <w:bCs w:val="0"/>
          <w:color w:val="000000" w:themeColor="text1"/>
        </w:rPr>
        <w:t>Heliyon, 10</w:t>
      </w:r>
      <w:r w:rsidRPr="00EA5A0A">
        <w:rPr>
          <w:rFonts w:asciiTheme="majorBidi" w:hAnsiTheme="majorBidi" w:cstheme="majorBidi"/>
          <w:color w:val="000000" w:themeColor="text1"/>
        </w:rPr>
        <w:t xml:space="preserve">(7), e28779. </w:t>
      </w:r>
      <w:hyperlink r:id="rId56" w:history="1">
        <w:r w:rsidRPr="00EA5A0A">
          <w:rPr>
            <w:rStyle w:val="Hyperlink"/>
            <w:rFonts w:asciiTheme="majorBidi" w:hAnsiTheme="majorBidi" w:cstheme="majorBidi"/>
            <w:color w:val="000000" w:themeColor="text1"/>
          </w:rPr>
          <w:t>https://www.sciencedirect.com/science/article/pii/S2405844024048102</w:t>
        </w:r>
      </w:hyperlink>
    </w:p>
    <w:p w14:paraId="5F160DF8"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Sungnoi, P., &amp; Soonthonsmai, V. (2024). Investigating the brand-equity strategy of halal food in a promising emerging Islamic market in a non-Muslim country. </w:t>
      </w:r>
      <w:r w:rsidRPr="00EA5A0A">
        <w:rPr>
          <w:rStyle w:val="Emphasis"/>
          <w:rFonts w:asciiTheme="majorBidi" w:hAnsiTheme="majorBidi" w:cstheme="majorBidi"/>
          <w:b w:val="0"/>
          <w:bCs w:val="0"/>
          <w:color w:val="000000" w:themeColor="text1"/>
        </w:rPr>
        <w:t>Cogent Business &amp; Management, 11</w:t>
      </w:r>
      <w:r w:rsidRPr="00EA5A0A">
        <w:rPr>
          <w:rFonts w:asciiTheme="majorBidi" w:hAnsiTheme="majorBidi" w:cstheme="majorBidi"/>
          <w:color w:val="000000" w:themeColor="text1"/>
        </w:rPr>
        <w:t xml:space="preserve">(1), 2327140. </w:t>
      </w:r>
      <w:hyperlink r:id="rId57" w:history="1">
        <w:r w:rsidRPr="00EA5A0A">
          <w:rPr>
            <w:rStyle w:val="Hyperlink"/>
            <w:rFonts w:asciiTheme="majorBidi" w:hAnsiTheme="majorBidi" w:cstheme="majorBidi"/>
            <w:color w:val="000000" w:themeColor="text1"/>
          </w:rPr>
          <w:t>https://www.tandfonline.com/doi/full/10.1080/23311975.2024.2327140</w:t>
        </w:r>
      </w:hyperlink>
    </w:p>
    <w:p w14:paraId="6C22C9E5"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Surya, G., &amp; Palanisamy, A. (2025). Tea tales: An analytical exploration of branding strategies and consumer trends in the tea industry. </w:t>
      </w:r>
      <w:r w:rsidRPr="00EA5A0A">
        <w:rPr>
          <w:rStyle w:val="Emphasis"/>
          <w:rFonts w:asciiTheme="majorBidi" w:hAnsiTheme="majorBidi" w:cstheme="majorBidi"/>
          <w:b w:val="0"/>
          <w:bCs w:val="0"/>
          <w:color w:val="000000" w:themeColor="text1"/>
        </w:rPr>
        <w:t>Journal of Agriculture and Food Research, 23</w:t>
      </w:r>
      <w:r w:rsidRPr="00EA5A0A">
        <w:rPr>
          <w:rFonts w:asciiTheme="majorBidi" w:hAnsiTheme="majorBidi" w:cstheme="majorBidi"/>
          <w:color w:val="000000" w:themeColor="text1"/>
        </w:rPr>
        <w:t xml:space="preserve">, 102190. </w:t>
      </w:r>
      <w:hyperlink r:id="rId58" w:history="1">
        <w:r w:rsidRPr="00EA5A0A">
          <w:rPr>
            <w:rStyle w:val="Hyperlink"/>
            <w:rFonts w:asciiTheme="majorBidi" w:hAnsiTheme="majorBidi" w:cstheme="majorBidi"/>
            <w:color w:val="000000" w:themeColor="text1"/>
          </w:rPr>
          <w:t>https://www.sciencedirect.com/science/article/pii/S2666154325005617</w:t>
        </w:r>
      </w:hyperlink>
    </w:p>
    <w:p w14:paraId="0DA83820"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Tata Consumer Products. (2026a). </w:t>
      </w:r>
      <w:r w:rsidRPr="00EA5A0A">
        <w:rPr>
          <w:rStyle w:val="Emphasis"/>
          <w:rFonts w:asciiTheme="majorBidi" w:hAnsiTheme="majorBidi" w:cstheme="majorBidi"/>
          <w:b w:val="0"/>
          <w:bCs w:val="0"/>
          <w:color w:val="000000" w:themeColor="text1"/>
        </w:rPr>
        <w:t>Integrated annual report 2025–26</w:t>
      </w:r>
      <w:r w:rsidRPr="00EA5A0A">
        <w:rPr>
          <w:rFonts w:asciiTheme="majorBidi" w:hAnsiTheme="majorBidi" w:cstheme="majorBidi"/>
          <w:color w:val="000000" w:themeColor="text1"/>
        </w:rPr>
        <w:t xml:space="preserve">. </w:t>
      </w:r>
      <w:hyperlink r:id="rId59" w:history="1">
        <w:r w:rsidRPr="00EA5A0A">
          <w:rPr>
            <w:rStyle w:val="Hyperlink"/>
            <w:rFonts w:asciiTheme="majorBidi" w:hAnsiTheme="majorBidi" w:cstheme="majorBidi"/>
            <w:color w:val="000000" w:themeColor="text1"/>
          </w:rPr>
          <w:t>https://www.tataconsumer.com/iar-2025-26/</w:t>
        </w:r>
      </w:hyperlink>
    </w:p>
    <w:p w14:paraId="097DE6B1"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Tata Consumer Products. (2026b). </w:t>
      </w:r>
      <w:r w:rsidRPr="00EA5A0A">
        <w:rPr>
          <w:rStyle w:val="Emphasis"/>
          <w:rFonts w:asciiTheme="majorBidi" w:hAnsiTheme="majorBidi" w:cstheme="majorBidi"/>
          <w:b w:val="0"/>
          <w:bCs w:val="0"/>
          <w:color w:val="000000" w:themeColor="text1"/>
        </w:rPr>
        <w:t>Results for the quarter and year ended 31 March 2026</w:t>
      </w:r>
      <w:r w:rsidRPr="00EA5A0A">
        <w:rPr>
          <w:rFonts w:asciiTheme="majorBidi" w:hAnsiTheme="majorBidi" w:cstheme="majorBidi"/>
          <w:color w:val="000000" w:themeColor="text1"/>
        </w:rPr>
        <w:t xml:space="preserve">. </w:t>
      </w:r>
      <w:hyperlink r:id="rId60" w:history="1">
        <w:r w:rsidRPr="00EA5A0A">
          <w:rPr>
            <w:rStyle w:val="Hyperlink"/>
            <w:rFonts w:asciiTheme="majorBidi" w:hAnsiTheme="majorBidi" w:cstheme="majorBidi"/>
            <w:color w:val="000000" w:themeColor="text1"/>
          </w:rPr>
          <w:t>https://www.tataconsumer.com/news/results-quarter-and-year-ended-31st-march-2026</w:t>
        </w:r>
      </w:hyperlink>
    </w:p>
    <w:p w14:paraId="3E07B738"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Tata Consumer Products. (2026c). </w:t>
      </w:r>
      <w:r w:rsidRPr="00EA5A0A">
        <w:rPr>
          <w:rStyle w:val="Emphasis"/>
          <w:rFonts w:asciiTheme="majorBidi" w:hAnsiTheme="majorBidi" w:cstheme="majorBidi"/>
          <w:b w:val="0"/>
          <w:bCs w:val="0"/>
          <w:color w:val="000000" w:themeColor="text1"/>
        </w:rPr>
        <w:t>Subsidiary financials</w:t>
      </w:r>
      <w:r w:rsidRPr="00EA5A0A">
        <w:rPr>
          <w:rFonts w:asciiTheme="majorBidi" w:hAnsiTheme="majorBidi" w:cstheme="majorBidi"/>
          <w:color w:val="000000" w:themeColor="text1"/>
        </w:rPr>
        <w:t xml:space="preserve">. </w:t>
      </w:r>
      <w:hyperlink r:id="rId61" w:history="1">
        <w:r w:rsidRPr="00EA5A0A">
          <w:rPr>
            <w:rStyle w:val="Hyperlink"/>
            <w:rFonts w:asciiTheme="majorBidi" w:hAnsiTheme="majorBidi" w:cstheme="majorBidi"/>
            <w:color w:val="000000" w:themeColor="text1"/>
          </w:rPr>
          <w:t>https://www.tataconsumer.com/investors/investor-relations/subsidiaries/subsidiary-financials</w:t>
        </w:r>
      </w:hyperlink>
    </w:p>
    <w:p w14:paraId="490CAB8C"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Tata Consumer Products. (2026d). </w:t>
      </w:r>
      <w:r w:rsidRPr="00EA5A0A">
        <w:rPr>
          <w:rStyle w:val="Emphasis"/>
          <w:rFonts w:asciiTheme="majorBidi" w:hAnsiTheme="majorBidi" w:cstheme="majorBidi"/>
          <w:b w:val="0"/>
          <w:bCs w:val="0"/>
          <w:color w:val="000000" w:themeColor="text1"/>
        </w:rPr>
        <w:t>Tetley</w:t>
      </w:r>
      <w:r w:rsidRPr="00EA5A0A">
        <w:rPr>
          <w:rFonts w:asciiTheme="majorBidi" w:hAnsiTheme="majorBidi" w:cstheme="majorBidi"/>
          <w:color w:val="000000" w:themeColor="text1"/>
        </w:rPr>
        <w:t xml:space="preserve">. </w:t>
      </w:r>
      <w:hyperlink r:id="rId62" w:history="1">
        <w:r w:rsidRPr="00EA5A0A">
          <w:rPr>
            <w:rStyle w:val="Hyperlink"/>
            <w:rFonts w:asciiTheme="majorBidi" w:hAnsiTheme="majorBidi" w:cstheme="majorBidi"/>
            <w:color w:val="000000" w:themeColor="text1"/>
          </w:rPr>
          <w:t>https://www.tataconsumer.com/brands/tea/tetley</w:t>
        </w:r>
      </w:hyperlink>
    </w:p>
    <w:p w14:paraId="061DE94A"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lastRenderedPageBreak/>
        <w:t xml:space="preserve">Tata Consumer Products. (2026e). </w:t>
      </w:r>
      <w:r w:rsidRPr="00EA5A0A">
        <w:rPr>
          <w:rStyle w:val="Emphasis"/>
          <w:rFonts w:asciiTheme="majorBidi" w:hAnsiTheme="majorBidi" w:cstheme="majorBidi"/>
          <w:b w:val="0"/>
          <w:bCs w:val="0"/>
          <w:color w:val="000000" w:themeColor="text1"/>
        </w:rPr>
        <w:t>Better sourcing</w:t>
      </w:r>
      <w:r w:rsidRPr="00EA5A0A">
        <w:rPr>
          <w:rFonts w:asciiTheme="majorBidi" w:hAnsiTheme="majorBidi" w:cstheme="majorBidi"/>
          <w:color w:val="000000" w:themeColor="text1"/>
        </w:rPr>
        <w:t xml:space="preserve">. </w:t>
      </w:r>
      <w:hyperlink r:id="rId63" w:history="1">
        <w:r w:rsidRPr="00EA5A0A">
          <w:rPr>
            <w:rStyle w:val="Hyperlink"/>
            <w:rFonts w:asciiTheme="majorBidi" w:hAnsiTheme="majorBidi" w:cstheme="majorBidi"/>
            <w:color w:val="000000" w:themeColor="text1"/>
          </w:rPr>
          <w:t>https://www.tataconsumer.com/iar-2025-26/sustainability/better-sourcing/</w:t>
        </w:r>
      </w:hyperlink>
    </w:p>
    <w:p w14:paraId="448B5DAD"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Tata Consumer Products. (2026f). </w:t>
      </w:r>
      <w:r w:rsidRPr="00EA5A0A">
        <w:rPr>
          <w:rStyle w:val="Emphasis"/>
          <w:rFonts w:asciiTheme="majorBidi" w:hAnsiTheme="majorBidi" w:cstheme="majorBidi"/>
          <w:b w:val="0"/>
          <w:bCs w:val="0"/>
          <w:color w:val="000000" w:themeColor="text1"/>
        </w:rPr>
        <w:t>Strengthen core and accelerate growth businesses</w:t>
      </w:r>
      <w:r w:rsidRPr="00EA5A0A">
        <w:rPr>
          <w:rFonts w:asciiTheme="majorBidi" w:hAnsiTheme="majorBidi" w:cstheme="majorBidi"/>
          <w:color w:val="000000" w:themeColor="text1"/>
        </w:rPr>
        <w:t xml:space="preserve">. </w:t>
      </w:r>
      <w:hyperlink r:id="rId64" w:history="1">
        <w:r w:rsidRPr="00EA5A0A">
          <w:rPr>
            <w:rStyle w:val="Hyperlink"/>
            <w:rFonts w:asciiTheme="majorBidi" w:hAnsiTheme="majorBidi" w:cstheme="majorBidi"/>
            <w:color w:val="000000" w:themeColor="text1"/>
          </w:rPr>
          <w:t>https://www.tataconsumer.com/iar-2025-26/delivering-on-strategy/strengthen-core-accelerate-growth-businesses/</w:t>
        </w:r>
      </w:hyperlink>
    </w:p>
    <w:p w14:paraId="31958C9E"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Tata Consumer Products. (2026g). </w:t>
      </w:r>
      <w:r w:rsidRPr="00EA5A0A">
        <w:rPr>
          <w:rStyle w:val="Emphasis"/>
          <w:rFonts w:asciiTheme="majorBidi" w:hAnsiTheme="majorBidi" w:cstheme="majorBidi"/>
          <w:b w:val="0"/>
          <w:bCs w:val="0"/>
          <w:color w:val="000000" w:themeColor="text1"/>
        </w:rPr>
        <w:t>Our story</w:t>
      </w:r>
      <w:r w:rsidRPr="00EA5A0A">
        <w:rPr>
          <w:rFonts w:asciiTheme="majorBidi" w:hAnsiTheme="majorBidi" w:cstheme="majorBidi"/>
          <w:color w:val="000000" w:themeColor="text1"/>
        </w:rPr>
        <w:t xml:space="preserve">. </w:t>
      </w:r>
      <w:hyperlink r:id="rId65" w:history="1">
        <w:r w:rsidRPr="00EA5A0A">
          <w:rPr>
            <w:rStyle w:val="Hyperlink"/>
            <w:rFonts w:asciiTheme="majorBidi" w:hAnsiTheme="majorBidi" w:cstheme="majorBidi"/>
            <w:color w:val="000000" w:themeColor="text1"/>
          </w:rPr>
          <w:t>https://www.tataconsumer.com/about/our-story</w:t>
        </w:r>
      </w:hyperlink>
    </w:p>
    <w:p w14:paraId="514049E9"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Tata Consumer Products. (2026h). </w:t>
      </w:r>
      <w:r w:rsidRPr="00EA5A0A">
        <w:rPr>
          <w:rStyle w:val="Emphasis"/>
          <w:rFonts w:asciiTheme="majorBidi" w:hAnsiTheme="majorBidi" w:cstheme="majorBidi"/>
          <w:b w:val="0"/>
          <w:bCs w:val="0"/>
          <w:color w:val="000000" w:themeColor="text1"/>
        </w:rPr>
        <w:t>Joekels</w:t>
      </w:r>
      <w:r w:rsidRPr="00EA5A0A">
        <w:rPr>
          <w:rFonts w:asciiTheme="majorBidi" w:hAnsiTheme="majorBidi" w:cstheme="majorBidi"/>
          <w:color w:val="000000" w:themeColor="text1"/>
        </w:rPr>
        <w:t xml:space="preserve">. </w:t>
      </w:r>
      <w:hyperlink r:id="rId66" w:history="1">
        <w:r w:rsidRPr="00EA5A0A">
          <w:rPr>
            <w:rStyle w:val="Hyperlink"/>
            <w:rFonts w:asciiTheme="majorBidi" w:hAnsiTheme="majorBidi" w:cstheme="majorBidi"/>
            <w:color w:val="000000" w:themeColor="text1"/>
          </w:rPr>
          <w:t>https://www.tataconsumer.com/brands/tea/joekels</w:t>
        </w:r>
      </w:hyperlink>
    </w:p>
    <w:p w14:paraId="2A60588C"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Teece, D. J. (2025). The multinational enterprise, capabilities, and digitalization: Governance and growth with world disorder. </w:t>
      </w:r>
      <w:r w:rsidRPr="00EA5A0A">
        <w:rPr>
          <w:rStyle w:val="Emphasis"/>
          <w:rFonts w:asciiTheme="majorBidi" w:hAnsiTheme="majorBidi" w:cstheme="majorBidi"/>
          <w:b w:val="0"/>
          <w:bCs w:val="0"/>
          <w:color w:val="000000" w:themeColor="text1"/>
        </w:rPr>
        <w:t>Journal of International Business Studies, 56</w:t>
      </w:r>
      <w:r w:rsidRPr="00EA5A0A">
        <w:rPr>
          <w:rFonts w:asciiTheme="majorBidi" w:hAnsiTheme="majorBidi" w:cstheme="majorBidi"/>
          <w:color w:val="000000" w:themeColor="text1"/>
        </w:rPr>
        <w:t xml:space="preserve">(1), 7–22. </w:t>
      </w:r>
      <w:hyperlink r:id="rId67" w:history="1">
        <w:r w:rsidRPr="00EA5A0A">
          <w:rPr>
            <w:rStyle w:val="Hyperlink"/>
            <w:rFonts w:asciiTheme="majorBidi" w:hAnsiTheme="majorBidi" w:cstheme="majorBidi"/>
            <w:color w:val="000000" w:themeColor="text1"/>
          </w:rPr>
          <w:t>https://link.springer.com/article/10.1057/s41267-024-00767-7</w:t>
        </w:r>
      </w:hyperlink>
    </w:p>
    <w:p w14:paraId="4D31B1B9"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Wang, J. (2025). The impact of consumers’ cross-channel experiencing behaviour on omnichannel integration based on game-theoretic analysis. </w:t>
      </w:r>
      <w:r w:rsidRPr="00EA5A0A">
        <w:rPr>
          <w:rStyle w:val="Emphasis"/>
          <w:rFonts w:asciiTheme="majorBidi" w:hAnsiTheme="majorBidi" w:cstheme="majorBidi"/>
          <w:b w:val="0"/>
          <w:bCs w:val="0"/>
          <w:color w:val="000000" w:themeColor="text1"/>
        </w:rPr>
        <w:t>Humanities and Social Sciences Communications, 12</w:t>
      </w:r>
      <w:r w:rsidRPr="00EA5A0A">
        <w:rPr>
          <w:rFonts w:asciiTheme="majorBidi" w:hAnsiTheme="majorBidi" w:cstheme="majorBidi"/>
          <w:color w:val="000000" w:themeColor="text1"/>
        </w:rPr>
        <w:t xml:space="preserve">, 904. </w:t>
      </w:r>
      <w:hyperlink r:id="rId68" w:history="1">
        <w:r w:rsidRPr="00EA5A0A">
          <w:rPr>
            <w:rStyle w:val="Hyperlink"/>
            <w:rFonts w:asciiTheme="majorBidi" w:hAnsiTheme="majorBidi" w:cstheme="majorBidi"/>
            <w:color w:val="000000" w:themeColor="text1"/>
          </w:rPr>
          <w:t>https://www.nature.com/articles/s41599-025-05270-4</w:t>
        </w:r>
      </w:hyperlink>
    </w:p>
    <w:p w14:paraId="067BEF43"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World Bank. (2026). </w:t>
      </w:r>
      <w:r w:rsidRPr="00EA5A0A">
        <w:rPr>
          <w:rStyle w:val="Emphasis"/>
          <w:rFonts w:asciiTheme="majorBidi" w:hAnsiTheme="majorBidi" w:cstheme="majorBidi"/>
          <w:b w:val="0"/>
          <w:bCs w:val="0"/>
          <w:color w:val="000000" w:themeColor="text1"/>
        </w:rPr>
        <w:t>Public investment powers Morocco’s strongest growth in a decade—with digital transformation as the next horizon</w:t>
      </w:r>
      <w:r w:rsidRPr="00EA5A0A">
        <w:rPr>
          <w:rFonts w:asciiTheme="majorBidi" w:hAnsiTheme="majorBidi" w:cstheme="majorBidi"/>
          <w:color w:val="000000" w:themeColor="text1"/>
        </w:rPr>
        <w:t xml:space="preserve">. </w:t>
      </w:r>
      <w:hyperlink r:id="rId69" w:history="1">
        <w:r w:rsidRPr="00EA5A0A">
          <w:rPr>
            <w:rStyle w:val="Hyperlink"/>
            <w:rFonts w:asciiTheme="majorBidi" w:hAnsiTheme="majorBidi" w:cstheme="majorBidi"/>
            <w:color w:val="000000" w:themeColor="text1"/>
          </w:rPr>
          <w:t>https://www.worldbank.org/en/news/press-release/2026/07/23/public-investment-powers-morocco-s-strongest-growth-in-a-decade</w:t>
        </w:r>
      </w:hyperlink>
    </w:p>
    <w:p w14:paraId="5B9683C7"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World Integrated Trade Solution. (2026a). </w:t>
      </w:r>
      <w:r w:rsidRPr="00EA5A0A">
        <w:rPr>
          <w:rStyle w:val="Emphasis"/>
          <w:rFonts w:asciiTheme="majorBidi" w:hAnsiTheme="majorBidi" w:cstheme="majorBidi"/>
          <w:b w:val="0"/>
          <w:bCs w:val="0"/>
          <w:color w:val="000000" w:themeColor="text1"/>
        </w:rPr>
        <w:t>Morocco tea imports by country, 2024</w:t>
      </w:r>
      <w:r w:rsidRPr="00EA5A0A">
        <w:rPr>
          <w:rFonts w:asciiTheme="majorBidi" w:hAnsiTheme="majorBidi" w:cstheme="majorBidi"/>
          <w:color w:val="000000" w:themeColor="text1"/>
        </w:rPr>
        <w:t xml:space="preserve">. </w:t>
      </w:r>
      <w:hyperlink r:id="rId70" w:history="1">
        <w:r w:rsidRPr="00EA5A0A">
          <w:rPr>
            <w:rStyle w:val="Hyperlink"/>
            <w:rFonts w:asciiTheme="majorBidi" w:hAnsiTheme="majorBidi" w:cstheme="majorBidi"/>
            <w:color w:val="000000" w:themeColor="text1"/>
          </w:rPr>
          <w:t>https://wits.worldbank.org/trade/comtrade/en/country/MAR/year/2024/tradeflow/Imports/partner/ALL/product/0902</w:t>
        </w:r>
      </w:hyperlink>
    </w:p>
    <w:p w14:paraId="384A4A1A"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World Integrated Trade Solution. (2026b). </w:t>
      </w:r>
      <w:r w:rsidRPr="00EA5A0A">
        <w:rPr>
          <w:rStyle w:val="Emphasis"/>
          <w:rFonts w:asciiTheme="majorBidi" w:hAnsiTheme="majorBidi" w:cstheme="majorBidi"/>
          <w:b w:val="0"/>
          <w:bCs w:val="0"/>
          <w:color w:val="000000" w:themeColor="text1"/>
        </w:rPr>
        <w:t>Morocco green tea, not elsewhere specified, imports by country, 2024</w:t>
      </w:r>
      <w:r w:rsidRPr="00EA5A0A">
        <w:rPr>
          <w:rFonts w:asciiTheme="majorBidi" w:hAnsiTheme="majorBidi" w:cstheme="majorBidi"/>
          <w:color w:val="000000" w:themeColor="text1"/>
        </w:rPr>
        <w:t xml:space="preserve">. </w:t>
      </w:r>
      <w:hyperlink r:id="rId71" w:history="1">
        <w:r w:rsidRPr="00EA5A0A">
          <w:rPr>
            <w:rStyle w:val="Hyperlink"/>
            <w:rFonts w:asciiTheme="majorBidi" w:hAnsiTheme="majorBidi" w:cstheme="majorBidi"/>
            <w:color w:val="000000" w:themeColor="text1"/>
          </w:rPr>
          <w:t>https://wits.worldbank.org/trade/comtrade/en/country/MAR/year/2024/tradeflow/Imports/partner/ALL/product/090220</w:t>
        </w:r>
      </w:hyperlink>
    </w:p>
    <w:p w14:paraId="15099500"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World Integrated Trade Solution. (2026c). </w:t>
      </w:r>
      <w:r w:rsidRPr="00EA5A0A">
        <w:rPr>
          <w:rStyle w:val="Emphasis"/>
          <w:rFonts w:asciiTheme="majorBidi" w:hAnsiTheme="majorBidi" w:cstheme="majorBidi"/>
          <w:b w:val="0"/>
          <w:bCs w:val="0"/>
          <w:color w:val="000000" w:themeColor="text1"/>
        </w:rPr>
        <w:t>Morocco green tea in immediate packings imports by country, 2024</w:t>
      </w:r>
      <w:r w:rsidRPr="00EA5A0A">
        <w:rPr>
          <w:rFonts w:asciiTheme="majorBidi" w:hAnsiTheme="majorBidi" w:cstheme="majorBidi"/>
          <w:color w:val="000000" w:themeColor="text1"/>
        </w:rPr>
        <w:t xml:space="preserve">. </w:t>
      </w:r>
      <w:hyperlink r:id="rId72" w:history="1">
        <w:r w:rsidRPr="00EA5A0A">
          <w:rPr>
            <w:rStyle w:val="Hyperlink"/>
            <w:rFonts w:asciiTheme="majorBidi" w:hAnsiTheme="majorBidi" w:cstheme="majorBidi"/>
            <w:color w:val="000000" w:themeColor="text1"/>
          </w:rPr>
          <w:t>https://wits.worldbank.org/trade/comtrade/en/country/MAR/year/2024/tradeflow/Imports/partner/ALL/product/090210</w:t>
        </w:r>
      </w:hyperlink>
    </w:p>
    <w:p w14:paraId="2BA5D467"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World Integrated Trade Solution. (2026d). </w:t>
      </w:r>
      <w:r w:rsidRPr="00EA5A0A">
        <w:rPr>
          <w:rStyle w:val="Emphasis"/>
          <w:rFonts w:asciiTheme="majorBidi" w:hAnsiTheme="majorBidi" w:cstheme="majorBidi"/>
          <w:b w:val="0"/>
          <w:bCs w:val="0"/>
          <w:color w:val="000000" w:themeColor="text1"/>
        </w:rPr>
        <w:t>Morocco tea exports by country, 2024</w:t>
      </w:r>
      <w:r w:rsidRPr="00EA5A0A">
        <w:rPr>
          <w:rFonts w:asciiTheme="majorBidi" w:hAnsiTheme="majorBidi" w:cstheme="majorBidi"/>
          <w:color w:val="000000" w:themeColor="text1"/>
        </w:rPr>
        <w:t xml:space="preserve">. </w:t>
      </w:r>
      <w:hyperlink r:id="rId73" w:history="1">
        <w:r w:rsidRPr="00EA5A0A">
          <w:rPr>
            <w:rStyle w:val="Hyperlink"/>
            <w:rFonts w:asciiTheme="majorBidi" w:hAnsiTheme="majorBidi" w:cstheme="majorBidi"/>
            <w:color w:val="000000" w:themeColor="text1"/>
          </w:rPr>
          <w:t>https://wits.worldbank.org/trade/comtrade/en/country/MAR/year/2024/tradeflow/Exports/partner/ALL/product/0902</w:t>
        </w:r>
      </w:hyperlink>
    </w:p>
    <w:p w14:paraId="13D23E20" w14:textId="77777777" w:rsidR="00E21832" w:rsidRPr="00EA5A0A" w:rsidRDefault="00E21832" w:rsidP="00EA5A0A">
      <w:pPr>
        <w:pStyle w:val="NormalWeb"/>
        <w:spacing w:line="360" w:lineRule="auto"/>
        <w:ind w:left="720" w:hanging="720"/>
        <w:jc w:val="both"/>
        <w:rPr>
          <w:rFonts w:asciiTheme="majorBidi" w:hAnsiTheme="majorBidi" w:cstheme="majorBidi"/>
          <w:color w:val="000000" w:themeColor="text1"/>
        </w:rPr>
      </w:pPr>
      <w:r w:rsidRPr="00EA5A0A">
        <w:rPr>
          <w:rFonts w:asciiTheme="majorBidi" w:hAnsiTheme="majorBidi" w:cstheme="majorBidi"/>
          <w:color w:val="000000" w:themeColor="text1"/>
        </w:rPr>
        <w:t xml:space="preserve">World Integrated Trade Solution. (2026e). </w:t>
      </w:r>
      <w:r w:rsidRPr="00EA5A0A">
        <w:rPr>
          <w:rStyle w:val="Emphasis"/>
          <w:rFonts w:asciiTheme="majorBidi" w:hAnsiTheme="majorBidi" w:cstheme="majorBidi"/>
          <w:b w:val="0"/>
          <w:bCs w:val="0"/>
          <w:color w:val="000000" w:themeColor="text1"/>
        </w:rPr>
        <w:t>Morocco green tea in immediate packings exports by country, 2024</w:t>
      </w:r>
      <w:r w:rsidRPr="00EA5A0A">
        <w:rPr>
          <w:rFonts w:asciiTheme="majorBidi" w:hAnsiTheme="majorBidi" w:cstheme="majorBidi"/>
          <w:color w:val="000000" w:themeColor="text1"/>
        </w:rPr>
        <w:t xml:space="preserve">. </w:t>
      </w:r>
      <w:hyperlink r:id="rId74" w:history="1">
        <w:r w:rsidRPr="00EA5A0A">
          <w:rPr>
            <w:rStyle w:val="Hyperlink"/>
            <w:rFonts w:asciiTheme="majorBidi" w:hAnsiTheme="majorBidi" w:cstheme="majorBidi"/>
            <w:color w:val="000000" w:themeColor="text1"/>
          </w:rPr>
          <w:t>https://wits.worldbank.org/trade/comtrade/en/country/MAR/year/2024/tradeflow/Exports/partner/ALL/product/090210</w:t>
        </w:r>
      </w:hyperlink>
    </w:p>
    <w:p w14:paraId="5330E73C" w14:textId="1C64C098" w:rsidR="00142237" w:rsidRPr="00EA5A0A" w:rsidRDefault="00142237" w:rsidP="00EA5A0A">
      <w:pPr>
        <w:spacing w:line="360" w:lineRule="auto"/>
        <w:jc w:val="both"/>
        <w:rPr>
          <w:rFonts w:asciiTheme="majorBidi" w:hAnsiTheme="majorBidi" w:cstheme="majorBidi"/>
          <w:color w:val="000000" w:themeColor="text1"/>
          <w:sz w:val="24"/>
          <w:szCs w:val="24"/>
        </w:rPr>
      </w:pPr>
    </w:p>
    <w:sectPr w:rsidR="00142237" w:rsidRPr="00EA5A0A" w:rsidSect="004218A9">
      <w:footerReference w:type="even" r:id="rId75"/>
      <w:footerReference w:type="default" r:id="rId7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43E0B96" w14:textId="77777777" w:rsidR="002E72A1" w:rsidRDefault="002E72A1" w:rsidP="004218A9">
      <w:pPr>
        <w:spacing w:after="0" w:line="240" w:lineRule="auto"/>
      </w:pPr>
      <w:r>
        <w:separator/>
      </w:r>
    </w:p>
  </w:endnote>
  <w:endnote w:type="continuationSeparator" w:id="0">
    <w:p w14:paraId="0982607E" w14:textId="77777777" w:rsidR="002E72A1" w:rsidRDefault="002E72A1" w:rsidP="004218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5439945"/>
      <w:docPartObj>
        <w:docPartGallery w:val="Page Numbers (Bottom of Page)"/>
        <w:docPartUnique/>
      </w:docPartObj>
    </w:sdtPr>
    <w:sdtContent>
      <w:p w14:paraId="3EC8D7B5" w14:textId="610B33E9" w:rsidR="004218A9" w:rsidRDefault="004218A9" w:rsidP="00F51B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CE2AB0D" w14:textId="77777777" w:rsidR="004218A9" w:rsidRDefault="004218A9" w:rsidP="004218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469560343"/>
      <w:docPartObj>
        <w:docPartGallery w:val="Page Numbers (Bottom of Page)"/>
        <w:docPartUnique/>
      </w:docPartObj>
    </w:sdtPr>
    <w:sdtContent>
      <w:p w14:paraId="25E2EF99" w14:textId="4A848AD8" w:rsidR="004218A9" w:rsidRDefault="004218A9" w:rsidP="00F51B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2C2060" w14:textId="77777777" w:rsidR="004218A9" w:rsidRDefault="004218A9" w:rsidP="004218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05F86A3" w14:textId="77777777" w:rsidR="002E72A1" w:rsidRDefault="002E72A1" w:rsidP="004218A9">
      <w:pPr>
        <w:spacing w:after="0" w:line="240" w:lineRule="auto"/>
      </w:pPr>
      <w:r>
        <w:separator/>
      </w:r>
    </w:p>
  </w:footnote>
  <w:footnote w:type="continuationSeparator" w:id="0">
    <w:p w14:paraId="2C53DD46" w14:textId="77777777" w:rsidR="002E72A1" w:rsidRDefault="002E72A1" w:rsidP="004218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73030E"/>
    <w:multiLevelType w:val="multilevel"/>
    <w:tmpl w:val="B630C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231341"/>
    <w:multiLevelType w:val="multilevel"/>
    <w:tmpl w:val="B8065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572D2E"/>
    <w:multiLevelType w:val="multilevel"/>
    <w:tmpl w:val="0E6E0AF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C513B60"/>
    <w:multiLevelType w:val="multilevel"/>
    <w:tmpl w:val="0898F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DE3CA3"/>
    <w:multiLevelType w:val="multilevel"/>
    <w:tmpl w:val="253CBDF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7BC33EE5"/>
    <w:multiLevelType w:val="multilevel"/>
    <w:tmpl w:val="4440C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1557077">
    <w:abstractNumId w:val="2"/>
  </w:num>
  <w:num w:numId="2" w16cid:durableId="587925635">
    <w:abstractNumId w:val="2"/>
  </w:num>
  <w:num w:numId="3" w16cid:durableId="2088573940">
    <w:abstractNumId w:val="2"/>
  </w:num>
  <w:num w:numId="4" w16cid:durableId="600187561">
    <w:abstractNumId w:val="2"/>
  </w:num>
  <w:num w:numId="5" w16cid:durableId="518474757">
    <w:abstractNumId w:val="2"/>
  </w:num>
  <w:num w:numId="6" w16cid:durableId="1643927294">
    <w:abstractNumId w:val="2"/>
  </w:num>
  <w:num w:numId="7" w16cid:durableId="192498940">
    <w:abstractNumId w:val="2"/>
  </w:num>
  <w:num w:numId="8" w16cid:durableId="527377854">
    <w:abstractNumId w:val="2"/>
  </w:num>
  <w:num w:numId="9" w16cid:durableId="925382905">
    <w:abstractNumId w:val="2"/>
  </w:num>
  <w:num w:numId="10" w16cid:durableId="605503870">
    <w:abstractNumId w:val="2"/>
  </w:num>
  <w:num w:numId="11" w16cid:durableId="743602503">
    <w:abstractNumId w:val="0"/>
  </w:num>
  <w:num w:numId="12" w16cid:durableId="1269507094">
    <w:abstractNumId w:val="3"/>
  </w:num>
  <w:num w:numId="13" w16cid:durableId="471948336">
    <w:abstractNumId w:val="5"/>
  </w:num>
  <w:num w:numId="14" w16cid:durableId="1744644733">
    <w:abstractNumId w:val="1"/>
  </w:num>
  <w:num w:numId="15" w16cid:durableId="1161190173">
    <w:abstractNumId w:val="4"/>
  </w:num>
  <w:num w:numId="16" w16cid:durableId="1068267833">
    <w:abstractNumId w:val="4"/>
  </w:num>
  <w:num w:numId="17" w16cid:durableId="1187910717">
    <w:abstractNumId w:val="4"/>
  </w:num>
  <w:num w:numId="18" w16cid:durableId="484517228">
    <w:abstractNumId w:val="4"/>
  </w:num>
  <w:num w:numId="19" w16cid:durableId="1306426493">
    <w:abstractNumId w:val="4"/>
  </w:num>
  <w:num w:numId="20" w16cid:durableId="352537767">
    <w:abstractNumId w:val="4"/>
  </w:num>
  <w:num w:numId="21" w16cid:durableId="1553269911">
    <w:abstractNumId w:val="4"/>
  </w:num>
  <w:num w:numId="22" w16cid:durableId="1470244133">
    <w:abstractNumId w:val="4"/>
  </w:num>
  <w:num w:numId="23" w16cid:durableId="854156544">
    <w:abstractNumId w:val="4"/>
  </w:num>
  <w:num w:numId="24" w16cid:durableId="986667753">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D96"/>
    <w:rsid w:val="000859CB"/>
    <w:rsid w:val="00142237"/>
    <w:rsid w:val="00261D96"/>
    <w:rsid w:val="002E72A1"/>
    <w:rsid w:val="002F49CF"/>
    <w:rsid w:val="00324258"/>
    <w:rsid w:val="004218A9"/>
    <w:rsid w:val="005E6C83"/>
    <w:rsid w:val="005F2BDC"/>
    <w:rsid w:val="006B3300"/>
    <w:rsid w:val="00822527"/>
    <w:rsid w:val="00830094"/>
    <w:rsid w:val="00AC4FEF"/>
    <w:rsid w:val="00B17C20"/>
    <w:rsid w:val="00B343D7"/>
    <w:rsid w:val="00CA2406"/>
    <w:rsid w:val="00D07369"/>
    <w:rsid w:val="00D93ECD"/>
    <w:rsid w:val="00E16879"/>
    <w:rsid w:val="00E21832"/>
    <w:rsid w:val="00EA5A0A"/>
    <w:rsid w:val="00F87EB0"/>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04B10"/>
  <w15:chartTrackingRefBased/>
  <w15:docId w15:val="{6A1B5EE4-5F78-4D4D-AB39-C8642F017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PK"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8A9"/>
  </w:style>
  <w:style w:type="paragraph" w:styleId="Heading1">
    <w:name w:val="heading 1"/>
    <w:basedOn w:val="Normal"/>
    <w:next w:val="Normal"/>
    <w:link w:val="Heading1Char"/>
    <w:uiPriority w:val="9"/>
    <w:qFormat/>
    <w:rsid w:val="004218A9"/>
    <w:pPr>
      <w:numPr>
        <w:numId w:val="24"/>
      </w:numPr>
      <w:spacing w:before="600" w:after="0" w:line="360" w:lineRule="auto"/>
      <w:outlineLvl w:val="0"/>
    </w:pPr>
    <w:rPr>
      <w:rFonts w:asciiTheme="majorBidi" w:eastAsiaTheme="majorEastAsia" w:hAnsiTheme="majorBidi" w:cstheme="majorBidi"/>
      <w:b/>
      <w:bCs/>
      <w:sz w:val="28"/>
      <w:szCs w:val="28"/>
    </w:rPr>
  </w:style>
  <w:style w:type="paragraph" w:styleId="Heading2">
    <w:name w:val="heading 2"/>
    <w:basedOn w:val="Normal"/>
    <w:next w:val="Normal"/>
    <w:link w:val="Heading2Char"/>
    <w:uiPriority w:val="9"/>
    <w:unhideWhenUsed/>
    <w:qFormat/>
    <w:rsid w:val="004218A9"/>
    <w:pPr>
      <w:numPr>
        <w:ilvl w:val="1"/>
        <w:numId w:val="24"/>
      </w:numPr>
      <w:spacing w:before="320" w:after="0" w:line="360" w:lineRule="auto"/>
      <w:outlineLvl w:val="1"/>
    </w:pPr>
    <w:rPr>
      <w:rFonts w:asciiTheme="majorBidi" w:eastAsiaTheme="majorEastAsia" w:hAnsiTheme="majorBidi" w:cstheme="majorBidi"/>
      <w:b/>
      <w:bCs/>
      <w:sz w:val="24"/>
      <w:szCs w:val="24"/>
    </w:rPr>
  </w:style>
  <w:style w:type="paragraph" w:styleId="Heading3">
    <w:name w:val="heading 3"/>
    <w:basedOn w:val="Normal"/>
    <w:next w:val="Normal"/>
    <w:link w:val="Heading3Char"/>
    <w:uiPriority w:val="9"/>
    <w:unhideWhenUsed/>
    <w:qFormat/>
    <w:rsid w:val="004218A9"/>
    <w:pPr>
      <w:numPr>
        <w:ilvl w:val="2"/>
        <w:numId w:val="24"/>
      </w:numPr>
      <w:spacing w:before="320" w:after="0" w:line="360" w:lineRule="auto"/>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4218A9"/>
    <w:pPr>
      <w:numPr>
        <w:ilvl w:val="3"/>
        <w:numId w:val="24"/>
      </w:numPr>
      <w:spacing w:before="280" w:after="0" w:line="360" w:lineRule="auto"/>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4218A9"/>
    <w:pPr>
      <w:numPr>
        <w:ilvl w:val="4"/>
        <w:numId w:val="24"/>
      </w:numPr>
      <w:spacing w:before="280" w:after="0" w:line="360" w:lineRule="auto"/>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4218A9"/>
    <w:pPr>
      <w:numPr>
        <w:ilvl w:val="5"/>
        <w:numId w:val="24"/>
      </w:numPr>
      <w:spacing w:before="280" w:after="80" w:line="360" w:lineRule="auto"/>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4218A9"/>
    <w:pPr>
      <w:numPr>
        <w:ilvl w:val="6"/>
        <w:numId w:val="24"/>
      </w:numPr>
      <w:spacing w:before="280" w:after="0" w:line="360" w:lineRule="auto"/>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4218A9"/>
    <w:pPr>
      <w:numPr>
        <w:ilvl w:val="7"/>
        <w:numId w:val="24"/>
      </w:numPr>
      <w:spacing w:before="280" w:after="0" w:line="360" w:lineRule="auto"/>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4218A9"/>
    <w:pPr>
      <w:numPr>
        <w:ilvl w:val="8"/>
        <w:numId w:val="24"/>
      </w:numPr>
      <w:spacing w:before="280" w:after="0" w:line="360" w:lineRule="auto"/>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8A9"/>
    <w:rPr>
      <w:rFonts w:asciiTheme="majorBidi" w:eastAsiaTheme="majorEastAsia" w:hAnsiTheme="majorBidi" w:cstheme="majorBidi"/>
      <w:b/>
      <w:bCs/>
      <w:sz w:val="28"/>
      <w:szCs w:val="28"/>
    </w:rPr>
  </w:style>
  <w:style w:type="character" w:customStyle="1" w:styleId="Heading2Char">
    <w:name w:val="Heading 2 Char"/>
    <w:basedOn w:val="DefaultParagraphFont"/>
    <w:link w:val="Heading2"/>
    <w:uiPriority w:val="9"/>
    <w:rsid w:val="004218A9"/>
    <w:rPr>
      <w:rFonts w:asciiTheme="majorBidi" w:eastAsiaTheme="majorEastAsia" w:hAnsiTheme="majorBidi" w:cstheme="majorBidi"/>
      <w:b/>
      <w:bCs/>
      <w:sz w:val="24"/>
      <w:szCs w:val="24"/>
    </w:rPr>
  </w:style>
  <w:style w:type="character" w:customStyle="1" w:styleId="Heading3Char">
    <w:name w:val="Heading 3 Char"/>
    <w:basedOn w:val="DefaultParagraphFont"/>
    <w:link w:val="Heading3"/>
    <w:uiPriority w:val="9"/>
    <w:rsid w:val="004218A9"/>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4218A9"/>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4218A9"/>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4218A9"/>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4218A9"/>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4218A9"/>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4218A9"/>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4218A9"/>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4218A9"/>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4218A9"/>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4218A9"/>
    <w:rPr>
      <w:i/>
      <w:iCs/>
      <w:color w:val="808080" w:themeColor="text1" w:themeTint="7F"/>
      <w:spacing w:val="10"/>
      <w:sz w:val="24"/>
      <w:szCs w:val="24"/>
    </w:rPr>
  </w:style>
  <w:style w:type="paragraph" w:styleId="Quote">
    <w:name w:val="Quote"/>
    <w:basedOn w:val="Normal"/>
    <w:next w:val="Normal"/>
    <w:link w:val="QuoteChar"/>
    <w:uiPriority w:val="29"/>
    <w:qFormat/>
    <w:rsid w:val="004218A9"/>
    <w:rPr>
      <w:color w:val="5A5A5A" w:themeColor="text1" w:themeTint="A5"/>
    </w:rPr>
  </w:style>
  <w:style w:type="character" w:customStyle="1" w:styleId="QuoteChar">
    <w:name w:val="Quote Char"/>
    <w:basedOn w:val="DefaultParagraphFont"/>
    <w:link w:val="Quote"/>
    <w:uiPriority w:val="29"/>
    <w:rsid w:val="004218A9"/>
    <w:rPr>
      <w:color w:val="5A5A5A" w:themeColor="text1" w:themeTint="A5"/>
    </w:rPr>
  </w:style>
  <w:style w:type="paragraph" w:styleId="ListParagraph">
    <w:name w:val="List Paragraph"/>
    <w:basedOn w:val="Normal"/>
    <w:uiPriority w:val="34"/>
    <w:qFormat/>
    <w:rsid w:val="004218A9"/>
    <w:pPr>
      <w:ind w:left="720"/>
      <w:contextualSpacing/>
    </w:pPr>
  </w:style>
  <w:style w:type="character" w:styleId="IntenseEmphasis">
    <w:name w:val="Intense Emphasis"/>
    <w:uiPriority w:val="21"/>
    <w:qFormat/>
    <w:rsid w:val="004218A9"/>
    <w:rPr>
      <w:b/>
      <w:bCs/>
      <w:i/>
      <w:iCs/>
      <w:color w:val="auto"/>
      <w:u w:val="single"/>
    </w:rPr>
  </w:style>
  <w:style w:type="paragraph" w:styleId="IntenseQuote">
    <w:name w:val="Intense Quote"/>
    <w:basedOn w:val="Normal"/>
    <w:next w:val="Normal"/>
    <w:link w:val="IntenseQuoteChar"/>
    <w:uiPriority w:val="30"/>
    <w:qFormat/>
    <w:rsid w:val="004218A9"/>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4218A9"/>
    <w:rPr>
      <w:rFonts w:asciiTheme="majorHAnsi" w:eastAsiaTheme="majorEastAsia" w:hAnsiTheme="majorHAnsi" w:cstheme="majorBidi"/>
      <w:i/>
      <w:iCs/>
      <w:sz w:val="20"/>
      <w:szCs w:val="20"/>
    </w:rPr>
  </w:style>
  <w:style w:type="character" w:styleId="IntenseReference">
    <w:name w:val="Intense Reference"/>
    <w:uiPriority w:val="32"/>
    <w:qFormat/>
    <w:rsid w:val="004218A9"/>
    <w:rPr>
      <w:b/>
      <w:bCs/>
      <w:smallCaps/>
      <w:color w:val="auto"/>
    </w:rPr>
  </w:style>
  <w:style w:type="paragraph" w:styleId="Caption">
    <w:name w:val="caption"/>
    <w:basedOn w:val="Normal"/>
    <w:next w:val="Normal"/>
    <w:uiPriority w:val="35"/>
    <w:semiHidden/>
    <w:unhideWhenUsed/>
    <w:qFormat/>
    <w:rsid w:val="004218A9"/>
    <w:rPr>
      <w:b/>
      <w:bCs/>
      <w:sz w:val="18"/>
      <w:szCs w:val="18"/>
    </w:rPr>
  </w:style>
  <w:style w:type="character" w:styleId="Strong">
    <w:name w:val="Strong"/>
    <w:basedOn w:val="DefaultParagraphFont"/>
    <w:uiPriority w:val="22"/>
    <w:qFormat/>
    <w:rsid w:val="004218A9"/>
    <w:rPr>
      <w:b/>
      <w:bCs/>
      <w:spacing w:val="0"/>
    </w:rPr>
  </w:style>
  <w:style w:type="character" w:styleId="Emphasis">
    <w:name w:val="Emphasis"/>
    <w:uiPriority w:val="20"/>
    <w:qFormat/>
    <w:rsid w:val="004218A9"/>
    <w:rPr>
      <w:b/>
      <w:bCs/>
      <w:i/>
      <w:iCs/>
      <w:color w:val="auto"/>
    </w:rPr>
  </w:style>
  <w:style w:type="paragraph" w:styleId="NoSpacing">
    <w:name w:val="No Spacing"/>
    <w:basedOn w:val="Normal"/>
    <w:link w:val="NoSpacingChar"/>
    <w:uiPriority w:val="1"/>
    <w:qFormat/>
    <w:rsid w:val="004218A9"/>
    <w:pPr>
      <w:spacing w:after="0" w:line="240" w:lineRule="auto"/>
      <w:ind w:firstLine="0"/>
    </w:pPr>
  </w:style>
  <w:style w:type="character" w:customStyle="1" w:styleId="NoSpacingChar">
    <w:name w:val="No Spacing Char"/>
    <w:basedOn w:val="DefaultParagraphFont"/>
    <w:link w:val="NoSpacing"/>
    <w:uiPriority w:val="1"/>
    <w:rsid w:val="004218A9"/>
  </w:style>
  <w:style w:type="character" w:styleId="SubtleEmphasis">
    <w:name w:val="Subtle Emphasis"/>
    <w:uiPriority w:val="19"/>
    <w:qFormat/>
    <w:rsid w:val="004218A9"/>
    <w:rPr>
      <w:i/>
      <w:iCs/>
      <w:color w:val="5A5A5A" w:themeColor="text1" w:themeTint="A5"/>
    </w:rPr>
  </w:style>
  <w:style w:type="character" w:styleId="SubtleReference">
    <w:name w:val="Subtle Reference"/>
    <w:uiPriority w:val="31"/>
    <w:qFormat/>
    <w:rsid w:val="004218A9"/>
    <w:rPr>
      <w:smallCaps/>
    </w:rPr>
  </w:style>
  <w:style w:type="character" w:styleId="BookTitle">
    <w:name w:val="Book Title"/>
    <w:uiPriority w:val="33"/>
    <w:qFormat/>
    <w:rsid w:val="004218A9"/>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4218A9"/>
    <w:pPr>
      <w:outlineLvl w:val="9"/>
    </w:pPr>
  </w:style>
  <w:style w:type="paragraph" w:styleId="NormalWeb">
    <w:name w:val="Normal (Web)"/>
    <w:basedOn w:val="Normal"/>
    <w:uiPriority w:val="99"/>
    <w:unhideWhenUsed/>
    <w:rsid w:val="00142237"/>
    <w:pPr>
      <w:spacing w:before="100" w:beforeAutospacing="1" w:after="100" w:afterAutospacing="1"/>
      <w:ind w:firstLine="0"/>
    </w:pPr>
    <w:rPr>
      <w:rFonts w:ascii="Times New Roman" w:eastAsia="Times New Roman" w:hAnsi="Times New Roman" w:cs="Times New Roman"/>
      <w:sz w:val="24"/>
      <w:szCs w:val="24"/>
      <w:lang w:eastAsia="en-GB"/>
    </w:rPr>
  </w:style>
  <w:style w:type="character" w:customStyle="1" w:styleId="text-token-text-primary">
    <w:name w:val="text-token-text-primary"/>
    <w:basedOn w:val="DefaultParagraphFont"/>
    <w:rsid w:val="00142237"/>
  </w:style>
  <w:style w:type="paragraph" w:styleId="HTMLPreformatted">
    <w:name w:val="HTML Preformatted"/>
    <w:basedOn w:val="Normal"/>
    <w:link w:val="HTMLPreformattedChar"/>
    <w:uiPriority w:val="99"/>
    <w:semiHidden/>
    <w:unhideWhenUsed/>
    <w:rsid w:val="001422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142237"/>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142237"/>
    <w:rPr>
      <w:rFonts w:ascii="Courier New" w:eastAsia="Times New Roman" w:hAnsi="Courier New" w:cs="Courier New"/>
      <w:sz w:val="20"/>
      <w:szCs w:val="20"/>
    </w:rPr>
  </w:style>
  <w:style w:type="character" w:styleId="Hyperlink">
    <w:name w:val="Hyperlink"/>
    <w:basedOn w:val="DefaultParagraphFont"/>
    <w:uiPriority w:val="99"/>
    <w:unhideWhenUsed/>
    <w:rsid w:val="00142237"/>
    <w:rPr>
      <w:color w:val="0000FF"/>
      <w:u w:val="single"/>
    </w:rPr>
  </w:style>
  <w:style w:type="paragraph" w:styleId="TOC1">
    <w:name w:val="toc 1"/>
    <w:basedOn w:val="Normal"/>
    <w:next w:val="Normal"/>
    <w:autoRedefine/>
    <w:uiPriority w:val="39"/>
    <w:unhideWhenUsed/>
    <w:rsid w:val="00142237"/>
    <w:pPr>
      <w:spacing w:before="360" w:after="360"/>
      <w:ind w:firstLine="0"/>
    </w:pPr>
    <w:rPr>
      <w:rFonts w:cstheme="minorHAnsi"/>
      <w:b/>
      <w:bCs/>
      <w:caps/>
      <w:szCs w:val="26"/>
      <w:u w:val="single"/>
    </w:rPr>
  </w:style>
  <w:style w:type="paragraph" w:styleId="TOC2">
    <w:name w:val="toc 2"/>
    <w:basedOn w:val="Normal"/>
    <w:next w:val="Normal"/>
    <w:autoRedefine/>
    <w:uiPriority w:val="39"/>
    <w:unhideWhenUsed/>
    <w:rsid w:val="00142237"/>
    <w:pPr>
      <w:spacing w:after="0"/>
      <w:ind w:firstLine="0"/>
    </w:pPr>
    <w:rPr>
      <w:rFonts w:cstheme="minorHAnsi"/>
      <w:b/>
      <w:bCs/>
      <w:smallCaps/>
      <w:szCs w:val="26"/>
    </w:rPr>
  </w:style>
  <w:style w:type="paragraph" w:styleId="TOC3">
    <w:name w:val="toc 3"/>
    <w:basedOn w:val="Normal"/>
    <w:next w:val="Normal"/>
    <w:autoRedefine/>
    <w:uiPriority w:val="39"/>
    <w:unhideWhenUsed/>
    <w:rsid w:val="00142237"/>
    <w:pPr>
      <w:spacing w:after="0"/>
      <w:ind w:firstLine="0"/>
    </w:pPr>
    <w:rPr>
      <w:rFonts w:cstheme="minorHAnsi"/>
      <w:smallCaps/>
      <w:szCs w:val="26"/>
    </w:rPr>
  </w:style>
  <w:style w:type="paragraph" w:styleId="TOC4">
    <w:name w:val="toc 4"/>
    <w:basedOn w:val="Normal"/>
    <w:next w:val="Normal"/>
    <w:autoRedefine/>
    <w:uiPriority w:val="39"/>
    <w:semiHidden/>
    <w:unhideWhenUsed/>
    <w:rsid w:val="00142237"/>
    <w:pPr>
      <w:spacing w:after="0"/>
      <w:ind w:firstLine="0"/>
    </w:pPr>
    <w:rPr>
      <w:rFonts w:cstheme="minorHAnsi"/>
      <w:szCs w:val="26"/>
    </w:rPr>
  </w:style>
  <w:style w:type="paragraph" w:styleId="TOC5">
    <w:name w:val="toc 5"/>
    <w:basedOn w:val="Normal"/>
    <w:next w:val="Normal"/>
    <w:autoRedefine/>
    <w:uiPriority w:val="39"/>
    <w:semiHidden/>
    <w:unhideWhenUsed/>
    <w:rsid w:val="00142237"/>
    <w:pPr>
      <w:spacing w:after="0"/>
      <w:ind w:firstLine="0"/>
    </w:pPr>
    <w:rPr>
      <w:rFonts w:cstheme="minorHAnsi"/>
      <w:szCs w:val="26"/>
    </w:rPr>
  </w:style>
  <w:style w:type="paragraph" w:styleId="TOC6">
    <w:name w:val="toc 6"/>
    <w:basedOn w:val="Normal"/>
    <w:next w:val="Normal"/>
    <w:autoRedefine/>
    <w:uiPriority w:val="39"/>
    <w:semiHidden/>
    <w:unhideWhenUsed/>
    <w:rsid w:val="00142237"/>
    <w:pPr>
      <w:spacing w:after="0"/>
      <w:ind w:firstLine="0"/>
    </w:pPr>
    <w:rPr>
      <w:rFonts w:cstheme="minorHAnsi"/>
      <w:szCs w:val="26"/>
    </w:rPr>
  </w:style>
  <w:style w:type="paragraph" w:styleId="TOC7">
    <w:name w:val="toc 7"/>
    <w:basedOn w:val="Normal"/>
    <w:next w:val="Normal"/>
    <w:autoRedefine/>
    <w:uiPriority w:val="39"/>
    <w:semiHidden/>
    <w:unhideWhenUsed/>
    <w:rsid w:val="00142237"/>
    <w:pPr>
      <w:spacing w:after="0"/>
      <w:ind w:firstLine="0"/>
    </w:pPr>
    <w:rPr>
      <w:rFonts w:cstheme="minorHAnsi"/>
      <w:szCs w:val="26"/>
    </w:rPr>
  </w:style>
  <w:style w:type="paragraph" w:styleId="TOC8">
    <w:name w:val="toc 8"/>
    <w:basedOn w:val="Normal"/>
    <w:next w:val="Normal"/>
    <w:autoRedefine/>
    <w:uiPriority w:val="39"/>
    <w:semiHidden/>
    <w:unhideWhenUsed/>
    <w:rsid w:val="00142237"/>
    <w:pPr>
      <w:spacing w:after="0"/>
      <w:ind w:firstLine="0"/>
    </w:pPr>
    <w:rPr>
      <w:rFonts w:cstheme="minorHAnsi"/>
      <w:szCs w:val="26"/>
    </w:rPr>
  </w:style>
  <w:style w:type="paragraph" w:styleId="TOC9">
    <w:name w:val="toc 9"/>
    <w:basedOn w:val="Normal"/>
    <w:next w:val="Normal"/>
    <w:autoRedefine/>
    <w:uiPriority w:val="39"/>
    <w:semiHidden/>
    <w:unhideWhenUsed/>
    <w:rsid w:val="00142237"/>
    <w:pPr>
      <w:spacing w:after="0"/>
      <w:ind w:firstLine="0"/>
    </w:pPr>
    <w:rPr>
      <w:rFonts w:cstheme="minorHAnsi"/>
      <w:szCs w:val="26"/>
    </w:rPr>
  </w:style>
  <w:style w:type="table" w:styleId="GridTable4-Accent5">
    <w:name w:val="Grid Table 4 Accent 5"/>
    <w:basedOn w:val="TableNormal"/>
    <w:uiPriority w:val="49"/>
    <w:rsid w:val="00142237"/>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142237"/>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4">
    <w:name w:val="Grid Table 4 Accent 4"/>
    <w:basedOn w:val="TableNormal"/>
    <w:uiPriority w:val="49"/>
    <w:rsid w:val="00142237"/>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Footer">
    <w:name w:val="footer"/>
    <w:basedOn w:val="Normal"/>
    <w:link w:val="FooterChar"/>
    <w:uiPriority w:val="99"/>
    <w:unhideWhenUsed/>
    <w:rsid w:val="004218A9"/>
    <w:pPr>
      <w:tabs>
        <w:tab w:val="center" w:pos="4513"/>
        <w:tab w:val="right" w:pos="9026"/>
      </w:tabs>
    </w:pPr>
  </w:style>
  <w:style w:type="character" w:customStyle="1" w:styleId="FooterChar">
    <w:name w:val="Footer Char"/>
    <w:basedOn w:val="DefaultParagraphFont"/>
    <w:link w:val="Footer"/>
    <w:uiPriority w:val="99"/>
    <w:rsid w:val="004218A9"/>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4218A9"/>
  </w:style>
  <w:style w:type="paragraph" w:customStyle="1" w:styleId="msonormal0">
    <w:name w:val="msonormal"/>
    <w:basedOn w:val="Normal"/>
    <w:rsid w:val="004218A9"/>
    <w:pPr>
      <w:spacing w:before="100" w:beforeAutospacing="1" w:after="100" w:afterAutospacing="1"/>
    </w:pPr>
  </w:style>
  <w:style w:type="character" w:styleId="FollowedHyperlink">
    <w:name w:val="FollowedHyperlink"/>
    <w:basedOn w:val="DefaultParagraphFont"/>
    <w:uiPriority w:val="99"/>
    <w:semiHidden/>
    <w:unhideWhenUsed/>
    <w:rsid w:val="004218A9"/>
    <w:rPr>
      <w:color w:val="800080"/>
      <w:u w:val="single"/>
    </w:rPr>
  </w:style>
  <w:style w:type="table" w:styleId="ListTable3-Accent4">
    <w:name w:val="List Table 3 Accent 4"/>
    <w:basedOn w:val="TableNormal"/>
    <w:uiPriority w:val="48"/>
    <w:rsid w:val="00E21832"/>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2">
    <w:name w:val="List Table 3 Accent 2"/>
    <w:basedOn w:val="TableNormal"/>
    <w:uiPriority w:val="48"/>
    <w:rsid w:val="00E21832"/>
    <w:pPr>
      <w:spacing w:after="0"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3-Accent5">
    <w:name w:val="List Table 3 Accent 5"/>
    <w:basedOn w:val="TableNormal"/>
    <w:uiPriority w:val="48"/>
    <w:rsid w:val="00E21832"/>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rade.gov/country-commercial-guides/morocco-business-travel" TargetMode="External"/><Relationship Id="rId21" Type="http://schemas.openxmlformats.org/officeDocument/2006/relationships/hyperlink" Target="https://link.springer.com/journal/41267" TargetMode="External"/><Relationship Id="rId42" Type="http://schemas.openxmlformats.org/officeDocument/2006/relationships/hyperlink" Target="https://www.emerald.com/ijrdm/article/50/8-9/1129/154622/Omni-channel-retailing-resources-and-capabilities" TargetMode="External"/><Relationship Id="rId47" Type="http://schemas.openxmlformats.org/officeDocument/2006/relationships/hyperlink" Target="https://www.onssa.gov.ma/import-and-export-controls/?lang=en" TargetMode="External"/><Relationship Id="rId63" Type="http://schemas.openxmlformats.org/officeDocument/2006/relationships/hyperlink" Target="https://www.tataconsumer.com/iar-2025-26/sustainability/better-sourcing/" TargetMode="External"/><Relationship Id="rId68" Type="http://schemas.openxmlformats.org/officeDocument/2006/relationships/hyperlink" Target="https://www.nature.com/articles/s41599-025-05270-4" TargetMode="External"/><Relationship Id="rId16" Type="http://schemas.openxmlformats.org/officeDocument/2006/relationships/hyperlink" Target="https://www.cambridge.org/highereducation/books/transnational-management/EE38D8BC7883944A20606DE5D3E96E5E" TargetMode="External"/><Relationship Id="rId11" Type="http://schemas.openxmlformats.org/officeDocument/2006/relationships/image" Target="media/image4.png"/><Relationship Id="rId24" Type="http://schemas.openxmlformats.org/officeDocument/2006/relationships/hyperlink" Target="https://www.imf.org/en/publications/cr/issues/2026/03/30/morocco-2026-article-iv-consultation-and-review-under-the-flexible-credit-line-arrangement-575083" TargetMode="External"/><Relationship Id="rId32" Type="http://schemas.openxmlformats.org/officeDocument/2006/relationships/hyperlink" Target="https://onlinelibrary.wiley.com/doi/full/10.1002/agr.22027" TargetMode="External"/><Relationship Id="rId37" Type="http://schemas.openxmlformats.org/officeDocument/2006/relationships/hyperlink" Target="https://link.springer.com/article/10.1057/s41267-021-00465-8" TargetMode="External"/><Relationship Id="rId40" Type="http://schemas.openxmlformats.org/officeDocument/2006/relationships/hyperlink" Target="https://link.springer.com/article/10.1007/s11301-023-00346-4" TargetMode="External"/><Relationship Id="rId45" Type="http://schemas.openxmlformats.org/officeDocument/2006/relationships/hyperlink" Target="https://www.oc.gov.ma/en/resident-foreigners/foreign-investment-morocco" TargetMode="External"/><Relationship Id="rId53" Type="http://schemas.openxmlformats.org/officeDocument/2006/relationships/hyperlink" Target="https://link.springer.com/article/10.1057/s41267-023-00613-2" TargetMode="External"/><Relationship Id="rId58" Type="http://schemas.openxmlformats.org/officeDocument/2006/relationships/hyperlink" Target="https://www.sciencedirect.com/science/article/pii/S2666154325005617" TargetMode="External"/><Relationship Id="rId66" Type="http://schemas.openxmlformats.org/officeDocument/2006/relationships/hyperlink" Target="https://www.tataconsumer.com/brands/tea/joekels" TargetMode="External"/><Relationship Id="rId74" Type="http://schemas.openxmlformats.org/officeDocument/2006/relationships/hyperlink" Target="https://wits.worldbank.org/trade/comtrade/en/country/MAR/year/2024/tradeflow/Exports/partner/ALL/product/090210" TargetMode="External"/><Relationship Id="rId5" Type="http://schemas.openxmlformats.org/officeDocument/2006/relationships/webSettings" Target="webSettings.xml"/><Relationship Id="rId61" Type="http://schemas.openxmlformats.org/officeDocument/2006/relationships/hyperlink" Target="https://www.tataconsumer.com/investors/investor-relations/subsidiaries/subsidiary-financials" TargetMode="External"/><Relationship Id="rId19" Type="http://schemas.openxmlformats.org/officeDocument/2006/relationships/hyperlink" Target="https://books.google.com/books?id=xIk3fF2z5KcC" TargetMode="External"/><Relationship Id="rId14" Type="http://schemas.openxmlformats.org/officeDocument/2006/relationships/hyperlink" Target="https://www.tandfonline.com/doi/full/10.1080/23311975.2024.2361319" TargetMode="External"/><Relationship Id="rId22" Type="http://schemas.openxmlformats.org/officeDocument/2006/relationships/hyperlink" Target="https://www.tandfonline.com/doi/full/10.1080/15528014.2021.1882169" TargetMode="External"/><Relationship Id="rId27" Type="http://schemas.openxmlformats.org/officeDocument/2006/relationships/hyperlink" Target="https://www.trade.gov/country-commercial-guides/morocco-selling-factors-and-techniques" TargetMode="External"/><Relationship Id="rId30" Type="http://schemas.openxmlformats.org/officeDocument/2006/relationships/hyperlink" Target="https://www.tandfonline.com/doi/full/10.1080/13504851.2021.1912695" TargetMode="External"/><Relationship Id="rId35" Type="http://schemas.openxmlformats.org/officeDocument/2006/relationships/hyperlink" Target="https://link.springer.com/journal/41267" TargetMode="External"/><Relationship Id="rId43" Type="http://schemas.openxmlformats.org/officeDocument/2006/relationships/hyperlink" Target="https://www.tandfonline.com/doi/full/10.1080/23311975.2021.1963167" TargetMode="External"/><Relationship Id="rId48" Type="http://schemas.openxmlformats.org/officeDocument/2006/relationships/hyperlink" Target="https://www.onssa.gov.ma/vegetable-products/control-procedure/?lang=en" TargetMode="External"/><Relationship Id="rId56" Type="http://schemas.openxmlformats.org/officeDocument/2006/relationships/hyperlink" Target="https://www.sciencedirect.com/science/article/pii/S2405844024048102" TargetMode="External"/><Relationship Id="rId64" Type="http://schemas.openxmlformats.org/officeDocument/2006/relationships/hyperlink" Target="https://www.tataconsumer.com/iar-2025-26/delivering-on-strategy/strengthen-core-accelerate-growth-businesses/" TargetMode="External"/><Relationship Id="rId69" Type="http://schemas.openxmlformats.org/officeDocument/2006/relationships/hyperlink" Target="https://www.worldbank.org/en/news/press-release/2026/07/23/public-investment-powers-morocco-s-strongest-growth-in-a-decade"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nature.com/articles/s41599-023-02559-0" TargetMode="External"/><Relationship Id="rId72" Type="http://schemas.openxmlformats.org/officeDocument/2006/relationships/hyperlink" Target="https://wits.worldbank.org/trade/comtrade/en/country/MAR/year/2024/tradeflow/Imports/partner/ALL/product/09021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link.springer.com/article/10.1057/s41267-022-00521-x" TargetMode="External"/><Relationship Id="rId25" Type="http://schemas.openxmlformats.org/officeDocument/2006/relationships/hyperlink" Target="https://www.trade.gov/country-commercial-guides/morocco-labelingmarking-requirements" TargetMode="External"/><Relationship Id="rId33" Type="http://schemas.openxmlformats.org/officeDocument/2006/relationships/hyperlink" Target="https://www.mdpi.com/2071-1050/13/15/8433" TargetMode="External"/><Relationship Id="rId38" Type="http://schemas.openxmlformats.org/officeDocument/2006/relationships/hyperlink" Target="https://onlinelibrary.wiley.com/journal/20425805" TargetMode="External"/><Relationship Id="rId46" Type="http://schemas.openxmlformats.org/officeDocument/2006/relationships/hyperlink" Target="https://www.oc.gov.ma/en/non-resident-foreigners/income-assignment-liquidation-and-testamentary-disposition-or-succession" TargetMode="External"/><Relationship Id="rId59" Type="http://schemas.openxmlformats.org/officeDocument/2006/relationships/hyperlink" Target="https://www.tataconsumer.com/iar-2025-26/" TargetMode="External"/><Relationship Id="rId67" Type="http://schemas.openxmlformats.org/officeDocument/2006/relationships/hyperlink" Target="https://link.springer.com/article/10.1057/s41267-024-00767-7" TargetMode="External"/><Relationship Id="rId20" Type="http://schemas.openxmlformats.org/officeDocument/2006/relationships/hyperlink" Target="https://link.springer.com/article/10.1057/s41267-024-00713-7" TargetMode="External"/><Relationship Id="rId41" Type="http://schemas.openxmlformats.org/officeDocument/2006/relationships/hyperlink" Target="https://link.springer.com/article/10.1057/s41267-022-00570-2" TargetMode="External"/><Relationship Id="rId54" Type="http://schemas.openxmlformats.org/officeDocument/2006/relationships/hyperlink" Target="https://www.tandfonline.com/doi/full/10.1080/15378020.2020.1848259" TargetMode="External"/><Relationship Id="rId62" Type="http://schemas.openxmlformats.org/officeDocument/2006/relationships/hyperlink" Target="https://www.tataconsumer.com/brands/tea/tetley" TargetMode="External"/><Relationship Id="rId70" Type="http://schemas.openxmlformats.org/officeDocument/2006/relationships/hyperlink" Target="https://wits.worldbank.org/trade/comtrade/en/country/MAR/year/2024/tradeflow/Imports/partner/ALL/product/0902"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link.springer.com/article/10.1057/s41267-022-00552-4" TargetMode="External"/><Relationship Id="rId23" Type="http://schemas.openxmlformats.org/officeDocument/2006/relationships/hyperlink" Target="https://link.springer.com/journal/41267" TargetMode="External"/><Relationship Id="rId28" Type="http://schemas.openxmlformats.org/officeDocument/2006/relationships/hyperlink" Target="https://link.springer.com/journal/41267" TargetMode="External"/><Relationship Id="rId36" Type="http://schemas.openxmlformats.org/officeDocument/2006/relationships/hyperlink" Target="https://link.springer.com/article/10.1057/s41267-024-00702-w" TargetMode="External"/><Relationship Id="rId49" Type="http://schemas.openxmlformats.org/officeDocument/2006/relationships/hyperlink" Target="https://www.onssa.gov.ma/products-of-plant-origin/?lang=en" TargetMode="External"/><Relationship Id="rId57" Type="http://schemas.openxmlformats.org/officeDocument/2006/relationships/hyperlink" Target="https://www.tandfonline.com/doi/full/10.1080/23311975.2024.2327140" TargetMode="External"/><Relationship Id="rId10" Type="http://schemas.openxmlformats.org/officeDocument/2006/relationships/image" Target="media/image3.png"/><Relationship Id="rId31" Type="http://schemas.openxmlformats.org/officeDocument/2006/relationships/hyperlink" Target="https://www.pearson.com/en-us/subject-catalog/p/Kolb-Experiential-Learning-Experience-as-the-Source-of-Learning-and-Development-2nd-Edition/P200000000384" TargetMode="External"/><Relationship Id="rId44" Type="http://schemas.openxmlformats.org/officeDocument/2006/relationships/hyperlink" Target="https://link.springer.com/journal/41267" TargetMode="External"/><Relationship Id="rId52" Type="http://schemas.openxmlformats.org/officeDocument/2006/relationships/hyperlink" Target="https://link.springer.com/article/10.1057/s41267-022-00592-w" TargetMode="External"/><Relationship Id="rId60" Type="http://schemas.openxmlformats.org/officeDocument/2006/relationships/hyperlink" Target="https://www.tataconsumer.com/news/results-quarter-and-year-ended-31st-march-2026" TargetMode="External"/><Relationship Id="rId65" Type="http://schemas.openxmlformats.org/officeDocument/2006/relationships/hyperlink" Target="https://www.tataconsumer.com/about/our-story" TargetMode="External"/><Relationship Id="rId73" Type="http://schemas.openxmlformats.org/officeDocument/2006/relationships/hyperlink" Target="https://wits.worldbank.org/trade/comtrade/en/country/MAR/year/2024/tradeflow/Exports/partner/ALL/product/0902"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onlinelibrary.wiley.com/doi/full/10.1002/tie.70008" TargetMode="External"/><Relationship Id="rId39" Type="http://schemas.openxmlformats.org/officeDocument/2006/relationships/hyperlink" Target="https://onlinelibrary.wiley.com/doi/full/10.1002/joom.1362" TargetMode="External"/><Relationship Id="rId34" Type="http://schemas.openxmlformats.org/officeDocument/2006/relationships/hyperlink" Target="https://link.springer.com/article/10.1057/s41267-022-00596-6" TargetMode="External"/><Relationship Id="rId50" Type="http://schemas.openxmlformats.org/officeDocument/2006/relationships/hyperlink" Target="https://www.onssa.gov.ma/import-procedures/?lang=en" TargetMode="External"/><Relationship Id="rId55" Type="http://schemas.openxmlformats.org/officeDocument/2006/relationships/hyperlink" Target="https://link.springer.com/article/10.1057/s41267-022-00562-2" TargetMode="External"/><Relationship Id="rId76"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wits.worldbank.org/trade/comtrade/en/country/MAR/year/2024/tradeflow/Imports/partner/ALL/product/090220" TargetMode="External"/><Relationship Id="rId2" Type="http://schemas.openxmlformats.org/officeDocument/2006/relationships/numbering" Target="numbering.xml"/><Relationship Id="rId29" Type="http://schemas.openxmlformats.org/officeDocument/2006/relationships/hyperlink" Target="https://www.tandfonline.com/doi/full/10.1080/03670244.2021.19991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5F11F-CE1D-924F-A087-87596EADA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36</Pages>
  <Words>10312</Words>
  <Characters>58780</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2026-07-31T09:57:00Z</dcterms:created>
  <dcterms:modified xsi:type="dcterms:W3CDTF">2026-07-31T09:57:00Z</dcterms:modified>
</cp:coreProperties>
</file>