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2AF4" w:rsidRPr="00232AF4" w:rsidRDefault="00232AF4" w:rsidP="00232AF4">
      <w:pPr>
        <w:spacing w:after="0" w:line="240" w:lineRule="auto"/>
        <w:ind w:right="-334"/>
        <w:rPr>
          <w:rFonts w:ascii="Georgia" w:eastAsia="SimSun" w:hAnsi="Georgia" w:cs="Times New Roman"/>
          <w:color w:val="000000"/>
          <w:sz w:val="21"/>
          <w:szCs w:val="21"/>
          <w:lang w:eastAsia="zh-CN"/>
        </w:rPr>
      </w:pPr>
      <w:r>
        <w:rPr>
          <w:b/>
          <w:u w:val="single"/>
        </w:rPr>
        <w:br/>
      </w:r>
      <w:r w:rsidRPr="00232AF4">
        <w:rPr>
          <w:rFonts w:ascii="Georgia" w:eastAsia="SimSun" w:hAnsi="Georgia" w:cs="Times New Roman"/>
          <w:noProof/>
          <w:color w:val="000000"/>
          <w:sz w:val="21"/>
          <w:szCs w:val="21"/>
          <w:lang w:eastAsia="en-GB"/>
        </w:rPr>
        <w:drawing>
          <wp:inline distT="0" distB="0" distL="0" distR="0" wp14:anchorId="3E34490A" wp14:editId="76E2DC25">
            <wp:extent cx="2874010" cy="1045210"/>
            <wp:effectExtent l="19050" t="19050" r="21590" b="21590"/>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4010" cy="1045210"/>
                    </a:xfrm>
                    <a:prstGeom prst="rect">
                      <a:avLst/>
                    </a:prstGeom>
                    <a:noFill/>
                    <a:ln w="19050" cmpd="sng">
                      <a:solidFill>
                        <a:srgbClr val="000000"/>
                      </a:solidFill>
                      <a:miter lim="800000"/>
                      <a:headEnd/>
                      <a:tailEnd/>
                    </a:ln>
                    <a:effectLst/>
                  </pic:spPr>
                </pic:pic>
              </a:graphicData>
            </a:graphic>
          </wp:inline>
        </w:drawing>
      </w:r>
    </w:p>
    <w:p w:rsidR="00232AF4" w:rsidRPr="00232AF4" w:rsidRDefault="00232AF4" w:rsidP="00232AF4">
      <w:pPr>
        <w:spacing w:after="0" w:line="240" w:lineRule="auto"/>
        <w:ind w:left="-180" w:right="-334"/>
        <w:rPr>
          <w:rFonts w:ascii="Georgia" w:eastAsia="SimSun" w:hAnsi="Georgia" w:cs="Times New Roman"/>
          <w:color w:val="000000"/>
          <w:sz w:val="21"/>
          <w:szCs w:val="21"/>
          <w:lang w:eastAsia="zh-CN"/>
        </w:rPr>
      </w:pPr>
    </w:p>
    <w:p w:rsidR="00232AF4" w:rsidRPr="00232AF4" w:rsidRDefault="00232AF4" w:rsidP="00232AF4">
      <w:pPr>
        <w:spacing w:after="0" w:line="240" w:lineRule="auto"/>
        <w:ind w:left="-180" w:right="-334"/>
        <w:rPr>
          <w:rFonts w:ascii="Georgia" w:eastAsia="SimSun" w:hAnsi="Georgia" w:cs="Times New Roman"/>
          <w:color w:val="000000"/>
          <w:sz w:val="21"/>
          <w:szCs w:val="21"/>
          <w:lang w:eastAsia="zh-CN"/>
        </w:rPr>
      </w:pPr>
    </w:p>
    <w:p w:rsidR="00232AF4" w:rsidRPr="00232AF4" w:rsidRDefault="00232AF4" w:rsidP="00232AF4">
      <w:pPr>
        <w:spacing w:after="0" w:line="240" w:lineRule="auto"/>
        <w:ind w:left="-180" w:right="-334"/>
        <w:jc w:val="center"/>
        <w:rPr>
          <w:rFonts w:ascii="Arial" w:eastAsia="SimSun" w:hAnsi="Arial" w:cs="Arial"/>
          <w:b/>
          <w:color w:val="000000"/>
          <w:sz w:val="28"/>
          <w:szCs w:val="28"/>
          <w:lang w:val="cy-GB" w:eastAsia="zh-CN"/>
        </w:rPr>
      </w:pPr>
      <w:r w:rsidRPr="00232AF4">
        <w:rPr>
          <w:rFonts w:ascii="Arial" w:eastAsia="SimSun" w:hAnsi="Arial" w:cs="Arial"/>
          <w:b/>
          <w:color w:val="000000"/>
          <w:sz w:val="28"/>
          <w:szCs w:val="28"/>
          <w:lang w:val="cy-GB" w:eastAsia="zh-CN"/>
        </w:rPr>
        <w:t xml:space="preserve">Postgraduate/Distance Learning </w:t>
      </w:r>
    </w:p>
    <w:p w:rsidR="00232AF4" w:rsidRPr="00232AF4" w:rsidRDefault="00232AF4" w:rsidP="00232AF4">
      <w:pPr>
        <w:spacing w:after="0" w:line="240" w:lineRule="auto"/>
        <w:ind w:left="-180" w:right="-334"/>
        <w:jc w:val="center"/>
        <w:rPr>
          <w:rFonts w:ascii="Arial" w:eastAsia="SimSun" w:hAnsi="Arial" w:cs="Arial"/>
          <w:b/>
          <w:color w:val="000000"/>
          <w:sz w:val="28"/>
          <w:szCs w:val="28"/>
          <w:lang w:eastAsia="zh-CN"/>
        </w:rPr>
      </w:pPr>
      <w:r w:rsidRPr="00232AF4">
        <w:rPr>
          <w:rFonts w:ascii="Arial" w:eastAsia="SimSun" w:hAnsi="Arial" w:cs="Arial"/>
          <w:b/>
          <w:color w:val="000000"/>
          <w:sz w:val="28"/>
          <w:szCs w:val="28"/>
          <w:lang w:val="cy-GB" w:eastAsia="zh-CN"/>
        </w:rPr>
        <w:t>Assignment coversheet &amp; feedback form</w:t>
      </w:r>
    </w:p>
    <w:p w:rsidR="00232AF4" w:rsidRPr="00232AF4" w:rsidRDefault="00232AF4" w:rsidP="00232AF4">
      <w:pPr>
        <w:spacing w:after="0" w:line="240" w:lineRule="auto"/>
        <w:rPr>
          <w:rFonts w:ascii="Arial" w:eastAsia="SimSun" w:hAnsi="Arial" w:cs="Arial"/>
          <w:sz w:val="28"/>
          <w:szCs w:val="28"/>
          <w:lang w:val="cy-GB" w:eastAsia="zh-CN"/>
        </w:rPr>
      </w:pPr>
    </w:p>
    <w:p w:rsidR="00232AF4" w:rsidRPr="00232AF4" w:rsidRDefault="00232AF4" w:rsidP="00232AF4">
      <w:pPr>
        <w:keepNext/>
        <w:spacing w:after="0" w:line="240" w:lineRule="auto"/>
        <w:ind w:left="720"/>
        <w:jc w:val="center"/>
        <w:outlineLvl w:val="2"/>
        <w:rPr>
          <w:rFonts w:ascii="Tahoma" w:eastAsia="SimSun" w:hAnsi="Tahoma" w:cs="Tahoma"/>
          <w:b/>
          <w:bCs/>
          <w:sz w:val="20"/>
          <w:szCs w:val="20"/>
          <w:lang w:val="cy-GB" w:eastAsia="zh-CN"/>
        </w:rPr>
      </w:pPr>
      <w:r w:rsidRPr="00232AF4">
        <w:rPr>
          <w:rFonts w:ascii="Tahoma" w:eastAsia="SimSun" w:hAnsi="Tahoma" w:cs="Tahoma"/>
          <w:b/>
          <w:bCs/>
          <w:sz w:val="20"/>
          <w:szCs w:val="20"/>
          <w:lang w:val="cy-GB" w:eastAsia="zh-CN"/>
        </w:rPr>
        <w:t>THIS SHEET MUST BE THE FIRST PAGE OF THE ASSIGNMENT YOU ARE SUBMITTING  (DO NOT SEND AS A SEPARATE FILE)</w:t>
      </w:r>
    </w:p>
    <w:p w:rsidR="00232AF4" w:rsidRPr="00232AF4" w:rsidRDefault="00232AF4" w:rsidP="00232AF4">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32AF4" w:rsidRPr="00232AF4" w:rsidTr="00C564F6">
        <w:trPr>
          <w:trHeight w:val="614"/>
        </w:trPr>
        <w:tc>
          <w:tcPr>
            <w:tcW w:w="8856" w:type="dxa"/>
            <w:gridSpan w:val="5"/>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b/>
                <w:color w:val="000000"/>
                <w:lang w:eastAsia="zh-CN"/>
              </w:rPr>
              <w:t>For completion by the student</w:t>
            </w:r>
            <w:r w:rsidRPr="00232AF4">
              <w:rPr>
                <w:rFonts w:ascii="Arial" w:eastAsia="SimSun" w:hAnsi="Arial" w:cs="Arial"/>
                <w:color w:val="000000"/>
                <w:lang w:eastAsia="zh-CN"/>
              </w:rPr>
              <w:t>:</w:t>
            </w:r>
          </w:p>
        </w:tc>
      </w:tr>
      <w:tr w:rsidR="00232AF4" w:rsidRPr="00232AF4" w:rsidTr="00C564F6">
        <w:trPr>
          <w:trHeight w:val="718"/>
        </w:trPr>
        <w:tc>
          <w:tcPr>
            <w:tcW w:w="8856" w:type="dxa"/>
            <w:gridSpan w:val="5"/>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Student Name: Clair Allen</w:t>
            </w:r>
          </w:p>
          <w:p w:rsidR="00232AF4" w:rsidRPr="00232AF4" w:rsidRDefault="00232AF4" w:rsidP="00232AF4">
            <w:pPr>
              <w:spacing w:after="0" w:line="240" w:lineRule="auto"/>
              <w:ind w:right="34"/>
              <w:rPr>
                <w:rFonts w:ascii="Arial" w:eastAsia="SimSun" w:hAnsi="Arial" w:cs="Arial"/>
                <w:color w:val="000000"/>
                <w:lang w:eastAsia="zh-CN"/>
              </w:rPr>
            </w:pPr>
          </w:p>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 xml:space="preserve">Student </w:t>
            </w:r>
            <w:r w:rsidRPr="00232AF4">
              <w:rPr>
                <w:rFonts w:ascii="Arial" w:eastAsia="SimSun" w:hAnsi="Arial" w:cs="Arial"/>
                <w:b/>
                <w:bCs/>
                <w:color w:val="000000"/>
                <w:u w:val="single"/>
                <w:lang w:eastAsia="zh-CN"/>
              </w:rPr>
              <w:t>University</w:t>
            </w:r>
            <w:r w:rsidRPr="00232AF4">
              <w:rPr>
                <w:rFonts w:ascii="Arial" w:eastAsia="SimSun" w:hAnsi="Arial" w:cs="Arial"/>
                <w:color w:val="000000"/>
                <w:u w:val="single"/>
                <w:lang w:eastAsia="zh-CN"/>
              </w:rPr>
              <w:t xml:space="preserve"> </w:t>
            </w:r>
            <w:r w:rsidRPr="00232AF4">
              <w:rPr>
                <w:rFonts w:ascii="Arial" w:eastAsia="SimSun" w:hAnsi="Arial" w:cs="Arial"/>
                <w:color w:val="000000"/>
                <w:lang w:eastAsia="zh-CN"/>
              </w:rPr>
              <w:t>Email: 1602262@student.uwtsd.ac.uk</w:t>
            </w:r>
          </w:p>
        </w:tc>
      </w:tr>
      <w:tr w:rsidR="00232AF4" w:rsidRPr="00232AF4" w:rsidTr="00C564F6">
        <w:trPr>
          <w:trHeight w:val="849"/>
        </w:trPr>
        <w:tc>
          <w:tcPr>
            <w:tcW w:w="4788" w:type="dxa"/>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 xml:space="preserve">Module code: </w:t>
            </w:r>
            <w:r>
              <w:rPr>
                <w:rFonts w:ascii="Arial" w:eastAsia="SimSun" w:hAnsi="Arial" w:cs="Arial"/>
                <w:color w:val="000000"/>
                <w:lang w:eastAsia="zh-CN"/>
              </w:rPr>
              <w:t>CLAH7010</w:t>
            </w:r>
          </w:p>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 xml:space="preserve">Module title: </w:t>
            </w:r>
            <w:r>
              <w:rPr>
                <w:rFonts w:ascii="Arial" w:eastAsia="SimSun" w:hAnsi="Arial" w:cs="Arial"/>
                <w:color w:val="000000"/>
                <w:lang w:eastAsia="zh-CN"/>
              </w:rPr>
              <w:t>Power and Culture in the Hellenistic East</w:t>
            </w:r>
          </w:p>
          <w:p w:rsidR="00232AF4" w:rsidRPr="00232AF4" w:rsidRDefault="00232AF4" w:rsidP="00232AF4">
            <w:pPr>
              <w:spacing w:after="0" w:line="240" w:lineRule="auto"/>
              <w:ind w:right="34"/>
              <w:rPr>
                <w:rFonts w:ascii="Arial" w:eastAsia="SimSun" w:hAnsi="Arial" w:cs="Arial"/>
                <w:color w:val="000000"/>
                <w:lang w:eastAsia="zh-CN"/>
              </w:rPr>
            </w:pPr>
          </w:p>
          <w:p w:rsidR="00232AF4" w:rsidRPr="00232AF4" w:rsidRDefault="00232AF4" w:rsidP="00232AF4">
            <w:pPr>
              <w:spacing w:after="0" w:line="240" w:lineRule="auto"/>
              <w:ind w:right="34"/>
              <w:rPr>
                <w:rFonts w:ascii="Arial" w:eastAsia="SimSun" w:hAnsi="Arial" w:cs="Arial"/>
                <w:color w:val="000000"/>
                <w:lang w:eastAsia="zh-CN"/>
              </w:rPr>
            </w:pPr>
          </w:p>
        </w:tc>
        <w:tc>
          <w:tcPr>
            <w:tcW w:w="2266" w:type="dxa"/>
            <w:gridSpan w:val="3"/>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Student ID number:</w:t>
            </w:r>
            <w:r w:rsidRPr="00232AF4">
              <w:rPr>
                <w:rFonts w:ascii="Arial" w:eastAsia="SimSun" w:hAnsi="Arial" w:cs="Arial"/>
                <w:color w:val="000000"/>
                <w:lang w:eastAsia="zh-CN"/>
              </w:rPr>
              <w:br/>
            </w:r>
            <w:r w:rsidRPr="00232AF4">
              <w:rPr>
                <w:rFonts w:ascii="Arial" w:eastAsia="SimSun" w:hAnsi="Arial" w:cs="Arial"/>
                <w:color w:val="000000"/>
                <w:lang w:eastAsia="zh-CN"/>
              </w:rPr>
              <w:br/>
              <w:t>1602262</w:t>
            </w:r>
          </w:p>
        </w:tc>
        <w:tc>
          <w:tcPr>
            <w:tcW w:w="1802" w:type="dxa"/>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Educational support needs:</w:t>
            </w:r>
          </w:p>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No</w:t>
            </w:r>
          </w:p>
        </w:tc>
      </w:tr>
      <w:tr w:rsidR="00232AF4" w:rsidRPr="00232AF4" w:rsidTr="00C564F6">
        <w:trPr>
          <w:trHeight w:val="1139"/>
        </w:trPr>
        <w:tc>
          <w:tcPr>
            <w:tcW w:w="8856" w:type="dxa"/>
            <w:gridSpan w:val="5"/>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 xml:space="preserve">Assignment title: </w:t>
            </w:r>
            <w:r w:rsidRPr="00232AF4">
              <w:rPr>
                <w:rFonts w:ascii="Arial" w:eastAsia="SimSun" w:hAnsi="Arial" w:cs="Arial"/>
                <w:color w:val="000000"/>
                <w:lang w:eastAsia="zh-CN"/>
              </w:rPr>
              <w:t>The role of the Akitu festival as a religious and political device</w:t>
            </w:r>
            <w:r w:rsidRPr="00232AF4">
              <w:rPr>
                <w:rFonts w:ascii="Arial" w:eastAsia="SimSun" w:hAnsi="Arial" w:cs="Arial"/>
                <w:color w:val="000000"/>
                <w:lang w:eastAsia="zh-CN"/>
              </w:rPr>
              <w:br/>
            </w:r>
          </w:p>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 xml:space="preserve">Assignment due date: </w:t>
            </w:r>
            <w:r>
              <w:rPr>
                <w:rFonts w:ascii="Arial" w:eastAsia="SimSun" w:hAnsi="Arial" w:cs="Arial"/>
                <w:color w:val="000000"/>
                <w:lang w:eastAsia="zh-CN"/>
              </w:rPr>
              <w:t>24.05.2019</w:t>
            </w:r>
          </w:p>
        </w:tc>
      </w:tr>
      <w:tr w:rsidR="00232AF4" w:rsidRPr="00232AF4" w:rsidTr="00C564F6">
        <w:trPr>
          <w:trHeight w:val="978"/>
        </w:trPr>
        <w:tc>
          <w:tcPr>
            <w:tcW w:w="8856" w:type="dxa"/>
            <w:gridSpan w:val="5"/>
            <w:tcBorders>
              <w:bottom w:val="single" w:sz="4" w:space="0" w:color="000000"/>
            </w:tcBorders>
          </w:tcPr>
          <w:p w:rsidR="00232AF4" w:rsidRPr="00232AF4" w:rsidRDefault="00232AF4" w:rsidP="00232AF4">
            <w:pPr>
              <w:spacing w:after="0" w:line="240" w:lineRule="auto"/>
              <w:rPr>
                <w:rFonts w:ascii="Arial" w:eastAsia="SimSun" w:hAnsi="Arial" w:cs="Arial"/>
                <w:lang w:eastAsia="zh-CN"/>
              </w:rPr>
            </w:pPr>
            <w:r w:rsidRPr="00232AF4">
              <w:rPr>
                <w:rFonts w:ascii="Arial" w:eastAsia="SimSun" w:hAnsi="Arial" w:cs="Arial"/>
                <w:lang w:eastAsia="zh-CN"/>
              </w:rPr>
              <w:t>This assignment is for the       1</w:t>
            </w:r>
            <w:r w:rsidRPr="00232AF4">
              <w:rPr>
                <w:rFonts w:ascii="Arial" w:eastAsia="SimSun" w:hAnsi="Arial" w:cs="Arial"/>
                <w:vertAlign w:val="superscript"/>
                <w:lang w:eastAsia="zh-CN"/>
              </w:rPr>
              <w:t xml:space="preserve">st </w:t>
            </w:r>
            <w:r w:rsidRPr="00232AF4">
              <w:rPr>
                <w:rFonts w:ascii="Arial" w:eastAsia="SimSun" w:hAnsi="Arial" w:cs="Arial"/>
                <w:lang w:eastAsia="zh-CN"/>
              </w:rPr>
              <w:fldChar w:fldCharType="begin">
                <w:ffData>
                  <w:name w:val="Check13"/>
                  <w:enabled/>
                  <w:calcOnExit w:val="0"/>
                  <w:checkBox>
                    <w:sizeAuto/>
                    <w:default w:val="0"/>
                  </w:checkBox>
                </w:ffData>
              </w:fldChar>
            </w:r>
            <w:bookmarkStart w:id="0" w:name="Check13"/>
            <w:r w:rsidRPr="00232AF4">
              <w:rPr>
                <w:rFonts w:ascii="Arial" w:eastAsia="SimSun" w:hAnsi="Arial" w:cs="Arial"/>
                <w:lang w:eastAsia="zh-CN"/>
              </w:rPr>
              <w:instrText xml:space="preserve"> FORMCHECKBOX </w:instrText>
            </w:r>
            <w:r w:rsidRPr="00232AF4">
              <w:rPr>
                <w:rFonts w:ascii="Arial" w:eastAsia="SimSun" w:hAnsi="Arial" w:cs="Arial"/>
                <w:lang w:eastAsia="zh-CN"/>
              </w:rPr>
            </w:r>
            <w:r w:rsidRPr="00232AF4">
              <w:rPr>
                <w:rFonts w:ascii="Arial" w:eastAsia="SimSun" w:hAnsi="Arial" w:cs="Arial"/>
                <w:lang w:eastAsia="zh-CN"/>
              </w:rPr>
              <w:fldChar w:fldCharType="separate"/>
            </w:r>
            <w:r w:rsidRPr="00232AF4">
              <w:rPr>
                <w:rFonts w:ascii="Arial" w:eastAsia="SimSun" w:hAnsi="Arial" w:cs="Arial"/>
                <w:lang w:eastAsia="zh-CN"/>
              </w:rPr>
              <w:fldChar w:fldCharType="end"/>
            </w:r>
            <w:bookmarkEnd w:id="0"/>
            <w:r w:rsidRPr="00232AF4">
              <w:rPr>
                <w:rFonts w:ascii="Arial" w:eastAsia="SimSun" w:hAnsi="Arial" w:cs="Arial"/>
                <w:lang w:eastAsia="zh-CN"/>
              </w:rPr>
              <w:t xml:space="preserve">    2</w:t>
            </w:r>
            <w:r w:rsidRPr="00232AF4">
              <w:rPr>
                <w:rFonts w:ascii="Arial" w:eastAsia="SimSun" w:hAnsi="Arial" w:cs="Arial"/>
                <w:vertAlign w:val="superscript"/>
                <w:lang w:eastAsia="zh-CN"/>
              </w:rPr>
              <w:t>nd</w:t>
            </w:r>
            <w:r w:rsidRPr="00232AF4">
              <w:rPr>
                <w:rFonts w:ascii="Arial" w:eastAsia="SimSun" w:hAnsi="Arial" w:cs="Arial"/>
                <w:lang w:eastAsia="zh-CN"/>
              </w:rPr>
              <w:t xml:space="preserve">  </w:t>
            </w:r>
            <w:r w:rsidRPr="00232AF4">
              <w:rPr>
                <w:rFonts w:ascii="Arial" w:eastAsia="SimSun" w:hAnsi="Arial" w:cs="Arial"/>
                <w:lang w:eastAsia="zh-CN"/>
              </w:rPr>
              <w:fldChar w:fldCharType="begin">
                <w:ffData>
                  <w:name w:val="Check14"/>
                  <w:enabled/>
                  <w:calcOnExit w:val="0"/>
                  <w:checkBox>
                    <w:sizeAuto/>
                    <w:default w:val="0"/>
                  </w:checkBox>
                </w:ffData>
              </w:fldChar>
            </w:r>
            <w:bookmarkStart w:id="1" w:name="Check14"/>
            <w:r w:rsidRPr="00232AF4">
              <w:rPr>
                <w:rFonts w:ascii="Arial" w:eastAsia="SimSun" w:hAnsi="Arial" w:cs="Arial"/>
                <w:lang w:eastAsia="zh-CN"/>
              </w:rPr>
              <w:instrText xml:space="preserve"> FORMCHECKBOX </w:instrText>
            </w:r>
            <w:r w:rsidRPr="00232AF4">
              <w:rPr>
                <w:rFonts w:ascii="Arial" w:eastAsia="SimSun" w:hAnsi="Arial" w:cs="Arial"/>
                <w:lang w:eastAsia="zh-CN"/>
              </w:rPr>
            </w:r>
            <w:r w:rsidRPr="00232AF4">
              <w:rPr>
                <w:rFonts w:ascii="Arial" w:eastAsia="SimSun" w:hAnsi="Arial" w:cs="Arial"/>
                <w:lang w:eastAsia="zh-CN"/>
              </w:rPr>
              <w:fldChar w:fldCharType="separate"/>
            </w:r>
            <w:r w:rsidRPr="00232AF4">
              <w:rPr>
                <w:rFonts w:ascii="Arial" w:eastAsia="SimSun" w:hAnsi="Arial" w:cs="Arial"/>
                <w:lang w:eastAsia="zh-CN"/>
              </w:rPr>
              <w:fldChar w:fldCharType="end"/>
            </w:r>
            <w:bookmarkEnd w:id="1"/>
            <w:r w:rsidRPr="00232AF4">
              <w:rPr>
                <w:rFonts w:ascii="Arial" w:eastAsia="SimSun" w:hAnsi="Arial" w:cs="Arial"/>
                <w:lang w:eastAsia="zh-CN"/>
              </w:rPr>
              <w:t xml:space="preserve">     3</w:t>
            </w:r>
            <w:r w:rsidRPr="00232AF4">
              <w:rPr>
                <w:rFonts w:ascii="Arial" w:eastAsia="SimSun" w:hAnsi="Arial" w:cs="Arial"/>
                <w:vertAlign w:val="superscript"/>
                <w:lang w:eastAsia="zh-CN"/>
              </w:rPr>
              <w:t>rd</w:t>
            </w:r>
            <w:r w:rsidRPr="00232AF4">
              <w:rPr>
                <w:rFonts w:ascii="Arial" w:eastAsia="SimSun" w:hAnsi="Arial" w:cs="Arial"/>
                <w:lang w:eastAsia="zh-CN"/>
              </w:rPr>
              <w:t xml:space="preserve">  </w:t>
            </w:r>
            <w:r w:rsidRPr="00232AF4">
              <w:rPr>
                <w:rFonts w:ascii="Arial" w:eastAsia="SimSun" w:hAnsi="Arial" w:cs="Arial"/>
                <w:lang w:eastAsia="zh-CN"/>
              </w:rPr>
              <w:fldChar w:fldCharType="begin">
                <w:ffData>
                  <w:name w:val="Check15"/>
                  <w:enabled/>
                  <w:calcOnExit w:val="0"/>
                  <w:checkBox>
                    <w:sizeAuto/>
                    <w:default w:val="0"/>
                  </w:checkBox>
                </w:ffData>
              </w:fldChar>
            </w:r>
            <w:bookmarkStart w:id="2" w:name="Check15"/>
            <w:r w:rsidRPr="00232AF4">
              <w:rPr>
                <w:rFonts w:ascii="Arial" w:eastAsia="SimSun" w:hAnsi="Arial" w:cs="Arial"/>
                <w:lang w:eastAsia="zh-CN"/>
              </w:rPr>
              <w:instrText xml:space="preserve"> FORMCHECKBOX </w:instrText>
            </w:r>
            <w:r w:rsidRPr="00232AF4">
              <w:rPr>
                <w:rFonts w:ascii="Arial" w:eastAsia="SimSun" w:hAnsi="Arial" w:cs="Arial"/>
                <w:lang w:eastAsia="zh-CN"/>
              </w:rPr>
            </w:r>
            <w:r w:rsidRPr="00232AF4">
              <w:rPr>
                <w:rFonts w:ascii="Arial" w:eastAsia="SimSun" w:hAnsi="Arial" w:cs="Arial"/>
                <w:lang w:eastAsia="zh-CN"/>
              </w:rPr>
              <w:fldChar w:fldCharType="separate"/>
            </w:r>
            <w:r w:rsidRPr="00232AF4">
              <w:rPr>
                <w:rFonts w:ascii="Arial" w:eastAsia="SimSun" w:hAnsi="Arial" w:cs="Arial"/>
                <w:lang w:eastAsia="zh-CN"/>
              </w:rPr>
              <w:fldChar w:fldCharType="end"/>
            </w:r>
            <w:bookmarkEnd w:id="2"/>
            <w:r w:rsidRPr="00232AF4">
              <w:rPr>
                <w:rFonts w:ascii="Arial" w:eastAsia="SimSun" w:hAnsi="Arial" w:cs="Arial"/>
                <w:lang w:eastAsia="zh-CN"/>
              </w:rPr>
              <w:t xml:space="preserve">      4</w:t>
            </w:r>
            <w:r w:rsidRPr="00232AF4">
              <w:rPr>
                <w:rFonts w:ascii="Arial" w:eastAsia="SimSun" w:hAnsi="Arial" w:cs="Arial"/>
                <w:vertAlign w:val="superscript"/>
                <w:lang w:eastAsia="zh-CN"/>
              </w:rPr>
              <w:t>th</w:t>
            </w:r>
            <w:r w:rsidRPr="00232AF4">
              <w:rPr>
                <w:rFonts w:ascii="Arial" w:eastAsia="SimSun" w:hAnsi="Arial" w:cs="Arial"/>
                <w:lang w:eastAsia="zh-CN"/>
              </w:rPr>
              <w:t xml:space="preserve"> </w:t>
            </w:r>
            <w:r>
              <w:rPr>
                <w:rFonts w:ascii="Arial" w:eastAsia="SimSun" w:hAnsi="Arial" w:cs="Arial"/>
                <w:lang w:eastAsia="zh-CN"/>
              </w:rPr>
              <w:fldChar w:fldCharType="begin">
                <w:ffData>
                  <w:name w:val="Check16"/>
                  <w:enabled w:val="0"/>
                  <w:calcOnExit w:val="0"/>
                  <w:checkBox>
                    <w:sizeAuto/>
                    <w:default w:val="0"/>
                  </w:checkBox>
                </w:ffData>
              </w:fldChar>
            </w:r>
            <w:bookmarkStart w:id="3" w:name="Check16"/>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3"/>
            <w:r w:rsidRPr="00232AF4">
              <w:rPr>
                <w:rFonts w:ascii="Arial" w:eastAsia="SimSun" w:hAnsi="Arial" w:cs="Arial"/>
                <w:lang w:eastAsia="zh-CN"/>
              </w:rPr>
              <w:t xml:space="preserve">      5</w:t>
            </w:r>
            <w:r w:rsidRPr="00232AF4">
              <w:rPr>
                <w:rFonts w:ascii="Arial" w:eastAsia="SimSun" w:hAnsi="Arial" w:cs="Arial"/>
                <w:vertAlign w:val="superscript"/>
                <w:lang w:eastAsia="zh-CN"/>
              </w:rPr>
              <w:t>th</w:t>
            </w:r>
            <w:r w:rsidRPr="00232AF4">
              <w:rPr>
                <w:rFonts w:ascii="Arial" w:eastAsia="SimSun" w:hAnsi="Arial" w:cs="Arial"/>
                <w:lang w:eastAsia="zh-CN"/>
              </w:rPr>
              <w:t xml:space="preserve"> </w:t>
            </w:r>
            <w:r w:rsidRPr="00232AF4">
              <w:rPr>
                <w:rFonts w:ascii="Arial" w:eastAsia="SimSun" w:hAnsi="Arial" w:cs="Arial"/>
                <w:lang w:eastAsia="zh-CN"/>
              </w:rPr>
              <w:fldChar w:fldCharType="begin">
                <w:ffData>
                  <w:name w:val="Check17"/>
                  <w:enabled/>
                  <w:calcOnExit w:val="0"/>
                  <w:checkBox>
                    <w:sizeAuto/>
                    <w:default w:val="0"/>
                  </w:checkBox>
                </w:ffData>
              </w:fldChar>
            </w:r>
            <w:bookmarkStart w:id="4" w:name="Check17"/>
            <w:r w:rsidRPr="00232AF4">
              <w:rPr>
                <w:rFonts w:ascii="Arial" w:eastAsia="SimSun" w:hAnsi="Arial" w:cs="Arial"/>
                <w:lang w:eastAsia="zh-CN"/>
              </w:rPr>
              <w:instrText xml:space="preserve"> FORMCHECKBOX </w:instrText>
            </w:r>
            <w:r w:rsidRPr="00232AF4">
              <w:rPr>
                <w:rFonts w:ascii="Arial" w:eastAsia="SimSun" w:hAnsi="Arial" w:cs="Arial"/>
                <w:lang w:eastAsia="zh-CN"/>
              </w:rPr>
            </w:r>
            <w:r w:rsidRPr="00232AF4">
              <w:rPr>
                <w:rFonts w:ascii="Arial" w:eastAsia="SimSun" w:hAnsi="Arial" w:cs="Arial"/>
                <w:lang w:eastAsia="zh-CN"/>
              </w:rPr>
              <w:fldChar w:fldCharType="separate"/>
            </w:r>
            <w:r w:rsidRPr="00232AF4">
              <w:rPr>
                <w:rFonts w:ascii="Arial" w:eastAsia="SimSun" w:hAnsi="Arial" w:cs="Arial"/>
                <w:lang w:eastAsia="zh-CN"/>
              </w:rPr>
              <w:fldChar w:fldCharType="end"/>
            </w:r>
            <w:bookmarkEnd w:id="4"/>
            <w:r w:rsidRPr="00232AF4">
              <w:rPr>
                <w:rFonts w:ascii="Arial" w:eastAsia="SimSun" w:hAnsi="Arial" w:cs="Arial"/>
                <w:lang w:eastAsia="zh-CN"/>
              </w:rPr>
              <w:t xml:space="preserve">      6</w:t>
            </w:r>
            <w:r w:rsidRPr="00232AF4">
              <w:rPr>
                <w:rFonts w:ascii="Arial" w:eastAsia="SimSun" w:hAnsi="Arial" w:cs="Arial"/>
                <w:vertAlign w:val="superscript"/>
                <w:lang w:eastAsia="zh-CN"/>
              </w:rPr>
              <w:t>th</w:t>
            </w:r>
            <w:r w:rsidRPr="00232AF4">
              <w:rPr>
                <w:rFonts w:ascii="Arial" w:eastAsia="SimSun" w:hAnsi="Arial" w:cs="Arial"/>
                <w:lang w:eastAsia="zh-CN"/>
              </w:rPr>
              <w:t xml:space="preserve"> </w:t>
            </w:r>
            <w:r>
              <w:rPr>
                <w:rFonts w:ascii="Arial" w:eastAsia="SimSun" w:hAnsi="Arial" w:cs="Arial"/>
                <w:lang w:eastAsia="zh-CN"/>
              </w:rPr>
              <w:fldChar w:fldCharType="begin">
                <w:ffData>
                  <w:name w:val="Check18"/>
                  <w:enabled/>
                  <w:calcOnExit w:val="0"/>
                  <w:checkBox>
                    <w:sizeAuto/>
                    <w:default w:val="1"/>
                  </w:checkBox>
                </w:ffData>
              </w:fldChar>
            </w:r>
            <w:bookmarkStart w:id="5" w:name="Check18"/>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5"/>
            <w:r w:rsidRPr="00232AF4">
              <w:rPr>
                <w:rFonts w:ascii="Arial" w:eastAsia="SimSun" w:hAnsi="Arial" w:cs="Arial"/>
                <w:b/>
                <w:lang w:eastAsia="zh-CN"/>
              </w:rPr>
              <w:t xml:space="preserve">   </w:t>
            </w:r>
            <w:r w:rsidRPr="00232AF4">
              <w:rPr>
                <w:rFonts w:ascii="Arial" w:eastAsia="SimSun" w:hAnsi="Arial" w:cs="Arial"/>
                <w:lang w:eastAsia="zh-CN"/>
              </w:rPr>
              <w:t>module of the degree</w:t>
            </w:r>
          </w:p>
        </w:tc>
      </w:tr>
      <w:tr w:rsidR="00232AF4" w:rsidRPr="00232AF4" w:rsidTr="00C564F6">
        <w:trPr>
          <w:trHeight w:val="978"/>
        </w:trPr>
        <w:tc>
          <w:tcPr>
            <w:tcW w:w="8856" w:type="dxa"/>
            <w:gridSpan w:val="5"/>
            <w:shd w:val="clear" w:color="auto" w:fill="D9D9D9"/>
          </w:tcPr>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I confirm that this is my original work and that I have adhered to the University policy on plagiarism.</w:t>
            </w:r>
          </w:p>
          <w:p w:rsidR="00232AF4" w:rsidRPr="00232AF4" w:rsidRDefault="00232AF4" w:rsidP="00232AF4">
            <w:pPr>
              <w:spacing w:after="0" w:line="240" w:lineRule="auto"/>
              <w:ind w:right="34"/>
              <w:rPr>
                <w:rFonts w:ascii="Arial" w:eastAsia="SimSun" w:hAnsi="Arial" w:cs="Arial"/>
                <w:color w:val="000000"/>
                <w:lang w:eastAsia="zh-CN"/>
              </w:rPr>
            </w:pPr>
            <w:r w:rsidRPr="00232AF4">
              <w:rPr>
                <w:rFonts w:ascii="Arial" w:eastAsia="SimSun" w:hAnsi="Arial" w:cs="Arial"/>
                <w:color w:val="000000"/>
                <w:lang w:eastAsia="zh-CN"/>
              </w:rPr>
              <w:t>Signed …………………..Clair Allen……………………….………………</w:t>
            </w:r>
          </w:p>
        </w:tc>
      </w:tr>
      <w:tr w:rsidR="00232AF4" w:rsidRPr="00232AF4" w:rsidTr="00C564F6">
        <w:trPr>
          <w:trHeight w:val="3972"/>
        </w:trPr>
        <w:tc>
          <w:tcPr>
            <w:tcW w:w="8856" w:type="dxa"/>
            <w:gridSpan w:val="5"/>
          </w:tcPr>
          <w:p w:rsidR="00232AF4" w:rsidRPr="00232AF4" w:rsidRDefault="00232AF4" w:rsidP="00232AF4">
            <w:pPr>
              <w:spacing w:after="0" w:line="240" w:lineRule="auto"/>
              <w:rPr>
                <w:rFonts w:ascii="Arial" w:eastAsia="SimSun" w:hAnsi="Arial" w:cs="Arial"/>
                <w:b/>
                <w:color w:val="000000"/>
                <w:lang w:eastAsia="zh-CN"/>
              </w:rPr>
            </w:pPr>
          </w:p>
          <w:p w:rsidR="00232AF4" w:rsidRPr="00232AF4" w:rsidRDefault="00232AF4" w:rsidP="00232AF4">
            <w:pPr>
              <w:spacing w:after="0" w:line="240" w:lineRule="auto"/>
              <w:rPr>
                <w:rFonts w:ascii="Arial" w:eastAsia="SimSun" w:hAnsi="Arial" w:cs="Times New Roman"/>
                <w:b/>
                <w:sz w:val="24"/>
                <w:szCs w:val="24"/>
                <w:lang w:eastAsia="zh-CN"/>
              </w:rPr>
            </w:pPr>
          </w:p>
          <w:p w:rsidR="00232AF4" w:rsidRPr="00232AF4" w:rsidRDefault="00232AF4" w:rsidP="00232AF4">
            <w:pPr>
              <w:spacing w:after="0" w:line="240" w:lineRule="auto"/>
              <w:rPr>
                <w:rFonts w:ascii="Arial" w:eastAsia="SimSun" w:hAnsi="Arial" w:cs="Times New Roman"/>
                <w:b/>
                <w:sz w:val="24"/>
                <w:szCs w:val="24"/>
                <w:lang w:eastAsia="zh-CN"/>
              </w:rPr>
            </w:pPr>
          </w:p>
          <w:p w:rsidR="00232AF4" w:rsidRPr="00232AF4" w:rsidRDefault="00232AF4" w:rsidP="00232AF4">
            <w:pPr>
              <w:spacing w:after="0" w:line="240" w:lineRule="auto"/>
              <w:rPr>
                <w:rFonts w:ascii="Arial" w:eastAsia="SimSun" w:hAnsi="Arial" w:cs="Times New Roman"/>
                <w:sz w:val="24"/>
                <w:szCs w:val="24"/>
                <w:lang w:eastAsia="zh-CN"/>
              </w:rPr>
            </w:pPr>
            <w:r w:rsidRPr="00232AF4">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32AF4" w:rsidRPr="00232AF4" w:rsidTr="00C564F6">
              <w:tc>
                <w:tcPr>
                  <w:tcW w:w="6970" w:type="dxa"/>
                </w:tcPr>
                <w:p w:rsidR="00232AF4" w:rsidRPr="00232AF4" w:rsidRDefault="00232AF4" w:rsidP="00232AF4">
                  <w:pPr>
                    <w:spacing w:after="0" w:line="240" w:lineRule="auto"/>
                    <w:rPr>
                      <w:rFonts w:ascii="Arial" w:eastAsia="SimSun" w:hAnsi="Arial" w:cs="Times New Roman"/>
                      <w:sz w:val="20"/>
                      <w:szCs w:val="20"/>
                      <w:lang w:eastAsia="zh-CN"/>
                    </w:rPr>
                  </w:pPr>
                </w:p>
                <w:p w:rsidR="00232AF4" w:rsidRPr="00232AF4" w:rsidRDefault="00232AF4" w:rsidP="00232AF4">
                  <w:pPr>
                    <w:spacing w:after="0" w:line="240" w:lineRule="auto"/>
                    <w:rPr>
                      <w:rFonts w:ascii="Arial" w:eastAsia="SimSun" w:hAnsi="Arial" w:cs="Times New Roman"/>
                      <w:sz w:val="20"/>
                      <w:szCs w:val="20"/>
                      <w:lang w:eastAsia="zh-CN"/>
                    </w:rPr>
                  </w:pPr>
                  <w:r w:rsidRPr="00232AF4">
                    <w:rPr>
                      <w:rFonts w:ascii="Arial" w:eastAsia="SimSun" w:hAnsi="Arial" w:cs="Times New Roman"/>
                      <w:sz w:val="20"/>
                      <w:szCs w:val="20"/>
                      <w:lang w:eastAsia="zh-CN"/>
                    </w:rPr>
                    <w:t>1</w:t>
                  </w:r>
                  <w:r w:rsidRPr="00232AF4">
                    <w:rPr>
                      <w:rFonts w:ascii="Arial" w:eastAsia="SimSun" w:hAnsi="Arial" w:cs="Times New Roman"/>
                      <w:sz w:val="20"/>
                      <w:szCs w:val="20"/>
                      <w:vertAlign w:val="superscript"/>
                      <w:lang w:eastAsia="zh-CN"/>
                    </w:rPr>
                    <w:t>st</w:t>
                  </w:r>
                  <w:r w:rsidRPr="00232AF4">
                    <w:rPr>
                      <w:rFonts w:ascii="Arial" w:eastAsia="SimSun" w:hAnsi="Arial" w:cs="Times New Roman"/>
                      <w:sz w:val="20"/>
                      <w:szCs w:val="20"/>
                      <w:lang w:eastAsia="zh-CN"/>
                    </w:rPr>
                    <w:t xml:space="preserve"> Marker’s Provisional mark</w:t>
                  </w:r>
                </w:p>
              </w:tc>
              <w:tc>
                <w:tcPr>
                  <w:tcW w:w="1660" w:type="dxa"/>
                </w:tcPr>
                <w:p w:rsidR="00232AF4" w:rsidRPr="00232AF4" w:rsidRDefault="00232AF4" w:rsidP="00232AF4">
                  <w:pPr>
                    <w:spacing w:after="0" w:line="240" w:lineRule="auto"/>
                    <w:rPr>
                      <w:rFonts w:ascii="Arial" w:eastAsia="SimSun" w:hAnsi="Arial" w:cs="Times New Roman"/>
                      <w:sz w:val="20"/>
                      <w:szCs w:val="20"/>
                      <w:lang w:eastAsia="zh-CN"/>
                    </w:rPr>
                  </w:pPr>
                </w:p>
              </w:tc>
            </w:tr>
            <w:tr w:rsidR="00232AF4" w:rsidRPr="00232AF4" w:rsidTr="00C564F6">
              <w:tc>
                <w:tcPr>
                  <w:tcW w:w="6970" w:type="dxa"/>
                </w:tcPr>
                <w:p w:rsidR="00232AF4" w:rsidRPr="00232AF4" w:rsidRDefault="00232AF4" w:rsidP="00232AF4">
                  <w:pPr>
                    <w:spacing w:after="0" w:line="240" w:lineRule="auto"/>
                    <w:rPr>
                      <w:rFonts w:ascii="Arial" w:eastAsia="SimSun" w:hAnsi="Arial" w:cs="Times New Roman"/>
                      <w:sz w:val="20"/>
                      <w:szCs w:val="20"/>
                      <w:lang w:eastAsia="zh-CN"/>
                    </w:rPr>
                  </w:pPr>
                </w:p>
                <w:p w:rsidR="00232AF4" w:rsidRPr="00232AF4" w:rsidRDefault="00232AF4" w:rsidP="00232AF4">
                  <w:pPr>
                    <w:spacing w:after="0" w:line="240" w:lineRule="auto"/>
                    <w:rPr>
                      <w:rFonts w:ascii="Arial" w:eastAsia="SimSun" w:hAnsi="Arial" w:cs="Times New Roman"/>
                      <w:sz w:val="20"/>
                      <w:szCs w:val="20"/>
                      <w:lang w:eastAsia="zh-CN"/>
                    </w:rPr>
                  </w:pPr>
                  <w:r w:rsidRPr="00232AF4">
                    <w:rPr>
                      <w:rFonts w:ascii="Arial" w:eastAsia="SimSun" w:hAnsi="Arial" w:cs="Times New Roman"/>
                      <w:sz w:val="20"/>
                      <w:szCs w:val="20"/>
                      <w:lang w:eastAsia="zh-CN"/>
                    </w:rPr>
                    <w:t>2</w:t>
                  </w:r>
                  <w:r w:rsidRPr="00232AF4">
                    <w:rPr>
                      <w:rFonts w:ascii="Arial" w:eastAsia="SimSun" w:hAnsi="Arial" w:cs="Times New Roman"/>
                      <w:sz w:val="20"/>
                      <w:szCs w:val="20"/>
                      <w:vertAlign w:val="superscript"/>
                      <w:lang w:eastAsia="zh-CN"/>
                    </w:rPr>
                    <w:t>nd</w:t>
                  </w:r>
                  <w:r w:rsidRPr="00232AF4">
                    <w:rPr>
                      <w:rFonts w:ascii="Arial" w:eastAsia="SimSun" w:hAnsi="Arial" w:cs="Times New Roman"/>
                      <w:sz w:val="20"/>
                      <w:szCs w:val="20"/>
                      <w:lang w:eastAsia="zh-CN"/>
                    </w:rPr>
                    <w:t xml:space="preserve"> Marker’s/Moderator’s provisional mark</w:t>
                  </w:r>
                </w:p>
              </w:tc>
              <w:tc>
                <w:tcPr>
                  <w:tcW w:w="1660" w:type="dxa"/>
                </w:tcPr>
                <w:p w:rsidR="00232AF4" w:rsidRPr="00232AF4" w:rsidRDefault="00232AF4" w:rsidP="00232AF4">
                  <w:pPr>
                    <w:spacing w:after="0" w:line="240" w:lineRule="auto"/>
                    <w:rPr>
                      <w:rFonts w:ascii="Arial" w:eastAsia="SimSun" w:hAnsi="Arial" w:cs="Times New Roman"/>
                      <w:sz w:val="20"/>
                      <w:szCs w:val="20"/>
                      <w:lang w:eastAsia="zh-CN"/>
                    </w:rPr>
                  </w:pPr>
                </w:p>
              </w:tc>
            </w:tr>
            <w:tr w:rsidR="00232AF4" w:rsidRPr="00232AF4" w:rsidTr="00C564F6">
              <w:tc>
                <w:tcPr>
                  <w:tcW w:w="6970" w:type="dxa"/>
                </w:tcPr>
                <w:p w:rsidR="00232AF4" w:rsidRPr="00232AF4" w:rsidRDefault="00232AF4" w:rsidP="00232AF4">
                  <w:pPr>
                    <w:spacing w:after="0" w:line="240" w:lineRule="auto"/>
                    <w:rPr>
                      <w:rFonts w:ascii="Arial" w:eastAsia="SimSun" w:hAnsi="Arial" w:cs="Times New Roman"/>
                      <w:sz w:val="20"/>
                      <w:szCs w:val="20"/>
                      <w:lang w:eastAsia="zh-CN"/>
                    </w:rPr>
                  </w:pPr>
                </w:p>
                <w:p w:rsidR="00232AF4" w:rsidRPr="00232AF4" w:rsidRDefault="00232AF4" w:rsidP="00232AF4">
                  <w:pPr>
                    <w:spacing w:after="0" w:line="240" w:lineRule="auto"/>
                    <w:rPr>
                      <w:rFonts w:ascii="Arial" w:eastAsia="SimSun" w:hAnsi="Arial" w:cs="Times New Roman"/>
                      <w:sz w:val="20"/>
                      <w:szCs w:val="20"/>
                      <w:lang w:eastAsia="zh-CN"/>
                    </w:rPr>
                  </w:pPr>
                  <w:r w:rsidRPr="00232AF4">
                    <w:rPr>
                      <w:rFonts w:ascii="Arial" w:eastAsia="SimSun" w:hAnsi="Arial" w:cs="Times New Roman"/>
                      <w:sz w:val="20"/>
                      <w:szCs w:val="20"/>
                      <w:lang w:eastAsia="zh-CN"/>
                    </w:rPr>
                    <w:t>External Examiner’s mark (if relevant)</w:t>
                  </w:r>
                </w:p>
              </w:tc>
              <w:tc>
                <w:tcPr>
                  <w:tcW w:w="1660" w:type="dxa"/>
                </w:tcPr>
                <w:p w:rsidR="00232AF4" w:rsidRPr="00232AF4" w:rsidRDefault="00232AF4" w:rsidP="00232AF4">
                  <w:pPr>
                    <w:spacing w:after="0" w:line="240" w:lineRule="auto"/>
                    <w:rPr>
                      <w:rFonts w:ascii="Arial" w:eastAsia="SimSun" w:hAnsi="Arial" w:cs="Times New Roman"/>
                      <w:sz w:val="20"/>
                      <w:szCs w:val="20"/>
                      <w:lang w:eastAsia="zh-CN"/>
                    </w:rPr>
                  </w:pPr>
                </w:p>
              </w:tc>
            </w:tr>
            <w:tr w:rsidR="00232AF4" w:rsidRPr="00232AF4" w:rsidTr="00C564F6">
              <w:tc>
                <w:tcPr>
                  <w:tcW w:w="6970" w:type="dxa"/>
                </w:tcPr>
                <w:p w:rsidR="00232AF4" w:rsidRPr="00232AF4" w:rsidRDefault="00232AF4" w:rsidP="00232AF4">
                  <w:pPr>
                    <w:spacing w:after="0" w:line="240" w:lineRule="auto"/>
                    <w:rPr>
                      <w:rFonts w:ascii="Arial" w:eastAsia="SimSun" w:hAnsi="Arial" w:cs="Times New Roman"/>
                      <w:sz w:val="20"/>
                      <w:szCs w:val="20"/>
                      <w:lang w:eastAsia="zh-CN"/>
                    </w:rPr>
                  </w:pPr>
                </w:p>
                <w:p w:rsidR="00232AF4" w:rsidRPr="00232AF4" w:rsidRDefault="00232AF4" w:rsidP="00232AF4">
                  <w:pPr>
                    <w:spacing w:after="0" w:line="240" w:lineRule="auto"/>
                    <w:rPr>
                      <w:rFonts w:ascii="Arial" w:eastAsia="SimSun" w:hAnsi="Arial" w:cs="Times New Roman"/>
                      <w:b/>
                      <w:sz w:val="20"/>
                      <w:szCs w:val="20"/>
                      <w:lang w:eastAsia="zh-CN"/>
                    </w:rPr>
                  </w:pPr>
                  <w:r w:rsidRPr="00232AF4">
                    <w:rPr>
                      <w:rFonts w:ascii="Arial" w:eastAsia="SimSun" w:hAnsi="Arial" w:cs="Times New Roman"/>
                      <w:b/>
                      <w:sz w:val="20"/>
                      <w:szCs w:val="20"/>
                      <w:lang w:eastAsia="zh-CN"/>
                    </w:rPr>
                    <w:t>Final Mark</w:t>
                  </w:r>
                </w:p>
                <w:p w:rsidR="00232AF4" w:rsidRPr="00232AF4" w:rsidRDefault="00232AF4" w:rsidP="00232AF4">
                  <w:pPr>
                    <w:spacing w:after="0" w:line="240" w:lineRule="auto"/>
                    <w:rPr>
                      <w:rFonts w:ascii="Arial" w:eastAsia="SimSun" w:hAnsi="Arial" w:cs="Times New Roman"/>
                      <w:sz w:val="20"/>
                      <w:szCs w:val="20"/>
                      <w:lang w:eastAsia="zh-CN"/>
                    </w:rPr>
                  </w:pPr>
                </w:p>
              </w:tc>
              <w:tc>
                <w:tcPr>
                  <w:tcW w:w="1660" w:type="dxa"/>
                </w:tcPr>
                <w:p w:rsidR="00232AF4" w:rsidRPr="00232AF4" w:rsidRDefault="00232AF4" w:rsidP="00232AF4">
                  <w:pPr>
                    <w:spacing w:after="0" w:line="240" w:lineRule="auto"/>
                    <w:rPr>
                      <w:rFonts w:ascii="Arial" w:eastAsia="SimSun" w:hAnsi="Arial" w:cs="Times New Roman"/>
                      <w:sz w:val="20"/>
                      <w:szCs w:val="20"/>
                      <w:lang w:eastAsia="zh-CN"/>
                    </w:rPr>
                  </w:pPr>
                </w:p>
              </w:tc>
            </w:tr>
          </w:tbl>
          <w:p w:rsidR="00232AF4" w:rsidRPr="00232AF4" w:rsidRDefault="00232AF4" w:rsidP="00232AF4">
            <w:pPr>
              <w:spacing w:after="0" w:line="240" w:lineRule="auto"/>
              <w:ind w:left="142" w:right="34"/>
              <w:rPr>
                <w:rFonts w:ascii="Arial" w:eastAsia="SimSun" w:hAnsi="Arial" w:cs="Arial"/>
                <w:b/>
                <w:color w:val="000000"/>
                <w:lang w:eastAsia="zh-CN"/>
              </w:rPr>
            </w:pPr>
          </w:p>
          <w:p w:rsidR="00232AF4" w:rsidRPr="00232AF4" w:rsidRDefault="00232AF4" w:rsidP="00232AF4">
            <w:pPr>
              <w:spacing w:after="0" w:line="240" w:lineRule="auto"/>
              <w:ind w:left="142" w:right="34"/>
              <w:rPr>
                <w:rFonts w:ascii="Arial" w:eastAsia="SimSun" w:hAnsi="Arial" w:cs="Arial"/>
                <w:color w:val="000000"/>
                <w:lang w:eastAsia="zh-CN"/>
              </w:rPr>
            </w:pPr>
            <w:r w:rsidRPr="00232AF4">
              <w:rPr>
                <w:rFonts w:ascii="Arial" w:eastAsia="SimSun" w:hAnsi="Arial" w:cs="Arial"/>
                <w:b/>
                <w:color w:val="000000"/>
                <w:lang w:eastAsia="zh-CN"/>
              </w:rPr>
              <w:t>NB.</w:t>
            </w:r>
            <w:r w:rsidRPr="00232AF4">
              <w:rPr>
                <w:rFonts w:ascii="Arial" w:eastAsia="SimSun" w:hAnsi="Arial" w:cs="Arial"/>
                <w:color w:val="000000"/>
                <w:lang w:eastAsia="zh-CN"/>
              </w:rPr>
              <w:t xml:space="preserve">  All marks are provisional until confirmed by the Final Examination Board.</w:t>
            </w:r>
          </w:p>
          <w:p w:rsidR="00232AF4" w:rsidRPr="00232AF4" w:rsidRDefault="00232AF4" w:rsidP="00232AF4">
            <w:pPr>
              <w:spacing w:after="0" w:line="240" w:lineRule="auto"/>
              <w:rPr>
                <w:rFonts w:ascii="Arial" w:eastAsia="SimSun" w:hAnsi="Arial" w:cs="Arial"/>
                <w:b/>
                <w:color w:val="000000"/>
                <w:lang w:eastAsia="zh-CN"/>
              </w:rPr>
            </w:pPr>
          </w:p>
          <w:p w:rsidR="00232AF4" w:rsidRPr="00232AF4" w:rsidRDefault="00232AF4" w:rsidP="00232AF4">
            <w:pPr>
              <w:spacing w:after="0" w:line="240" w:lineRule="auto"/>
              <w:rPr>
                <w:rFonts w:ascii="Arial" w:eastAsia="SimSun" w:hAnsi="Arial" w:cs="Arial"/>
                <w:b/>
                <w:color w:val="000000"/>
                <w:lang w:eastAsia="zh-CN"/>
              </w:rPr>
            </w:pPr>
          </w:p>
          <w:p w:rsidR="00232AF4" w:rsidRPr="00232AF4" w:rsidRDefault="00232AF4" w:rsidP="00232AF4">
            <w:pPr>
              <w:spacing w:after="0" w:line="240" w:lineRule="auto"/>
              <w:rPr>
                <w:rFonts w:ascii="Arial" w:eastAsia="SimSun" w:hAnsi="Arial" w:cs="Arial"/>
                <w:b/>
                <w:color w:val="000000"/>
                <w:lang w:eastAsia="zh-CN"/>
              </w:rPr>
            </w:pPr>
          </w:p>
          <w:p w:rsidR="00232AF4" w:rsidRPr="00232AF4" w:rsidRDefault="00232AF4" w:rsidP="00232AF4">
            <w:pPr>
              <w:spacing w:after="0" w:line="240" w:lineRule="auto"/>
              <w:rPr>
                <w:rFonts w:ascii="Arial" w:eastAsia="SimSun" w:hAnsi="Arial" w:cs="Arial"/>
                <w:b/>
                <w:color w:val="000000"/>
                <w:lang w:eastAsia="zh-CN"/>
              </w:rPr>
            </w:pPr>
            <w:r w:rsidRPr="00232AF4">
              <w:rPr>
                <w:rFonts w:ascii="Arial" w:eastAsia="SimSun" w:hAnsi="Arial" w:cs="Arial"/>
                <w:b/>
                <w:color w:val="000000"/>
                <w:lang w:eastAsia="zh-CN"/>
              </w:rPr>
              <w:t xml:space="preserve">For completion by Marker </w:t>
            </w:r>
            <w:proofErr w:type="gramStart"/>
            <w:r w:rsidRPr="00232AF4">
              <w:rPr>
                <w:rFonts w:ascii="Arial" w:eastAsia="SimSun" w:hAnsi="Arial" w:cs="Arial"/>
                <w:b/>
                <w:color w:val="000000"/>
                <w:lang w:eastAsia="zh-CN"/>
              </w:rPr>
              <w:t>1 :</w:t>
            </w:r>
            <w:proofErr w:type="gramEnd"/>
          </w:p>
          <w:p w:rsidR="00232AF4" w:rsidRPr="00232AF4" w:rsidRDefault="00232AF4" w:rsidP="00232AF4">
            <w:pPr>
              <w:spacing w:before="100" w:beforeAutospacing="1" w:after="100" w:afterAutospacing="1" w:line="240" w:lineRule="auto"/>
              <w:rPr>
                <w:rFonts w:ascii="Arial" w:eastAsia="SimSun" w:hAnsi="Arial" w:cs="Arial"/>
                <w:color w:val="000000"/>
                <w:lang w:eastAsia="zh-CN"/>
              </w:rPr>
            </w:pPr>
            <w:r w:rsidRPr="00232AF4">
              <w:rPr>
                <w:rFonts w:ascii="Arial" w:eastAsia="SimSun" w:hAnsi="Arial" w:cs="Arial"/>
                <w:color w:val="000000"/>
                <w:lang w:eastAsia="zh-CN"/>
              </w:rPr>
              <w:t>Comments:</w:t>
            </w:r>
          </w:p>
          <w:p w:rsidR="00232AF4" w:rsidRPr="00232AF4" w:rsidRDefault="00232AF4" w:rsidP="00232AF4">
            <w:pPr>
              <w:spacing w:before="100" w:beforeAutospacing="1" w:after="100" w:afterAutospacing="1" w:line="240" w:lineRule="auto"/>
              <w:rPr>
                <w:rFonts w:ascii="Arial" w:eastAsia="SimSun" w:hAnsi="Arial" w:cs="Arial"/>
                <w:color w:val="000000"/>
                <w:lang w:eastAsia="zh-CN"/>
              </w:rPr>
            </w:pPr>
          </w:p>
        </w:tc>
      </w:tr>
      <w:tr w:rsidR="00232AF4" w:rsidRPr="00232AF4" w:rsidTr="00C564F6">
        <w:trPr>
          <w:trHeight w:val="492"/>
        </w:trPr>
        <w:tc>
          <w:tcPr>
            <w:tcW w:w="6768" w:type="dxa"/>
            <w:gridSpan w:val="3"/>
          </w:tcPr>
          <w:p w:rsidR="00232AF4" w:rsidRPr="00232AF4" w:rsidRDefault="00232AF4" w:rsidP="00232AF4">
            <w:pPr>
              <w:spacing w:before="100" w:beforeAutospacing="1" w:after="100" w:afterAutospacing="1" w:line="240" w:lineRule="auto"/>
              <w:ind w:left="142" w:right="34"/>
              <w:rPr>
                <w:rFonts w:ascii="Arial" w:eastAsia="SimSun" w:hAnsi="Arial" w:cs="Arial"/>
                <w:color w:val="000000"/>
                <w:lang w:eastAsia="zh-CN"/>
              </w:rPr>
            </w:pPr>
            <w:r w:rsidRPr="00232AF4">
              <w:rPr>
                <w:rFonts w:ascii="Arial" w:eastAsia="SimSun" w:hAnsi="Arial" w:cs="Arial"/>
                <w:color w:val="000000"/>
                <w:lang w:eastAsia="zh-CN"/>
              </w:rPr>
              <w:lastRenderedPageBreak/>
              <w:t>Marker’s signature:</w:t>
            </w:r>
          </w:p>
        </w:tc>
        <w:tc>
          <w:tcPr>
            <w:tcW w:w="2088" w:type="dxa"/>
            <w:gridSpan w:val="2"/>
          </w:tcPr>
          <w:p w:rsidR="00232AF4" w:rsidRPr="00232AF4" w:rsidRDefault="00232AF4" w:rsidP="00232AF4">
            <w:pPr>
              <w:spacing w:before="100" w:beforeAutospacing="1" w:after="0" w:afterAutospacing="1" w:line="240" w:lineRule="auto"/>
              <w:ind w:left="142" w:right="34"/>
              <w:rPr>
                <w:rFonts w:ascii="Arial" w:eastAsia="SimSun" w:hAnsi="Arial" w:cs="Arial"/>
                <w:color w:val="000000"/>
                <w:lang w:eastAsia="zh-CN"/>
              </w:rPr>
            </w:pPr>
            <w:r w:rsidRPr="00232AF4">
              <w:rPr>
                <w:rFonts w:ascii="Arial" w:eastAsia="SimSun" w:hAnsi="Arial" w:cs="Arial"/>
                <w:color w:val="000000"/>
                <w:lang w:eastAsia="zh-CN"/>
              </w:rPr>
              <w:t>Date:</w:t>
            </w:r>
          </w:p>
        </w:tc>
      </w:tr>
      <w:tr w:rsidR="00232AF4" w:rsidRPr="00232AF4" w:rsidTr="00C564F6">
        <w:tc>
          <w:tcPr>
            <w:tcW w:w="8856" w:type="dxa"/>
            <w:gridSpan w:val="5"/>
          </w:tcPr>
          <w:p w:rsidR="00232AF4" w:rsidRPr="00232AF4" w:rsidRDefault="00232AF4" w:rsidP="00232AF4">
            <w:pPr>
              <w:spacing w:after="0" w:line="240" w:lineRule="auto"/>
              <w:ind w:right="-334"/>
              <w:rPr>
                <w:rFonts w:ascii="Arial" w:eastAsia="SimSun" w:hAnsi="Arial" w:cs="Arial"/>
                <w:bCs/>
                <w:i/>
                <w:color w:val="000000"/>
                <w:lang w:eastAsia="zh-CN"/>
              </w:rPr>
            </w:pPr>
          </w:p>
          <w:p w:rsidR="00232AF4" w:rsidRPr="00232AF4" w:rsidRDefault="00232AF4" w:rsidP="00232AF4">
            <w:pPr>
              <w:spacing w:after="0" w:line="240" w:lineRule="auto"/>
              <w:ind w:right="-334"/>
              <w:rPr>
                <w:rFonts w:ascii="Arial" w:eastAsia="SimSun" w:hAnsi="Arial" w:cs="Arial"/>
                <w:b/>
                <w:bCs/>
                <w:color w:val="000000"/>
                <w:lang w:eastAsia="zh-CN"/>
              </w:rPr>
            </w:pPr>
            <w:r w:rsidRPr="00232AF4">
              <w:rPr>
                <w:rFonts w:ascii="Arial" w:eastAsia="SimSun" w:hAnsi="Arial" w:cs="Arial"/>
                <w:b/>
                <w:bCs/>
                <w:color w:val="000000"/>
                <w:lang w:eastAsia="zh-CN"/>
              </w:rPr>
              <w:t>For completion by Marker 2/Moderator:</w:t>
            </w:r>
          </w:p>
          <w:p w:rsidR="00232AF4" w:rsidRPr="00232AF4" w:rsidRDefault="00232AF4" w:rsidP="00232AF4">
            <w:pPr>
              <w:spacing w:after="0" w:line="240" w:lineRule="auto"/>
              <w:ind w:right="-334"/>
              <w:rPr>
                <w:rFonts w:ascii="Arial" w:eastAsia="SimSun" w:hAnsi="Arial" w:cs="Arial"/>
                <w:b/>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r w:rsidRPr="00232AF4">
              <w:rPr>
                <w:rFonts w:ascii="Arial" w:eastAsia="SimSun" w:hAnsi="Arial" w:cs="Arial"/>
                <w:bCs/>
                <w:color w:val="000000"/>
                <w:lang w:eastAsia="zh-CN"/>
              </w:rPr>
              <w:t>Comments:</w:t>
            </w: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tc>
      </w:tr>
      <w:tr w:rsidR="00232AF4" w:rsidRPr="00232AF4" w:rsidTr="00C564F6">
        <w:trPr>
          <w:trHeight w:val="720"/>
        </w:trPr>
        <w:tc>
          <w:tcPr>
            <w:tcW w:w="5211" w:type="dxa"/>
            <w:gridSpan w:val="2"/>
          </w:tcPr>
          <w:p w:rsidR="00232AF4" w:rsidRPr="00232AF4" w:rsidRDefault="00232AF4" w:rsidP="00232AF4">
            <w:pPr>
              <w:spacing w:after="0" w:line="240" w:lineRule="auto"/>
              <w:ind w:right="-334"/>
              <w:rPr>
                <w:rFonts w:ascii="Arial" w:eastAsia="SimSun" w:hAnsi="Arial" w:cs="Arial"/>
                <w:bCs/>
                <w:color w:val="000000"/>
                <w:lang w:eastAsia="zh-CN"/>
              </w:rPr>
            </w:pPr>
            <w:r w:rsidRPr="00232AF4">
              <w:rPr>
                <w:rFonts w:ascii="Arial" w:eastAsia="SimSun" w:hAnsi="Arial" w:cs="Arial"/>
                <w:bCs/>
                <w:color w:val="000000"/>
                <w:lang w:eastAsia="zh-CN"/>
              </w:rPr>
              <w:t>Marker’s Signature:</w:t>
            </w:r>
          </w:p>
        </w:tc>
        <w:tc>
          <w:tcPr>
            <w:tcW w:w="3645" w:type="dxa"/>
            <w:gridSpan w:val="3"/>
          </w:tcPr>
          <w:p w:rsidR="00232AF4" w:rsidRPr="00232AF4" w:rsidRDefault="00232AF4" w:rsidP="00232AF4">
            <w:pPr>
              <w:spacing w:after="0" w:line="240" w:lineRule="auto"/>
              <w:ind w:right="-334"/>
              <w:rPr>
                <w:rFonts w:ascii="Arial" w:eastAsia="SimSun" w:hAnsi="Arial" w:cs="Arial"/>
                <w:bCs/>
                <w:color w:val="000000"/>
                <w:lang w:eastAsia="zh-CN"/>
              </w:rPr>
            </w:pPr>
            <w:r w:rsidRPr="00232AF4">
              <w:rPr>
                <w:rFonts w:ascii="Arial" w:eastAsia="SimSun" w:hAnsi="Arial" w:cs="Arial"/>
                <w:bCs/>
                <w:color w:val="000000"/>
                <w:lang w:eastAsia="zh-CN"/>
              </w:rPr>
              <w:t>Date:</w:t>
            </w:r>
          </w:p>
        </w:tc>
      </w:tr>
      <w:tr w:rsidR="00232AF4" w:rsidRPr="00232AF4" w:rsidTr="00C564F6">
        <w:trPr>
          <w:trHeight w:val="720"/>
        </w:trPr>
        <w:tc>
          <w:tcPr>
            <w:tcW w:w="8856" w:type="dxa"/>
            <w:gridSpan w:val="5"/>
          </w:tcPr>
          <w:p w:rsidR="00232AF4" w:rsidRPr="00232AF4" w:rsidRDefault="00232AF4" w:rsidP="00232AF4">
            <w:pPr>
              <w:spacing w:after="0" w:line="240" w:lineRule="auto"/>
              <w:rPr>
                <w:rFonts w:ascii="Arial" w:eastAsia="SimSun" w:hAnsi="Arial" w:cs="Arial"/>
                <w:b/>
                <w:lang w:eastAsia="zh-CN"/>
              </w:rPr>
            </w:pPr>
            <w:r w:rsidRPr="00232AF4">
              <w:rPr>
                <w:rFonts w:ascii="Arial" w:eastAsia="SimSun" w:hAnsi="Arial" w:cs="Arial"/>
                <w:b/>
                <w:lang w:eastAsia="zh-CN"/>
              </w:rPr>
              <w:t>External Examiner’s comments (if relevant)</w:t>
            </w: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p w:rsidR="00232AF4" w:rsidRPr="00232AF4" w:rsidRDefault="00232AF4" w:rsidP="00232AF4">
            <w:pPr>
              <w:spacing w:after="0" w:line="240" w:lineRule="auto"/>
              <w:ind w:right="-334"/>
              <w:rPr>
                <w:rFonts w:ascii="Arial" w:eastAsia="SimSun" w:hAnsi="Arial" w:cs="Arial"/>
                <w:bCs/>
                <w:color w:val="000000"/>
                <w:lang w:eastAsia="zh-CN"/>
              </w:rPr>
            </w:pPr>
          </w:p>
        </w:tc>
      </w:tr>
      <w:tr w:rsidR="00232AF4" w:rsidRPr="00232AF4" w:rsidTr="00C564F6">
        <w:trPr>
          <w:trHeight w:val="720"/>
        </w:trPr>
        <w:tc>
          <w:tcPr>
            <w:tcW w:w="5211" w:type="dxa"/>
            <w:gridSpan w:val="2"/>
          </w:tcPr>
          <w:p w:rsidR="00232AF4" w:rsidRPr="00232AF4" w:rsidRDefault="00232AF4" w:rsidP="00232AF4">
            <w:pPr>
              <w:spacing w:after="0" w:line="240" w:lineRule="auto"/>
              <w:rPr>
                <w:rFonts w:ascii="Arial" w:eastAsia="SimSun" w:hAnsi="Arial" w:cs="Arial"/>
                <w:lang w:eastAsia="zh-CN"/>
              </w:rPr>
            </w:pPr>
            <w:r w:rsidRPr="00232AF4">
              <w:rPr>
                <w:rFonts w:ascii="Arial" w:eastAsia="SimSun" w:hAnsi="Arial" w:cs="Arial"/>
                <w:lang w:eastAsia="zh-CN"/>
              </w:rPr>
              <w:t>External Examiner’s Signature:</w:t>
            </w:r>
          </w:p>
        </w:tc>
        <w:tc>
          <w:tcPr>
            <w:tcW w:w="3645" w:type="dxa"/>
            <w:gridSpan w:val="3"/>
          </w:tcPr>
          <w:p w:rsidR="00232AF4" w:rsidRPr="00232AF4" w:rsidRDefault="00232AF4" w:rsidP="00232AF4">
            <w:pPr>
              <w:spacing w:after="0" w:line="240" w:lineRule="auto"/>
              <w:rPr>
                <w:rFonts w:ascii="Arial" w:eastAsia="SimSun" w:hAnsi="Arial" w:cs="Arial"/>
                <w:lang w:eastAsia="zh-CN"/>
              </w:rPr>
            </w:pPr>
            <w:r w:rsidRPr="00232AF4">
              <w:rPr>
                <w:rFonts w:ascii="Arial" w:eastAsia="SimSun" w:hAnsi="Arial" w:cs="Arial"/>
                <w:lang w:eastAsia="zh-CN"/>
              </w:rPr>
              <w:t>Date:</w:t>
            </w:r>
          </w:p>
        </w:tc>
      </w:tr>
    </w:tbl>
    <w:p w:rsidR="00E87D28" w:rsidRDefault="00E87D28" w:rsidP="00E87D28">
      <w:pPr>
        <w:spacing w:line="480" w:lineRule="auto"/>
        <w:rPr>
          <w:b/>
          <w:u w:val="single"/>
        </w:rPr>
      </w:pPr>
    </w:p>
    <w:p w:rsidR="00305D7F" w:rsidRPr="00E87D28" w:rsidRDefault="00232AF4" w:rsidP="00E87D28">
      <w:pPr>
        <w:spacing w:line="480" w:lineRule="auto"/>
        <w:ind w:firstLine="720"/>
        <w:jc w:val="center"/>
        <w:rPr>
          <w:b/>
          <w:sz w:val="24"/>
          <w:szCs w:val="24"/>
          <w:u w:val="single"/>
        </w:rPr>
      </w:pPr>
      <w:r w:rsidRPr="00E87D28">
        <w:rPr>
          <w:b/>
          <w:sz w:val="24"/>
          <w:szCs w:val="24"/>
          <w:u w:val="single"/>
        </w:rPr>
        <w:lastRenderedPageBreak/>
        <w:br/>
      </w:r>
      <w:r w:rsidR="007D55A2" w:rsidRPr="00E87D28">
        <w:rPr>
          <w:b/>
          <w:sz w:val="24"/>
          <w:szCs w:val="24"/>
          <w:u w:val="single"/>
        </w:rPr>
        <w:t>The role of the Akitu festival as a religious and political device</w:t>
      </w:r>
    </w:p>
    <w:p w:rsidR="009C4AEA" w:rsidRPr="00E87D28" w:rsidRDefault="00F970DA" w:rsidP="00E87D28">
      <w:pPr>
        <w:spacing w:line="480" w:lineRule="auto"/>
        <w:rPr>
          <w:sz w:val="24"/>
          <w:szCs w:val="24"/>
        </w:rPr>
      </w:pPr>
      <w:r w:rsidRPr="00E87D28">
        <w:rPr>
          <w:sz w:val="24"/>
          <w:szCs w:val="24"/>
        </w:rPr>
        <w:t xml:space="preserve">The </w:t>
      </w:r>
      <w:r w:rsidRPr="00E87D28">
        <w:rPr>
          <w:i/>
          <w:sz w:val="24"/>
          <w:szCs w:val="24"/>
        </w:rPr>
        <w:t>Akitu</w:t>
      </w:r>
      <w:r w:rsidRPr="00E87D28">
        <w:rPr>
          <w:sz w:val="24"/>
          <w:szCs w:val="24"/>
        </w:rPr>
        <w:t xml:space="preserve"> festival practiced in Babylonia, also known as the Babylonian New Year festival, is one of the world’s oldest known recorded religious celebrations and has been observed for several millennia throughout Mesopotamia.</w:t>
      </w:r>
      <w:r w:rsidR="00E570AA" w:rsidRPr="00E87D28">
        <w:rPr>
          <w:sz w:val="24"/>
          <w:szCs w:val="24"/>
        </w:rPr>
        <w:t xml:space="preserve"> Many of the theories we understand of Near Eastern religions and rituals have advanced as a result of what has been established about the celebration, however </w:t>
      </w:r>
      <w:r w:rsidR="000801D3" w:rsidRPr="00E87D28">
        <w:rPr>
          <w:sz w:val="24"/>
          <w:szCs w:val="24"/>
        </w:rPr>
        <w:t>its</w:t>
      </w:r>
      <w:r w:rsidR="00E570AA" w:rsidRPr="00E87D28">
        <w:rPr>
          <w:sz w:val="24"/>
          <w:szCs w:val="24"/>
        </w:rPr>
        <w:t xml:space="preserve"> true purpose is still widely contended between historians. A general consensus followed by a variety of scholars suggests the festival is a ritual of </w:t>
      </w:r>
      <w:r w:rsidR="00017F90" w:rsidRPr="00E87D28">
        <w:rPr>
          <w:sz w:val="24"/>
          <w:szCs w:val="24"/>
        </w:rPr>
        <w:t xml:space="preserve">archaic cosmogonic ideology focused on chaos and order. Critiques of the older consensus have led to the suggestion that the festival </w:t>
      </w:r>
      <w:r w:rsidR="00BE5C4A" w:rsidRPr="00E87D28">
        <w:rPr>
          <w:sz w:val="24"/>
          <w:szCs w:val="24"/>
        </w:rPr>
        <w:t>indicates</w:t>
      </w:r>
      <w:r w:rsidR="00017F90" w:rsidRPr="00E87D28">
        <w:rPr>
          <w:sz w:val="24"/>
          <w:szCs w:val="24"/>
        </w:rPr>
        <w:t>, instead, the reaction to foreign domination and legitimacy manifested as nationalistic propaganda</w:t>
      </w:r>
      <w:r w:rsidR="00301C0D" w:rsidRPr="00E87D28">
        <w:rPr>
          <w:rStyle w:val="FootnoteReference"/>
          <w:sz w:val="24"/>
          <w:szCs w:val="24"/>
        </w:rPr>
        <w:footnoteReference w:id="1"/>
      </w:r>
      <w:r w:rsidR="00017F90" w:rsidRPr="00E87D28">
        <w:rPr>
          <w:sz w:val="24"/>
          <w:szCs w:val="24"/>
        </w:rPr>
        <w:t xml:space="preserve">. </w:t>
      </w:r>
      <w:r w:rsidR="001C7AC8" w:rsidRPr="00E87D28">
        <w:rPr>
          <w:sz w:val="24"/>
          <w:szCs w:val="24"/>
        </w:rPr>
        <w:t>An examination into the activities of the festival, its rites, the deities observed and the utilisation of the event by the S</w:t>
      </w:r>
      <w:r w:rsidR="00F956CA" w:rsidRPr="00E87D28">
        <w:rPr>
          <w:sz w:val="24"/>
          <w:szCs w:val="24"/>
        </w:rPr>
        <w:t>eleucids royals will provide</w:t>
      </w:r>
      <w:r w:rsidR="001C7AC8" w:rsidRPr="00E87D28">
        <w:rPr>
          <w:sz w:val="24"/>
          <w:szCs w:val="24"/>
        </w:rPr>
        <w:t xml:space="preserve"> justification </w:t>
      </w:r>
      <w:r w:rsidR="006526DD" w:rsidRPr="00E87D28">
        <w:rPr>
          <w:sz w:val="24"/>
          <w:szCs w:val="24"/>
        </w:rPr>
        <w:t>for its function; that being t</w:t>
      </w:r>
      <w:r w:rsidR="00F956CA" w:rsidRPr="00E87D28">
        <w:rPr>
          <w:sz w:val="24"/>
          <w:szCs w:val="24"/>
        </w:rPr>
        <w:t>he</w:t>
      </w:r>
      <w:r w:rsidR="001C7AC8" w:rsidRPr="00E87D28">
        <w:rPr>
          <w:sz w:val="24"/>
          <w:szCs w:val="24"/>
        </w:rPr>
        <w:t xml:space="preserve"> </w:t>
      </w:r>
      <w:r w:rsidR="001C7AC8" w:rsidRPr="00E87D28">
        <w:rPr>
          <w:i/>
          <w:sz w:val="24"/>
          <w:szCs w:val="24"/>
        </w:rPr>
        <w:t xml:space="preserve">Akitu </w:t>
      </w:r>
      <w:r w:rsidR="00F956CA" w:rsidRPr="00E87D28">
        <w:rPr>
          <w:sz w:val="24"/>
          <w:szCs w:val="24"/>
        </w:rPr>
        <w:t>i</w:t>
      </w:r>
      <w:r w:rsidR="001C7AC8" w:rsidRPr="00E87D28">
        <w:rPr>
          <w:sz w:val="24"/>
          <w:szCs w:val="24"/>
        </w:rPr>
        <w:t>s an integrated device</w:t>
      </w:r>
      <w:r w:rsidR="00F956CA" w:rsidRPr="00E87D28">
        <w:rPr>
          <w:sz w:val="24"/>
          <w:szCs w:val="24"/>
        </w:rPr>
        <w:t xml:space="preserve"> that</w:t>
      </w:r>
      <w:r w:rsidR="001C7AC8" w:rsidRPr="00E87D28">
        <w:rPr>
          <w:sz w:val="24"/>
          <w:szCs w:val="24"/>
        </w:rPr>
        <w:t xml:space="preserve"> </w:t>
      </w:r>
      <w:r w:rsidR="00F956CA" w:rsidRPr="00E87D28">
        <w:rPr>
          <w:sz w:val="24"/>
          <w:szCs w:val="24"/>
        </w:rPr>
        <w:t>signifies</w:t>
      </w:r>
      <w:r w:rsidR="001C7AC8" w:rsidRPr="00E87D28">
        <w:rPr>
          <w:sz w:val="24"/>
          <w:szCs w:val="24"/>
        </w:rPr>
        <w:t xml:space="preserve"> both a religious and political role</w:t>
      </w:r>
      <w:r w:rsidR="006526DD" w:rsidRPr="00E87D28">
        <w:rPr>
          <w:sz w:val="24"/>
          <w:szCs w:val="24"/>
        </w:rPr>
        <w:t>.</w:t>
      </w:r>
      <w:r w:rsidR="001C7AC8" w:rsidRPr="00E87D28">
        <w:rPr>
          <w:sz w:val="24"/>
          <w:szCs w:val="24"/>
        </w:rPr>
        <w:t xml:space="preserve"> </w:t>
      </w:r>
      <w:r w:rsidR="006526DD" w:rsidRPr="00E87D28">
        <w:rPr>
          <w:sz w:val="24"/>
          <w:szCs w:val="24"/>
        </w:rPr>
        <w:t>As religion and politics were so often associated together within the Mesopotamian region this is unsurprising, as is the employment</w:t>
      </w:r>
      <w:r w:rsidR="001C7AC8" w:rsidRPr="00E87D28">
        <w:rPr>
          <w:sz w:val="24"/>
          <w:szCs w:val="24"/>
        </w:rPr>
        <w:t xml:space="preserve"> </w:t>
      </w:r>
      <w:r w:rsidR="006526DD" w:rsidRPr="00E87D28">
        <w:rPr>
          <w:sz w:val="24"/>
          <w:szCs w:val="24"/>
        </w:rPr>
        <w:t xml:space="preserve">of this specific festival </w:t>
      </w:r>
      <w:r w:rsidR="001C7AC8" w:rsidRPr="00E87D28">
        <w:rPr>
          <w:sz w:val="24"/>
          <w:szCs w:val="24"/>
        </w:rPr>
        <w:t xml:space="preserve">by the </w:t>
      </w:r>
      <w:r w:rsidR="006526DD" w:rsidRPr="00E87D28">
        <w:rPr>
          <w:sz w:val="24"/>
          <w:szCs w:val="24"/>
        </w:rPr>
        <w:t xml:space="preserve">Seleucid </w:t>
      </w:r>
      <w:r w:rsidR="001C7AC8" w:rsidRPr="00E87D28">
        <w:rPr>
          <w:sz w:val="24"/>
          <w:szCs w:val="24"/>
        </w:rPr>
        <w:t xml:space="preserve">monarchy to promote </w:t>
      </w:r>
      <w:r w:rsidR="00F956CA" w:rsidRPr="00E87D28">
        <w:rPr>
          <w:sz w:val="24"/>
          <w:szCs w:val="24"/>
        </w:rPr>
        <w:t>and legitimis</w:t>
      </w:r>
      <w:r w:rsidR="006526DD" w:rsidRPr="00E87D28">
        <w:rPr>
          <w:sz w:val="24"/>
          <w:szCs w:val="24"/>
        </w:rPr>
        <w:t xml:space="preserve">e their administration. </w:t>
      </w:r>
    </w:p>
    <w:p w:rsidR="008769C8" w:rsidRPr="00E87D28" w:rsidRDefault="008769C8" w:rsidP="00E87D28">
      <w:pPr>
        <w:spacing w:line="480" w:lineRule="auto"/>
        <w:rPr>
          <w:sz w:val="24"/>
          <w:szCs w:val="24"/>
          <w:u w:val="single"/>
        </w:rPr>
      </w:pPr>
      <w:r w:rsidRPr="00E87D28">
        <w:rPr>
          <w:sz w:val="24"/>
          <w:szCs w:val="24"/>
          <w:u w:val="single"/>
        </w:rPr>
        <w:t>The festival</w:t>
      </w:r>
    </w:p>
    <w:p w:rsidR="00912D05" w:rsidRPr="00E87D28" w:rsidRDefault="008769C8" w:rsidP="00E87D28">
      <w:pPr>
        <w:spacing w:line="480" w:lineRule="auto"/>
        <w:rPr>
          <w:i/>
          <w:sz w:val="24"/>
          <w:szCs w:val="24"/>
        </w:rPr>
      </w:pPr>
      <w:r w:rsidRPr="00E87D28">
        <w:rPr>
          <w:sz w:val="24"/>
          <w:szCs w:val="24"/>
        </w:rPr>
        <w:t xml:space="preserve">An important note to consider when discussing the </w:t>
      </w:r>
      <w:r w:rsidRPr="00E87D28">
        <w:rPr>
          <w:i/>
          <w:sz w:val="24"/>
          <w:szCs w:val="24"/>
        </w:rPr>
        <w:t>Akitu</w:t>
      </w:r>
      <w:r w:rsidRPr="00E87D28">
        <w:rPr>
          <w:sz w:val="24"/>
          <w:szCs w:val="24"/>
        </w:rPr>
        <w:t xml:space="preserve"> festival is the specificity of the </w:t>
      </w:r>
      <w:r w:rsidR="00BE5C4A" w:rsidRPr="00E87D28">
        <w:rPr>
          <w:sz w:val="24"/>
          <w:szCs w:val="24"/>
        </w:rPr>
        <w:t xml:space="preserve">event </w:t>
      </w:r>
      <w:r w:rsidRPr="00E87D28">
        <w:rPr>
          <w:sz w:val="24"/>
          <w:szCs w:val="24"/>
        </w:rPr>
        <w:t>we are dealing with. More shall be discussed regarding this later on, however, initially it is impor</w:t>
      </w:r>
      <w:r w:rsidR="002B288C" w:rsidRPr="00E87D28">
        <w:rPr>
          <w:sz w:val="24"/>
          <w:szCs w:val="24"/>
        </w:rPr>
        <w:t xml:space="preserve">tant to be aware that the festival is attested at several sites across Mesopotamia, all potentially with slight local variations, though the </w:t>
      </w:r>
      <w:r w:rsidR="002B288C" w:rsidRPr="00E87D28">
        <w:rPr>
          <w:i/>
          <w:sz w:val="24"/>
          <w:szCs w:val="24"/>
        </w:rPr>
        <w:t>Akitu</w:t>
      </w:r>
      <w:r w:rsidR="002B288C" w:rsidRPr="00E87D28">
        <w:rPr>
          <w:sz w:val="24"/>
          <w:szCs w:val="24"/>
        </w:rPr>
        <w:t xml:space="preserve"> referred to here is that of Babylon. </w:t>
      </w:r>
      <w:r w:rsidR="00BE5C4A" w:rsidRPr="00E87D28">
        <w:rPr>
          <w:sz w:val="24"/>
          <w:szCs w:val="24"/>
        </w:rPr>
        <w:t>The festivals origins traditionally run in line with the equinox calendar</w:t>
      </w:r>
      <w:r w:rsidR="008921E3" w:rsidRPr="00E87D28">
        <w:rPr>
          <w:sz w:val="24"/>
          <w:szCs w:val="24"/>
        </w:rPr>
        <w:t>. The equinox</w:t>
      </w:r>
      <w:r w:rsidR="002E7101" w:rsidRPr="00E87D28">
        <w:rPr>
          <w:sz w:val="24"/>
          <w:szCs w:val="24"/>
        </w:rPr>
        <w:t xml:space="preserve"> </w:t>
      </w:r>
      <w:r w:rsidR="002E7101" w:rsidRPr="00E87D28">
        <w:rPr>
          <w:sz w:val="24"/>
          <w:szCs w:val="24"/>
        </w:rPr>
        <w:lastRenderedPageBreak/>
        <w:t>symbolises a period of discord between the sun and the moon</w:t>
      </w:r>
      <w:r w:rsidR="002E7101" w:rsidRPr="00E87D28">
        <w:rPr>
          <w:rStyle w:val="FootnoteReference"/>
          <w:sz w:val="24"/>
          <w:szCs w:val="24"/>
        </w:rPr>
        <w:footnoteReference w:id="2"/>
      </w:r>
      <w:r w:rsidR="002007DF" w:rsidRPr="00E87D28">
        <w:rPr>
          <w:sz w:val="24"/>
          <w:szCs w:val="24"/>
        </w:rPr>
        <w:t xml:space="preserve">. Our Akitu was celebrated to coincide with the spring equinox in the month of </w:t>
      </w:r>
      <w:r w:rsidR="00460EB7" w:rsidRPr="00E87D28">
        <w:rPr>
          <w:sz w:val="24"/>
          <w:szCs w:val="24"/>
        </w:rPr>
        <w:t xml:space="preserve">Nisan (or </w:t>
      </w:r>
      <w:r w:rsidR="00460EB7" w:rsidRPr="00E87D28">
        <w:rPr>
          <w:i/>
          <w:sz w:val="24"/>
          <w:szCs w:val="24"/>
        </w:rPr>
        <w:t>Nissanu</w:t>
      </w:r>
      <w:r w:rsidR="00460EB7" w:rsidRPr="00E87D28">
        <w:rPr>
          <w:sz w:val="24"/>
          <w:szCs w:val="24"/>
        </w:rPr>
        <w:t>)</w:t>
      </w:r>
      <w:r w:rsidR="002007DF" w:rsidRPr="00E87D28">
        <w:rPr>
          <w:sz w:val="24"/>
          <w:szCs w:val="24"/>
        </w:rPr>
        <w:t>, modern day March/April, and the first month of the Babylonian calendar, hence why it is also known as the New Year festival.</w:t>
      </w:r>
      <w:r w:rsidR="003B467A" w:rsidRPr="00E87D28">
        <w:rPr>
          <w:sz w:val="24"/>
          <w:szCs w:val="24"/>
        </w:rPr>
        <w:t xml:space="preserve"> The duration of the festival lasted from the first to the twelfth of the month and the activities were predominantly split between two locatio</w:t>
      </w:r>
      <w:r w:rsidR="001364E4" w:rsidRPr="00E87D28">
        <w:rPr>
          <w:sz w:val="24"/>
          <w:szCs w:val="24"/>
        </w:rPr>
        <w:t xml:space="preserve">ns; the temple of </w:t>
      </w:r>
      <w:r w:rsidR="00E91C13" w:rsidRPr="00E87D28">
        <w:rPr>
          <w:sz w:val="24"/>
          <w:szCs w:val="24"/>
        </w:rPr>
        <w:t xml:space="preserve"> Marduk</w:t>
      </w:r>
      <w:r w:rsidR="003B467A" w:rsidRPr="00E87D28">
        <w:rPr>
          <w:sz w:val="24"/>
          <w:szCs w:val="24"/>
        </w:rPr>
        <w:t xml:space="preserve"> and the </w:t>
      </w:r>
      <w:r w:rsidR="003B467A" w:rsidRPr="00E87D28">
        <w:rPr>
          <w:i/>
          <w:sz w:val="24"/>
          <w:szCs w:val="24"/>
        </w:rPr>
        <w:t>‘Akitu’</w:t>
      </w:r>
      <w:r w:rsidR="003B467A" w:rsidRPr="00E87D28">
        <w:rPr>
          <w:sz w:val="24"/>
          <w:szCs w:val="24"/>
        </w:rPr>
        <w:t xml:space="preserve"> house situated outside the city walls</w:t>
      </w:r>
      <w:r w:rsidR="003B467A" w:rsidRPr="00E87D28">
        <w:rPr>
          <w:rStyle w:val="FootnoteReference"/>
          <w:sz w:val="24"/>
          <w:szCs w:val="24"/>
        </w:rPr>
        <w:footnoteReference w:id="3"/>
      </w:r>
      <w:r w:rsidR="003B467A" w:rsidRPr="00E87D28">
        <w:rPr>
          <w:sz w:val="24"/>
          <w:szCs w:val="24"/>
        </w:rPr>
        <w:t xml:space="preserve">. It was </w:t>
      </w:r>
      <w:r w:rsidR="00E91C13" w:rsidRPr="00E87D28">
        <w:rPr>
          <w:sz w:val="24"/>
          <w:szCs w:val="24"/>
        </w:rPr>
        <w:t xml:space="preserve">often the patron deity of the city in which the Akitu was taking place that would be central to the festival; </w:t>
      </w:r>
      <w:r w:rsidR="003B467A" w:rsidRPr="00E87D28">
        <w:rPr>
          <w:sz w:val="24"/>
          <w:szCs w:val="24"/>
        </w:rPr>
        <w:t xml:space="preserve">Marduk, the patron deity of </w:t>
      </w:r>
      <w:r w:rsidR="00BB1F2C" w:rsidRPr="00E87D28">
        <w:rPr>
          <w:sz w:val="24"/>
          <w:szCs w:val="24"/>
        </w:rPr>
        <w:t>B</w:t>
      </w:r>
      <w:r w:rsidR="004724D4" w:rsidRPr="00E87D28">
        <w:rPr>
          <w:sz w:val="24"/>
          <w:szCs w:val="24"/>
        </w:rPr>
        <w:t>abylon, often referred to as ‘Bē</w:t>
      </w:r>
      <w:r w:rsidR="00BB1F2C" w:rsidRPr="00E87D28">
        <w:rPr>
          <w:sz w:val="24"/>
          <w:szCs w:val="24"/>
        </w:rPr>
        <w:t>l’</w:t>
      </w:r>
      <w:r w:rsidR="00BB1F2C" w:rsidRPr="00E87D28">
        <w:rPr>
          <w:rStyle w:val="FootnoteReference"/>
          <w:sz w:val="24"/>
          <w:szCs w:val="24"/>
        </w:rPr>
        <w:footnoteReference w:id="4"/>
      </w:r>
      <w:r w:rsidR="00E91C13" w:rsidRPr="00E87D28">
        <w:rPr>
          <w:sz w:val="24"/>
          <w:szCs w:val="24"/>
        </w:rPr>
        <w:t>, and his son Nab</w:t>
      </w:r>
      <w:r w:rsidR="002D5D75" w:rsidRPr="00E87D28">
        <w:rPr>
          <w:sz w:val="24"/>
          <w:szCs w:val="24"/>
        </w:rPr>
        <w:t>ȗ</w:t>
      </w:r>
      <w:r w:rsidR="00E91C13" w:rsidRPr="00E87D28">
        <w:rPr>
          <w:sz w:val="24"/>
          <w:szCs w:val="24"/>
        </w:rPr>
        <w:t xml:space="preserve"> were worshipped in Babylon at the Esagila complex, even though Nab</w:t>
      </w:r>
      <w:r w:rsidR="002D5D75" w:rsidRPr="00E87D28">
        <w:rPr>
          <w:sz w:val="24"/>
          <w:szCs w:val="24"/>
        </w:rPr>
        <w:t>ȗ</w:t>
      </w:r>
      <w:r w:rsidR="00E91C13" w:rsidRPr="00E87D28">
        <w:rPr>
          <w:sz w:val="24"/>
          <w:szCs w:val="24"/>
        </w:rPr>
        <w:t xml:space="preserve"> was the patron deity of Borsippa. It is proposed by Cohen</w:t>
      </w:r>
      <w:r w:rsidR="00E91C13" w:rsidRPr="00E87D28">
        <w:rPr>
          <w:rStyle w:val="FootnoteReference"/>
          <w:sz w:val="24"/>
          <w:szCs w:val="24"/>
        </w:rPr>
        <w:footnoteReference w:id="5"/>
      </w:r>
      <w:r w:rsidR="00E91C13" w:rsidRPr="00E87D28">
        <w:rPr>
          <w:sz w:val="24"/>
          <w:szCs w:val="24"/>
        </w:rPr>
        <w:t xml:space="preserve"> that sometime in the first millennium BC in response to the growing interest in Nabu, that the two individual festivals were combined to form one Babylonian </w:t>
      </w:r>
      <w:r w:rsidR="00E91C13" w:rsidRPr="00E87D28">
        <w:rPr>
          <w:i/>
          <w:sz w:val="24"/>
          <w:szCs w:val="24"/>
        </w:rPr>
        <w:t xml:space="preserve">Akitu. </w:t>
      </w:r>
    </w:p>
    <w:p w:rsidR="00E77F7C" w:rsidRPr="00E87D28" w:rsidRDefault="00912D05" w:rsidP="00E87D28">
      <w:pPr>
        <w:spacing w:line="480" w:lineRule="auto"/>
        <w:rPr>
          <w:sz w:val="24"/>
          <w:szCs w:val="24"/>
        </w:rPr>
      </w:pPr>
      <w:r w:rsidRPr="00E87D28">
        <w:rPr>
          <w:sz w:val="24"/>
          <w:szCs w:val="24"/>
        </w:rPr>
        <w:t>The full reconstruction of the Babylonian</w:t>
      </w:r>
      <w:r w:rsidRPr="00E87D28">
        <w:rPr>
          <w:i/>
          <w:sz w:val="24"/>
          <w:szCs w:val="24"/>
        </w:rPr>
        <w:t xml:space="preserve"> Akitu </w:t>
      </w:r>
      <w:r w:rsidRPr="00E87D28">
        <w:rPr>
          <w:sz w:val="24"/>
          <w:szCs w:val="24"/>
        </w:rPr>
        <w:t xml:space="preserve">is challenging as the recorded evidence we do have for its description is incomplete, </w:t>
      </w:r>
      <w:r w:rsidR="00460EB7" w:rsidRPr="00E87D28">
        <w:rPr>
          <w:sz w:val="24"/>
          <w:szCs w:val="24"/>
        </w:rPr>
        <w:t>although</w:t>
      </w:r>
      <w:r w:rsidRPr="00E87D28">
        <w:rPr>
          <w:sz w:val="24"/>
          <w:szCs w:val="24"/>
        </w:rPr>
        <w:t xml:space="preserve"> we do have cuneiform tablets which preserve large quantities of the instructions given to the high priest in order to perform the festival from the period of Hellenistic Babylon dating to the Seleucid era. Again, it must be considered that the activities portrayed in these chronicles may be subject to local variation and should be viewed with that in mind.</w:t>
      </w:r>
      <w:r w:rsidR="00D86E16" w:rsidRPr="00E87D28">
        <w:rPr>
          <w:sz w:val="24"/>
          <w:szCs w:val="24"/>
        </w:rPr>
        <w:t xml:space="preserve"> </w:t>
      </w:r>
      <w:r w:rsidR="00460EB7" w:rsidRPr="00E87D28">
        <w:rPr>
          <w:sz w:val="24"/>
          <w:szCs w:val="24"/>
        </w:rPr>
        <w:t xml:space="preserve">What we do know of this festival, is that on the second and third day, the high priest recited prayers to Marduk, opening the temple gates </w:t>
      </w:r>
      <w:r w:rsidR="00F45F9D" w:rsidRPr="00E87D28">
        <w:rPr>
          <w:sz w:val="24"/>
          <w:szCs w:val="24"/>
        </w:rPr>
        <w:lastRenderedPageBreak/>
        <w:t xml:space="preserve">of Esagila </w:t>
      </w:r>
      <w:r w:rsidR="00460EB7" w:rsidRPr="00E87D28">
        <w:rPr>
          <w:sz w:val="24"/>
          <w:szCs w:val="24"/>
        </w:rPr>
        <w:t>and performing traditional rite</w:t>
      </w:r>
      <w:r w:rsidR="00D86E16" w:rsidRPr="00E87D28">
        <w:rPr>
          <w:sz w:val="24"/>
          <w:szCs w:val="24"/>
        </w:rPr>
        <w:t>s</w:t>
      </w:r>
      <w:r w:rsidR="00F45F9D" w:rsidRPr="00E87D28">
        <w:rPr>
          <w:sz w:val="24"/>
          <w:szCs w:val="24"/>
        </w:rPr>
        <w:t>. This opening of the festival symbolised that the new year had now begun</w:t>
      </w:r>
      <w:r w:rsidR="00460EB7" w:rsidRPr="00E87D28">
        <w:rPr>
          <w:sz w:val="24"/>
          <w:szCs w:val="24"/>
        </w:rPr>
        <w:t xml:space="preserve">. Further prayers were recited on the fourth day to Marduk, and </w:t>
      </w:r>
      <w:r w:rsidR="00D86E16" w:rsidRPr="00E87D28">
        <w:rPr>
          <w:sz w:val="24"/>
          <w:szCs w:val="24"/>
        </w:rPr>
        <w:t>on</w:t>
      </w:r>
      <w:r w:rsidR="00460EB7" w:rsidRPr="00E87D28">
        <w:rPr>
          <w:sz w:val="24"/>
          <w:szCs w:val="24"/>
        </w:rPr>
        <w:t xml:space="preserve"> this day they were accompanied by the reading of the </w:t>
      </w:r>
      <w:r w:rsidR="00460EB7" w:rsidRPr="00E87D28">
        <w:rPr>
          <w:i/>
          <w:sz w:val="24"/>
          <w:szCs w:val="24"/>
        </w:rPr>
        <w:t>Enuma Elis</w:t>
      </w:r>
      <w:r w:rsidR="00460EB7" w:rsidRPr="00E87D28">
        <w:rPr>
          <w:sz w:val="24"/>
          <w:szCs w:val="24"/>
        </w:rPr>
        <w:t>, ‘the creation myth’</w:t>
      </w:r>
      <w:r w:rsidR="00D86E16" w:rsidRPr="00E87D28">
        <w:rPr>
          <w:rStyle w:val="FootnoteReference"/>
          <w:sz w:val="24"/>
          <w:szCs w:val="24"/>
        </w:rPr>
        <w:footnoteReference w:id="6"/>
      </w:r>
      <w:r w:rsidR="00460EB7" w:rsidRPr="00E87D28">
        <w:rPr>
          <w:sz w:val="24"/>
          <w:szCs w:val="24"/>
        </w:rPr>
        <w:t xml:space="preserve">. </w:t>
      </w:r>
      <w:r w:rsidR="00D86E16" w:rsidRPr="00E87D28">
        <w:rPr>
          <w:sz w:val="24"/>
          <w:szCs w:val="24"/>
        </w:rPr>
        <w:t xml:space="preserve">Simultaneously, </w:t>
      </w:r>
      <w:r w:rsidR="00F45F9D" w:rsidRPr="00E87D28">
        <w:rPr>
          <w:sz w:val="24"/>
          <w:szCs w:val="24"/>
        </w:rPr>
        <w:t>the king would have travelled to the temple of Nab</w:t>
      </w:r>
      <w:r w:rsidR="002D5D75" w:rsidRPr="00E87D28">
        <w:rPr>
          <w:sz w:val="24"/>
          <w:szCs w:val="24"/>
        </w:rPr>
        <w:t>ȗ</w:t>
      </w:r>
      <w:r w:rsidR="00F45F9D" w:rsidRPr="00E87D28">
        <w:rPr>
          <w:sz w:val="24"/>
          <w:szCs w:val="24"/>
        </w:rPr>
        <w:t xml:space="preserve"> and then further downstream to Borsippa where he would have </w:t>
      </w:r>
      <w:r w:rsidR="004B0851" w:rsidRPr="00E87D28">
        <w:rPr>
          <w:sz w:val="24"/>
          <w:szCs w:val="24"/>
        </w:rPr>
        <w:t>lodged</w:t>
      </w:r>
      <w:r w:rsidR="00F45F9D" w:rsidRPr="00E87D28">
        <w:rPr>
          <w:sz w:val="24"/>
          <w:szCs w:val="24"/>
        </w:rPr>
        <w:t xml:space="preserve"> for the </w:t>
      </w:r>
      <w:r w:rsidR="007A1AA8" w:rsidRPr="00E87D28">
        <w:rPr>
          <w:sz w:val="24"/>
          <w:szCs w:val="24"/>
        </w:rPr>
        <w:t>night</w:t>
      </w:r>
      <w:r w:rsidR="00F45F9D" w:rsidRPr="00E87D28">
        <w:rPr>
          <w:sz w:val="24"/>
          <w:szCs w:val="24"/>
        </w:rPr>
        <w:t>.</w:t>
      </w:r>
      <w:r w:rsidR="005A3283" w:rsidRPr="00E87D28">
        <w:rPr>
          <w:sz w:val="24"/>
          <w:szCs w:val="24"/>
        </w:rPr>
        <w:t xml:space="preserve"> </w:t>
      </w:r>
      <w:r w:rsidR="005A3283" w:rsidRPr="00E87D28">
        <w:rPr>
          <w:sz w:val="24"/>
          <w:szCs w:val="24"/>
        </w:rPr>
        <w:br/>
      </w:r>
      <w:r w:rsidR="00460EB7" w:rsidRPr="00E87D28">
        <w:rPr>
          <w:sz w:val="24"/>
          <w:szCs w:val="24"/>
        </w:rPr>
        <w:t xml:space="preserve">5 Nisan </w:t>
      </w:r>
      <w:r w:rsidR="00497E11" w:rsidRPr="00E87D28">
        <w:rPr>
          <w:sz w:val="24"/>
          <w:szCs w:val="24"/>
        </w:rPr>
        <w:t>saw</w:t>
      </w:r>
      <w:r w:rsidR="005A3283" w:rsidRPr="00E87D28">
        <w:rPr>
          <w:sz w:val="24"/>
          <w:szCs w:val="24"/>
        </w:rPr>
        <w:t xml:space="preserve"> the return of the king from Borsippa to Babylon, and with him the statue of </w:t>
      </w:r>
      <w:r w:rsidR="00F05B6D" w:rsidRPr="00E87D28">
        <w:rPr>
          <w:sz w:val="24"/>
          <w:szCs w:val="24"/>
        </w:rPr>
        <w:t>the Borsippan patron deity</w:t>
      </w:r>
      <w:r w:rsidR="005A3283" w:rsidRPr="00E87D28">
        <w:rPr>
          <w:sz w:val="24"/>
          <w:szCs w:val="24"/>
        </w:rPr>
        <w:t>.</w:t>
      </w:r>
      <w:r w:rsidR="006D3227" w:rsidRPr="00E87D28">
        <w:rPr>
          <w:sz w:val="24"/>
          <w:szCs w:val="24"/>
        </w:rPr>
        <w:t xml:space="preserve"> At this point, the exorcist and the ritual slaughterer would have already completed a purification of the entire Esagila complex, including the temple of Marduk and the </w:t>
      </w:r>
      <w:r w:rsidR="00F05B6D" w:rsidRPr="00E87D28">
        <w:rPr>
          <w:sz w:val="24"/>
          <w:szCs w:val="24"/>
        </w:rPr>
        <w:t xml:space="preserve">Ezida </w:t>
      </w:r>
      <w:r w:rsidR="006D3227" w:rsidRPr="00E87D28">
        <w:rPr>
          <w:sz w:val="24"/>
          <w:szCs w:val="24"/>
        </w:rPr>
        <w:t>chapel. Upon the completion of the purification, they are to leave Babylon and not return as long as the statue of Nab</w:t>
      </w:r>
      <w:r w:rsidR="002D5D75" w:rsidRPr="00E87D28">
        <w:rPr>
          <w:sz w:val="24"/>
          <w:szCs w:val="24"/>
        </w:rPr>
        <w:t>ȗ</w:t>
      </w:r>
      <w:r w:rsidR="006D3227" w:rsidRPr="00E87D28">
        <w:rPr>
          <w:sz w:val="24"/>
          <w:szCs w:val="24"/>
        </w:rPr>
        <w:t xml:space="preserve"> remains within the </w:t>
      </w:r>
      <w:r w:rsidR="00F05B6D" w:rsidRPr="00E87D28">
        <w:rPr>
          <w:sz w:val="24"/>
          <w:szCs w:val="24"/>
        </w:rPr>
        <w:t>city walls</w:t>
      </w:r>
      <w:r w:rsidR="006D3227" w:rsidRPr="00E87D28">
        <w:rPr>
          <w:rStyle w:val="FootnoteReference"/>
          <w:sz w:val="24"/>
          <w:szCs w:val="24"/>
        </w:rPr>
        <w:footnoteReference w:id="7"/>
      </w:r>
      <w:r w:rsidR="006D3227" w:rsidRPr="00E87D28">
        <w:rPr>
          <w:sz w:val="24"/>
          <w:szCs w:val="24"/>
        </w:rPr>
        <w:t>. Immediately following this ritual, the king would proceed into the Esagila, and would now be subjected to one of the more highly debated activities in the festival</w:t>
      </w:r>
      <w:r w:rsidR="00E77F7C" w:rsidRPr="00E87D28">
        <w:rPr>
          <w:sz w:val="24"/>
          <w:szCs w:val="24"/>
        </w:rPr>
        <w:t>,</w:t>
      </w:r>
      <w:r w:rsidR="00F91D45" w:rsidRPr="00E87D28">
        <w:rPr>
          <w:sz w:val="24"/>
          <w:szCs w:val="24"/>
        </w:rPr>
        <w:t xml:space="preserve"> in which he is humiliated, </w:t>
      </w:r>
      <w:r w:rsidR="000421F0" w:rsidRPr="00E87D28">
        <w:rPr>
          <w:sz w:val="24"/>
          <w:szCs w:val="24"/>
        </w:rPr>
        <w:t xml:space="preserve">slapped in the face, </w:t>
      </w:r>
      <w:r w:rsidR="00F91D45" w:rsidRPr="00E87D28">
        <w:rPr>
          <w:sz w:val="24"/>
          <w:szCs w:val="24"/>
        </w:rPr>
        <w:t>stripped of his regalia</w:t>
      </w:r>
      <w:r w:rsidR="00E77F7C" w:rsidRPr="00E87D28">
        <w:rPr>
          <w:sz w:val="24"/>
          <w:szCs w:val="24"/>
        </w:rPr>
        <w:t xml:space="preserve"> and </w:t>
      </w:r>
      <w:r w:rsidR="00F91D45" w:rsidRPr="00E87D28">
        <w:rPr>
          <w:sz w:val="24"/>
          <w:szCs w:val="24"/>
        </w:rPr>
        <w:t xml:space="preserve">required to recite </w:t>
      </w:r>
      <w:r w:rsidR="00E77F7C" w:rsidRPr="00E87D28">
        <w:rPr>
          <w:sz w:val="24"/>
          <w:szCs w:val="24"/>
        </w:rPr>
        <w:t xml:space="preserve">the </w:t>
      </w:r>
      <w:r w:rsidR="006D3227" w:rsidRPr="00E87D28">
        <w:rPr>
          <w:sz w:val="24"/>
          <w:szCs w:val="24"/>
        </w:rPr>
        <w:t>negative</w:t>
      </w:r>
      <w:r w:rsidR="00E77F7C" w:rsidRPr="00E87D28">
        <w:rPr>
          <w:sz w:val="24"/>
          <w:szCs w:val="24"/>
        </w:rPr>
        <w:t xml:space="preserve"> confession below:</w:t>
      </w:r>
    </w:p>
    <w:p w:rsidR="00E77F7C" w:rsidRPr="00E87D28" w:rsidRDefault="00113904" w:rsidP="00E87D28">
      <w:pPr>
        <w:spacing w:line="480" w:lineRule="auto"/>
        <w:ind w:left="720"/>
        <w:rPr>
          <w:i/>
          <w:sz w:val="24"/>
          <w:szCs w:val="24"/>
        </w:rPr>
      </w:pPr>
      <w:r w:rsidRPr="00E87D28">
        <w:rPr>
          <w:i/>
          <w:sz w:val="24"/>
          <w:szCs w:val="24"/>
        </w:rPr>
        <w:t>‘</w:t>
      </w:r>
      <w:r w:rsidR="00E77F7C" w:rsidRPr="00E87D28">
        <w:rPr>
          <w:i/>
          <w:sz w:val="24"/>
          <w:szCs w:val="24"/>
        </w:rPr>
        <w:t>I have not sinned, Lord of all Lands! I have not neglected your divinity!</w:t>
      </w:r>
      <w:r w:rsidR="00E77F7C" w:rsidRPr="00E87D28">
        <w:rPr>
          <w:i/>
          <w:sz w:val="24"/>
          <w:szCs w:val="24"/>
        </w:rPr>
        <w:br/>
        <w:t>I have not caused the destruction of Babylon! I have not ordered its dissolution!</w:t>
      </w:r>
      <w:r w:rsidR="00E77F7C" w:rsidRPr="00E87D28">
        <w:rPr>
          <w:i/>
          <w:sz w:val="24"/>
          <w:szCs w:val="24"/>
        </w:rPr>
        <w:br/>
        <w:t>[I have not…} the Esagil! I have not forgotten its rituals!</w:t>
      </w:r>
      <w:r w:rsidR="00E77F7C" w:rsidRPr="00E87D28">
        <w:rPr>
          <w:i/>
          <w:sz w:val="24"/>
          <w:szCs w:val="24"/>
        </w:rPr>
        <w:br/>
        <w:t>I have not struck the cheek of those under my protection</w:t>
      </w:r>
      <w:r w:rsidR="00E77F7C" w:rsidRPr="00E87D28">
        <w:rPr>
          <w:i/>
          <w:sz w:val="24"/>
          <w:szCs w:val="24"/>
        </w:rPr>
        <w:br/>
        <w:t>… I have not belittled them!</w:t>
      </w:r>
      <w:r w:rsidR="00E77F7C" w:rsidRPr="00E87D28">
        <w:rPr>
          <w:i/>
          <w:sz w:val="24"/>
          <w:szCs w:val="24"/>
        </w:rPr>
        <w:br/>
        <w:t>[I have not …] the walls of Babylon! I have not destroyed its outer fortifications!</w:t>
      </w:r>
      <w:r w:rsidRPr="00E87D28">
        <w:rPr>
          <w:i/>
          <w:sz w:val="24"/>
          <w:szCs w:val="24"/>
        </w:rPr>
        <w:t>’</w:t>
      </w:r>
    </w:p>
    <w:p w:rsidR="00E77F7C" w:rsidRPr="00E87D28" w:rsidRDefault="00E77F7C" w:rsidP="00E87D28">
      <w:pPr>
        <w:spacing w:line="480" w:lineRule="auto"/>
        <w:rPr>
          <w:sz w:val="24"/>
          <w:szCs w:val="24"/>
        </w:rPr>
      </w:pPr>
      <w:r w:rsidRPr="00E87D28">
        <w:rPr>
          <w:sz w:val="24"/>
          <w:szCs w:val="24"/>
        </w:rPr>
        <w:t>The High priest</w:t>
      </w:r>
      <w:r w:rsidR="00F05B6D" w:rsidRPr="00E87D28">
        <w:rPr>
          <w:sz w:val="24"/>
          <w:szCs w:val="24"/>
        </w:rPr>
        <w:t xml:space="preserve"> would then recite in </w:t>
      </w:r>
      <w:r w:rsidR="00542F1A" w:rsidRPr="00E87D28">
        <w:rPr>
          <w:sz w:val="24"/>
          <w:szCs w:val="24"/>
        </w:rPr>
        <w:t>response</w:t>
      </w:r>
      <w:r w:rsidRPr="00E87D28">
        <w:rPr>
          <w:sz w:val="24"/>
          <w:szCs w:val="24"/>
        </w:rPr>
        <w:t>:</w:t>
      </w:r>
    </w:p>
    <w:p w:rsidR="000421F0" w:rsidRPr="00E87D28" w:rsidRDefault="00113904" w:rsidP="00E87D28">
      <w:pPr>
        <w:spacing w:line="480" w:lineRule="auto"/>
        <w:ind w:left="720"/>
        <w:rPr>
          <w:i/>
          <w:sz w:val="24"/>
          <w:szCs w:val="24"/>
        </w:rPr>
      </w:pPr>
      <w:r w:rsidRPr="00E87D28">
        <w:rPr>
          <w:i/>
          <w:sz w:val="24"/>
          <w:szCs w:val="24"/>
        </w:rPr>
        <w:lastRenderedPageBreak/>
        <w:t>‘</w:t>
      </w:r>
      <w:r w:rsidR="00E77F7C" w:rsidRPr="00E87D28">
        <w:rPr>
          <w:i/>
          <w:sz w:val="24"/>
          <w:szCs w:val="24"/>
        </w:rPr>
        <w:t>[…]</w:t>
      </w:r>
      <w:r w:rsidR="00E77F7C" w:rsidRPr="00E87D28">
        <w:rPr>
          <w:i/>
          <w:sz w:val="24"/>
          <w:szCs w:val="24"/>
        </w:rPr>
        <w:br/>
        <w:t>Have no fear …</w:t>
      </w:r>
      <w:r w:rsidR="004724D4" w:rsidRPr="00E87D28">
        <w:rPr>
          <w:i/>
          <w:sz w:val="24"/>
          <w:szCs w:val="24"/>
        </w:rPr>
        <w:br/>
      </w:r>
      <w:r w:rsidR="00E77F7C" w:rsidRPr="00E87D28">
        <w:rPr>
          <w:i/>
          <w:sz w:val="24"/>
          <w:szCs w:val="24"/>
        </w:rPr>
        <w:t>…</w:t>
      </w:r>
      <w:r w:rsidR="004724D4" w:rsidRPr="00E87D28">
        <w:rPr>
          <w:i/>
          <w:sz w:val="24"/>
          <w:szCs w:val="24"/>
        </w:rPr>
        <w:t xml:space="preserve"> which Bē</w:t>
      </w:r>
      <w:r w:rsidR="00E77F7C" w:rsidRPr="00E87D28">
        <w:rPr>
          <w:i/>
          <w:sz w:val="24"/>
          <w:szCs w:val="24"/>
        </w:rPr>
        <w:t xml:space="preserve">l </w:t>
      </w:r>
      <w:r w:rsidR="004724D4" w:rsidRPr="00E87D28">
        <w:rPr>
          <w:i/>
          <w:sz w:val="24"/>
          <w:szCs w:val="24"/>
        </w:rPr>
        <w:t xml:space="preserve">has uttered … </w:t>
      </w:r>
      <w:r w:rsidR="004724D4" w:rsidRPr="00E87D28">
        <w:rPr>
          <w:i/>
          <w:sz w:val="24"/>
          <w:szCs w:val="24"/>
        </w:rPr>
        <w:br/>
        <w:t>Bēl [listens to] your prayer, …</w:t>
      </w:r>
      <w:r w:rsidR="004724D4" w:rsidRPr="00E87D28">
        <w:rPr>
          <w:i/>
          <w:sz w:val="24"/>
          <w:szCs w:val="24"/>
        </w:rPr>
        <w:br/>
        <w:t xml:space="preserve">He will glorify your dominion, … </w:t>
      </w:r>
      <w:r w:rsidR="004724D4" w:rsidRPr="00E87D28">
        <w:rPr>
          <w:i/>
          <w:sz w:val="24"/>
          <w:szCs w:val="24"/>
        </w:rPr>
        <w:br/>
        <w:t>He will exalt your kingship, …</w:t>
      </w:r>
      <w:r w:rsidR="004724D4" w:rsidRPr="00E87D28">
        <w:rPr>
          <w:i/>
          <w:sz w:val="24"/>
          <w:szCs w:val="24"/>
        </w:rPr>
        <w:br/>
        <w:t>On the day of the eŝeŝ</w:t>
      </w:r>
      <w:r w:rsidR="00B55A66" w:rsidRPr="00E87D28">
        <w:rPr>
          <w:i/>
          <w:sz w:val="24"/>
          <w:szCs w:val="24"/>
        </w:rPr>
        <w:t>- festival …</w:t>
      </w:r>
      <w:r w:rsidR="00B55A66" w:rsidRPr="00E87D28">
        <w:rPr>
          <w:i/>
          <w:sz w:val="24"/>
          <w:szCs w:val="24"/>
        </w:rPr>
        <w:br/>
        <w:t>Cleanse your hands at the Opening-of-the-Door, …</w:t>
      </w:r>
      <w:r w:rsidR="00B55A66" w:rsidRPr="00E87D28">
        <w:rPr>
          <w:i/>
          <w:sz w:val="24"/>
          <w:szCs w:val="24"/>
        </w:rPr>
        <w:br/>
        <w:t>Day and Night ,,,</w:t>
      </w:r>
      <w:r w:rsidR="00B55A66" w:rsidRPr="00E87D28">
        <w:rPr>
          <w:i/>
          <w:sz w:val="24"/>
          <w:szCs w:val="24"/>
        </w:rPr>
        <w:br/>
        <w:t>He, whose city is Babylon, …</w:t>
      </w:r>
      <w:r w:rsidR="00B55A66" w:rsidRPr="00E87D28">
        <w:rPr>
          <w:i/>
          <w:sz w:val="24"/>
          <w:szCs w:val="24"/>
        </w:rPr>
        <w:br/>
        <w:t>Whose temple is the Esagil, …</w:t>
      </w:r>
      <w:r w:rsidR="00B55A66" w:rsidRPr="00E87D28">
        <w:rPr>
          <w:i/>
          <w:sz w:val="24"/>
          <w:szCs w:val="24"/>
        </w:rPr>
        <w:br/>
        <w:t>the citizens of Babylon, those under his protection, …</w:t>
      </w:r>
      <w:r w:rsidR="00B55A66" w:rsidRPr="00E87D28">
        <w:rPr>
          <w:i/>
          <w:sz w:val="24"/>
          <w:szCs w:val="24"/>
        </w:rPr>
        <w:br/>
        <w:t>Bēl will bless you … forever!</w:t>
      </w:r>
      <w:r w:rsidR="00B55A66" w:rsidRPr="00E87D28">
        <w:rPr>
          <w:i/>
          <w:sz w:val="24"/>
          <w:szCs w:val="24"/>
        </w:rPr>
        <w:br/>
        <w:t>He will destroy your enemy, smite your adversary!</w:t>
      </w:r>
      <w:r w:rsidRPr="00E87D28">
        <w:rPr>
          <w:i/>
          <w:sz w:val="24"/>
          <w:szCs w:val="24"/>
        </w:rPr>
        <w:t>’</w:t>
      </w:r>
      <w:r w:rsidR="00B55A66" w:rsidRPr="00E87D28">
        <w:rPr>
          <w:rStyle w:val="FootnoteReference"/>
          <w:i/>
          <w:sz w:val="24"/>
          <w:szCs w:val="24"/>
        </w:rPr>
        <w:footnoteReference w:id="8"/>
      </w:r>
    </w:p>
    <w:p w:rsidR="002D5D75" w:rsidRPr="00E87D28" w:rsidRDefault="00F91D45" w:rsidP="00E87D28">
      <w:pPr>
        <w:spacing w:line="480" w:lineRule="auto"/>
        <w:rPr>
          <w:sz w:val="24"/>
          <w:szCs w:val="24"/>
        </w:rPr>
      </w:pPr>
      <w:r w:rsidRPr="00E87D28">
        <w:rPr>
          <w:sz w:val="24"/>
          <w:szCs w:val="24"/>
        </w:rPr>
        <w:t>Following the priests reply to the confession, the king has his regalia returned</w:t>
      </w:r>
      <w:r w:rsidR="000421F0" w:rsidRPr="00E87D28">
        <w:rPr>
          <w:sz w:val="24"/>
          <w:szCs w:val="24"/>
        </w:rPr>
        <w:t xml:space="preserve"> and is slapped in the face once more. </w:t>
      </w:r>
      <w:r w:rsidR="00F05B6D" w:rsidRPr="00E87D28">
        <w:rPr>
          <w:sz w:val="24"/>
          <w:szCs w:val="24"/>
        </w:rPr>
        <w:t>The sixth day involves</w:t>
      </w:r>
      <w:r w:rsidR="002D5D75" w:rsidRPr="00E87D28">
        <w:rPr>
          <w:sz w:val="24"/>
          <w:szCs w:val="24"/>
        </w:rPr>
        <w:t xml:space="preserve"> the destruction of two golden figures</w:t>
      </w:r>
      <w:r w:rsidR="000801D3" w:rsidRPr="00E87D28">
        <w:rPr>
          <w:sz w:val="24"/>
          <w:szCs w:val="24"/>
        </w:rPr>
        <w:t xml:space="preserve"> by or </w:t>
      </w:r>
      <w:r w:rsidR="00B1480D" w:rsidRPr="00E87D28">
        <w:rPr>
          <w:sz w:val="24"/>
          <w:szCs w:val="24"/>
        </w:rPr>
        <w:t>for Nabȗ</w:t>
      </w:r>
      <w:r w:rsidR="002D5D75" w:rsidRPr="00E87D28">
        <w:rPr>
          <w:sz w:val="24"/>
          <w:szCs w:val="24"/>
        </w:rPr>
        <w:t>, created by craftsmen on the third day, both of which held an item in their left hand, wit</w:t>
      </w:r>
      <w:r w:rsidR="00F05B6D" w:rsidRPr="00E87D28">
        <w:rPr>
          <w:sz w:val="24"/>
          <w:szCs w:val="24"/>
        </w:rPr>
        <w:t>h their right hand raised to him</w:t>
      </w:r>
      <w:r w:rsidR="002D5D75" w:rsidRPr="00E87D28">
        <w:rPr>
          <w:sz w:val="24"/>
          <w:szCs w:val="24"/>
        </w:rPr>
        <w:t xml:space="preserve">; one being a snake of cedar, and the other a scorpion of tamarisk. Though little is known about the sixth day and the destruction of these figures, it may represent the defeat of enemies by Nabȗ, yet the purpose behind this is unclear. </w:t>
      </w:r>
      <w:r w:rsidR="00DA1BE1" w:rsidRPr="00E87D28">
        <w:rPr>
          <w:sz w:val="24"/>
          <w:szCs w:val="24"/>
        </w:rPr>
        <w:t>Nabȗ</w:t>
      </w:r>
      <w:r w:rsidR="00B1480D" w:rsidRPr="00E87D28">
        <w:rPr>
          <w:sz w:val="24"/>
          <w:szCs w:val="24"/>
        </w:rPr>
        <w:t xml:space="preserve"> then travels to Marduk and over the next two days they are joined by more gods</w:t>
      </w:r>
      <w:r w:rsidR="00F05B6D" w:rsidRPr="00E87D28">
        <w:rPr>
          <w:sz w:val="24"/>
          <w:szCs w:val="24"/>
        </w:rPr>
        <w:t xml:space="preserve"> as they makes their way to</w:t>
      </w:r>
      <w:r w:rsidR="00B1480D" w:rsidRPr="00E87D28">
        <w:rPr>
          <w:sz w:val="24"/>
          <w:szCs w:val="24"/>
        </w:rPr>
        <w:t xml:space="preserve"> Esagila</w:t>
      </w:r>
      <w:r w:rsidR="00F05B6D" w:rsidRPr="00E87D28">
        <w:rPr>
          <w:sz w:val="24"/>
          <w:szCs w:val="24"/>
        </w:rPr>
        <w:t xml:space="preserve"> in preparation that</w:t>
      </w:r>
      <w:r w:rsidR="00B1480D" w:rsidRPr="00E87D28">
        <w:rPr>
          <w:sz w:val="24"/>
          <w:szCs w:val="24"/>
        </w:rPr>
        <w:t xml:space="preserve"> they would be cleaned and receive new dress </w:t>
      </w:r>
      <w:r w:rsidR="00B1480D" w:rsidRPr="00E87D28">
        <w:rPr>
          <w:sz w:val="24"/>
          <w:szCs w:val="24"/>
        </w:rPr>
        <w:lastRenderedPageBreak/>
        <w:t>before being brought before the Babylonian people on 8 Nisan</w:t>
      </w:r>
      <w:r w:rsidR="004E5E6A" w:rsidRPr="00E87D28">
        <w:rPr>
          <w:rStyle w:val="FootnoteReference"/>
          <w:sz w:val="24"/>
          <w:szCs w:val="24"/>
        </w:rPr>
        <w:footnoteReference w:id="9"/>
      </w:r>
      <w:r w:rsidR="00B1480D" w:rsidRPr="00E87D28">
        <w:rPr>
          <w:sz w:val="24"/>
          <w:szCs w:val="24"/>
        </w:rPr>
        <w:t>. Marduk was offered water by the high priest, sprinkling it also on the king and the people, after which the king took Marduk</w:t>
      </w:r>
      <w:r w:rsidR="00C9588A" w:rsidRPr="00E87D28">
        <w:rPr>
          <w:sz w:val="24"/>
          <w:szCs w:val="24"/>
        </w:rPr>
        <w:t xml:space="preserve"> (Bēl)</w:t>
      </w:r>
      <w:r w:rsidR="00B1480D" w:rsidRPr="00E87D28">
        <w:rPr>
          <w:sz w:val="24"/>
          <w:szCs w:val="24"/>
        </w:rPr>
        <w:t xml:space="preserve"> by the hand and led him, enthroned him, and then took him to the shrine of destinies. It is here that Marduk is honoured and the policy for the forthcoming year is announced generally and for the ruler</w:t>
      </w:r>
      <w:r w:rsidR="00C9588A" w:rsidRPr="00E87D28">
        <w:rPr>
          <w:sz w:val="24"/>
          <w:szCs w:val="24"/>
        </w:rPr>
        <w:t xml:space="preserve"> himself</w:t>
      </w:r>
      <w:r w:rsidR="00B1480D" w:rsidRPr="00E87D28">
        <w:rPr>
          <w:sz w:val="24"/>
          <w:szCs w:val="24"/>
        </w:rPr>
        <w:t xml:space="preserve">. </w:t>
      </w:r>
      <w:r w:rsidR="00C9588A" w:rsidRPr="00E87D28">
        <w:rPr>
          <w:sz w:val="24"/>
          <w:szCs w:val="24"/>
        </w:rPr>
        <w:t xml:space="preserve">The king took Marduk by the hand again on the ninth day for the city procession, then to the river and onward to the </w:t>
      </w:r>
      <w:r w:rsidR="00C9588A" w:rsidRPr="00E87D28">
        <w:rPr>
          <w:i/>
          <w:sz w:val="24"/>
          <w:szCs w:val="24"/>
        </w:rPr>
        <w:t>Akitu</w:t>
      </w:r>
      <w:r w:rsidR="00C9588A" w:rsidRPr="00E87D28">
        <w:rPr>
          <w:sz w:val="24"/>
          <w:szCs w:val="24"/>
        </w:rPr>
        <w:t xml:space="preserve"> house. It is unclear what happened within the house itself during days nine and ten, though suggestions included </w:t>
      </w:r>
      <w:r w:rsidR="0017482C" w:rsidRPr="00E87D28">
        <w:rPr>
          <w:sz w:val="24"/>
          <w:szCs w:val="24"/>
        </w:rPr>
        <w:t>sacrifices</w:t>
      </w:r>
      <w:r w:rsidR="00C9588A" w:rsidRPr="00E87D28">
        <w:rPr>
          <w:rStyle w:val="FootnoteReference"/>
          <w:sz w:val="24"/>
          <w:szCs w:val="24"/>
        </w:rPr>
        <w:footnoteReference w:id="10"/>
      </w:r>
      <w:r w:rsidR="0017482C" w:rsidRPr="00E87D28">
        <w:rPr>
          <w:sz w:val="24"/>
          <w:szCs w:val="24"/>
        </w:rPr>
        <w:t xml:space="preserve"> and</w:t>
      </w:r>
      <w:r w:rsidR="00C9588A" w:rsidRPr="00E87D28">
        <w:rPr>
          <w:sz w:val="24"/>
          <w:szCs w:val="24"/>
        </w:rPr>
        <w:t xml:space="preserve"> banquets</w:t>
      </w:r>
      <w:r w:rsidR="00C9588A" w:rsidRPr="00E87D28">
        <w:rPr>
          <w:rStyle w:val="FootnoteReference"/>
          <w:sz w:val="24"/>
          <w:szCs w:val="24"/>
        </w:rPr>
        <w:footnoteReference w:id="11"/>
      </w:r>
      <w:r w:rsidR="00576C15" w:rsidRPr="00E87D28">
        <w:rPr>
          <w:sz w:val="24"/>
          <w:szCs w:val="24"/>
        </w:rPr>
        <w:t>. Equally uncertain are the events of 11 Nisan, upon the gods return to Esagila. Cohen</w:t>
      </w:r>
      <w:r w:rsidR="00576C15" w:rsidRPr="00E87D28">
        <w:rPr>
          <w:rStyle w:val="FootnoteReference"/>
          <w:sz w:val="24"/>
          <w:szCs w:val="24"/>
        </w:rPr>
        <w:footnoteReference w:id="12"/>
      </w:r>
      <w:r w:rsidR="001A649D" w:rsidRPr="00E87D28">
        <w:rPr>
          <w:sz w:val="24"/>
          <w:szCs w:val="24"/>
        </w:rPr>
        <w:t xml:space="preserve"> discusses a number of ritual texts and calendars that elude to activities such as a sacred wedding and Marduk’s visit to the scared mound.</w:t>
      </w:r>
    </w:p>
    <w:p w:rsidR="001A636D" w:rsidRPr="00E87D28" w:rsidRDefault="001A636D" w:rsidP="00E87D28">
      <w:pPr>
        <w:spacing w:line="480" w:lineRule="auto"/>
        <w:rPr>
          <w:sz w:val="24"/>
          <w:szCs w:val="24"/>
          <w:u w:val="single"/>
        </w:rPr>
      </w:pPr>
      <w:r w:rsidRPr="00E87D28">
        <w:rPr>
          <w:sz w:val="24"/>
          <w:szCs w:val="24"/>
          <w:u w:val="single"/>
        </w:rPr>
        <w:t>Religious and Political Interpretations</w:t>
      </w:r>
    </w:p>
    <w:p w:rsidR="00F417E8" w:rsidRPr="00E87D28" w:rsidRDefault="00F05B6D" w:rsidP="00E87D28">
      <w:pPr>
        <w:spacing w:line="480" w:lineRule="auto"/>
        <w:rPr>
          <w:sz w:val="24"/>
          <w:szCs w:val="24"/>
        </w:rPr>
      </w:pPr>
      <w:r w:rsidRPr="00E87D28">
        <w:rPr>
          <w:sz w:val="24"/>
          <w:szCs w:val="24"/>
        </w:rPr>
        <w:t xml:space="preserve">The understanding of the activities and rituals involved within the festival is crucial in order to fully </w:t>
      </w:r>
      <w:r w:rsidR="00004188" w:rsidRPr="00E87D28">
        <w:rPr>
          <w:sz w:val="24"/>
          <w:szCs w:val="24"/>
        </w:rPr>
        <w:t>appreciate</w:t>
      </w:r>
      <w:r w:rsidRPr="00E87D28">
        <w:rPr>
          <w:sz w:val="24"/>
          <w:szCs w:val="24"/>
        </w:rPr>
        <w:t xml:space="preserve"> the different scholarly approaches to its function. As I have suggested there is an older consensus that is acknowledged by scholars including M. Eliade, H. Frankfort and W.G Lambert</w:t>
      </w:r>
      <w:r w:rsidR="000451EA" w:rsidRPr="00E87D28">
        <w:rPr>
          <w:rStyle w:val="FootnoteReference"/>
          <w:sz w:val="24"/>
          <w:szCs w:val="24"/>
        </w:rPr>
        <w:footnoteReference w:id="13"/>
      </w:r>
      <w:r w:rsidRPr="00E87D28">
        <w:rPr>
          <w:sz w:val="24"/>
          <w:szCs w:val="24"/>
        </w:rPr>
        <w:t xml:space="preserve"> to name a few, who advocate that the festival is a ritualistic </w:t>
      </w:r>
      <w:r w:rsidR="004843E1" w:rsidRPr="00E87D28">
        <w:rPr>
          <w:sz w:val="24"/>
          <w:szCs w:val="24"/>
        </w:rPr>
        <w:t>example of world renewal. They suggest that an intentional return and banishment of chaos will re-establish order within theology, politics and the cosmos</w:t>
      </w:r>
      <w:r w:rsidR="0056672A" w:rsidRPr="00E87D28">
        <w:rPr>
          <w:rStyle w:val="FootnoteReference"/>
          <w:sz w:val="24"/>
          <w:szCs w:val="24"/>
        </w:rPr>
        <w:footnoteReference w:id="14"/>
      </w:r>
      <w:r w:rsidR="004843E1" w:rsidRPr="00E87D28">
        <w:rPr>
          <w:sz w:val="24"/>
          <w:szCs w:val="24"/>
        </w:rPr>
        <w:t xml:space="preserve">. </w:t>
      </w:r>
      <w:r w:rsidR="0067221B" w:rsidRPr="00E87D28">
        <w:rPr>
          <w:sz w:val="24"/>
          <w:szCs w:val="24"/>
        </w:rPr>
        <w:t>Smith</w:t>
      </w:r>
      <w:r w:rsidR="0067221B" w:rsidRPr="00E87D28">
        <w:rPr>
          <w:rStyle w:val="FootnoteReference"/>
          <w:sz w:val="24"/>
          <w:szCs w:val="24"/>
        </w:rPr>
        <w:footnoteReference w:id="15"/>
      </w:r>
      <w:r w:rsidR="00F12679" w:rsidRPr="00E87D28">
        <w:rPr>
          <w:sz w:val="24"/>
          <w:szCs w:val="24"/>
        </w:rPr>
        <w:t xml:space="preserve">, however, rejects this idea that the </w:t>
      </w:r>
      <w:r w:rsidR="00F12679" w:rsidRPr="00E87D28">
        <w:rPr>
          <w:i/>
          <w:sz w:val="24"/>
          <w:szCs w:val="24"/>
        </w:rPr>
        <w:t xml:space="preserve">Akitu </w:t>
      </w:r>
      <w:r w:rsidR="00F12679" w:rsidRPr="00E87D28">
        <w:rPr>
          <w:sz w:val="24"/>
          <w:szCs w:val="24"/>
        </w:rPr>
        <w:t xml:space="preserve">represents a descent into chaos and challenges the older consensus, instead endorsing the prominent function as a ‘national-religious propaganda’ </w:t>
      </w:r>
      <w:r w:rsidR="00174B8A" w:rsidRPr="00E87D28">
        <w:rPr>
          <w:sz w:val="24"/>
          <w:szCs w:val="24"/>
        </w:rPr>
        <w:t xml:space="preserve">asserting the </w:t>
      </w:r>
      <w:r w:rsidR="00174B8A" w:rsidRPr="00E87D28">
        <w:rPr>
          <w:sz w:val="24"/>
          <w:szCs w:val="24"/>
        </w:rPr>
        <w:lastRenderedPageBreak/>
        <w:t>legitimacy of the Greek monarch that ruled Babylon. Considering the key arguments in both notions, evidences the inclusion of both a cosmogonic and political device within the role of the festival.</w:t>
      </w:r>
    </w:p>
    <w:p w:rsidR="00006EEF" w:rsidRPr="00E87D28" w:rsidRDefault="00004188" w:rsidP="00E87D28">
      <w:pPr>
        <w:spacing w:line="480" w:lineRule="auto"/>
        <w:rPr>
          <w:sz w:val="24"/>
          <w:szCs w:val="24"/>
        </w:rPr>
      </w:pPr>
      <w:r w:rsidRPr="00E87D28">
        <w:rPr>
          <w:sz w:val="24"/>
          <w:szCs w:val="24"/>
        </w:rPr>
        <w:t>The main challenges presented by Smith, towards the earlier views of the Babylonian festival can reasonably be dif</w:t>
      </w:r>
      <w:r w:rsidR="00622943" w:rsidRPr="00E87D28">
        <w:rPr>
          <w:sz w:val="24"/>
          <w:szCs w:val="24"/>
        </w:rPr>
        <w:t>ferentiated into three separate elements; context, specificity and the negative confession. The initial</w:t>
      </w:r>
      <w:r w:rsidR="009772A3" w:rsidRPr="00E87D28">
        <w:rPr>
          <w:sz w:val="24"/>
          <w:szCs w:val="24"/>
        </w:rPr>
        <w:t xml:space="preserve"> two</w:t>
      </w:r>
      <w:r w:rsidR="00622943" w:rsidRPr="00E87D28">
        <w:rPr>
          <w:sz w:val="24"/>
          <w:szCs w:val="24"/>
        </w:rPr>
        <w:t xml:space="preserve"> aspect</w:t>
      </w:r>
      <w:r w:rsidR="009772A3" w:rsidRPr="00E87D28">
        <w:rPr>
          <w:sz w:val="24"/>
          <w:szCs w:val="24"/>
        </w:rPr>
        <w:t>s</w:t>
      </w:r>
      <w:r w:rsidR="00622943" w:rsidRPr="00E87D28">
        <w:rPr>
          <w:sz w:val="24"/>
          <w:szCs w:val="24"/>
        </w:rPr>
        <w:t xml:space="preserve"> of his critique </w:t>
      </w:r>
      <w:r w:rsidR="009772A3" w:rsidRPr="00E87D28">
        <w:rPr>
          <w:sz w:val="24"/>
          <w:szCs w:val="24"/>
        </w:rPr>
        <w:t xml:space="preserve">can be treated together as they pose the same issue in our understanding of the key role of the festival. His first criticism </w:t>
      </w:r>
      <w:r w:rsidR="00622943" w:rsidRPr="00E87D28">
        <w:rPr>
          <w:sz w:val="24"/>
          <w:szCs w:val="24"/>
        </w:rPr>
        <w:t>is namely the dating of the cuneiform tablets</w:t>
      </w:r>
      <w:r w:rsidR="00800A38" w:rsidRPr="00E87D28">
        <w:rPr>
          <w:sz w:val="24"/>
          <w:szCs w:val="24"/>
        </w:rPr>
        <w:t xml:space="preserve"> utilised by the earlier views. The translation of the tablets published</w:t>
      </w:r>
      <w:r w:rsidR="00622943" w:rsidRPr="00E87D28">
        <w:rPr>
          <w:sz w:val="24"/>
          <w:szCs w:val="24"/>
        </w:rPr>
        <w:t xml:space="preserve"> by Thereau-Dangin</w:t>
      </w:r>
      <w:r w:rsidR="00800A38" w:rsidRPr="00E87D28">
        <w:rPr>
          <w:sz w:val="24"/>
          <w:szCs w:val="24"/>
        </w:rPr>
        <w:t xml:space="preserve"> and utilised by many in the understanding of the festivals program,</w:t>
      </w:r>
      <w:r w:rsidR="00622943" w:rsidRPr="00E87D28">
        <w:rPr>
          <w:sz w:val="24"/>
          <w:szCs w:val="24"/>
        </w:rPr>
        <w:t xml:space="preserve"> he argues</w:t>
      </w:r>
      <w:r w:rsidR="00800A38" w:rsidRPr="00E87D28">
        <w:rPr>
          <w:sz w:val="24"/>
          <w:szCs w:val="24"/>
        </w:rPr>
        <w:t>,</w:t>
      </w:r>
      <w:r w:rsidR="00622943" w:rsidRPr="00E87D28">
        <w:rPr>
          <w:sz w:val="24"/>
          <w:szCs w:val="24"/>
        </w:rPr>
        <w:t xml:space="preserve"> </w:t>
      </w:r>
      <w:r w:rsidR="005D62A3" w:rsidRPr="00E87D28">
        <w:rPr>
          <w:sz w:val="24"/>
          <w:szCs w:val="24"/>
        </w:rPr>
        <w:t>date from the Seleucid era. Therefore,</w:t>
      </w:r>
      <w:r w:rsidR="00622943" w:rsidRPr="00E87D28">
        <w:rPr>
          <w:sz w:val="24"/>
          <w:szCs w:val="24"/>
        </w:rPr>
        <w:t xml:space="preserve"> it would not be correct to assume that the version depicted in these tablets was identical to the generic function of the </w:t>
      </w:r>
      <w:r w:rsidR="00622943" w:rsidRPr="00E87D28">
        <w:rPr>
          <w:i/>
          <w:sz w:val="24"/>
          <w:szCs w:val="24"/>
        </w:rPr>
        <w:t>Akitu.</w:t>
      </w:r>
      <w:r w:rsidR="00937CDD" w:rsidRPr="00E87D28">
        <w:rPr>
          <w:sz w:val="24"/>
          <w:szCs w:val="24"/>
        </w:rPr>
        <w:t xml:space="preserve"> Secondly he emphasises the dubious nature of the data considered as a whole, stating that together with the Seleucid era tablets, evidence from differing time periods and locations</w:t>
      </w:r>
      <w:r w:rsidR="005F26CD" w:rsidRPr="00E87D28">
        <w:rPr>
          <w:sz w:val="24"/>
          <w:szCs w:val="24"/>
        </w:rPr>
        <w:t xml:space="preserve"> were considered</w:t>
      </w:r>
      <w:r w:rsidR="005F26CD" w:rsidRPr="00E87D28">
        <w:rPr>
          <w:rStyle w:val="FootnoteReference"/>
          <w:sz w:val="24"/>
          <w:szCs w:val="24"/>
        </w:rPr>
        <w:footnoteReference w:id="16"/>
      </w:r>
      <w:r w:rsidR="00937CDD" w:rsidRPr="00E87D28">
        <w:rPr>
          <w:sz w:val="24"/>
          <w:szCs w:val="24"/>
        </w:rPr>
        <w:t>. The tablets p</w:t>
      </w:r>
      <w:r w:rsidR="005F26CD" w:rsidRPr="00E87D28">
        <w:rPr>
          <w:sz w:val="24"/>
          <w:szCs w:val="24"/>
        </w:rPr>
        <w:t>rovide us with a distinct time frame,</w:t>
      </w:r>
      <w:r w:rsidR="00937CDD" w:rsidRPr="00E87D28">
        <w:rPr>
          <w:sz w:val="24"/>
          <w:szCs w:val="24"/>
        </w:rPr>
        <w:t xml:space="preserve"> the </w:t>
      </w:r>
      <w:r w:rsidR="00937CDD" w:rsidRPr="00E87D28">
        <w:rPr>
          <w:i/>
          <w:sz w:val="24"/>
          <w:szCs w:val="24"/>
        </w:rPr>
        <w:t>Akitu</w:t>
      </w:r>
      <w:r w:rsidR="00937CDD" w:rsidRPr="00E87D28">
        <w:rPr>
          <w:sz w:val="24"/>
          <w:szCs w:val="24"/>
        </w:rPr>
        <w:t xml:space="preserve"> it depicts</w:t>
      </w:r>
      <w:r w:rsidR="005D62A3" w:rsidRPr="00E87D28">
        <w:rPr>
          <w:sz w:val="24"/>
          <w:szCs w:val="24"/>
        </w:rPr>
        <w:t xml:space="preserve"> would be </w:t>
      </w:r>
      <w:r w:rsidR="00937CDD" w:rsidRPr="00E87D28">
        <w:rPr>
          <w:sz w:val="24"/>
          <w:szCs w:val="24"/>
        </w:rPr>
        <w:t>appropriate</w:t>
      </w:r>
      <w:r w:rsidR="005D62A3" w:rsidRPr="00E87D28">
        <w:rPr>
          <w:sz w:val="24"/>
          <w:szCs w:val="24"/>
        </w:rPr>
        <w:t xml:space="preserve"> for its location at that specific period</w:t>
      </w:r>
      <w:r w:rsidR="00937CDD" w:rsidRPr="00E87D28">
        <w:rPr>
          <w:sz w:val="24"/>
          <w:szCs w:val="24"/>
        </w:rPr>
        <w:t xml:space="preserve">; a period of instability following Alexanders conquest and the control of the region by a foreign king. As we have touched on briefly, the festival is not a strictly scripted series of rituals that show continuity through space and time, </w:t>
      </w:r>
      <w:r w:rsidR="005F26CD" w:rsidRPr="00E87D28">
        <w:rPr>
          <w:sz w:val="24"/>
          <w:szCs w:val="24"/>
        </w:rPr>
        <w:t xml:space="preserve">local variations will affect not necessarily the overall objection of the festival but could alter the activities partaken within it. For example, the </w:t>
      </w:r>
      <w:r w:rsidR="005F26CD" w:rsidRPr="00E87D28">
        <w:rPr>
          <w:i/>
          <w:sz w:val="24"/>
          <w:szCs w:val="24"/>
        </w:rPr>
        <w:t xml:space="preserve">Akitu </w:t>
      </w:r>
      <w:r w:rsidR="005F26CD" w:rsidRPr="00E87D28">
        <w:rPr>
          <w:sz w:val="24"/>
          <w:szCs w:val="24"/>
        </w:rPr>
        <w:t>festival observed at Ur</w:t>
      </w:r>
      <w:r w:rsidR="005D62A3" w:rsidRPr="00E87D28">
        <w:rPr>
          <w:sz w:val="24"/>
          <w:szCs w:val="24"/>
        </w:rPr>
        <w:t xml:space="preserve">uk, similarly to Babylon, was in fact </w:t>
      </w:r>
      <w:r w:rsidR="005D62A3" w:rsidRPr="00E87D28">
        <w:rPr>
          <w:sz w:val="24"/>
          <w:szCs w:val="24"/>
        </w:rPr>
        <w:lastRenderedPageBreak/>
        <w:t>celebrated not only in</w:t>
      </w:r>
      <w:r w:rsidR="00006EEF" w:rsidRPr="00E87D28">
        <w:rPr>
          <w:sz w:val="24"/>
          <w:szCs w:val="24"/>
        </w:rPr>
        <w:t xml:space="preserve"> the s</w:t>
      </w:r>
      <w:r w:rsidR="005D62A3" w:rsidRPr="00E87D28">
        <w:rPr>
          <w:sz w:val="24"/>
          <w:szCs w:val="24"/>
        </w:rPr>
        <w:t>pring equinox, but rather at both</w:t>
      </w:r>
      <w:r w:rsidR="00006EEF" w:rsidRPr="00E87D28">
        <w:rPr>
          <w:sz w:val="24"/>
          <w:szCs w:val="24"/>
        </w:rPr>
        <w:t xml:space="preserve"> equinox</w:t>
      </w:r>
      <w:r w:rsidR="005D62A3" w:rsidRPr="00E87D28">
        <w:rPr>
          <w:sz w:val="24"/>
          <w:szCs w:val="24"/>
        </w:rPr>
        <w:t>es</w:t>
      </w:r>
      <w:r w:rsidR="00006EEF" w:rsidRPr="00E87D28">
        <w:rPr>
          <w:sz w:val="24"/>
          <w:szCs w:val="24"/>
        </w:rPr>
        <w:t xml:space="preserve">, as noted in a letter translated by </w:t>
      </w:r>
      <w:proofErr w:type="spellStart"/>
      <w:r w:rsidR="00006EEF" w:rsidRPr="00E87D28">
        <w:rPr>
          <w:sz w:val="24"/>
          <w:szCs w:val="24"/>
        </w:rPr>
        <w:t>Parpola</w:t>
      </w:r>
      <w:proofErr w:type="spellEnd"/>
      <w:r w:rsidR="00006EEF" w:rsidRPr="00E87D28">
        <w:rPr>
          <w:sz w:val="24"/>
          <w:szCs w:val="24"/>
        </w:rPr>
        <w:t xml:space="preserve"> in Cohen</w:t>
      </w:r>
      <w:r w:rsidR="00006EEF" w:rsidRPr="00E87D28">
        <w:rPr>
          <w:rStyle w:val="FootnoteReference"/>
          <w:sz w:val="24"/>
          <w:szCs w:val="24"/>
        </w:rPr>
        <w:footnoteReference w:id="17"/>
      </w:r>
      <w:r w:rsidR="002C3C0D" w:rsidRPr="00E87D28">
        <w:rPr>
          <w:sz w:val="24"/>
          <w:szCs w:val="24"/>
        </w:rPr>
        <w:t>:</w:t>
      </w:r>
    </w:p>
    <w:p w:rsidR="00004188" w:rsidRPr="00E87D28" w:rsidRDefault="00113904" w:rsidP="00E87D28">
      <w:pPr>
        <w:spacing w:line="480" w:lineRule="auto"/>
        <w:ind w:left="720"/>
        <w:rPr>
          <w:i/>
          <w:sz w:val="24"/>
          <w:szCs w:val="24"/>
        </w:rPr>
      </w:pPr>
      <w:r w:rsidRPr="00E87D28">
        <w:rPr>
          <w:i/>
          <w:sz w:val="24"/>
          <w:szCs w:val="24"/>
        </w:rPr>
        <w:t>‘</w:t>
      </w:r>
      <w:r w:rsidR="000801D3" w:rsidRPr="00E87D28">
        <w:rPr>
          <w:i/>
          <w:sz w:val="24"/>
          <w:szCs w:val="24"/>
        </w:rPr>
        <w:t>[The king, my</w:t>
      </w:r>
      <w:r w:rsidR="00006EEF" w:rsidRPr="00E87D28">
        <w:rPr>
          <w:i/>
          <w:sz w:val="24"/>
          <w:szCs w:val="24"/>
        </w:rPr>
        <w:t xml:space="preserve"> lo]</w:t>
      </w:r>
      <w:proofErr w:type="spellStart"/>
      <w:r w:rsidR="00006EEF" w:rsidRPr="00E87D28">
        <w:rPr>
          <w:i/>
          <w:sz w:val="24"/>
          <w:szCs w:val="24"/>
        </w:rPr>
        <w:t>rd</w:t>
      </w:r>
      <w:proofErr w:type="spellEnd"/>
      <w:r w:rsidR="00006EEF" w:rsidRPr="00E87D28">
        <w:rPr>
          <w:i/>
          <w:sz w:val="24"/>
          <w:szCs w:val="24"/>
        </w:rPr>
        <w:t>, knows that the god Bē</w:t>
      </w:r>
      <w:r w:rsidR="002C3C0D" w:rsidRPr="00E87D28">
        <w:rPr>
          <w:i/>
          <w:sz w:val="24"/>
          <w:szCs w:val="24"/>
        </w:rPr>
        <w:t>l is dressed (for the festival)</w:t>
      </w:r>
      <w:r w:rsidR="00006EEF" w:rsidRPr="00E87D28">
        <w:rPr>
          <w:i/>
          <w:sz w:val="24"/>
          <w:szCs w:val="24"/>
        </w:rPr>
        <w:t xml:space="preserve"> [on</w:t>
      </w:r>
      <w:r w:rsidR="00006EEF" w:rsidRPr="00E87D28">
        <w:rPr>
          <w:i/>
          <w:sz w:val="24"/>
          <w:szCs w:val="24"/>
        </w:rPr>
        <w:br/>
        <w:t>the 3]</w:t>
      </w:r>
      <w:proofErr w:type="spellStart"/>
      <w:r w:rsidR="00006EEF" w:rsidRPr="00E87D28">
        <w:rPr>
          <w:i/>
          <w:sz w:val="24"/>
          <w:szCs w:val="24"/>
        </w:rPr>
        <w:t>rd</w:t>
      </w:r>
      <w:proofErr w:type="spellEnd"/>
      <w:r w:rsidR="00006EEF" w:rsidRPr="00E87D28">
        <w:rPr>
          <w:i/>
          <w:sz w:val="24"/>
          <w:szCs w:val="24"/>
        </w:rPr>
        <w:t xml:space="preserve"> of </w:t>
      </w:r>
      <w:proofErr w:type="spellStart"/>
      <w:r w:rsidR="00006EEF" w:rsidRPr="00E87D28">
        <w:rPr>
          <w:i/>
          <w:sz w:val="24"/>
          <w:szCs w:val="24"/>
        </w:rPr>
        <w:t>Taŝrītu</w:t>
      </w:r>
      <w:proofErr w:type="spellEnd"/>
      <w:r w:rsidR="00006EEF" w:rsidRPr="00E87D28">
        <w:rPr>
          <w:i/>
          <w:sz w:val="24"/>
          <w:szCs w:val="24"/>
        </w:rPr>
        <w:t>, on the 6</w:t>
      </w:r>
      <w:r w:rsidR="00006EEF" w:rsidRPr="00E87D28">
        <w:rPr>
          <w:i/>
          <w:sz w:val="24"/>
          <w:szCs w:val="24"/>
          <w:vertAlign w:val="superscript"/>
        </w:rPr>
        <w:t>th</w:t>
      </w:r>
      <w:r w:rsidR="00006EEF" w:rsidRPr="00E87D28">
        <w:rPr>
          <w:i/>
          <w:sz w:val="24"/>
          <w:szCs w:val="24"/>
        </w:rPr>
        <w:t xml:space="preserve"> day the gate (of the temple) </w:t>
      </w:r>
      <w:r w:rsidR="000801D3" w:rsidRPr="00E87D28">
        <w:rPr>
          <w:i/>
          <w:sz w:val="24"/>
          <w:szCs w:val="24"/>
        </w:rPr>
        <w:t>is kept o</w:t>
      </w:r>
      <w:r w:rsidR="00006EEF" w:rsidRPr="00E87D28">
        <w:rPr>
          <w:i/>
          <w:sz w:val="24"/>
          <w:szCs w:val="24"/>
        </w:rPr>
        <w:t>n, (and)</w:t>
      </w:r>
      <w:r w:rsidR="00006EEF" w:rsidRPr="00E87D28">
        <w:rPr>
          <w:i/>
          <w:sz w:val="24"/>
          <w:szCs w:val="24"/>
        </w:rPr>
        <w:br/>
        <w:t xml:space="preserve">the procession of Bēl sets out like in </w:t>
      </w:r>
      <w:r w:rsidR="002C3C0D" w:rsidRPr="00E87D28">
        <w:rPr>
          <w:i/>
          <w:sz w:val="24"/>
          <w:szCs w:val="24"/>
        </w:rPr>
        <w:t xml:space="preserve">the month </w:t>
      </w:r>
      <w:proofErr w:type="spellStart"/>
      <w:r w:rsidR="002C3C0D" w:rsidRPr="00E87D28">
        <w:rPr>
          <w:i/>
          <w:sz w:val="24"/>
          <w:szCs w:val="24"/>
        </w:rPr>
        <w:t>Nisa</w:t>
      </w:r>
      <w:proofErr w:type="spellEnd"/>
      <w:r w:rsidR="002C3C0D" w:rsidRPr="00E87D28">
        <w:rPr>
          <w:i/>
          <w:sz w:val="24"/>
          <w:szCs w:val="24"/>
        </w:rPr>
        <w:t>(</w:t>
      </w:r>
      <w:proofErr w:type="spellStart"/>
      <w:r w:rsidR="002C3C0D" w:rsidRPr="00E87D28">
        <w:rPr>
          <w:i/>
          <w:sz w:val="24"/>
          <w:szCs w:val="24"/>
        </w:rPr>
        <w:t>nnu</w:t>
      </w:r>
      <w:proofErr w:type="spellEnd"/>
      <w:r w:rsidR="002C3C0D" w:rsidRPr="00E87D28">
        <w:rPr>
          <w:i/>
          <w:sz w:val="24"/>
          <w:szCs w:val="24"/>
        </w:rPr>
        <w:t xml:space="preserve">). [The </w:t>
      </w:r>
      <w:proofErr w:type="spellStart"/>
      <w:r w:rsidR="002C3C0D" w:rsidRPr="00E87D28">
        <w:rPr>
          <w:i/>
          <w:sz w:val="24"/>
          <w:szCs w:val="24"/>
        </w:rPr>
        <w:t>cerem</w:t>
      </w:r>
      <w:proofErr w:type="spellEnd"/>
      <w:r w:rsidR="002C3C0D" w:rsidRPr="00E87D28">
        <w:rPr>
          <w:i/>
          <w:sz w:val="24"/>
          <w:szCs w:val="24"/>
        </w:rPr>
        <w:t>]</w:t>
      </w:r>
      <w:proofErr w:type="spellStart"/>
      <w:r w:rsidR="00006EEF" w:rsidRPr="00E87D28">
        <w:rPr>
          <w:i/>
          <w:sz w:val="24"/>
          <w:szCs w:val="24"/>
        </w:rPr>
        <w:t>onies</w:t>
      </w:r>
      <w:proofErr w:type="spellEnd"/>
      <w:r w:rsidR="00006EEF" w:rsidRPr="00E87D28">
        <w:rPr>
          <w:i/>
          <w:sz w:val="24"/>
          <w:szCs w:val="24"/>
        </w:rPr>
        <w:br/>
        <w:t>of the city of Der are conducted in the same way</w:t>
      </w:r>
      <w:r w:rsidRPr="00E87D28">
        <w:rPr>
          <w:i/>
          <w:sz w:val="24"/>
          <w:szCs w:val="24"/>
        </w:rPr>
        <w:t>’</w:t>
      </w:r>
      <w:r w:rsidR="00006EEF" w:rsidRPr="00E87D28">
        <w:rPr>
          <w:i/>
          <w:sz w:val="24"/>
          <w:szCs w:val="24"/>
        </w:rPr>
        <w:t>.</w:t>
      </w:r>
    </w:p>
    <w:p w:rsidR="000040CF" w:rsidRPr="00E87D28" w:rsidRDefault="009772A3" w:rsidP="00E87D28">
      <w:pPr>
        <w:spacing w:line="480" w:lineRule="auto"/>
        <w:rPr>
          <w:sz w:val="24"/>
          <w:szCs w:val="24"/>
        </w:rPr>
      </w:pPr>
      <w:r w:rsidRPr="00E87D28">
        <w:rPr>
          <w:sz w:val="24"/>
          <w:szCs w:val="24"/>
        </w:rPr>
        <w:t>While Cohen acknowledges that the letter states ‘Bēl’</w:t>
      </w:r>
      <w:r w:rsidR="00821552" w:rsidRPr="00E87D28">
        <w:rPr>
          <w:sz w:val="24"/>
          <w:szCs w:val="24"/>
        </w:rPr>
        <w:t>,</w:t>
      </w:r>
      <w:r w:rsidRPr="00E87D28">
        <w:rPr>
          <w:sz w:val="24"/>
          <w:szCs w:val="24"/>
        </w:rPr>
        <w:t xml:space="preserve"> it is understood that ‘to take the hand of Bēl’ is a figure of speech to depict the most crucial element of the festival; the re-entrance of the god into his city. This suggests that the basic blueprints of the various </w:t>
      </w:r>
      <w:r w:rsidRPr="00E87D28">
        <w:rPr>
          <w:i/>
          <w:sz w:val="24"/>
          <w:szCs w:val="24"/>
        </w:rPr>
        <w:t>Akitu</w:t>
      </w:r>
      <w:r w:rsidRPr="00E87D28">
        <w:rPr>
          <w:sz w:val="24"/>
          <w:szCs w:val="24"/>
        </w:rPr>
        <w:t xml:space="preserve"> festivals celebrated are similar, which, put simply is correct. However, t</w:t>
      </w:r>
      <w:r w:rsidR="002C3C0D" w:rsidRPr="00E87D28">
        <w:rPr>
          <w:sz w:val="24"/>
          <w:szCs w:val="24"/>
        </w:rPr>
        <w:t xml:space="preserve">his letter, together with further understandings of the Uruk </w:t>
      </w:r>
      <w:r w:rsidR="002C3C0D" w:rsidRPr="00E87D28">
        <w:rPr>
          <w:i/>
          <w:sz w:val="24"/>
          <w:szCs w:val="24"/>
        </w:rPr>
        <w:t>Akitu</w:t>
      </w:r>
      <w:r w:rsidR="005D62A3" w:rsidRPr="00E87D28">
        <w:rPr>
          <w:sz w:val="24"/>
          <w:szCs w:val="24"/>
        </w:rPr>
        <w:t xml:space="preserve"> supports Smith in</w:t>
      </w:r>
      <w:r w:rsidR="002C3C0D" w:rsidRPr="00E87D28">
        <w:rPr>
          <w:sz w:val="24"/>
          <w:szCs w:val="24"/>
        </w:rPr>
        <w:t xml:space="preserve"> the necessity to read, thoroughly, the contex</w:t>
      </w:r>
      <w:r w:rsidR="005D62A3" w:rsidRPr="00E87D28">
        <w:rPr>
          <w:sz w:val="24"/>
          <w:szCs w:val="24"/>
        </w:rPr>
        <w:t>t of the festival. As the above</w:t>
      </w:r>
      <w:r w:rsidR="002C3C0D" w:rsidRPr="00E87D28">
        <w:rPr>
          <w:sz w:val="24"/>
          <w:szCs w:val="24"/>
        </w:rPr>
        <w:t xml:space="preserve"> give</w:t>
      </w:r>
      <w:r w:rsidR="005D62A3" w:rsidRPr="00E87D28">
        <w:rPr>
          <w:sz w:val="24"/>
          <w:szCs w:val="24"/>
        </w:rPr>
        <w:t>s evidence</w:t>
      </w:r>
      <w:r w:rsidRPr="00E87D28">
        <w:rPr>
          <w:sz w:val="24"/>
          <w:szCs w:val="24"/>
        </w:rPr>
        <w:t xml:space="preserve"> that</w:t>
      </w:r>
      <w:r w:rsidR="005D62A3" w:rsidRPr="00E87D28">
        <w:rPr>
          <w:sz w:val="24"/>
          <w:szCs w:val="24"/>
        </w:rPr>
        <w:t xml:space="preserve"> location, timing and deity involve</w:t>
      </w:r>
      <w:r w:rsidRPr="00E87D28">
        <w:rPr>
          <w:sz w:val="24"/>
          <w:szCs w:val="24"/>
        </w:rPr>
        <w:t>ment</w:t>
      </w:r>
      <w:r w:rsidR="005D62A3" w:rsidRPr="00E87D28">
        <w:rPr>
          <w:sz w:val="24"/>
          <w:szCs w:val="24"/>
        </w:rPr>
        <w:t xml:space="preserve"> need to be considered and in agreement to the time period we a</w:t>
      </w:r>
      <w:r w:rsidRPr="00E87D28">
        <w:rPr>
          <w:sz w:val="24"/>
          <w:szCs w:val="24"/>
        </w:rPr>
        <w:t>re interested in before utilising it as evidence within the greater discussion of functionality. N</w:t>
      </w:r>
      <w:r w:rsidR="005D62A3" w:rsidRPr="00E87D28">
        <w:rPr>
          <w:sz w:val="24"/>
          <w:szCs w:val="24"/>
        </w:rPr>
        <w:t xml:space="preserve">ot only is there a </w:t>
      </w:r>
      <w:r w:rsidR="002C3C0D" w:rsidRPr="00E87D28">
        <w:rPr>
          <w:sz w:val="24"/>
          <w:szCs w:val="24"/>
        </w:rPr>
        <w:t xml:space="preserve">festival taking place outside of Babylon, in the city of Der, </w:t>
      </w:r>
      <w:r w:rsidR="005D62A3" w:rsidRPr="00E87D28">
        <w:rPr>
          <w:sz w:val="24"/>
          <w:szCs w:val="24"/>
        </w:rPr>
        <w:t xml:space="preserve">the celebration is occurring in both the first and the seventh months </w:t>
      </w:r>
      <w:r w:rsidR="002C3C0D" w:rsidRPr="00E87D28">
        <w:rPr>
          <w:sz w:val="24"/>
          <w:szCs w:val="24"/>
        </w:rPr>
        <w:t xml:space="preserve">and </w:t>
      </w:r>
      <w:r w:rsidR="005D62A3" w:rsidRPr="00E87D28">
        <w:rPr>
          <w:sz w:val="24"/>
          <w:szCs w:val="24"/>
        </w:rPr>
        <w:t xml:space="preserve">additionally, in Uruk </w:t>
      </w:r>
      <w:r w:rsidR="002C3C0D" w:rsidRPr="00E87D28">
        <w:rPr>
          <w:sz w:val="24"/>
          <w:szCs w:val="24"/>
        </w:rPr>
        <w:t>it is not Marduk who is worshipped, but Anu, the patron deity of the respective city</w:t>
      </w:r>
      <w:r w:rsidR="002C3C0D" w:rsidRPr="00E87D28">
        <w:rPr>
          <w:rStyle w:val="FootnoteReference"/>
          <w:sz w:val="24"/>
          <w:szCs w:val="24"/>
        </w:rPr>
        <w:footnoteReference w:id="18"/>
      </w:r>
      <w:r w:rsidR="002C3C0D" w:rsidRPr="00E87D28">
        <w:rPr>
          <w:sz w:val="24"/>
          <w:szCs w:val="24"/>
        </w:rPr>
        <w:t xml:space="preserve">. </w:t>
      </w:r>
      <w:r w:rsidRPr="00E87D28">
        <w:rPr>
          <w:sz w:val="24"/>
          <w:szCs w:val="24"/>
        </w:rPr>
        <w:t xml:space="preserve">We shall see why this may hinder any potential wider societal or political roles later when we discuss the involvement of the Seleucid rulers within the </w:t>
      </w:r>
      <w:r w:rsidRPr="00E87D28">
        <w:rPr>
          <w:i/>
          <w:sz w:val="24"/>
          <w:szCs w:val="24"/>
        </w:rPr>
        <w:t>Akitu</w:t>
      </w:r>
      <w:r w:rsidRPr="00E87D28">
        <w:rPr>
          <w:sz w:val="24"/>
          <w:szCs w:val="24"/>
        </w:rPr>
        <w:t xml:space="preserve"> history.  </w:t>
      </w:r>
      <w:r w:rsidR="009933B9" w:rsidRPr="00E87D28">
        <w:rPr>
          <w:sz w:val="24"/>
          <w:szCs w:val="24"/>
        </w:rPr>
        <w:t>While Smith’s critique of the appropriateness and specificity of the evidence, and texts utilised by those scholars of an earlier view</w:t>
      </w:r>
      <w:r w:rsidR="00F85EE0" w:rsidRPr="00E87D28">
        <w:rPr>
          <w:sz w:val="24"/>
          <w:szCs w:val="24"/>
        </w:rPr>
        <w:t xml:space="preserve"> is noteworthy,</w:t>
      </w:r>
      <w:r w:rsidR="009933B9" w:rsidRPr="00E87D28">
        <w:rPr>
          <w:sz w:val="24"/>
          <w:szCs w:val="24"/>
        </w:rPr>
        <w:t xml:space="preserve"> it neither discredits the cosmogonic ideology nor implements a </w:t>
      </w:r>
      <w:r w:rsidR="009933B9" w:rsidRPr="00E87D28">
        <w:rPr>
          <w:sz w:val="24"/>
          <w:szCs w:val="24"/>
        </w:rPr>
        <w:lastRenderedPageBreak/>
        <w:t xml:space="preserve">nationalistic one. </w:t>
      </w:r>
      <w:r w:rsidR="009933B9" w:rsidRPr="00E87D28">
        <w:rPr>
          <w:sz w:val="24"/>
          <w:szCs w:val="24"/>
        </w:rPr>
        <w:br/>
      </w:r>
      <w:r w:rsidR="005D4956" w:rsidRPr="00E87D28">
        <w:rPr>
          <w:sz w:val="24"/>
          <w:szCs w:val="24"/>
          <w:u w:val="single"/>
        </w:rPr>
        <w:br/>
      </w:r>
      <w:r w:rsidR="009933B9" w:rsidRPr="00E87D28">
        <w:rPr>
          <w:sz w:val="24"/>
          <w:szCs w:val="24"/>
          <w:u w:val="single"/>
        </w:rPr>
        <w:t>Earth-Heaven Alignment</w:t>
      </w:r>
      <w:r w:rsidR="009933B9" w:rsidRPr="00E87D28">
        <w:rPr>
          <w:sz w:val="24"/>
          <w:szCs w:val="24"/>
        </w:rPr>
        <w:br/>
      </w:r>
      <w:r w:rsidR="009933B9" w:rsidRPr="00E87D28">
        <w:rPr>
          <w:sz w:val="24"/>
          <w:szCs w:val="24"/>
        </w:rPr>
        <w:br/>
      </w:r>
      <w:r w:rsidR="00821552" w:rsidRPr="00E87D28">
        <w:rPr>
          <w:sz w:val="24"/>
          <w:szCs w:val="24"/>
        </w:rPr>
        <w:t xml:space="preserve">In light of the judgements made by Smith regarding the consideration of context, he provides insight into a perspective that </w:t>
      </w:r>
      <w:r w:rsidR="000040CF" w:rsidRPr="00E87D28">
        <w:rPr>
          <w:sz w:val="24"/>
          <w:szCs w:val="24"/>
        </w:rPr>
        <w:t>centres around incompatibility. Knowing confidently that the cuneiform tablets dated to the Seleucid era following the conquest of Alexander, he offers that it is the new political position that the Babylonians are in that has placed them within a period of incompatibility, and it is this incompatibility that we must consider as context. It was to be understood in Classical Mesopotamia that the in</w:t>
      </w:r>
      <w:r w:rsidR="00F16D4A" w:rsidRPr="00E87D28">
        <w:rPr>
          <w:sz w:val="24"/>
          <w:szCs w:val="24"/>
        </w:rPr>
        <w:t>s</w:t>
      </w:r>
      <w:r w:rsidR="000040CF" w:rsidRPr="00E87D28">
        <w:rPr>
          <w:sz w:val="24"/>
          <w:szCs w:val="24"/>
        </w:rPr>
        <w:t>ti</w:t>
      </w:r>
      <w:r w:rsidR="00F16D4A" w:rsidRPr="00E87D28">
        <w:rPr>
          <w:sz w:val="24"/>
          <w:szCs w:val="24"/>
        </w:rPr>
        <w:t>tuti</w:t>
      </w:r>
      <w:r w:rsidR="000040CF" w:rsidRPr="00E87D28">
        <w:rPr>
          <w:sz w:val="24"/>
          <w:szCs w:val="24"/>
        </w:rPr>
        <w:t xml:space="preserve">ons of politics (kingship) and of religion (the temple) were imitations of corresponding institutions within the gods; earth imitated heaven. </w:t>
      </w:r>
      <w:r w:rsidR="00922089" w:rsidRPr="00E87D28">
        <w:rPr>
          <w:sz w:val="24"/>
          <w:szCs w:val="24"/>
        </w:rPr>
        <w:t xml:space="preserve">By placing a foreign king within the political institution on earth, the earth and heaven alignment was no longer considered to be in balance with its Babylonian deities. The Seleucid era kings therefore </w:t>
      </w:r>
      <w:r w:rsidR="00F85EE0" w:rsidRPr="00E87D28">
        <w:rPr>
          <w:sz w:val="24"/>
          <w:szCs w:val="24"/>
        </w:rPr>
        <w:t>w</w:t>
      </w:r>
      <w:r w:rsidR="00D6112C" w:rsidRPr="00E87D28">
        <w:rPr>
          <w:sz w:val="24"/>
          <w:szCs w:val="24"/>
        </w:rPr>
        <w:t xml:space="preserve">ere the causation of the incompatibility Smith proposes is central to our understanding of the </w:t>
      </w:r>
      <w:r w:rsidR="00D6112C" w:rsidRPr="00E87D28">
        <w:rPr>
          <w:i/>
          <w:sz w:val="24"/>
          <w:szCs w:val="24"/>
        </w:rPr>
        <w:t xml:space="preserve">Akitu’s </w:t>
      </w:r>
      <w:r w:rsidR="00D6112C" w:rsidRPr="00E87D28">
        <w:rPr>
          <w:sz w:val="24"/>
          <w:szCs w:val="24"/>
        </w:rPr>
        <w:t>role</w:t>
      </w:r>
      <w:r w:rsidR="00D6112C" w:rsidRPr="00E87D28">
        <w:rPr>
          <w:rStyle w:val="FootnoteReference"/>
          <w:sz w:val="24"/>
          <w:szCs w:val="24"/>
        </w:rPr>
        <w:footnoteReference w:id="19"/>
      </w:r>
      <w:r w:rsidR="00D6112C" w:rsidRPr="00E87D28">
        <w:rPr>
          <w:sz w:val="24"/>
          <w:szCs w:val="24"/>
        </w:rPr>
        <w:t>.</w:t>
      </w:r>
    </w:p>
    <w:p w:rsidR="00AD02B2" w:rsidRPr="00E87D28" w:rsidRDefault="00D44E78" w:rsidP="00E87D28">
      <w:pPr>
        <w:spacing w:line="480" w:lineRule="auto"/>
        <w:rPr>
          <w:sz w:val="24"/>
          <w:szCs w:val="24"/>
        </w:rPr>
      </w:pPr>
      <w:r w:rsidRPr="00E87D28">
        <w:rPr>
          <w:sz w:val="24"/>
          <w:szCs w:val="24"/>
        </w:rPr>
        <w:t xml:space="preserve">In response to this incongruity, Smith suggests three possible reactions, all of which support his nationalistic function. The desire to have the appropriate king take his rightful place within the earthly political institution enabling the earth-heaven configuration to reform </w:t>
      </w:r>
      <w:r w:rsidR="00E24121" w:rsidRPr="00E87D28">
        <w:rPr>
          <w:sz w:val="24"/>
          <w:szCs w:val="24"/>
        </w:rPr>
        <w:t xml:space="preserve">is seen via </w:t>
      </w:r>
      <w:proofErr w:type="spellStart"/>
      <w:r w:rsidR="00E24121" w:rsidRPr="00E87D28">
        <w:rPr>
          <w:sz w:val="24"/>
          <w:szCs w:val="24"/>
        </w:rPr>
        <w:t>apo</w:t>
      </w:r>
      <w:r w:rsidRPr="00E87D28">
        <w:rPr>
          <w:sz w:val="24"/>
          <w:szCs w:val="24"/>
        </w:rPr>
        <w:t>calypticism</w:t>
      </w:r>
      <w:proofErr w:type="spellEnd"/>
      <w:r w:rsidR="00E24121" w:rsidRPr="00E87D28">
        <w:rPr>
          <w:sz w:val="24"/>
          <w:szCs w:val="24"/>
        </w:rPr>
        <w:t xml:space="preserve">. It’s anticipated that </w:t>
      </w:r>
      <w:r w:rsidR="0011239C" w:rsidRPr="00E87D28">
        <w:rPr>
          <w:sz w:val="24"/>
          <w:szCs w:val="24"/>
        </w:rPr>
        <w:t>either the correct native</w:t>
      </w:r>
      <w:r w:rsidR="00E24121" w:rsidRPr="00E87D28">
        <w:rPr>
          <w:sz w:val="24"/>
          <w:szCs w:val="24"/>
        </w:rPr>
        <w:t xml:space="preserve"> king would step in or the heavenly counterpart</w:t>
      </w:r>
      <w:r w:rsidR="0011239C" w:rsidRPr="00E87D28">
        <w:rPr>
          <w:sz w:val="24"/>
          <w:szCs w:val="24"/>
        </w:rPr>
        <w:t xml:space="preserve"> would ensure his rightful return or otherwise replace the ruler himself.</w:t>
      </w:r>
      <w:r w:rsidR="00E24121" w:rsidRPr="00E87D28">
        <w:rPr>
          <w:sz w:val="24"/>
          <w:szCs w:val="24"/>
        </w:rPr>
        <w:t xml:space="preserve"> This religious belief was prominent in Judaism and held with it an expectation that the institution itself should be rebuilt to ensure the reordering of the balance. Gnosticism, </w:t>
      </w:r>
      <w:r w:rsidR="00E24121" w:rsidRPr="00E87D28">
        <w:rPr>
          <w:sz w:val="24"/>
          <w:szCs w:val="24"/>
        </w:rPr>
        <w:lastRenderedPageBreak/>
        <w:t xml:space="preserve">alternatively, places the rightful king on earth, and the wrong king in heaven. While, the belief that Smith builds upon in the third challenge he has of the earlier views, is rectification. </w:t>
      </w:r>
      <w:r w:rsidR="00043FE9" w:rsidRPr="00E87D28">
        <w:rPr>
          <w:sz w:val="24"/>
          <w:szCs w:val="24"/>
        </w:rPr>
        <w:t xml:space="preserve">Describing that the incompatibility caused, as a response to the changing political background of the Akitu, is only implied within the </w:t>
      </w:r>
      <w:r w:rsidR="00043FE9" w:rsidRPr="00E87D28">
        <w:rPr>
          <w:i/>
          <w:sz w:val="24"/>
          <w:szCs w:val="24"/>
        </w:rPr>
        <w:t>Akitu</w:t>
      </w:r>
      <w:r w:rsidR="00043FE9" w:rsidRPr="00E87D28">
        <w:rPr>
          <w:sz w:val="24"/>
          <w:szCs w:val="24"/>
        </w:rPr>
        <w:t xml:space="preserve"> ritual </w:t>
      </w:r>
      <w:r w:rsidR="00CE0AE6" w:rsidRPr="00E87D28">
        <w:rPr>
          <w:sz w:val="24"/>
          <w:szCs w:val="24"/>
        </w:rPr>
        <w:t>to construe the amending or rectifying of the foreign king.</w:t>
      </w:r>
      <w:r w:rsidR="00D9343D" w:rsidRPr="00E87D28">
        <w:rPr>
          <w:rStyle w:val="FootnoteReference"/>
          <w:sz w:val="24"/>
          <w:szCs w:val="24"/>
        </w:rPr>
        <w:footnoteReference w:id="20"/>
      </w:r>
      <w:r w:rsidR="00CE0AE6" w:rsidRPr="00E87D28">
        <w:rPr>
          <w:sz w:val="24"/>
          <w:szCs w:val="24"/>
        </w:rPr>
        <w:t xml:space="preserve"> </w:t>
      </w:r>
      <w:r w:rsidR="001A6287" w:rsidRPr="00E87D28">
        <w:rPr>
          <w:sz w:val="24"/>
          <w:szCs w:val="24"/>
        </w:rPr>
        <w:t>This way the Greek monarchy are able to legitimize their rule over Babylon by endorsing the political rituals in the festival, particularly that of the negative confession, and</w:t>
      </w:r>
      <w:r w:rsidR="00F85EE0" w:rsidRPr="00E87D28">
        <w:rPr>
          <w:sz w:val="24"/>
          <w:szCs w:val="24"/>
        </w:rPr>
        <w:t xml:space="preserve"> rejecting their</w:t>
      </w:r>
      <w:r w:rsidR="001A6287" w:rsidRPr="00E87D28">
        <w:rPr>
          <w:sz w:val="24"/>
          <w:szCs w:val="24"/>
        </w:rPr>
        <w:t xml:space="preserve"> </w:t>
      </w:r>
      <w:r w:rsidR="00F85EE0" w:rsidRPr="00E87D28">
        <w:rPr>
          <w:sz w:val="24"/>
          <w:szCs w:val="24"/>
        </w:rPr>
        <w:t>‘</w:t>
      </w:r>
      <w:r w:rsidR="001A6287" w:rsidRPr="00E87D28">
        <w:rPr>
          <w:sz w:val="24"/>
          <w:szCs w:val="24"/>
        </w:rPr>
        <w:t>foreignness</w:t>
      </w:r>
      <w:r w:rsidR="00F85EE0" w:rsidRPr="00E87D28">
        <w:rPr>
          <w:sz w:val="24"/>
          <w:szCs w:val="24"/>
        </w:rPr>
        <w:t>’</w:t>
      </w:r>
      <w:r w:rsidR="001A6287" w:rsidRPr="00E87D28">
        <w:rPr>
          <w:sz w:val="24"/>
          <w:szCs w:val="24"/>
        </w:rPr>
        <w:t xml:space="preserve">. </w:t>
      </w:r>
    </w:p>
    <w:p w:rsidR="00AE37FB" w:rsidRPr="00E87D28" w:rsidRDefault="00D20698" w:rsidP="00E87D28">
      <w:pPr>
        <w:spacing w:line="480" w:lineRule="auto"/>
        <w:rPr>
          <w:sz w:val="24"/>
          <w:szCs w:val="24"/>
        </w:rPr>
      </w:pPr>
      <w:r w:rsidRPr="00E87D28">
        <w:rPr>
          <w:sz w:val="24"/>
          <w:szCs w:val="24"/>
          <w:u w:val="single"/>
        </w:rPr>
        <w:t>The Negative Confession</w:t>
      </w:r>
    </w:p>
    <w:p w:rsidR="002B720D" w:rsidRPr="00E87D28" w:rsidRDefault="00AD02B2" w:rsidP="00E87D28">
      <w:pPr>
        <w:spacing w:line="480" w:lineRule="auto"/>
        <w:rPr>
          <w:sz w:val="24"/>
          <w:szCs w:val="24"/>
        </w:rPr>
      </w:pPr>
      <w:r w:rsidRPr="00E87D28">
        <w:rPr>
          <w:sz w:val="24"/>
          <w:szCs w:val="24"/>
        </w:rPr>
        <w:t xml:space="preserve">It is within his final point of disapproval from the earlier interpretations that he seeks confirmation for this device; the negative confession. The assumption is taken that the confession, seen previously within this essay, would only be applicable to a foreign king. It is not considered that the destruction of the city in any way would be executed by a native king. </w:t>
      </w:r>
      <w:r w:rsidR="002B720D" w:rsidRPr="00E87D28">
        <w:rPr>
          <w:sz w:val="24"/>
          <w:szCs w:val="24"/>
        </w:rPr>
        <w:t>Smith</w:t>
      </w:r>
      <w:r w:rsidR="00145D35" w:rsidRPr="00E87D28">
        <w:rPr>
          <w:rStyle w:val="FootnoteReference"/>
          <w:sz w:val="24"/>
          <w:szCs w:val="24"/>
        </w:rPr>
        <w:footnoteReference w:id="21"/>
      </w:r>
      <w:r w:rsidR="002B720D" w:rsidRPr="00E87D28">
        <w:rPr>
          <w:sz w:val="24"/>
          <w:szCs w:val="24"/>
        </w:rPr>
        <w:t xml:space="preserve">, therefore, proclaims that there are two options presented to the king through the confession; either he agrees to the confession and therefore is expected to have adopted the role of the rightful king (a Babylonian king) </w:t>
      </w:r>
      <w:r w:rsidR="00F16D4A" w:rsidRPr="00E87D28">
        <w:rPr>
          <w:sz w:val="24"/>
          <w:szCs w:val="24"/>
        </w:rPr>
        <w:t xml:space="preserve"> to which his kingship will be protected, </w:t>
      </w:r>
      <w:r w:rsidR="002B720D" w:rsidRPr="00E87D28">
        <w:rPr>
          <w:sz w:val="24"/>
          <w:szCs w:val="24"/>
        </w:rPr>
        <w:t>or he rejects the confession, establishing himself as the wrong king (an evil, foreign king) and accepts his fate</w:t>
      </w:r>
      <w:r w:rsidR="00F16D4A" w:rsidRPr="00E87D28">
        <w:rPr>
          <w:sz w:val="24"/>
          <w:szCs w:val="24"/>
        </w:rPr>
        <w:t xml:space="preserve"> without the protection of the gods</w:t>
      </w:r>
      <w:r w:rsidR="002B720D" w:rsidRPr="00E87D28">
        <w:rPr>
          <w:sz w:val="24"/>
          <w:szCs w:val="24"/>
        </w:rPr>
        <w:t xml:space="preserve">. If we </w:t>
      </w:r>
      <w:r w:rsidR="008A4F85" w:rsidRPr="00E87D28">
        <w:rPr>
          <w:sz w:val="24"/>
          <w:szCs w:val="24"/>
        </w:rPr>
        <w:t xml:space="preserve">momentarily </w:t>
      </w:r>
      <w:r w:rsidR="002B720D" w:rsidRPr="00E87D28">
        <w:rPr>
          <w:sz w:val="24"/>
          <w:szCs w:val="24"/>
        </w:rPr>
        <w:t>disregard the fact that Smith suggests that only a foreign king would benefit from the legitim</w:t>
      </w:r>
      <w:r w:rsidR="008A4F85" w:rsidRPr="00E87D28">
        <w:rPr>
          <w:sz w:val="24"/>
          <w:szCs w:val="24"/>
        </w:rPr>
        <w:t xml:space="preserve">ising nature of the confession. We can </w:t>
      </w:r>
      <w:r w:rsidR="00F85EE0" w:rsidRPr="00E87D28">
        <w:rPr>
          <w:sz w:val="24"/>
          <w:szCs w:val="24"/>
        </w:rPr>
        <w:t xml:space="preserve">then, </w:t>
      </w:r>
      <w:r w:rsidR="002B720D" w:rsidRPr="00E87D28">
        <w:rPr>
          <w:sz w:val="24"/>
          <w:szCs w:val="24"/>
        </w:rPr>
        <w:t>adopt the notion that the confession would be a beneficial political device for a king regardless of his heritage</w:t>
      </w:r>
      <w:r w:rsidR="008A4F85" w:rsidRPr="00E87D28">
        <w:rPr>
          <w:sz w:val="24"/>
          <w:szCs w:val="24"/>
        </w:rPr>
        <w:t xml:space="preserve"> as the inclusion in the festival alone, should be taken as loyalty to Marduk; t</w:t>
      </w:r>
      <w:r w:rsidR="00F16D4A" w:rsidRPr="00E87D28">
        <w:rPr>
          <w:sz w:val="24"/>
          <w:szCs w:val="24"/>
        </w:rPr>
        <w:t xml:space="preserve">hen we can see the political </w:t>
      </w:r>
      <w:r w:rsidR="00F16D4A" w:rsidRPr="00E87D28">
        <w:rPr>
          <w:sz w:val="24"/>
          <w:szCs w:val="24"/>
        </w:rPr>
        <w:lastRenderedPageBreak/>
        <w:t>benefits of having a kingship reinforced by Marduk but can equally see the benefit of a kingship being reinforced w</w:t>
      </w:r>
      <w:r w:rsidR="00AE37FB" w:rsidRPr="00E87D28">
        <w:rPr>
          <w:sz w:val="24"/>
          <w:szCs w:val="24"/>
        </w:rPr>
        <w:t xml:space="preserve">ithin the cosmic order. The two institutions reinforce each other and furthermore the position, or legitimacy, of the kingship. </w:t>
      </w:r>
    </w:p>
    <w:p w:rsidR="00A67D8D" w:rsidRPr="00E87D28" w:rsidRDefault="00AE37FB" w:rsidP="00E87D28">
      <w:pPr>
        <w:spacing w:line="480" w:lineRule="auto"/>
        <w:rPr>
          <w:sz w:val="24"/>
          <w:szCs w:val="24"/>
        </w:rPr>
      </w:pPr>
      <w:r w:rsidRPr="00E87D28">
        <w:rPr>
          <w:sz w:val="24"/>
          <w:szCs w:val="24"/>
        </w:rPr>
        <w:t>However, reconsidering the fact that Smith denies that a native king would benefit from the confession, we see evidence of</w:t>
      </w:r>
      <w:r w:rsidR="00AD02B2" w:rsidRPr="00E87D28">
        <w:rPr>
          <w:sz w:val="24"/>
          <w:szCs w:val="24"/>
        </w:rPr>
        <w:t xml:space="preserve"> where Smith may have overlooked</w:t>
      </w:r>
      <w:r w:rsidRPr="00E87D28">
        <w:rPr>
          <w:sz w:val="24"/>
          <w:szCs w:val="24"/>
        </w:rPr>
        <w:t xml:space="preserve"> a key piece of</w:t>
      </w:r>
      <w:r w:rsidR="00AD02B2" w:rsidRPr="00E87D28">
        <w:rPr>
          <w:sz w:val="24"/>
          <w:szCs w:val="24"/>
        </w:rPr>
        <w:t xml:space="preserve"> Babylonian text </w:t>
      </w:r>
      <w:r w:rsidR="00A67D8D" w:rsidRPr="00E87D28">
        <w:rPr>
          <w:sz w:val="24"/>
          <w:szCs w:val="24"/>
        </w:rPr>
        <w:t>depicted so clearly in W. G. Lambert</w:t>
      </w:r>
      <w:r w:rsidRPr="00E87D28">
        <w:rPr>
          <w:sz w:val="24"/>
          <w:szCs w:val="24"/>
        </w:rPr>
        <w:t>, that rejects his own theory</w:t>
      </w:r>
      <w:r w:rsidR="005169D4" w:rsidRPr="00E87D28">
        <w:rPr>
          <w:sz w:val="24"/>
          <w:szCs w:val="24"/>
        </w:rPr>
        <w:t>, by evidencing that native Babylonian kings have committed the very acts Smith suggest they needn’t confess against</w:t>
      </w:r>
      <w:r w:rsidR="00A67D8D" w:rsidRPr="00E87D28">
        <w:rPr>
          <w:sz w:val="24"/>
          <w:szCs w:val="24"/>
        </w:rPr>
        <w:t xml:space="preserve">: </w:t>
      </w:r>
    </w:p>
    <w:p w:rsidR="005169D4" w:rsidRPr="00E87D28" w:rsidRDefault="00113904" w:rsidP="00E87D28">
      <w:pPr>
        <w:spacing w:line="480" w:lineRule="auto"/>
        <w:ind w:left="720"/>
        <w:rPr>
          <w:i/>
          <w:sz w:val="24"/>
          <w:szCs w:val="24"/>
        </w:rPr>
      </w:pPr>
      <w:r w:rsidRPr="00E87D28">
        <w:rPr>
          <w:i/>
          <w:sz w:val="24"/>
          <w:szCs w:val="24"/>
        </w:rPr>
        <w:t>‘</w:t>
      </w:r>
      <w:r w:rsidR="00AD02B2" w:rsidRPr="00E87D28">
        <w:rPr>
          <w:i/>
          <w:sz w:val="24"/>
          <w:szCs w:val="24"/>
        </w:rPr>
        <w:t>In Borsippa,</w:t>
      </w:r>
      <w:r w:rsidR="00A67D8D" w:rsidRPr="00E87D28">
        <w:rPr>
          <w:i/>
          <w:sz w:val="24"/>
          <w:szCs w:val="24"/>
        </w:rPr>
        <w:t xml:space="preserve"> </w:t>
      </w:r>
      <w:r w:rsidR="00A67D8D" w:rsidRPr="00E87D28">
        <w:rPr>
          <w:i/>
          <w:sz w:val="24"/>
          <w:szCs w:val="24"/>
        </w:rPr>
        <w:br/>
      </w:r>
      <w:r w:rsidR="00AD02B2" w:rsidRPr="00E87D28">
        <w:rPr>
          <w:i/>
          <w:sz w:val="24"/>
          <w:szCs w:val="24"/>
        </w:rPr>
        <w:t>the city of truth and justice, there came upon me troubles and disturbances, revolt</w:t>
      </w:r>
      <w:r w:rsidR="00A67D8D" w:rsidRPr="00E87D28">
        <w:rPr>
          <w:i/>
          <w:sz w:val="24"/>
          <w:szCs w:val="24"/>
        </w:rPr>
        <w:br/>
      </w:r>
      <w:r w:rsidR="00AD02B2" w:rsidRPr="00E87D28">
        <w:rPr>
          <w:i/>
          <w:sz w:val="24"/>
          <w:szCs w:val="24"/>
        </w:rPr>
        <w:t>and acts of violence. In the reign of king Nabu-sum-</w:t>
      </w:r>
      <w:proofErr w:type="spellStart"/>
      <w:r w:rsidR="00AD02B2" w:rsidRPr="00E87D28">
        <w:rPr>
          <w:i/>
          <w:sz w:val="24"/>
          <w:szCs w:val="24"/>
        </w:rPr>
        <w:t>iskun</w:t>
      </w:r>
      <w:proofErr w:type="spellEnd"/>
      <w:r w:rsidR="00AD02B2" w:rsidRPr="00E87D28">
        <w:rPr>
          <w:i/>
          <w:sz w:val="24"/>
          <w:szCs w:val="24"/>
        </w:rPr>
        <w:t xml:space="preserve">, of the Bit </w:t>
      </w:r>
      <w:proofErr w:type="spellStart"/>
      <w:r w:rsidR="00AD02B2" w:rsidRPr="00E87D28">
        <w:rPr>
          <w:i/>
          <w:sz w:val="24"/>
          <w:szCs w:val="24"/>
        </w:rPr>
        <w:t>Dakkuri</w:t>
      </w:r>
      <w:proofErr w:type="spellEnd"/>
      <w:r w:rsidR="00AD02B2" w:rsidRPr="00E87D28">
        <w:rPr>
          <w:i/>
          <w:sz w:val="24"/>
          <w:szCs w:val="24"/>
        </w:rPr>
        <w:t xml:space="preserve"> tribe, </w:t>
      </w:r>
      <w:r w:rsidR="00A67D8D" w:rsidRPr="00E87D28">
        <w:rPr>
          <w:i/>
          <w:sz w:val="24"/>
          <w:szCs w:val="24"/>
        </w:rPr>
        <w:br/>
      </w:r>
      <w:r w:rsidR="00AD02B2" w:rsidRPr="00E87D28">
        <w:rPr>
          <w:i/>
          <w:sz w:val="24"/>
          <w:szCs w:val="24"/>
        </w:rPr>
        <w:t xml:space="preserve">the Babylonians, the </w:t>
      </w:r>
      <w:proofErr w:type="spellStart"/>
      <w:r w:rsidR="00AD02B2" w:rsidRPr="00E87D28">
        <w:rPr>
          <w:i/>
          <w:sz w:val="24"/>
          <w:szCs w:val="24"/>
        </w:rPr>
        <w:t>Borsippeans</w:t>
      </w:r>
      <w:proofErr w:type="spellEnd"/>
      <w:r w:rsidR="00AD02B2" w:rsidRPr="00E87D28">
        <w:rPr>
          <w:i/>
          <w:sz w:val="24"/>
          <w:szCs w:val="24"/>
        </w:rPr>
        <w:t xml:space="preserve">, (the people of) </w:t>
      </w:r>
      <w:proofErr w:type="spellStart"/>
      <w:r w:rsidR="00AD02B2" w:rsidRPr="00E87D28">
        <w:rPr>
          <w:i/>
          <w:sz w:val="24"/>
          <w:szCs w:val="24"/>
        </w:rPr>
        <w:t>Dutfti</w:t>
      </w:r>
      <w:proofErr w:type="spellEnd"/>
      <w:r w:rsidR="00AD02B2" w:rsidRPr="00E87D28">
        <w:rPr>
          <w:i/>
          <w:sz w:val="24"/>
          <w:szCs w:val="24"/>
        </w:rPr>
        <w:t xml:space="preserve"> on the bank of the Euphrates,</w:t>
      </w:r>
      <w:r w:rsidR="00A67D8D" w:rsidRPr="00E87D28">
        <w:rPr>
          <w:i/>
          <w:sz w:val="24"/>
          <w:szCs w:val="24"/>
        </w:rPr>
        <w:br/>
      </w:r>
      <w:r w:rsidR="00AD02B2" w:rsidRPr="00E87D28">
        <w:rPr>
          <w:i/>
          <w:sz w:val="24"/>
          <w:szCs w:val="24"/>
        </w:rPr>
        <w:t xml:space="preserve">all the Chaldeans and </w:t>
      </w:r>
      <w:proofErr w:type="spellStart"/>
      <w:r w:rsidR="00AD02B2" w:rsidRPr="00E87D28">
        <w:rPr>
          <w:i/>
          <w:sz w:val="24"/>
          <w:szCs w:val="24"/>
        </w:rPr>
        <w:t>Arameans</w:t>
      </w:r>
      <w:proofErr w:type="spellEnd"/>
      <w:r w:rsidR="00AD02B2" w:rsidRPr="00E87D28">
        <w:rPr>
          <w:i/>
          <w:sz w:val="24"/>
          <w:szCs w:val="24"/>
        </w:rPr>
        <w:t xml:space="preserve"> and the people of </w:t>
      </w:r>
      <w:proofErr w:type="spellStart"/>
      <w:r w:rsidR="00AD02B2" w:rsidRPr="00E87D28">
        <w:rPr>
          <w:i/>
          <w:sz w:val="24"/>
          <w:szCs w:val="24"/>
        </w:rPr>
        <w:t>Dilbat</w:t>
      </w:r>
      <w:proofErr w:type="spellEnd"/>
      <w:r w:rsidR="00AD02B2" w:rsidRPr="00E87D28">
        <w:rPr>
          <w:i/>
          <w:sz w:val="24"/>
          <w:szCs w:val="24"/>
        </w:rPr>
        <w:t xml:space="preserve"> for many days </w:t>
      </w:r>
      <w:r w:rsidR="00A67D8D" w:rsidRPr="00E87D28">
        <w:rPr>
          <w:i/>
          <w:sz w:val="24"/>
          <w:szCs w:val="24"/>
        </w:rPr>
        <w:br/>
      </w:r>
      <w:r w:rsidR="00AD02B2" w:rsidRPr="00E87D28">
        <w:rPr>
          <w:i/>
          <w:sz w:val="24"/>
          <w:szCs w:val="24"/>
        </w:rPr>
        <w:t>hurled their weapons against each other and slaughtered each other.</w:t>
      </w:r>
      <w:r w:rsidR="00A67D8D" w:rsidRPr="00E87D28">
        <w:rPr>
          <w:i/>
          <w:sz w:val="24"/>
          <w:szCs w:val="24"/>
        </w:rPr>
        <w:br/>
        <w:t xml:space="preserve"> </w:t>
      </w:r>
      <w:r w:rsidR="00AD02B2" w:rsidRPr="00E87D28">
        <w:rPr>
          <w:i/>
          <w:sz w:val="24"/>
          <w:szCs w:val="24"/>
        </w:rPr>
        <w:t xml:space="preserve">They also engaged in hostilities with the </w:t>
      </w:r>
      <w:proofErr w:type="spellStart"/>
      <w:r w:rsidR="00AD02B2" w:rsidRPr="00E87D28">
        <w:rPr>
          <w:i/>
          <w:sz w:val="24"/>
          <w:szCs w:val="24"/>
        </w:rPr>
        <w:t>Borsippeans</w:t>
      </w:r>
      <w:proofErr w:type="spellEnd"/>
      <w:r w:rsidR="00AD02B2" w:rsidRPr="00E87D28">
        <w:rPr>
          <w:i/>
          <w:sz w:val="24"/>
          <w:szCs w:val="24"/>
        </w:rPr>
        <w:t xml:space="preserve"> over their fields</w:t>
      </w:r>
      <w:r w:rsidRPr="00E87D28">
        <w:rPr>
          <w:i/>
          <w:sz w:val="24"/>
          <w:szCs w:val="24"/>
        </w:rPr>
        <w:t>’</w:t>
      </w:r>
      <w:r w:rsidR="00A67D8D" w:rsidRPr="00E87D28">
        <w:rPr>
          <w:i/>
          <w:sz w:val="24"/>
          <w:szCs w:val="24"/>
        </w:rPr>
        <w:t>.</w:t>
      </w:r>
      <w:r w:rsidR="00A67D8D" w:rsidRPr="00E87D28">
        <w:rPr>
          <w:rStyle w:val="FootnoteReference"/>
          <w:i/>
          <w:sz w:val="24"/>
          <w:szCs w:val="24"/>
        </w:rPr>
        <w:footnoteReference w:id="22"/>
      </w:r>
    </w:p>
    <w:p w:rsidR="00403B5F" w:rsidRPr="00E87D28" w:rsidRDefault="005B2A61" w:rsidP="00E87D28">
      <w:pPr>
        <w:spacing w:line="480" w:lineRule="auto"/>
        <w:rPr>
          <w:i/>
          <w:sz w:val="24"/>
          <w:szCs w:val="24"/>
        </w:rPr>
      </w:pPr>
      <w:r w:rsidRPr="00E87D28">
        <w:rPr>
          <w:sz w:val="24"/>
          <w:szCs w:val="24"/>
        </w:rPr>
        <w:br/>
        <w:t xml:space="preserve">Referring back to the importance of context, we can view the role of the confession in greater detail when we consider its position within the festival itself. The king recites his negative confession on the fifth day of Nisan, significantly, immediately following the purification of the Esagila complex. </w:t>
      </w:r>
      <w:r w:rsidR="000620F0" w:rsidRPr="00E87D28">
        <w:rPr>
          <w:sz w:val="24"/>
          <w:szCs w:val="24"/>
        </w:rPr>
        <w:t xml:space="preserve">The specific wording of the confession and the prominent use and repetition of the pronoun, I, is vital here. In order to consider how important this is, and subsequently how little weighting the confession has in disproving the </w:t>
      </w:r>
      <w:r w:rsidR="000620F0" w:rsidRPr="00E87D28">
        <w:rPr>
          <w:sz w:val="24"/>
          <w:szCs w:val="24"/>
        </w:rPr>
        <w:lastRenderedPageBreak/>
        <w:t xml:space="preserve">cosmogonic role of the </w:t>
      </w:r>
      <w:r w:rsidR="000620F0" w:rsidRPr="00E87D28">
        <w:rPr>
          <w:i/>
          <w:sz w:val="24"/>
          <w:szCs w:val="24"/>
        </w:rPr>
        <w:t>Akitu</w:t>
      </w:r>
      <w:r w:rsidR="000620F0" w:rsidRPr="00E87D28">
        <w:rPr>
          <w:sz w:val="24"/>
          <w:szCs w:val="24"/>
        </w:rPr>
        <w:t xml:space="preserve">, reference should be made to the purification </w:t>
      </w:r>
      <w:r w:rsidR="00D20698" w:rsidRPr="00E87D28">
        <w:rPr>
          <w:sz w:val="24"/>
          <w:szCs w:val="24"/>
        </w:rPr>
        <w:t xml:space="preserve">ritual itself. </w:t>
      </w:r>
      <w:r w:rsidR="00D20698" w:rsidRPr="00E87D28">
        <w:rPr>
          <w:sz w:val="24"/>
          <w:szCs w:val="24"/>
        </w:rPr>
        <w:br/>
      </w:r>
      <w:r w:rsidR="00D20698" w:rsidRPr="00E87D28">
        <w:rPr>
          <w:sz w:val="24"/>
          <w:szCs w:val="24"/>
        </w:rPr>
        <w:br/>
      </w:r>
      <w:r w:rsidR="00D20698" w:rsidRPr="00E87D28">
        <w:rPr>
          <w:sz w:val="24"/>
          <w:szCs w:val="24"/>
          <w:u w:val="single"/>
        </w:rPr>
        <w:t>The Purification Ritual</w:t>
      </w:r>
      <w:r w:rsidR="00542F1A" w:rsidRPr="00E87D28">
        <w:rPr>
          <w:sz w:val="24"/>
          <w:szCs w:val="24"/>
          <w:u w:val="single"/>
        </w:rPr>
        <w:br/>
      </w:r>
      <w:r w:rsidR="00F3190C" w:rsidRPr="00E87D28">
        <w:rPr>
          <w:sz w:val="24"/>
          <w:szCs w:val="24"/>
          <w:u w:val="single"/>
        </w:rPr>
        <w:br/>
      </w:r>
      <w:r w:rsidR="00F3190C" w:rsidRPr="00E87D28">
        <w:rPr>
          <w:sz w:val="24"/>
          <w:szCs w:val="24"/>
        </w:rPr>
        <w:t xml:space="preserve">The three examples below are taken originally from </w:t>
      </w:r>
      <w:proofErr w:type="spellStart"/>
      <w:r w:rsidR="00F3190C" w:rsidRPr="00E87D28">
        <w:rPr>
          <w:sz w:val="24"/>
          <w:szCs w:val="24"/>
        </w:rPr>
        <w:t>Thureau-Dangin</w:t>
      </w:r>
      <w:r w:rsidR="00667C3C" w:rsidRPr="00E87D28">
        <w:rPr>
          <w:sz w:val="24"/>
          <w:szCs w:val="24"/>
        </w:rPr>
        <w:t>’s</w:t>
      </w:r>
      <w:proofErr w:type="spellEnd"/>
      <w:r w:rsidR="00667C3C" w:rsidRPr="00E87D28">
        <w:rPr>
          <w:sz w:val="24"/>
          <w:szCs w:val="24"/>
        </w:rPr>
        <w:t xml:space="preserve"> Rituals Accadiens</w:t>
      </w:r>
      <w:r w:rsidR="00F3190C" w:rsidRPr="00E87D28">
        <w:rPr>
          <w:rStyle w:val="FootnoteReference"/>
          <w:sz w:val="24"/>
          <w:szCs w:val="24"/>
        </w:rPr>
        <w:footnoteReference w:id="23"/>
      </w:r>
      <w:r w:rsidR="00F3190C" w:rsidRPr="00E87D28">
        <w:rPr>
          <w:sz w:val="24"/>
          <w:szCs w:val="24"/>
        </w:rPr>
        <w:t>, and have been translated by Cohen</w:t>
      </w:r>
      <w:r w:rsidR="00F3190C" w:rsidRPr="00E87D28">
        <w:rPr>
          <w:rStyle w:val="FootnoteReference"/>
          <w:sz w:val="24"/>
          <w:szCs w:val="24"/>
        </w:rPr>
        <w:footnoteReference w:id="24"/>
      </w:r>
      <w:r w:rsidR="00667C3C" w:rsidRPr="00E87D28">
        <w:rPr>
          <w:sz w:val="24"/>
          <w:szCs w:val="24"/>
        </w:rPr>
        <w:t xml:space="preserve">. They emphasise two </w:t>
      </w:r>
      <w:r w:rsidR="00403B5F" w:rsidRPr="00E87D28">
        <w:rPr>
          <w:sz w:val="24"/>
          <w:szCs w:val="24"/>
        </w:rPr>
        <w:t>crucial ideas; the first being the utilisation of fire and water as symbolic references to destruction and creation respectively:</w:t>
      </w:r>
      <w:r w:rsidR="00667C3C" w:rsidRPr="00E87D28">
        <w:rPr>
          <w:sz w:val="24"/>
          <w:szCs w:val="24"/>
        </w:rPr>
        <w:br/>
      </w:r>
      <w:r w:rsidR="00542F1A" w:rsidRPr="00E87D28">
        <w:rPr>
          <w:sz w:val="24"/>
          <w:szCs w:val="24"/>
          <w:u w:val="single"/>
        </w:rPr>
        <w:br/>
      </w:r>
      <w:r w:rsidR="00542F1A" w:rsidRPr="00E87D28">
        <w:rPr>
          <w:sz w:val="24"/>
          <w:szCs w:val="24"/>
        </w:rPr>
        <w:tab/>
      </w:r>
      <w:r w:rsidR="00F3190C" w:rsidRPr="00E87D28">
        <w:rPr>
          <w:i/>
          <w:sz w:val="24"/>
          <w:szCs w:val="24"/>
        </w:rPr>
        <w:t>‘</w:t>
      </w:r>
      <w:r w:rsidR="00542F1A" w:rsidRPr="00E87D28">
        <w:rPr>
          <w:i/>
          <w:sz w:val="24"/>
          <w:szCs w:val="24"/>
        </w:rPr>
        <w:t xml:space="preserve">Two hours after sunrise, when the preparations for the table of Bēl and </w:t>
      </w:r>
      <w:r w:rsidR="00542F1A" w:rsidRPr="00E87D28">
        <w:rPr>
          <w:i/>
          <w:sz w:val="24"/>
          <w:szCs w:val="24"/>
        </w:rPr>
        <w:br/>
      </w:r>
      <w:r w:rsidR="00542F1A" w:rsidRPr="00E87D28">
        <w:rPr>
          <w:i/>
          <w:sz w:val="24"/>
          <w:szCs w:val="24"/>
        </w:rPr>
        <w:tab/>
      </w:r>
      <w:proofErr w:type="spellStart"/>
      <w:r w:rsidR="00542F1A" w:rsidRPr="00E87D28">
        <w:rPr>
          <w:i/>
          <w:sz w:val="24"/>
          <w:szCs w:val="24"/>
        </w:rPr>
        <w:t>Bēltiya</w:t>
      </w:r>
      <w:proofErr w:type="spellEnd"/>
      <w:r w:rsidR="00542F1A" w:rsidRPr="00E87D28">
        <w:rPr>
          <w:i/>
          <w:sz w:val="24"/>
          <w:szCs w:val="24"/>
        </w:rPr>
        <w:t xml:space="preserve"> have b</w:t>
      </w:r>
      <w:r w:rsidR="00403B5F" w:rsidRPr="00E87D28">
        <w:rPr>
          <w:i/>
          <w:sz w:val="24"/>
          <w:szCs w:val="24"/>
        </w:rPr>
        <w:t>een completed, he summons the ex</w:t>
      </w:r>
      <w:r w:rsidR="00542F1A" w:rsidRPr="00E87D28">
        <w:rPr>
          <w:i/>
          <w:sz w:val="24"/>
          <w:szCs w:val="24"/>
        </w:rPr>
        <w:t>orcist, (who) purifies the</w:t>
      </w:r>
      <w:r w:rsidR="00542F1A" w:rsidRPr="00E87D28">
        <w:rPr>
          <w:i/>
          <w:sz w:val="24"/>
          <w:szCs w:val="24"/>
        </w:rPr>
        <w:br/>
      </w:r>
      <w:r w:rsidR="00542F1A" w:rsidRPr="00E87D28">
        <w:rPr>
          <w:i/>
          <w:sz w:val="24"/>
          <w:szCs w:val="24"/>
        </w:rPr>
        <w:tab/>
        <w:t>temple and sprinkles the temple with water from a well along the Tigris and</w:t>
      </w:r>
      <w:r w:rsidR="00542F1A" w:rsidRPr="00E87D28">
        <w:rPr>
          <w:i/>
          <w:sz w:val="24"/>
          <w:szCs w:val="24"/>
        </w:rPr>
        <w:br/>
      </w:r>
      <w:r w:rsidR="00542F1A" w:rsidRPr="00E87D28">
        <w:rPr>
          <w:i/>
          <w:sz w:val="24"/>
          <w:szCs w:val="24"/>
        </w:rPr>
        <w:tab/>
        <w:t>from a well along the Euphrates.</w:t>
      </w:r>
      <w:r w:rsidR="00F3190C" w:rsidRPr="00E87D28">
        <w:rPr>
          <w:sz w:val="24"/>
          <w:szCs w:val="24"/>
        </w:rPr>
        <w:t>’</w:t>
      </w:r>
      <w:r w:rsidR="00294EE4" w:rsidRPr="00E87D28">
        <w:rPr>
          <w:sz w:val="24"/>
          <w:szCs w:val="24"/>
        </w:rPr>
        <w:br/>
      </w:r>
      <w:r w:rsidR="00294EE4" w:rsidRPr="00E87D28">
        <w:rPr>
          <w:sz w:val="24"/>
          <w:szCs w:val="24"/>
        </w:rPr>
        <w:br/>
        <w:t>and;</w:t>
      </w:r>
      <w:r w:rsidR="00542F1A" w:rsidRPr="00E87D28">
        <w:rPr>
          <w:sz w:val="24"/>
          <w:szCs w:val="24"/>
        </w:rPr>
        <w:br/>
      </w:r>
      <w:r w:rsidR="00542F1A" w:rsidRPr="00E87D28">
        <w:rPr>
          <w:sz w:val="24"/>
          <w:szCs w:val="24"/>
        </w:rPr>
        <w:tab/>
      </w:r>
      <w:r w:rsidR="00F3190C" w:rsidRPr="00E87D28">
        <w:rPr>
          <w:i/>
          <w:sz w:val="24"/>
          <w:szCs w:val="24"/>
        </w:rPr>
        <w:t>‘</w:t>
      </w:r>
      <w:r w:rsidR="00542F1A" w:rsidRPr="00E87D28">
        <w:rPr>
          <w:i/>
          <w:sz w:val="24"/>
          <w:szCs w:val="24"/>
        </w:rPr>
        <w:t>When he has finished the purification of the temple, he enters</w:t>
      </w:r>
      <w:r w:rsidR="00542F1A" w:rsidRPr="00E87D28">
        <w:rPr>
          <w:i/>
          <w:sz w:val="24"/>
          <w:szCs w:val="24"/>
        </w:rPr>
        <w:br/>
      </w:r>
      <w:r w:rsidR="00542F1A" w:rsidRPr="00E87D28">
        <w:rPr>
          <w:i/>
          <w:sz w:val="24"/>
          <w:szCs w:val="24"/>
        </w:rPr>
        <w:tab/>
        <w:t>the Ezida, to the chapel of Nabȗ, purifies the temple with a censor, torch,</w:t>
      </w:r>
      <w:r w:rsidR="00542F1A" w:rsidRPr="00E87D28">
        <w:rPr>
          <w:i/>
          <w:sz w:val="24"/>
          <w:szCs w:val="24"/>
        </w:rPr>
        <w:br/>
      </w:r>
      <w:r w:rsidR="00542F1A" w:rsidRPr="00E87D28">
        <w:rPr>
          <w:i/>
          <w:sz w:val="24"/>
          <w:szCs w:val="24"/>
        </w:rPr>
        <w:tab/>
        <w:t>and holy water vessel, and sprinkles the chapel with water from the a well along</w:t>
      </w:r>
      <w:r w:rsidR="00542F1A" w:rsidRPr="00E87D28">
        <w:rPr>
          <w:i/>
          <w:sz w:val="24"/>
          <w:szCs w:val="24"/>
        </w:rPr>
        <w:br/>
      </w:r>
      <w:r w:rsidR="00542F1A" w:rsidRPr="00E87D28">
        <w:rPr>
          <w:i/>
          <w:sz w:val="24"/>
          <w:szCs w:val="24"/>
        </w:rPr>
        <w:tab/>
        <w:t>the Tigris and from a well along the Euphrates.</w:t>
      </w:r>
      <w:r w:rsidR="00F3190C" w:rsidRPr="00E87D28">
        <w:rPr>
          <w:i/>
          <w:sz w:val="24"/>
          <w:szCs w:val="24"/>
        </w:rPr>
        <w:t>’</w:t>
      </w:r>
      <w:r w:rsidR="00294EE4" w:rsidRPr="00E87D28">
        <w:rPr>
          <w:sz w:val="24"/>
          <w:szCs w:val="24"/>
        </w:rPr>
        <w:br/>
      </w:r>
      <w:r w:rsidR="00294EE4" w:rsidRPr="00E87D28">
        <w:rPr>
          <w:sz w:val="24"/>
          <w:szCs w:val="24"/>
        </w:rPr>
        <w:br/>
        <w:t>also;</w:t>
      </w:r>
      <w:r w:rsidR="00542F1A" w:rsidRPr="00E87D28">
        <w:rPr>
          <w:sz w:val="24"/>
          <w:szCs w:val="24"/>
        </w:rPr>
        <w:br/>
      </w:r>
      <w:r w:rsidR="00542F1A" w:rsidRPr="00E87D28">
        <w:rPr>
          <w:sz w:val="24"/>
          <w:szCs w:val="24"/>
        </w:rPr>
        <w:tab/>
      </w:r>
      <w:r w:rsidR="00F3190C" w:rsidRPr="00E87D28">
        <w:rPr>
          <w:i/>
          <w:sz w:val="24"/>
          <w:szCs w:val="24"/>
        </w:rPr>
        <w:t>‘</w:t>
      </w:r>
      <w:r w:rsidR="00542F1A" w:rsidRPr="00E87D28">
        <w:rPr>
          <w:i/>
          <w:sz w:val="24"/>
          <w:szCs w:val="24"/>
        </w:rPr>
        <w:t>He summons the ritual slaughterer and he (the slaughterer) cuts off the head</w:t>
      </w:r>
      <w:r w:rsidR="00542F1A" w:rsidRPr="00E87D28">
        <w:rPr>
          <w:i/>
          <w:sz w:val="24"/>
          <w:szCs w:val="24"/>
        </w:rPr>
        <w:br/>
      </w:r>
      <w:r w:rsidR="00542F1A" w:rsidRPr="00E87D28">
        <w:rPr>
          <w:i/>
          <w:sz w:val="24"/>
          <w:szCs w:val="24"/>
        </w:rPr>
        <w:tab/>
        <w:t xml:space="preserve">of a sheep, and the exorcist purifies the temple with the carcass of the sheep. </w:t>
      </w:r>
      <w:r w:rsidR="00542F1A" w:rsidRPr="00E87D28">
        <w:rPr>
          <w:i/>
          <w:sz w:val="24"/>
          <w:szCs w:val="24"/>
        </w:rPr>
        <w:br/>
      </w:r>
      <w:r w:rsidR="00542F1A" w:rsidRPr="00E87D28">
        <w:rPr>
          <w:i/>
          <w:sz w:val="24"/>
          <w:szCs w:val="24"/>
        </w:rPr>
        <w:lastRenderedPageBreak/>
        <w:tab/>
        <w:t xml:space="preserve">He recites spells for </w:t>
      </w:r>
      <w:r w:rsidR="00F3190C" w:rsidRPr="00E87D28">
        <w:rPr>
          <w:i/>
          <w:sz w:val="24"/>
          <w:szCs w:val="24"/>
        </w:rPr>
        <w:t>exercising</w:t>
      </w:r>
      <w:r w:rsidR="00542F1A" w:rsidRPr="00E87D28">
        <w:rPr>
          <w:i/>
          <w:sz w:val="24"/>
          <w:szCs w:val="24"/>
        </w:rPr>
        <w:t xml:space="preserve"> the </w:t>
      </w:r>
      <w:r w:rsidR="00F3190C" w:rsidRPr="00E87D28">
        <w:rPr>
          <w:i/>
          <w:sz w:val="24"/>
          <w:szCs w:val="24"/>
        </w:rPr>
        <w:t>temple</w:t>
      </w:r>
      <w:r w:rsidR="00542F1A" w:rsidRPr="00E87D28">
        <w:rPr>
          <w:i/>
          <w:sz w:val="24"/>
          <w:szCs w:val="24"/>
        </w:rPr>
        <w:t>. He thoroughly purifies the</w:t>
      </w:r>
      <w:r w:rsidR="00542F1A" w:rsidRPr="00E87D28">
        <w:rPr>
          <w:i/>
          <w:sz w:val="24"/>
          <w:szCs w:val="24"/>
        </w:rPr>
        <w:br/>
      </w:r>
      <w:r w:rsidR="00542F1A" w:rsidRPr="00E87D28">
        <w:rPr>
          <w:i/>
          <w:sz w:val="24"/>
          <w:szCs w:val="24"/>
        </w:rPr>
        <w:tab/>
        <w:t>entire chapel and (then) removes the censor</w:t>
      </w:r>
      <w:r w:rsidR="00F3190C" w:rsidRPr="00E87D28">
        <w:rPr>
          <w:i/>
          <w:sz w:val="24"/>
          <w:szCs w:val="24"/>
        </w:rPr>
        <w:t>.’</w:t>
      </w:r>
    </w:p>
    <w:p w:rsidR="00403B5F" w:rsidRPr="00E87D28" w:rsidRDefault="00403B5F" w:rsidP="00E87D28">
      <w:pPr>
        <w:spacing w:line="480" w:lineRule="auto"/>
        <w:rPr>
          <w:sz w:val="24"/>
          <w:szCs w:val="24"/>
        </w:rPr>
      </w:pPr>
      <w:r w:rsidRPr="00E87D28">
        <w:rPr>
          <w:sz w:val="24"/>
          <w:szCs w:val="24"/>
        </w:rPr>
        <w:t>It might be argued that this signifies more then</w:t>
      </w:r>
      <w:r w:rsidR="00294EE4" w:rsidRPr="00E87D28">
        <w:rPr>
          <w:sz w:val="24"/>
          <w:szCs w:val="24"/>
        </w:rPr>
        <w:t>,</w:t>
      </w:r>
      <w:r w:rsidRPr="00E87D28">
        <w:rPr>
          <w:sz w:val="24"/>
          <w:szCs w:val="24"/>
        </w:rPr>
        <w:t xml:space="preserve"> than the simple destruction and recreation of the temple, but alternatively the invitation of chaos into the temple and its subsequent expulsion and re-order.</w:t>
      </w:r>
      <w:r w:rsidR="00294EE4" w:rsidRPr="00E87D28">
        <w:rPr>
          <w:sz w:val="24"/>
          <w:szCs w:val="24"/>
        </w:rPr>
        <w:t xml:space="preserve"> As, already expressed,</w:t>
      </w:r>
      <w:r w:rsidRPr="00E87D28">
        <w:rPr>
          <w:sz w:val="24"/>
          <w:szCs w:val="24"/>
        </w:rPr>
        <w:t xml:space="preserve"> the earthly and the heavenly institutions within Mesopotamia, </w:t>
      </w:r>
      <w:r w:rsidR="00294EE4" w:rsidRPr="00E87D28">
        <w:rPr>
          <w:sz w:val="24"/>
          <w:szCs w:val="24"/>
        </w:rPr>
        <w:t>are seen to be intertwined, and so the purification of the temple and its re-creation must apply both to the re-ordering of the earthly kingship and hence the harmonious renewal of cosmic order. In turn this effectively demonstrated support for the earlier cosmogonic ideology ritual.</w:t>
      </w:r>
    </w:p>
    <w:p w:rsidR="005D4956" w:rsidRPr="00E87D28" w:rsidRDefault="00294EE4" w:rsidP="00E87D28">
      <w:pPr>
        <w:spacing w:line="480" w:lineRule="auto"/>
        <w:rPr>
          <w:sz w:val="24"/>
          <w:szCs w:val="24"/>
        </w:rPr>
      </w:pPr>
      <w:r w:rsidRPr="00E87D28">
        <w:rPr>
          <w:sz w:val="24"/>
          <w:szCs w:val="24"/>
        </w:rPr>
        <w:t>Secondly, referring back to</w:t>
      </w:r>
      <w:r w:rsidR="005D02DA" w:rsidRPr="00E87D28">
        <w:rPr>
          <w:sz w:val="24"/>
          <w:szCs w:val="24"/>
        </w:rPr>
        <w:t xml:space="preserve"> the negative confession itself and</w:t>
      </w:r>
      <w:r w:rsidRPr="00E87D28">
        <w:rPr>
          <w:sz w:val="24"/>
          <w:szCs w:val="24"/>
        </w:rPr>
        <w:t xml:space="preserve"> the practicalitie</w:t>
      </w:r>
      <w:r w:rsidR="005D02DA" w:rsidRPr="00E87D28">
        <w:rPr>
          <w:sz w:val="24"/>
          <w:szCs w:val="24"/>
        </w:rPr>
        <w:t>s that</w:t>
      </w:r>
      <w:r w:rsidRPr="00E87D28">
        <w:rPr>
          <w:sz w:val="24"/>
          <w:szCs w:val="24"/>
        </w:rPr>
        <w:t xml:space="preserve"> this destruction of Esagila</w:t>
      </w:r>
      <w:r w:rsidR="005D02DA" w:rsidRPr="00E87D28">
        <w:rPr>
          <w:sz w:val="24"/>
          <w:szCs w:val="24"/>
        </w:rPr>
        <w:t xml:space="preserve"> was executed the very same day as the king would have confessed to have not caused destruction; we can justify that the symbolic act of destruction</w:t>
      </w:r>
      <w:r w:rsidRPr="00E87D28">
        <w:rPr>
          <w:sz w:val="24"/>
          <w:szCs w:val="24"/>
        </w:rPr>
        <w:t xml:space="preserve"> does not lie with the king, but rather with the exorcist and the slaughterer</w:t>
      </w:r>
      <w:r w:rsidR="005D02DA" w:rsidRPr="00E87D28">
        <w:rPr>
          <w:sz w:val="24"/>
          <w:szCs w:val="24"/>
        </w:rPr>
        <w:t>, who were banished form the city until the return of Marduk and the renewal of order. During their departure a poem is read by the high priest called ‘the cry of distress’ which address the destructive nature of the acts involved in the purification ritual</w:t>
      </w:r>
      <w:r w:rsidR="00C22398" w:rsidRPr="00E87D28">
        <w:rPr>
          <w:rStyle w:val="FootnoteReference"/>
          <w:sz w:val="24"/>
          <w:szCs w:val="24"/>
        </w:rPr>
        <w:footnoteReference w:id="25"/>
      </w:r>
      <w:r w:rsidR="005D02DA" w:rsidRPr="00E87D28">
        <w:rPr>
          <w:sz w:val="24"/>
          <w:szCs w:val="24"/>
        </w:rPr>
        <w:t xml:space="preserve"> and </w:t>
      </w:r>
      <w:r w:rsidR="00F85EE0" w:rsidRPr="00E87D28">
        <w:rPr>
          <w:sz w:val="24"/>
          <w:szCs w:val="24"/>
        </w:rPr>
        <w:t>demonstrates</w:t>
      </w:r>
      <w:r w:rsidR="005D02DA" w:rsidRPr="00E87D28">
        <w:rPr>
          <w:sz w:val="24"/>
          <w:szCs w:val="24"/>
        </w:rPr>
        <w:t xml:space="preserve"> the apprehension sensed by the Babylonians surrounding the temple’s ‘annihilation’. Therefore, the prominent pronouns within the confession are little more than references to the greater symbolic</w:t>
      </w:r>
      <w:r w:rsidR="00C22398" w:rsidRPr="00E87D28">
        <w:rPr>
          <w:sz w:val="24"/>
          <w:szCs w:val="24"/>
        </w:rPr>
        <w:t xml:space="preserve"> ritual of universal order, as presented by the earlier scholarly views. </w:t>
      </w:r>
    </w:p>
    <w:p w:rsidR="00F72430" w:rsidRPr="00E87D28" w:rsidRDefault="00A67374" w:rsidP="00E87D28">
      <w:pPr>
        <w:spacing w:line="480" w:lineRule="auto"/>
        <w:rPr>
          <w:sz w:val="24"/>
          <w:szCs w:val="24"/>
        </w:rPr>
      </w:pPr>
      <w:r w:rsidRPr="00E87D28">
        <w:rPr>
          <w:sz w:val="24"/>
          <w:szCs w:val="24"/>
        </w:rPr>
        <w:t>Further, Sommer</w:t>
      </w:r>
      <w:r w:rsidRPr="00E87D28">
        <w:rPr>
          <w:rStyle w:val="FootnoteReference"/>
          <w:sz w:val="24"/>
          <w:szCs w:val="24"/>
        </w:rPr>
        <w:footnoteReference w:id="26"/>
      </w:r>
      <w:r w:rsidR="00083BB1" w:rsidRPr="00E87D28">
        <w:rPr>
          <w:sz w:val="24"/>
          <w:szCs w:val="24"/>
        </w:rPr>
        <w:t xml:space="preserve">, insists that the intention was for Marduk to be have been the one who purified the temple, and therefore who was responsible for the destruction and recreation, </w:t>
      </w:r>
      <w:r w:rsidR="00083BB1" w:rsidRPr="00E87D28">
        <w:rPr>
          <w:sz w:val="24"/>
          <w:szCs w:val="24"/>
        </w:rPr>
        <w:lastRenderedPageBreak/>
        <w:t>as he, together with the other gods, had done in order to create Babylon itself at its creation</w:t>
      </w:r>
      <w:r w:rsidR="00F85EE0" w:rsidRPr="00E87D28">
        <w:rPr>
          <w:sz w:val="24"/>
          <w:szCs w:val="24"/>
        </w:rPr>
        <w:t xml:space="preserve">, recited through the </w:t>
      </w:r>
      <w:r w:rsidR="00F85EE0" w:rsidRPr="00E87D28">
        <w:rPr>
          <w:i/>
          <w:sz w:val="24"/>
          <w:szCs w:val="24"/>
        </w:rPr>
        <w:t>Enuma Elish</w:t>
      </w:r>
      <w:r w:rsidR="00083BB1" w:rsidRPr="00E87D28">
        <w:rPr>
          <w:sz w:val="24"/>
          <w:szCs w:val="24"/>
        </w:rPr>
        <w:t xml:space="preserve">. The involvement of the exorcist and </w:t>
      </w:r>
      <w:r w:rsidR="004D3B0D" w:rsidRPr="00E87D28">
        <w:rPr>
          <w:sz w:val="24"/>
          <w:szCs w:val="24"/>
        </w:rPr>
        <w:t>slaughterer</w:t>
      </w:r>
      <w:r w:rsidR="00083BB1" w:rsidRPr="00E87D28">
        <w:rPr>
          <w:sz w:val="24"/>
          <w:szCs w:val="24"/>
        </w:rPr>
        <w:t xml:space="preserve"> would then be seen as a symbolic Marduk, or </w:t>
      </w:r>
      <w:r w:rsidR="004D3B0D" w:rsidRPr="00E87D28">
        <w:rPr>
          <w:sz w:val="24"/>
          <w:szCs w:val="24"/>
        </w:rPr>
        <w:t>simply</w:t>
      </w:r>
      <w:r w:rsidR="00083BB1" w:rsidRPr="00E87D28">
        <w:rPr>
          <w:sz w:val="24"/>
          <w:szCs w:val="24"/>
        </w:rPr>
        <w:t xml:space="preserve"> working on behalf of him. </w:t>
      </w:r>
      <w:r w:rsidR="004D3B0D" w:rsidRPr="00E87D28">
        <w:rPr>
          <w:sz w:val="24"/>
          <w:szCs w:val="24"/>
        </w:rPr>
        <w:t xml:space="preserve">This theory can be supported by mention of Marduk in the prayer that followed the completion of the purification ritual. In this the priest recites that ‘they are purifying the temple’ and ‘they’ refers directly to the gods, and more importantly, to Marduk.; and so the populace </w:t>
      </w:r>
      <w:r w:rsidR="00A013A8" w:rsidRPr="00E87D28">
        <w:rPr>
          <w:sz w:val="24"/>
          <w:szCs w:val="24"/>
        </w:rPr>
        <w:t>places</w:t>
      </w:r>
      <w:r w:rsidR="004D3B0D" w:rsidRPr="00E87D28">
        <w:rPr>
          <w:sz w:val="24"/>
          <w:szCs w:val="24"/>
        </w:rPr>
        <w:t xml:space="preserve"> the destruction, purification and recreation of the temple and of the cosmogony of the site on Marduk.</w:t>
      </w:r>
      <w:r w:rsidR="00BE5C4A" w:rsidRPr="00E87D28">
        <w:rPr>
          <w:color w:val="806000" w:themeColor="accent4" w:themeShade="80"/>
          <w:sz w:val="24"/>
          <w:szCs w:val="24"/>
          <w:u w:val="single"/>
        </w:rPr>
        <w:br/>
      </w:r>
      <w:r w:rsidR="00A013A8" w:rsidRPr="00E87D28">
        <w:rPr>
          <w:color w:val="806000" w:themeColor="accent4" w:themeShade="80"/>
          <w:sz w:val="24"/>
          <w:szCs w:val="24"/>
          <w:u w:val="single"/>
        </w:rPr>
        <w:br/>
      </w:r>
      <w:r w:rsidR="00A013A8" w:rsidRPr="00E87D28">
        <w:rPr>
          <w:sz w:val="24"/>
          <w:szCs w:val="24"/>
        </w:rPr>
        <w:t>The three elements of Smith’s critique towards the older cosmogonic consensus</w:t>
      </w:r>
      <w:r w:rsidR="00F417E8" w:rsidRPr="00E87D28">
        <w:rPr>
          <w:sz w:val="24"/>
          <w:szCs w:val="24"/>
        </w:rPr>
        <w:t>, have</w:t>
      </w:r>
      <w:r w:rsidR="00A013A8" w:rsidRPr="00E87D28">
        <w:rPr>
          <w:sz w:val="24"/>
          <w:szCs w:val="24"/>
        </w:rPr>
        <w:t xml:space="preserve"> now been discussed</w:t>
      </w:r>
      <w:r w:rsidR="00F417E8" w:rsidRPr="00E87D28">
        <w:rPr>
          <w:sz w:val="24"/>
          <w:szCs w:val="24"/>
        </w:rPr>
        <w:t>,</w:t>
      </w:r>
      <w:r w:rsidR="00A013A8" w:rsidRPr="00E87D28">
        <w:rPr>
          <w:sz w:val="24"/>
          <w:szCs w:val="24"/>
        </w:rPr>
        <w:t xml:space="preserve"> and </w:t>
      </w:r>
      <w:r w:rsidR="00F417E8" w:rsidRPr="00E87D28">
        <w:rPr>
          <w:sz w:val="24"/>
          <w:szCs w:val="24"/>
        </w:rPr>
        <w:t xml:space="preserve">while he raised some valid points in regards to some weaknesses in the methodology used by the earlier scholars, </w:t>
      </w:r>
      <w:r w:rsidR="00A013A8" w:rsidRPr="00E87D28">
        <w:rPr>
          <w:sz w:val="24"/>
          <w:szCs w:val="24"/>
        </w:rPr>
        <w:t xml:space="preserve">his argument that the festival is a nationalistic device has not been any more enlightened than the theory he rejects. </w:t>
      </w:r>
      <w:r w:rsidR="00F417E8" w:rsidRPr="00E87D28">
        <w:rPr>
          <w:sz w:val="24"/>
          <w:szCs w:val="24"/>
        </w:rPr>
        <w:t>So far then</w:t>
      </w:r>
      <w:r w:rsidR="00402139" w:rsidRPr="00E87D28">
        <w:rPr>
          <w:sz w:val="24"/>
          <w:szCs w:val="24"/>
        </w:rPr>
        <w:t>,</w:t>
      </w:r>
      <w:r w:rsidR="00F417E8" w:rsidRPr="00E87D28">
        <w:rPr>
          <w:sz w:val="24"/>
          <w:szCs w:val="24"/>
        </w:rPr>
        <w:t xml:space="preserve"> the previous key scholarship that has so far contributed to the wealth of knowledge we have regarding the </w:t>
      </w:r>
      <w:r w:rsidR="00F417E8" w:rsidRPr="00E87D28">
        <w:rPr>
          <w:i/>
          <w:sz w:val="24"/>
          <w:szCs w:val="24"/>
        </w:rPr>
        <w:t>Akitu</w:t>
      </w:r>
      <w:r w:rsidR="00F417E8" w:rsidRPr="00E87D28">
        <w:rPr>
          <w:sz w:val="24"/>
          <w:szCs w:val="24"/>
        </w:rPr>
        <w:t xml:space="preserve"> and its place in Near Eastern religion has not succeeded in proving a distinctive religious or political role. </w:t>
      </w:r>
      <w:r w:rsidR="00081DA8" w:rsidRPr="00E87D28">
        <w:rPr>
          <w:sz w:val="24"/>
          <w:szCs w:val="24"/>
        </w:rPr>
        <w:br/>
      </w:r>
      <w:r w:rsidR="00081DA8" w:rsidRPr="00E87D28">
        <w:rPr>
          <w:sz w:val="24"/>
          <w:szCs w:val="24"/>
        </w:rPr>
        <w:br/>
      </w:r>
      <w:r w:rsidR="00081DA8" w:rsidRPr="00E87D28">
        <w:rPr>
          <w:sz w:val="24"/>
          <w:szCs w:val="24"/>
          <w:u w:val="single"/>
        </w:rPr>
        <w:t>Seleucid Monarchy</w:t>
      </w:r>
      <w:r w:rsidR="00081DA8" w:rsidRPr="00E87D28">
        <w:rPr>
          <w:sz w:val="24"/>
          <w:szCs w:val="24"/>
        </w:rPr>
        <w:br/>
      </w:r>
      <w:r w:rsidR="00081DA8" w:rsidRPr="00E87D28">
        <w:rPr>
          <w:sz w:val="24"/>
          <w:szCs w:val="24"/>
        </w:rPr>
        <w:br/>
      </w:r>
      <w:r w:rsidR="00F417E8" w:rsidRPr="00E87D28">
        <w:rPr>
          <w:sz w:val="24"/>
          <w:szCs w:val="24"/>
        </w:rPr>
        <w:t xml:space="preserve">Can we then distinguish the role from examining the monarchies that utilised the festival and their interactions with </w:t>
      </w:r>
      <w:r w:rsidR="00402139" w:rsidRPr="00E87D28">
        <w:rPr>
          <w:sz w:val="24"/>
          <w:szCs w:val="24"/>
        </w:rPr>
        <w:t>the deities involved? As the evidential text that we have been discussing so far is of the Seleucid era it is only right to cons</w:t>
      </w:r>
      <w:r w:rsidR="00804EA2" w:rsidRPr="00E87D28">
        <w:rPr>
          <w:sz w:val="24"/>
          <w:szCs w:val="24"/>
        </w:rPr>
        <w:t>ider then</w:t>
      </w:r>
      <w:r w:rsidR="00C70A96" w:rsidRPr="00E87D28">
        <w:rPr>
          <w:sz w:val="24"/>
          <w:szCs w:val="24"/>
        </w:rPr>
        <w:t>,</w:t>
      </w:r>
      <w:r w:rsidR="00804EA2" w:rsidRPr="00E87D28">
        <w:rPr>
          <w:sz w:val="24"/>
          <w:szCs w:val="24"/>
        </w:rPr>
        <w:t xml:space="preserve"> the Seleucid monarchy and </w:t>
      </w:r>
      <w:r w:rsidR="00F72430" w:rsidRPr="00E87D28">
        <w:rPr>
          <w:sz w:val="24"/>
          <w:szCs w:val="24"/>
        </w:rPr>
        <w:t>their role within the ceremony.</w:t>
      </w:r>
    </w:p>
    <w:p w:rsidR="00FB4EAB" w:rsidRPr="00E87D28" w:rsidRDefault="00F72430" w:rsidP="00E87D28">
      <w:pPr>
        <w:spacing w:line="480" w:lineRule="auto"/>
        <w:rPr>
          <w:sz w:val="24"/>
          <w:szCs w:val="24"/>
        </w:rPr>
      </w:pPr>
      <w:r w:rsidRPr="00E87D28">
        <w:rPr>
          <w:sz w:val="24"/>
          <w:szCs w:val="24"/>
        </w:rPr>
        <w:lastRenderedPageBreak/>
        <w:t xml:space="preserve">Smith’s implication that the </w:t>
      </w:r>
      <w:r w:rsidRPr="00E87D28">
        <w:rPr>
          <w:i/>
          <w:sz w:val="24"/>
          <w:szCs w:val="24"/>
        </w:rPr>
        <w:t xml:space="preserve">Akitu </w:t>
      </w:r>
      <w:r w:rsidRPr="00E87D28">
        <w:rPr>
          <w:sz w:val="24"/>
          <w:szCs w:val="24"/>
        </w:rPr>
        <w:t>was a reaction by the Babylonian priesthood</w:t>
      </w:r>
      <w:r w:rsidR="00C70A96" w:rsidRPr="00E87D28">
        <w:rPr>
          <w:sz w:val="24"/>
          <w:szCs w:val="24"/>
        </w:rPr>
        <w:t xml:space="preserve"> to the foreign domination, dating to the Seleucid rulers</w:t>
      </w:r>
      <w:r w:rsidRPr="00E87D28">
        <w:rPr>
          <w:rStyle w:val="FootnoteReference"/>
          <w:sz w:val="24"/>
          <w:szCs w:val="24"/>
        </w:rPr>
        <w:footnoteReference w:id="27"/>
      </w:r>
      <w:r w:rsidR="000973E3" w:rsidRPr="00E87D28">
        <w:rPr>
          <w:sz w:val="24"/>
          <w:szCs w:val="24"/>
        </w:rPr>
        <w:t xml:space="preserve"> could well have begun as a purely religious festival which was revised as a response to the foreign kings. It has been shown that, while the principle behind the negative confession being used as propaganda is slightly flawed in Smiths context, the involvement of the king in the festival, irrespective of heritage, would reinforce a relationship with Marduk and may assist in some way to legitimising themselves. Therefore, any involvement with Marduk, may help to pursue any form of action in which the monarchy may have sought to justify themselves through the</w:t>
      </w:r>
      <w:r w:rsidR="000973E3" w:rsidRPr="00E87D28">
        <w:rPr>
          <w:i/>
          <w:sz w:val="24"/>
          <w:szCs w:val="24"/>
        </w:rPr>
        <w:t xml:space="preserve"> Akitu. </w:t>
      </w:r>
      <w:r w:rsidR="000973E3" w:rsidRPr="00E87D28">
        <w:rPr>
          <w:i/>
          <w:sz w:val="24"/>
          <w:szCs w:val="24"/>
        </w:rPr>
        <w:br/>
      </w:r>
      <w:r w:rsidR="000973E3" w:rsidRPr="00E87D28">
        <w:rPr>
          <w:i/>
          <w:sz w:val="24"/>
          <w:szCs w:val="24"/>
        </w:rPr>
        <w:br/>
      </w:r>
      <w:r w:rsidR="000973E3" w:rsidRPr="00E87D28">
        <w:rPr>
          <w:sz w:val="24"/>
          <w:szCs w:val="24"/>
        </w:rPr>
        <w:t>I</w:t>
      </w:r>
      <w:r w:rsidR="00081DA8" w:rsidRPr="00E87D28">
        <w:rPr>
          <w:sz w:val="24"/>
          <w:szCs w:val="24"/>
        </w:rPr>
        <w:t xml:space="preserve">nterestingly, both Seleucus I and his co-ruler, Antiochus I, appear to have had an interest in the Near Eastern kings and as such sought inspiration from them to implement within their own royal </w:t>
      </w:r>
      <w:r w:rsidR="00081DA8" w:rsidRPr="00E87D28">
        <w:rPr>
          <w:sz w:val="24"/>
          <w:szCs w:val="24"/>
        </w:rPr>
        <w:br/>
        <w:t xml:space="preserve">positions. This was not the only conscious decision applied within their royal ideology. When Antiochus became co-ruler alongside Seleucus, the representation of Apollo </w:t>
      </w:r>
      <w:r w:rsidR="00314C7A" w:rsidRPr="00E87D28">
        <w:rPr>
          <w:sz w:val="24"/>
          <w:szCs w:val="24"/>
        </w:rPr>
        <w:t xml:space="preserve">within his royal policies </w:t>
      </w:r>
      <w:r w:rsidR="00081DA8" w:rsidRPr="00E87D28">
        <w:rPr>
          <w:sz w:val="24"/>
          <w:szCs w:val="24"/>
        </w:rPr>
        <w:t xml:space="preserve">increased, and then even more so when Antiochus became sole ruler. </w:t>
      </w:r>
      <w:r w:rsidR="0062209E" w:rsidRPr="00E87D28">
        <w:rPr>
          <w:sz w:val="24"/>
          <w:szCs w:val="24"/>
        </w:rPr>
        <w:t>Erickson</w:t>
      </w:r>
      <w:r w:rsidR="0062209E" w:rsidRPr="00E87D28">
        <w:rPr>
          <w:rStyle w:val="FootnoteReference"/>
          <w:sz w:val="24"/>
          <w:szCs w:val="24"/>
        </w:rPr>
        <w:footnoteReference w:id="28"/>
      </w:r>
      <w:r w:rsidR="0062209E" w:rsidRPr="00E87D28">
        <w:rPr>
          <w:sz w:val="24"/>
          <w:szCs w:val="24"/>
        </w:rPr>
        <w:t xml:space="preserve"> argues that Apollo was a political device employed by the royal court that would allow him to strengthen his legitimacy.</w:t>
      </w:r>
      <w:r w:rsidR="00B25B49" w:rsidRPr="00E87D28">
        <w:rPr>
          <w:sz w:val="24"/>
          <w:szCs w:val="24"/>
        </w:rPr>
        <w:t xml:space="preserve"> Importantly for us there are two deities that are linked with Apollo; Mithras, who for our purposes is irrelevant, and Nabȗ</w:t>
      </w:r>
      <w:r w:rsidR="00E30282" w:rsidRPr="00E87D28">
        <w:rPr>
          <w:rStyle w:val="FootnoteReference"/>
          <w:sz w:val="24"/>
          <w:szCs w:val="24"/>
        </w:rPr>
        <w:footnoteReference w:id="29"/>
      </w:r>
      <w:r w:rsidR="00B25B49" w:rsidRPr="00E87D28">
        <w:rPr>
          <w:sz w:val="24"/>
          <w:szCs w:val="24"/>
        </w:rPr>
        <w:t>. Nabȗ was, essentially, a trivial deity in Babylon, but his importance rose throughout the Neo-Babylonian Empire due to his association with Marduk. One of the clearest relationships we have between Apollo and Nabȗ, is that Marduk, the father of Nabȗ is commonly connected to Zeus, as each are the respective heads of their own pantheons</w:t>
      </w:r>
      <w:r w:rsidR="000451EA" w:rsidRPr="00E87D28">
        <w:rPr>
          <w:sz w:val="24"/>
          <w:szCs w:val="24"/>
        </w:rPr>
        <w:t xml:space="preserve">, and both Nabȗ and Apollo are the respective </w:t>
      </w:r>
      <w:r w:rsidR="000451EA" w:rsidRPr="00E87D28">
        <w:rPr>
          <w:sz w:val="24"/>
          <w:szCs w:val="24"/>
        </w:rPr>
        <w:lastRenderedPageBreak/>
        <w:t xml:space="preserve">sons of those heads. It should also be noted that in the Seleucid era texts Nabȗ was given the title of ‘lord of the universe’ and consequently his popularity continued to rise within Babylonia and Mesopotamia, and could well have contributed to his significance to the Seleucid royals. </w:t>
      </w:r>
      <w:r w:rsidR="00080FB4" w:rsidRPr="00E87D28">
        <w:rPr>
          <w:sz w:val="24"/>
          <w:szCs w:val="24"/>
        </w:rPr>
        <w:t>The connection between Antiochus and Nabȗ, clearly showcase the kings interest in Babylonian religion, and</w:t>
      </w:r>
      <w:r w:rsidR="00314C7A" w:rsidRPr="00E87D28">
        <w:rPr>
          <w:sz w:val="24"/>
          <w:szCs w:val="24"/>
        </w:rPr>
        <w:t xml:space="preserve"> although</w:t>
      </w:r>
      <w:r w:rsidR="00080FB4" w:rsidRPr="00E87D28">
        <w:rPr>
          <w:sz w:val="24"/>
          <w:szCs w:val="24"/>
        </w:rPr>
        <w:t xml:space="preserve"> the role of Nabȗ in the </w:t>
      </w:r>
      <w:r w:rsidR="00080FB4" w:rsidRPr="00E87D28">
        <w:rPr>
          <w:i/>
          <w:sz w:val="24"/>
          <w:szCs w:val="24"/>
        </w:rPr>
        <w:t>Akitu</w:t>
      </w:r>
      <w:r w:rsidR="00314C7A" w:rsidRPr="00E87D28">
        <w:rPr>
          <w:sz w:val="24"/>
          <w:szCs w:val="24"/>
        </w:rPr>
        <w:t xml:space="preserve"> i</w:t>
      </w:r>
      <w:r w:rsidR="00080FB4" w:rsidRPr="00E87D28">
        <w:rPr>
          <w:sz w:val="24"/>
          <w:szCs w:val="24"/>
        </w:rPr>
        <w:t xml:space="preserve">s not fully understood it was regarded as </w:t>
      </w:r>
      <w:r w:rsidR="00314C7A" w:rsidRPr="00E87D28">
        <w:rPr>
          <w:sz w:val="24"/>
          <w:szCs w:val="24"/>
        </w:rPr>
        <w:t>essential</w:t>
      </w:r>
      <w:r w:rsidR="00E30282" w:rsidRPr="00E87D28">
        <w:rPr>
          <w:sz w:val="24"/>
          <w:szCs w:val="24"/>
        </w:rPr>
        <w:t xml:space="preserve">, for it was Nabȗ that greeted the ruler before he travelled to Marduk. </w:t>
      </w:r>
      <w:r w:rsidR="00B25B49" w:rsidRPr="00E87D28">
        <w:rPr>
          <w:sz w:val="24"/>
          <w:szCs w:val="24"/>
        </w:rPr>
        <w:br/>
      </w:r>
      <w:r w:rsidR="00B25B49" w:rsidRPr="00E87D28">
        <w:rPr>
          <w:sz w:val="24"/>
          <w:szCs w:val="24"/>
        </w:rPr>
        <w:br/>
        <w:t>The Borsippa foundation cylinder is probably one of the most prominent recordings of the pairs interaction</w:t>
      </w:r>
      <w:r w:rsidR="00026D2A" w:rsidRPr="00E87D28">
        <w:rPr>
          <w:sz w:val="24"/>
          <w:szCs w:val="24"/>
        </w:rPr>
        <w:t xml:space="preserve"> and evidence that the connection between the two wasn’t merely theoretical. The cylinder is found within the temple of Nabȗ at Borsippa, and on it a cuneiform inscription</w:t>
      </w:r>
      <w:r w:rsidR="00314C7A" w:rsidRPr="00E87D28">
        <w:rPr>
          <w:sz w:val="24"/>
          <w:szCs w:val="24"/>
        </w:rPr>
        <w:t>,</w:t>
      </w:r>
      <w:r w:rsidR="00026D2A" w:rsidRPr="00E87D28">
        <w:rPr>
          <w:sz w:val="24"/>
          <w:szCs w:val="24"/>
        </w:rPr>
        <w:t xml:space="preserve"> in Akkadian language</w:t>
      </w:r>
      <w:r w:rsidR="00314C7A" w:rsidRPr="00E87D28">
        <w:rPr>
          <w:sz w:val="24"/>
          <w:szCs w:val="24"/>
        </w:rPr>
        <w:t xml:space="preserve"> can be established.</w:t>
      </w:r>
      <w:r w:rsidR="00026D2A" w:rsidRPr="00E87D28">
        <w:rPr>
          <w:sz w:val="24"/>
          <w:szCs w:val="24"/>
        </w:rPr>
        <w:t xml:space="preserve"> It is suggested that the cylinder could be far more useful in determining the Babylonian-Seleucid relationships</w:t>
      </w:r>
      <w:r w:rsidR="00314C7A" w:rsidRPr="00E87D28">
        <w:rPr>
          <w:sz w:val="24"/>
          <w:szCs w:val="24"/>
        </w:rPr>
        <w:t xml:space="preserve"> than</w:t>
      </w:r>
      <w:r w:rsidR="00026D2A" w:rsidRPr="00E87D28">
        <w:rPr>
          <w:sz w:val="24"/>
          <w:szCs w:val="24"/>
        </w:rPr>
        <w:t xml:space="preserve"> it is presently used for</w:t>
      </w:r>
      <w:r w:rsidR="00026D2A" w:rsidRPr="00E87D28">
        <w:rPr>
          <w:rStyle w:val="FootnoteReference"/>
          <w:sz w:val="24"/>
          <w:szCs w:val="24"/>
        </w:rPr>
        <w:footnoteReference w:id="30"/>
      </w:r>
      <w:r w:rsidR="00026D2A" w:rsidRPr="00E87D28">
        <w:rPr>
          <w:sz w:val="24"/>
          <w:szCs w:val="24"/>
        </w:rPr>
        <w:t xml:space="preserve">. </w:t>
      </w:r>
      <w:r w:rsidR="00FB4EAB" w:rsidRPr="00E87D28">
        <w:rPr>
          <w:sz w:val="24"/>
          <w:szCs w:val="24"/>
        </w:rPr>
        <w:t xml:space="preserve"> The inscription, particularly the two extracts below, demonstrate</w:t>
      </w:r>
      <w:r w:rsidR="000A1E8B" w:rsidRPr="00E87D28">
        <w:rPr>
          <w:sz w:val="24"/>
          <w:szCs w:val="24"/>
        </w:rPr>
        <w:t xml:space="preserve"> the significance of the relationship between Antiochus and the patron deity, </w:t>
      </w:r>
      <w:r w:rsidR="00FB4EAB" w:rsidRPr="00E87D28">
        <w:rPr>
          <w:sz w:val="24"/>
          <w:szCs w:val="24"/>
        </w:rPr>
        <w:t xml:space="preserve">through </w:t>
      </w:r>
      <w:r w:rsidR="000A1E8B" w:rsidRPr="00E87D28">
        <w:rPr>
          <w:sz w:val="24"/>
          <w:szCs w:val="24"/>
        </w:rPr>
        <w:t>the willingness to not only rebuil</w:t>
      </w:r>
      <w:r w:rsidR="00FB4EAB" w:rsidRPr="00E87D28">
        <w:rPr>
          <w:sz w:val="24"/>
          <w:szCs w:val="24"/>
        </w:rPr>
        <w:t xml:space="preserve">d the temple but to adorn it with the inscriptional cylinder.  </w:t>
      </w:r>
    </w:p>
    <w:p w:rsidR="00081DA8" w:rsidRPr="00E87D28" w:rsidRDefault="000A1E8B" w:rsidP="00E87D28">
      <w:pPr>
        <w:spacing w:line="480" w:lineRule="auto"/>
        <w:ind w:left="720"/>
        <w:rPr>
          <w:sz w:val="24"/>
          <w:szCs w:val="24"/>
        </w:rPr>
      </w:pPr>
      <w:r w:rsidRPr="00E87D28">
        <w:rPr>
          <w:sz w:val="24"/>
          <w:szCs w:val="24"/>
        </w:rPr>
        <w:t>‘</w:t>
      </w:r>
      <w:r w:rsidRPr="00E87D28">
        <w:rPr>
          <w:i/>
          <w:sz w:val="24"/>
          <w:szCs w:val="24"/>
        </w:rPr>
        <w:t>When I decided to build Esagila and Ezida, the bricks for Esagila and Ezida I moulded with my pure hands (using) fine quality oil in the land of Hatti and for the laying of the fou</w:t>
      </w:r>
      <w:r w:rsidR="00FB4EAB" w:rsidRPr="00E87D28">
        <w:rPr>
          <w:i/>
          <w:sz w:val="24"/>
          <w:szCs w:val="24"/>
        </w:rPr>
        <w:t xml:space="preserve">ndation of Esagila and Ezida I </w:t>
      </w:r>
      <w:r w:rsidRPr="00E87D28">
        <w:rPr>
          <w:i/>
          <w:sz w:val="24"/>
          <w:szCs w:val="24"/>
        </w:rPr>
        <w:t xml:space="preserve">brought (them). In the month of </w:t>
      </w:r>
      <w:proofErr w:type="spellStart"/>
      <w:r w:rsidRPr="00E87D28">
        <w:rPr>
          <w:i/>
          <w:sz w:val="24"/>
          <w:szCs w:val="24"/>
        </w:rPr>
        <w:t>Addaru</w:t>
      </w:r>
      <w:proofErr w:type="spellEnd"/>
      <w:r w:rsidRPr="00E87D28">
        <w:rPr>
          <w:i/>
          <w:sz w:val="24"/>
          <w:szCs w:val="24"/>
        </w:rPr>
        <w:t xml:space="preserve">, on the twentieth day, year 43, the foundation of Ezida, the true temple, the house of </w:t>
      </w:r>
      <w:proofErr w:type="spellStart"/>
      <w:r w:rsidRPr="00E87D28">
        <w:rPr>
          <w:i/>
          <w:sz w:val="24"/>
          <w:szCs w:val="24"/>
        </w:rPr>
        <w:t>Nabû</w:t>
      </w:r>
      <w:proofErr w:type="spellEnd"/>
      <w:r w:rsidRPr="00E87D28">
        <w:rPr>
          <w:i/>
          <w:sz w:val="24"/>
          <w:szCs w:val="24"/>
        </w:rPr>
        <w:t xml:space="preserve"> which is in Borsippa I did lay.’</w:t>
      </w:r>
      <w:r w:rsidRPr="00E87D28">
        <w:rPr>
          <w:rStyle w:val="FootnoteReference"/>
          <w:i/>
          <w:sz w:val="24"/>
          <w:szCs w:val="24"/>
        </w:rPr>
        <w:footnoteReference w:id="31"/>
      </w:r>
    </w:p>
    <w:p w:rsidR="00FB4EAB" w:rsidRPr="00E87D28" w:rsidRDefault="00FB4EAB" w:rsidP="00E87D28">
      <w:pPr>
        <w:spacing w:line="480" w:lineRule="auto"/>
        <w:rPr>
          <w:color w:val="44546A" w:themeColor="text2"/>
          <w:sz w:val="24"/>
          <w:szCs w:val="24"/>
        </w:rPr>
      </w:pPr>
      <w:r w:rsidRPr="00E87D28">
        <w:rPr>
          <w:sz w:val="24"/>
          <w:szCs w:val="24"/>
        </w:rPr>
        <w:lastRenderedPageBreak/>
        <w:t>and</w:t>
      </w:r>
    </w:p>
    <w:p w:rsidR="00FB4EAB" w:rsidRPr="00E87D28" w:rsidRDefault="00113904" w:rsidP="00E87D28">
      <w:pPr>
        <w:spacing w:line="480" w:lineRule="auto"/>
        <w:ind w:left="720"/>
        <w:rPr>
          <w:i/>
          <w:sz w:val="24"/>
          <w:szCs w:val="24"/>
        </w:rPr>
      </w:pPr>
      <w:r w:rsidRPr="00E87D28">
        <w:rPr>
          <w:i/>
          <w:sz w:val="24"/>
          <w:szCs w:val="24"/>
        </w:rPr>
        <w:t xml:space="preserve">‘Prince </w:t>
      </w:r>
      <w:proofErr w:type="spellStart"/>
      <w:r w:rsidRPr="00E87D28">
        <w:rPr>
          <w:i/>
          <w:sz w:val="24"/>
          <w:szCs w:val="24"/>
        </w:rPr>
        <w:t>Nabû</w:t>
      </w:r>
      <w:proofErr w:type="spellEnd"/>
      <w:r w:rsidRPr="00E87D28">
        <w:rPr>
          <w:i/>
          <w:sz w:val="24"/>
          <w:szCs w:val="24"/>
        </w:rPr>
        <w:t xml:space="preserve">, son of Esagil, first-born of Marduk, noble child of </w:t>
      </w:r>
      <w:proofErr w:type="spellStart"/>
      <w:r w:rsidRPr="00E87D28">
        <w:rPr>
          <w:i/>
          <w:sz w:val="24"/>
          <w:szCs w:val="24"/>
        </w:rPr>
        <w:t>Erua</w:t>
      </w:r>
      <w:proofErr w:type="spellEnd"/>
      <w:r w:rsidRPr="00E87D28">
        <w:rPr>
          <w:i/>
          <w:sz w:val="24"/>
          <w:szCs w:val="24"/>
        </w:rPr>
        <w:t>, the queen, on your entry to Ezida, the true house, the house of your Anu-ship, the dwelling which pleases your heart, with rejoicing and jubilation, may – at your true command which cannot be denied – may my days be long, my years many, my throne firm, my reign long-lasting, under your lofty sceptre which sets the boundary between heaven and earth. May my good fortune be in your pure mouth, may I conquer the countries from sunrise to sunset, may I gather their tribute with my hands and bring (it) for the perfection of Esagil and Ezida’</w:t>
      </w:r>
      <w:r w:rsidRPr="00E87D28">
        <w:rPr>
          <w:rStyle w:val="FootnoteReference"/>
          <w:i/>
          <w:sz w:val="24"/>
          <w:szCs w:val="24"/>
        </w:rPr>
        <w:footnoteReference w:id="32"/>
      </w:r>
      <w:r w:rsidR="00FB4EAB" w:rsidRPr="00E87D28">
        <w:rPr>
          <w:i/>
          <w:sz w:val="24"/>
          <w:szCs w:val="24"/>
        </w:rPr>
        <w:t>.</w:t>
      </w:r>
    </w:p>
    <w:p w:rsidR="00560FCF" w:rsidRPr="00E87D28" w:rsidRDefault="00FB4EAB" w:rsidP="00E87D28">
      <w:pPr>
        <w:spacing w:line="480" w:lineRule="auto"/>
        <w:rPr>
          <w:sz w:val="24"/>
          <w:szCs w:val="24"/>
        </w:rPr>
      </w:pPr>
      <w:r w:rsidRPr="00E87D28">
        <w:rPr>
          <w:sz w:val="24"/>
          <w:szCs w:val="24"/>
        </w:rPr>
        <w:t xml:space="preserve">This exhibits, undoubtedly, that Antiochus had an interest in the Babylonian cults, </w:t>
      </w:r>
      <w:r w:rsidR="00C05AD6" w:rsidRPr="00E87D28">
        <w:rPr>
          <w:sz w:val="24"/>
          <w:szCs w:val="24"/>
        </w:rPr>
        <w:t xml:space="preserve">and happily worshipped Nabȗ outside of the </w:t>
      </w:r>
      <w:r w:rsidR="00C05AD6" w:rsidRPr="00E87D28">
        <w:rPr>
          <w:i/>
          <w:sz w:val="24"/>
          <w:szCs w:val="24"/>
        </w:rPr>
        <w:t xml:space="preserve">Akitu. </w:t>
      </w:r>
      <w:r w:rsidR="00C05AD6" w:rsidRPr="00E87D28">
        <w:rPr>
          <w:sz w:val="24"/>
          <w:szCs w:val="24"/>
        </w:rPr>
        <w:t>The festival, however, appeared to be the clearest way to utilise the legitimizing influence of Nabȗ.</w:t>
      </w:r>
      <w:r w:rsidR="00C05AD6" w:rsidRPr="00E87D28">
        <w:rPr>
          <w:i/>
          <w:sz w:val="24"/>
          <w:szCs w:val="24"/>
        </w:rPr>
        <w:t xml:space="preserve"> </w:t>
      </w:r>
      <w:r w:rsidR="00C05AD6" w:rsidRPr="00E87D28">
        <w:rPr>
          <w:sz w:val="24"/>
          <w:szCs w:val="24"/>
        </w:rPr>
        <w:t xml:space="preserve">The suggestion then would be that either the </w:t>
      </w:r>
      <w:r w:rsidR="00C05AD6" w:rsidRPr="00E87D28">
        <w:rPr>
          <w:i/>
          <w:sz w:val="24"/>
          <w:szCs w:val="24"/>
        </w:rPr>
        <w:t xml:space="preserve">Akitu </w:t>
      </w:r>
      <w:r w:rsidR="00C05AD6" w:rsidRPr="00E87D28">
        <w:rPr>
          <w:sz w:val="24"/>
          <w:szCs w:val="24"/>
        </w:rPr>
        <w:t xml:space="preserve">was not deemed to be politically important enough to partake in, and retained its archaic cosmogonic role or that the destructive state that Esagila was in during his reign refrained him from taking part in the festival. </w:t>
      </w:r>
      <w:r w:rsidR="00F15494" w:rsidRPr="00E87D28">
        <w:rPr>
          <w:sz w:val="24"/>
          <w:szCs w:val="24"/>
        </w:rPr>
        <w:t>Evidence in Sherwin-White</w:t>
      </w:r>
      <w:r w:rsidR="00F15494" w:rsidRPr="00E87D28">
        <w:rPr>
          <w:rStyle w:val="FootnoteReference"/>
          <w:sz w:val="24"/>
          <w:szCs w:val="24"/>
        </w:rPr>
        <w:footnoteReference w:id="33"/>
      </w:r>
      <w:r w:rsidR="00F15494" w:rsidRPr="00E87D28">
        <w:rPr>
          <w:sz w:val="24"/>
          <w:szCs w:val="24"/>
        </w:rPr>
        <w:t xml:space="preserve"> of Seleucus III’s involvement in the </w:t>
      </w:r>
      <w:r w:rsidR="00F15494" w:rsidRPr="00E87D28">
        <w:rPr>
          <w:i/>
          <w:sz w:val="24"/>
          <w:szCs w:val="24"/>
        </w:rPr>
        <w:t>Akitu</w:t>
      </w:r>
      <w:r w:rsidR="00F15494" w:rsidRPr="00E87D28">
        <w:rPr>
          <w:sz w:val="24"/>
          <w:szCs w:val="24"/>
        </w:rPr>
        <w:t xml:space="preserve"> festival</w:t>
      </w:r>
      <w:r w:rsidR="00625F50" w:rsidRPr="00E87D28">
        <w:rPr>
          <w:sz w:val="24"/>
          <w:szCs w:val="24"/>
        </w:rPr>
        <w:t xml:space="preserve"> including the offering he gave to Esagila, alludes to Antiochus’s inability to participate not his lack of wanting.</w:t>
      </w:r>
    </w:p>
    <w:p w:rsidR="00804EA2" w:rsidRPr="00E87D28" w:rsidRDefault="00C05AD6" w:rsidP="00E87D28">
      <w:pPr>
        <w:spacing w:line="480" w:lineRule="auto"/>
        <w:rPr>
          <w:sz w:val="24"/>
          <w:szCs w:val="24"/>
          <w:u w:val="single"/>
        </w:rPr>
      </w:pPr>
      <w:r w:rsidRPr="00E87D28">
        <w:rPr>
          <w:sz w:val="24"/>
          <w:szCs w:val="24"/>
          <w:u w:val="single"/>
        </w:rPr>
        <w:t>Concluding Remarks</w:t>
      </w:r>
    </w:p>
    <w:p w:rsidR="00804EA2" w:rsidRPr="00E87D28" w:rsidRDefault="00804EA2" w:rsidP="00E87D28">
      <w:pPr>
        <w:spacing w:line="480" w:lineRule="auto"/>
        <w:rPr>
          <w:sz w:val="24"/>
          <w:szCs w:val="24"/>
        </w:rPr>
      </w:pPr>
      <w:r w:rsidRPr="00E87D28">
        <w:rPr>
          <w:sz w:val="24"/>
          <w:szCs w:val="24"/>
        </w:rPr>
        <w:t xml:space="preserve">So while it has become clear early on in this essay that the </w:t>
      </w:r>
      <w:r w:rsidRPr="00E87D28">
        <w:rPr>
          <w:i/>
          <w:sz w:val="24"/>
          <w:szCs w:val="24"/>
        </w:rPr>
        <w:t>Akitu</w:t>
      </w:r>
      <w:r w:rsidRPr="00E87D28">
        <w:rPr>
          <w:sz w:val="24"/>
          <w:szCs w:val="24"/>
        </w:rPr>
        <w:t xml:space="preserve"> festival should not be treated as a</w:t>
      </w:r>
      <w:r w:rsidR="00F72430" w:rsidRPr="00E87D28">
        <w:rPr>
          <w:sz w:val="24"/>
          <w:szCs w:val="24"/>
        </w:rPr>
        <w:t xml:space="preserve"> singular ritual but should always be placed in context for the time, location and individuals involved. </w:t>
      </w:r>
      <w:r w:rsidR="00C70A96" w:rsidRPr="00E87D28">
        <w:rPr>
          <w:sz w:val="24"/>
          <w:szCs w:val="24"/>
        </w:rPr>
        <w:t xml:space="preserve">It is perhaps easier to appreciate the role of the </w:t>
      </w:r>
      <w:r w:rsidR="00C70A96" w:rsidRPr="00E87D28">
        <w:rPr>
          <w:i/>
          <w:sz w:val="24"/>
          <w:szCs w:val="24"/>
        </w:rPr>
        <w:t>Akitu</w:t>
      </w:r>
      <w:r w:rsidR="00C70A96" w:rsidRPr="00E87D28">
        <w:rPr>
          <w:sz w:val="24"/>
          <w:szCs w:val="24"/>
        </w:rPr>
        <w:t xml:space="preserve"> festival in the </w:t>
      </w:r>
      <w:r w:rsidR="00C70A96" w:rsidRPr="00E87D28">
        <w:rPr>
          <w:sz w:val="24"/>
          <w:szCs w:val="24"/>
        </w:rPr>
        <w:lastRenderedPageBreak/>
        <w:t>wider context of the monarchies that utilised them. The Seleucids, for example, ruled a multinational empire as foreign rulers. They were conscious of their Macedonian heritage and their role with the Greek communities, they also acknowledged their rule with the Eastern satrapies. Upon reflection,</w:t>
      </w:r>
      <w:r w:rsidR="00F72430" w:rsidRPr="00E87D28">
        <w:rPr>
          <w:sz w:val="24"/>
          <w:szCs w:val="24"/>
        </w:rPr>
        <w:t xml:space="preserve"> the examination of the cultural and political implications of the Akitu festival discussed within this essay, considered together with the royal policies of the Seleucids, including their associations with Nabȗ, the Borsippan cylinder and the temple construction at Esagila, provide an insight into the availability of the festival,</w:t>
      </w:r>
      <w:r w:rsidR="00625F50" w:rsidRPr="00E87D28">
        <w:rPr>
          <w:sz w:val="24"/>
          <w:szCs w:val="24"/>
        </w:rPr>
        <w:t xml:space="preserve"> as a device, to the Seleucids and their desire to utilise the foreign religious policies to enhance their own. It appears the Seleucids were able to exploit the traditional Babylonian associations whilst maintaining involvement in their own Greco-Macedonian cults through the syncretism of their deities. Although, with very little evidence for the participation of any Seleucid royals within the </w:t>
      </w:r>
      <w:r w:rsidR="00625F50" w:rsidRPr="00E87D28">
        <w:rPr>
          <w:i/>
          <w:sz w:val="24"/>
          <w:szCs w:val="24"/>
        </w:rPr>
        <w:t>Akitu</w:t>
      </w:r>
      <w:r w:rsidR="00625F50" w:rsidRPr="00E87D28">
        <w:rPr>
          <w:sz w:val="24"/>
          <w:szCs w:val="24"/>
        </w:rPr>
        <w:t xml:space="preserve"> itself, outside of Seleucus III, </w:t>
      </w:r>
      <w:r w:rsidR="00314C7A" w:rsidRPr="00E87D28">
        <w:rPr>
          <w:sz w:val="24"/>
          <w:szCs w:val="24"/>
        </w:rPr>
        <w:t xml:space="preserve">the previous interactions should be put down to the complicated agenda of the royal ideology both politically and culturally and not necessarily a reflection of the </w:t>
      </w:r>
      <w:r w:rsidR="00314C7A" w:rsidRPr="00E87D28">
        <w:rPr>
          <w:i/>
          <w:sz w:val="24"/>
          <w:szCs w:val="24"/>
        </w:rPr>
        <w:t xml:space="preserve">Akitu’s </w:t>
      </w:r>
      <w:r w:rsidR="00314C7A" w:rsidRPr="00E87D28">
        <w:rPr>
          <w:sz w:val="24"/>
          <w:szCs w:val="24"/>
        </w:rPr>
        <w:t>worth as a political device. Instead the festival should continue to be treated as an ideological blend of cosmogony, theology and politics</w:t>
      </w:r>
      <w:r w:rsidR="00E87D28" w:rsidRPr="00E87D28">
        <w:rPr>
          <w:sz w:val="24"/>
          <w:szCs w:val="24"/>
        </w:rPr>
        <w:t xml:space="preserve"> which combine to promote the conceptual idea of order of chaos. </w:t>
      </w:r>
    </w:p>
    <w:p w:rsidR="00804EA2" w:rsidRPr="00E87D28" w:rsidRDefault="00804EA2" w:rsidP="00E87D28">
      <w:pPr>
        <w:spacing w:line="480" w:lineRule="auto"/>
        <w:rPr>
          <w:b/>
          <w:color w:val="7030A0"/>
          <w:sz w:val="24"/>
          <w:szCs w:val="24"/>
          <w:u w:val="single"/>
        </w:rPr>
      </w:pPr>
    </w:p>
    <w:p w:rsidR="00AC1340" w:rsidRPr="00E87D28" w:rsidRDefault="00AC1340" w:rsidP="00E87D28">
      <w:pPr>
        <w:spacing w:line="480" w:lineRule="auto"/>
        <w:rPr>
          <w:b/>
          <w:sz w:val="24"/>
          <w:szCs w:val="24"/>
          <w:u w:val="single"/>
        </w:rPr>
      </w:pPr>
    </w:p>
    <w:p w:rsidR="00AC1340" w:rsidRPr="00E87D28" w:rsidRDefault="00AC1340" w:rsidP="00E87D28">
      <w:pPr>
        <w:spacing w:line="480" w:lineRule="auto"/>
        <w:rPr>
          <w:b/>
          <w:sz w:val="24"/>
          <w:szCs w:val="24"/>
          <w:u w:val="single"/>
        </w:rPr>
      </w:pPr>
    </w:p>
    <w:p w:rsidR="00AC1340" w:rsidRPr="00E87D28" w:rsidRDefault="00AC1340" w:rsidP="00E87D28">
      <w:pPr>
        <w:spacing w:line="480" w:lineRule="auto"/>
        <w:rPr>
          <w:b/>
          <w:sz w:val="24"/>
          <w:szCs w:val="24"/>
          <w:u w:val="single"/>
        </w:rPr>
      </w:pPr>
    </w:p>
    <w:p w:rsidR="00E87D28" w:rsidRDefault="00704FF2" w:rsidP="00E87D28">
      <w:pPr>
        <w:spacing w:line="480" w:lineRule="auto"/>
        <w:rPr>
          <w:sz w:val="24"/>
          <w:szCs w:val="24"/>
        </w:rPr>
      </w:pPr>
      <w:bookmarkStart w:id="6" w:name="_GoBack"/>
      <w:bookmarkEnd w:id="6"/>
      <w:proofErr w:type="spellStart"/>
      <w:r w:rsidRPr="00E87D28">
        <w:rPr>
          <w:sz w:val="24"/>
          <w:szCs w:val="24"/>
        </w:rPr>
        <w:t>Wordcount</w:t>
      </w:r>
      <w:proofErr w:type="spellEnd"/>
      <w:r w:rsidRPr="00E87D28">
        <w:rPr>
          <w:sz w:val="24"/>
          <w:szCs w:val="24"/>
        </w:rPr>
        <w:t>:</w:t>
      </w:r>
      <w:r w:rsidR="00E87D28" w:rsidRPr="00E87D28">
        <w:rPr>
          <w:sz w:val="24"/>
          <w:szCs w:val="24"/>
        </w:rPr>
        <w:t xml:space="preserve"> 4688</w:t>
      </w:r>
    </w:p>
    <w:p w:rsidR="00AC1340" w:rsidRPr="00E87D28" w:rsidRDefault="00AC1340" w:rsidP="00E87D28">
      <w:pPr>
        <w:spacing w:line="480" w:lineRule="auto"/>
        <w:rPr>
          <w:sz w:val="24"/>
          <w:szCs w:val="24"/>
        </w:rPr>
      </w:pPr>
      <w:r w:rsidRPr="00E87D28">
        <w:rPr>
          <w:b/>
          <w:sz w:val="24"/>
          <w:szCs w:val="24"/>
          <w:u w:val="single"/>
        </w:rPr>
        <w:lastRenderedPageBreak/>
        <w:t>References</w:t>
      </w:r>
      <w:r w:rsidRPr="00E87D28">
        <w:rPr>
          <w:b/>
          <w:sz w:val="24"/>
          <w:szCs w:val="24"/>
          <w:u w:val="single"/>
        </w:rPr>
        <w:br/>
      </w:r>
      <w:r w:rsidRPr="00E87D28">
        <w:rPr>
          <w:b/>
          <w:sz w:val="24"/>
          <w:szCs w:val="24"/>
          <w:u w:val="single"/>
        </w:rPr>
        <w:br/>
      </w:r>
      <w:proofErr w:type="spellStart"/>
      <w:r w:rsidRPr="00E87D28">
        <w:rPr>
          <w:sz w:val="24"/>
          <w:szCs w:val="24"/>
        </w:rPr>
        <w:t>Bidmead</w:t>
      </w:r>
      <w:proofErr w:type="spellEnd"/>
      <w:r w:rsidRPr="00E87D28">
        <w:rPr>
          <w:sz w:val="24"/>
          <w:szCs w:val="24"/>
        </w:rPr>
        <w:t xml:space="preserve">, J. 2002. </w:t>
      </w:r>
      <w:r w:rsidRPr="00E87D28">
        <w:rPr>
          <w:i/>
          <w:sz w:val="24"/>
          <w:szCs w:val="24"/>
        </w:rPr>
        <w:t xml:space="preserve">The Akitu Festival: Religious Continuity and Royal Legitimation in Mesopotamia. </w:t>
      </w:r>
      <w:r w:rsidRPr="00E87D28">
        <w:rPr>
          <w:sz w:val="24"/>
          <w:szCs w:val="24"/>
        </w:rPr>
        <w:t>Gorgias Dissertations</w:t>
      </w:r>
      <w:r w:rsidR="00295899" w:rsidRPr="00E87D28">
        <w:rPr>
          <w:sz w:val="24"/>
          <w:szCs w:val="24"/>
        </w:rPr>
        <w:t>: Near Eastern Studies 2</w:t>
      </w:r>
      <w:r w:rsidRPr="00E87D28">
        <w:rPr>
          <w:sz w:val="24"/>
          <w:szCs w:val="24"/>
        </w:rPr>
        <w:t>.</w:t>
      </w:r>
      <w:r w:rsidR="00295899" w:rsidRPr="00E87D28">
        <w:rPr>
          <w:sz w:val="24"/>
          <w:szCs w:val="24"/>
        </w:rPr>
        <w:t xml:space="preserve"> New Jersey: Gorgias Press.</w:t>
      </w:r>
      <w:r w:rsidRPr="00E87D28">
        <w:rPr>
          <w:sz w:val="24"/>
          <w:szCs w:val="24"/>
        </w:rPr>
        <w:t xml:space="preserve"> </w:t>
      </w:r>
    </w:p>
    <w:p w:rsidR="0062209E" w:rsidRPr="00E87D28" w:rsidRDefault="0062209E" w:rsidP="00E87D28">
      <w:pPr>
        <w:spacing w:line="480" w:lineRule="auto"/>
        <w:rPr>
          <w:sz w:val="24"/>
          <w:szCs w:val="24"/>
        </w:rPr>
      </w:pPr>
      <w:r w:rsidRPr="00E87D28">
        <w:rPr>
          <w:sz w:val="24"/>
          <w:szCs w:val="24"/>
        </w:rPr>
        <w:t xml:space="preserve">Beaulieu, P. 2014. ‘Nabu and Apollo: The Two Faces of Seleucid Religious Policy’ in F. Hoffman and K. S. Schmidt (eds.), </w:t>
      </w:r>
      <w:r w:rsidRPr="00E87D28">
        <w:rPr>
          <w:i/>
          <w:sz w:val="24"/>
          <w:szCs w:val="24"/>
        </w:rPr>
        <w:t xml:space="preserve">Orient und </w:t>
      </w:r>
      <w:proofErr w:type="spellStart"/>
      <w:r w:rsidRPr="00E87D28">
        <w:rPr>
          <w:i/>
          <w:sz w:val="24"/>
          <w:szCs w:val="24"/>
        </w:rPr>
        <w:t>Okzident</w:t>
      </w:r>
      <w:proofErr w:type="spellEnd"/>
      <w:r w:rsidRPr="00E87D28">
        <w:rPr>
          <w:i/>
          <w:sz w:val="24"/>
          <w:szCs w:val="24"/>
        </w:rPr>
        <w:t xml:space="preserve"> in </w:t>
      </w:r>
      <w:proofErr w:type="spellStart"/>
      <w:r w:rsidRPr="00E87D28">
        <w:rPr>
          <w:i/>
          <w:sz w:val="24"/>
          <w:szCs w:val="24"/>
        </w:rPr>
        <w:t>Hellenistischer</w:t>
      </w:r>
      <w:proofErr w:type="spellEnd"/>
      <w:r w:rsidRPr="00E87D28">
        <w:rPr>
          <w:i/>
          <w:sz w:val="24"/>
          <w:szCs w:val="24"/>
        </w:rPr>
        <w:t xml:space="preserve"> </w:t>
      </w:r>
      <w:proofErr w:type="spellStart"/>
      <w:r w:rsidRPr="00E87D28">
        <w:rPr>
          <w:i/>
          <w:sz w:val="24"/>
          <w:szCs w:val="24"/>
        </w:rPr>
        <w:t>Zeit</w:t>
      </w:r>
      <w:proofErr w:type="spellEnd"/>
      <w:r w:rsidRPr="00E87D28">
        <w:rPr>
          <w:sz w:val="24"/>
          <w:szCs w:val="24"/>
        </w:rPr>
        <w:t xml:space="preserve">. </w:t>
      </w:r>
      <w:proofErr w:type="spellStart"/>
      <w:r w:rsidRPr="00E87D28">
        <w:rPr>
          <w:sz w:val="24"/>
          <w:szCs w:val="24"/>
        </w:rPr>
        <w:t>Vaterstetten</w:t>
      </w:r>
      <w:proofErr w:type="spellEnd"/>
      <w:r w:rsidRPr="00E87D28">
        <w:rPr>
          <w:sz w:val="24"/>
          <w:szCs w:val="24"/>
        </w:rPr>
        <w:t xml:space="preserve">: </w:t>
      </w:r>
      <w:proofErr w:type="spellStart"/>
      <w:r w:rsidRPr="00E87D28">
        <w:rPr>
          <w:sz w:val="24"/>
          <w:szCs w:val="24"/>
        </w:rPr>
        <w:t>Verlag</w:t>
      </w:r>
      <w:proofErr w:type="spellEnd"/>
      <w:r w:rsidRPr="00E87D28">
        <w:rPr>
          <w:sz w:val="24"/>
          <w:szCs w:val="24"/>
        </w:rPr>
        <w:t xml:space="preserve"> Patrick Brose</w:t>
      </w:r>
    </w:p>
    <w:p w:rsidR="00AC1340" w:rsidRPr="00E87D28" w:rsidRDefault="002E7101" w:rsidP="00E87D28">
      <w:pPr>
        <w:spacing w:line="480" w:lineRule="auto"/>
        <w:rPr>
          <w:sz w:val="24"/>
          <w:szCs w:val="24"/>
        </w:rPr>
      </w:pPr>
      <w:r w:rsidRPr="00E87D28">
        <w:rPr>
          <w:sz w:val="24"/>
          <w:szCs w:val="24"/>
        </w:rPr>
        <w:t xml:space="preserve">Cohen, M. E. 1993. </w:t>
      </w:r>
      <w:r w:rsidRPr="00E87D28">
        <w:rPr>
          <w:i/>
          <w:sz w:val="24"/>
          <w:szCs w:val="24"/>
        </w:rPr>
        <w:t>The cultic calendars of the ancient Near East</w:t>
      </w:r>
      <w:r w:rsidRPr="00E87D28">
        <w:rPr>
          <w:sz w:val="24"/>
          <w:szCs w:val="24"/>
        </w:rPr>
        <w:t>. Bethesda: CDL Press.</w:t>
      </w:r>
    </w:p>
    <w:p w:rsidR="00207848" w:rsidRPr="00E87D28" w:rsidRDefault="00207848" w:rsidP="00E87D28">
      <w:pPr>
        <w:spacing w:line="480" w:lineRule="auto"/>
        <w:rPr>
          <w:sz w:val="24"/>
          <w:szCs w:val="24"/>
        </w:rPr>
      </w:pPr>
      <w:r w:rsidRPr="00E87D28">
        <w:rPr>
          <w:sz w:val="24"/>
          <w:szCs w:val="24"/>
        </w:rPr>
        <w:t xml:space="preserve">Erickson, E. 2009. </w:t>
      </w:r>
      <w:r w:rsidRPr="00E87D28">
        <w:rPr>
          <w:i/>
          <w:sz w:val="24"/>
          <w:szCs w:val="24"/>
        </w:rPr>
        <w:t>The early Seleucids, their gods and their coins</w:t>
      </w:r>
      <w:r w:rsidR="00764A4B" w:rsidRPr="00E87D28">
        <w:rPr>
          <w:i/>
          <w:sz w:val="24"/>
          <w:szCs w:val="24"/>
        </w:rPr>
        <w:t xml:space="preserve">. </w:t>
      </w:r>
      <w:r w:rsidR="00764A4B" w:rsidRPr="00E87D28">
        <w:rPr>
          <w:sz w:val="24"/>
          <w:szCs w:val="24"/>
        </w:rPr>
        <w:t>PhD Thesis. University of Exeter.</w:t>
      </w:r>
      <w:r w:rsidR="00AE69DC" w:rsidRPr="00E87D28">
        <w:rPr>
          <w:sz w:val="24"/>
          <w:szCs w:val="24"/>
        </w:rPr>
        <w:br/>
        <w:t xml:space="preserve"> </w:t>
      </w:r>
      <w:r w:rsidR="00AE69DC" w:rsidRPr="00E87D28">
        <w:rPr>
          <w:sz w:val="24"/>
          <w:szCs w:val="24"/>
        </w:rPr>
        <w:br/>
      </w:r>
      <w:proofErr w:type="spellStart"/>
      <w:r w:rsidR="00AE69DC" w:rsidRPr="00E87D28">
        <w:rPr>
          <w:rFonts w:cs="Helvetica"/>
          <w:sz w:val="24"/>
          <w:szCs w:val="24"/>
          <w:shd w:val="clear" w:color="auto" w:fill="FFFFFF"/>
        </w:rPr>
        <w:t>Erickon</w:t>
      </w:r>
      <w:proofErr w:type="spellEnd"/>
      <w:r w:rsidR="00AE69DC" w:rsidRPr="00E87D28">
        <w:rPr>
          <w:rFonts w:cs="Helvetica"/>
          <w:sz w:val="24"/>
          <w:szCs w:val="24"/>
          <w:shd w:val="clear" w:color="auto" w:fill="FFFFFF"/>
        </w:rPr>
        <w:t>, K., 2011. ‘Apollo-</w:t>
      </w:r>
      <w:proofErr w:type="spellStart"/>
      <w:r w:rsidR="00AE69DC" w:rsidRPr="00E87D28">
        <w:rPr>
          <w:rFonts w:cs="Helvetica"/>
          <w:sz w:val="24"/>
          <w:szCs w:val="24"/>
          <w:shd w:val="clear" w:color="auto" w:fill="FFFFFF"/>
        </w:rPr>
        <w:t>Nabû</w:t>
      </w:r>
      <w:proofErr w:type="spellEnd"/>
      <w:r w:rsidR="00AE69DC" w:rsidRPr="00E87D28">
        <w:rPr>
          <w:rFonts w:cs="Helvetica"/>
          <w:sz w:val="24"/>
          <w:szCs w:val="24"/>
          <w:shd w:val="clear" w:color="auto" w:fill="FFFFFF"/>
        </w:rPr>
        <w:t xml:space="preserve">: the Babylonian Policy of Antiochus I’ </w:t>
      </w:r>
      <w:proofErr w:type="gramStart"/>
      <w:r w:rsidR="00AE69DC" w:rsidRPr="00E87D28">
        <w:rPr>
          <w:rFonts w:cs="Helvetica"/>
          <w:sz w:val="24"/>
          <w:szCs w:val="24"/>
          <w:shd w:val="clear" w:color="auto" w:fill="FFFFFF"/>
        </w:rPr>
        <w:t xml:space="preserve">in  </w:t>
      </w:r>
      <w:r w:rsidR="00AE69DC" w:rsidRPr="00E87D28">
        <w:rPr>
          <w:rFonts w:cs="Helvetica"/>
          <w:sz w:val="24"/>
          <w:szCs w:val="24"/>
          <w:shd w:val="clear" w:color="auto" w:fill="FFFFFF"/>
        </w:rPr>
        <w:t>K.</w:t>
      </w:r>
      <w:proofErr w:type="gramEnd"/>
      <w:r w:rsidR="00AE69DC" w:rsidRPr="00E87D28">
        <w:rPr>
          <w:rFonts w:cs="Helvetica"/>
          <w:sz w:val="24"/>
          <w:szCs w:val="24"/>
          <w:shd w:val="clear" w:color="auto" w:fill="FFFFFF"/>
        </w:rPr>
        <w:t xml:space="preserve"> Erickson and G. Ramsey (</w:t>
      </w:r>
      <w:proofErr w:type="spellStart"/>
      <w:r w:rsidR="00AE69DC" w:rsidRPr="00E87D28">
        <w:rPr>
          <w:rFonts w:cs="Helvetica"/>
          <w:sz w:val="24"/>
          <w:szCs w:val="24"/>
          <w:shd w:val="clear" w:color="auto" w:fill="FFFFFF"/>
        </w:rPr>
        <w:t>eds</w:t>
      </w:r>
      <w:proofErr w:type="spellEnd"/>
      <w:r w:rsidR="00AE69DC" w:rsidRPr="00E87D28">
        <w:rPr>
          <w:rFonts w:cs="Helvetica"/>
          <w:sz w:val="24"/>
          <w:szCs w:val="24"/>
          <w:shd w:val="clear" w:color="auto" w:fill="FFFFFF"/>
        </w:rPr>
        <w:t xml:space="preserve">), </w:t>
      </w:r>
      <w:r w:rsidR="00AE69DC" w:rsidRPr="00E87D28">
        <w:rPr>
          <w:rFonts w:cs="Helvetica"/>
          <w:i/>
          <w:sz w:val="24"/>
          <w:szCs w:val="24"/>
          <w:shd w:val="clear" w:color="auto" w:fill="FFFFFF"/>
        </w:rPr>
        <w:t>Seleucid Dissolution: The Sinking of the Anchor</w:t>
      </w:r>
      <w:r w:rsidR="00AE69DC" w:rsidRPr="00E87D28">
        <w:rPr>
          <w:rFonts w:cs="Helvetica"/>
          <w:sz w:val="24"/>
          <w:szCs w:val="24"/>
          <w:shd w:val="clear" w:color="auto" w:fill="FFFFFF"/>
        </w:rPr>
        <w:t xml:space="preserve">. </w:t>
      </w:r>
      <w:proofErr w:type="gramStart"/>
      <w:r w:rsidR="00AE69DC" w:rsidRPr="00E87D28">
        <w:rPr>
          <w:rFonts w:cs="Helvetica"/>
          <w:sz w:val="24"/>
          <w:szCs w:val="24"/>
          <w:shd w:val="clear" w:color="auto" w:fill="FFFFFF"/>
        </w:rPr>
        <w:t>Wiesbaden :</w:t>
      </w:r>
      <w:proofErr w:type="gramEnd"/>
      <w:r w:rsidR="00AE69DC" w:rsidRPr="00E87D28">
        <w:rPr>
          <w:rFonts w:cs="Helvetica"/>
          <w:sz w:val="24"/>
          <w:szCs w:val="24"/>
          <w:shd w:val="clear" w:color="auto" w:fill="FFFFFF"/>
        </w:rPr>
        <w:t xml:space="preserve"> </w:t>
      </w:r>
      <w:proofErr w:type="spellStart"/>
      <w:r w:rsidR="00AE69DC" w:rsidRPr="00E87D28">
        <w:rPr>
          <w:rFonts w:cs="Helvetica"/>
          <w:sz w:val="24"/>
          <w:szCs w:val="24"/>
          <w:shd w:val="clear" w:color="auto" w:fill="FFFFFF"/>
        </w:rPr>
        <w:t>Harrassowitz</w:t>
      </w:r>
      <w:proofErr w:type="spellEnd"/>
    </w:p>
    <w:p w:rsidR="00BB1F2C" w:rsidRPr="00E87D28" w:rsidRDefault="00BB1F2C" w:rsidP="00E87D28">
      <w:pPr>
        <w:spacing w:line="480" w:lineRule="auto"/>
        <w:rPr>
          <w:sz w:val="24"/>
          <w:szCs w:val="24"/>
        </w:rPr>
      </w:pPr>
      <w:proofErr w:type="spellStart"/>
      <w:r w:rsidRPr="00E87D28">
        <w:rPr>
          <w:sz w:val="24"/>
          <w:szCs w:val="24"/>
        </w:rPr>
        <w:t>Jastrow</w:t>
      </w:r>
      <w:proofErr w:type="spellEnd"/>
      <w:r w:rsidRPr="00E87D28">
        <w:rPr>
          <w:sz w:val="24"/>
          <w:szCs w:val="24"/>
        </w:rPr>
        <w:t xml:space="preserve">, M. 2018. </w:t>
      </w:r>
      <w:r w:rsidRPr="00E87D28">
        <w:rPr>
          <w:i/>
          <w:sz w:val="24"/>
          <w:szCs w:val="24"/>
        </w:rPr>
        <w:t>The Religion of Babylonia and Assyria</w:t>
      </w:r>
      <w:r w:rsidRPr="00E87D28">
        <w:rPr>
          <w:sz w:val="24"/>
          <w:szCs w:val="24"/>
        </w:rPr>
        <w:t xml:space="preserve">. Boston: </w:t>
      </w:r>
      <w:proofErr w:type="spellStart"/>
      <w:r w:rsidRPr="00E87D28">
        <w:rPr>
          <w:sz w:val="24"/>
          <w:szCs w:val="24"/>
        </w:rPr>
        <w:t>Ginn</w:t>
      </w:r>
      <w:proofErr w:type="spellEnd"/>
      <w:r w:rsidRPr="00E87D28">
        <w:rPr>
          <w:sz w:val="24"/>
          <w:szCs w:val="24"/>
        </w:rPr>
        <w:t xml:space="preserve"> &amp; Company</w:t>
      </w:r>
      <w:r w:rsidR="000450F1" w:rsidRPr="00E87D28">
        <w:rPr>
          <w:sz w:val="24"/>
          <w:szCs w:val="24"/>
        </w:rPr>
        <w:t>.</w:t>
      </w:r>
      <w:r w:rsidR="00404280" w:rsidRPr="00E87D28">
        <w:rPr>
          <w:sz w:val="24"/>
          <w:szCs w:val="24"/>
        </w:rPr>
        <w:br/>
      </w:r>
      <w:r w:rsidR="00404280" w:rsidRPr="00E87D28">
        <w:rPr>
          <w:sz w:val="24"/>
          <w:szCs w:val="24"/>
        </w:rPr>
        <w:br/>
      </w:r>
      <w:r w:rsidR="000451EA" w:rsidRPr="00E87D28">
        <w:rPr>
          <w:sz w:val="24"/>
          <w:szCs w:val="24"/>
        </w:rPr>
        <w:t>Lambert, W. G. 1963. ‘The Great Battle of the Mesopotamian Religious Year: The Conflict in the Akitu House’. </w:t>
      </w:r>
      <w:r w:rsidR="000451EA" w:rsidRPr="00E87D28">
        <w:rPr>
          <w:i/>
          <w:iCs/>
          <w:sz w:val="24"/>
          <w:szCs w:val="24"/>
        </w:rPr>
        <w:t>Iraq</w:t>
      </w:r>
      <w:r w:rsidR="000451EA" w:rsidRPr="00E87D28">
        <w:rPr>
          <w:sz w:val="24"/>
          <w:szCs w:val="24"/>
        </w:rPr>
        <w:t> 25: 189–90.</w:t>
      </w:r>
      <w:r w:rsidR="000451EA" w:rsidRPr="00E87D28">
        <w:rPr>
          <w:rFonts w:cs="Arial"/>
          <w:sz w:val="24"/>
          <w:szCs w:val="24"/>
          <w:shd w:val="clear" w:color="auto" w:fill="FFFFFF"/>
        </w:rPr>
        <w:br/>
      </w:r>
      <w:r w:rsidR="000451EA" w:rsidRPr="00E87D28">
        <w:rPr>
          <w:rFonts w:cs="Arial"/>
          <w:sz w:val="24"/>
          <w:szCs w:val="24"/>
          <w:shd w:val="clear" w:color="auto" w:fill="FFFFFF"/>
        </w:rPr>
        <w:br/>
      </w:r>
      <w:r w:rsidR="00404280" w:rsidRPr="00E87D28">
        <w:rPr>
          <w:rFonts w:cs="Arial"/>
          <w:sz w:val="24"/>
          <w:szCs w:val="24"/>
          <w:shd w:val="clear" w:color="auto" w:fill="FFFFFF"/>
        </w:rPr>
        <w:t>Lambert, W. 1968. Literary Style in First Millennium Mesopotamia. </w:t>
      </w:r>
      <w:r w:rsidR="00404280" w:rsidRPr="00E87D28">
        <w:rPr>
          <w:rFonts w:cs="Arial"/>
          <w:i/>
          <w:iCs/>
          <w:sz w:val="24"/>
          <w:szCs w:val="24"/>
          <w:shd w:val="clear" w:color="auto" w:fill="FFFFFF"/>
        </w:rPr>
        <w:t>Journal of the American Oriental Society,</w:t>
      </w:r>
      <w:r w:rsidR="00404280" w:rsidRPr="00E87D28">
        <w:rPr>
          <w:rFonts w:cs="Arial"/>
          <w:sz w:val="24"/>
          <w:szCs w:val="24"/>
          <w:shd w:val="clear" w:color="auto" w:fill="FFFFFF"/>
        </w:rPr>
        <w:t> </w:t>
      </w:r>
      <w:r w:rsidR="00404280" w:rsidRPr="00E87D28">
        <w:rPr>
          <w:rFonts w:cs="Arial"/>
          <w:iCs/>
          <w:sz w:val="24"/>
          <w:szCs w:val="24"/>
          <w:shd w:val="clear" w:color="auto" w:fill="FFFFFF"/>
        </w:rPr>
        <w:t>88</w:t>
      </w:r>
      <w:r w:rsidR="00404280" w:rsidRPr="00E87D28">
        <w:rPr>
          <w:rFonts w:cs="Arial"/>
          <w:i/>
          <w:iCs/>
          <w:sz w:val="24"/>
          <w:szCs w:val="24"/>
          <w:shd w:val="clear" w:color="auto" w:fill="FFFFFF"/>
        </w:rPr>
        <w:t xml:space="preserve"> </w:t>
      </w:r>
      <w:r w:rsidR="00404280" w:rsidRPr="00E87D28">
        <w:rPr>
          <w:rFonts w:cs="Arial"/>
          <w:sz w:val="24"/>
          <w:szCs w:val="24"/>
          <w:shd w:val="clear" w:color="auto" w:fill="FFFFFF"/>
        </w:rPr>
        <w:t xml:space="preserve">(1): 123-132. </w:t>
      </w:r>
    </w:p>
    <w:p w:rsidR="00AC1340" w:rsidRPr="00E87D28" w:rsidRDefault="009C1064" w:rsidP="00E87D28">
      <w:pPr>
        <w:spacing w:line="480" w:lineRule="auto"/>
        <w:rPr>
          <w:sz w:val="24"/>
          <w:szCs w:val="24"/>
        </w:rPr>
      </w:pPr>
      <w:proofErr w:type="spellStart"/>
      <w:r w:rsidRPr="00E87D28">
        <w:rPr>
          <w:sz w:val="24"/>
          <w:szCs w:val="24"/>
        </w:rPr>
        <w:t>Lendering</w:t>
      </w:r>
      <w:proofErr w:type="spellEnd"/>
      <w:r w:rsidRPr="00E87D28">
        <w:rPr>
          <w:sz w:val="24"/>
          <w:szCs w:val="24"/>
        </w:rPr>
        <w:t xml:space="preserve">, J 1996. “Akitu Festival.” Livius.org, 05.05.2019, </w:t>
      </w:r>
      <w:hyperlink r:id="rId9" w:history="1">
        <w:r w:rsidR="00673BAE" w:rsidRPr="00E87D28">
          <w:rPr>
            <w:rStyle w:val="Hyperlink"/>
            <w:sz w:val="24"/>
            <w:szCs w:val="24"/>
          </w:rPr>
          <w:t>https://www.livius.org/articles/religion/akitu/</w:t>
        </w:r>
      </w:hyperlink>
      <w:r w:rsidR="000450F1" w:rsidRPr="00E87D28">
        <w:rPr>
          <w:sz w:val="24"/>
          <w:szCs w:val="24"/>
        </w:rPr>
        <w:t>.</w:t>
      </w:r>
      <w:r w:rsidR="000A2315" w:rsidRPr="00E87D28">
        <w:rPr>
          <w:sz w:val="24"/>
          <w:szCs w:val="24"/>
        </w:rPr>
        <w:br/>
      </w:r>
      <w:r w:rsidR="000A2315" w:rsidRPr="00E87D28">
        <w:rPr>
          <w:sz w:val="24"/>
          <w:szCs w:val="24"/>
        </w:rPr>
        <w:lastRenderedPageBreak/>
        <w:br/>
        <w:t>Sherwin-White, S. 1991. ‘Aspects of Seleucid Royal Ideology: The Cylinder of Antiochus I from</w:t>
      </w:r>
      <w:r w:rsidR="00026D2A" w:rsidRPr="00E87D28">
        <w:rPr>
          <w:sz w:val="24"/>
          <w:szCs w:val="24"/>
        </w:rPr>
        <w:t xml:space="preserve"> </w:t>
      </w:r>
      <w:r w:rsidR="000A2315" w:rsidRPr="00E87D28">
        <w:rPr>
          <w:sz w:val="24"/>
          <w:szCs w:val="24"/>
        </w:rPr>
        <w:t xml:space="preserve">Borsippa.’ </w:t>
      </w:r>
      <w:r w:rsidR="000A2315" w:rsidRPr="00E87D28">
        <w:rPr>
          <w:i/>
          <w:sz w:val="24"/>
          <w:szCs w:val="24"/>
        </w:rPr>
        <w:t>The Journal of Hellenic</w:t>
      </w:r>
      <w:r w:rsidR="000A2315" w:rsidRPr="00E87D28">
        <w:rPr>
          <w:sz w:val="24"/>
          <w:szCs w:val="24"/>
        </w:rPr>
        <w:t xml:space="preserve"> Studies 111: 71–86</w:t>
      </w:r>
    </w:p>
    <w:p w:rsidR="00625F50" w:rsidRPr="00E87D28" w:rsidRDefault="00F15494" w:rsidP="00E87D28">
      <w:pPr>
        <w:pStyle w:val="NormalWeb"/>
        <w:shd w:val="clear" w:color="auto" w:fill="FFFFFF"/>
        <w:spacing w:before="0" w:beforeAutospacing="0" w:after="0" w:afterAutospacing="0" w:line="480" w:lineRule="auto"/>
        <w:rPr>
          <w:rFonts w:asciiTheme="minorHAnsi" w:hAnsiTheme="minorHAnsi"/>
        </w:rPr>
      </w:pPr>
      <w:r w:rsidRPr="00E87D28">
        <w:rPr>
          <w:rFonts w:asciiTheme="minorHAnsi" w:hAnsiTheme="minorHAnsi"/>
        </w:rPr>
        <w:t>Sherwin-White, S. 1983. ‘Ritual for a Seleucid King at Babylon?’ </w:t>
      </w:r>
      <w:r w:rsidRPr="00E87D28">
        <w:rPr>
          <w:rFonts w:asciiTheme="minorHAnsi" w:hAnsiTheme="minorHAnsi"/>
          <w:i/>
          <w:iCs/>
        </w:rPr>
        <w:t>The Journal of Hellenic Studies</w:t>
      </w:r>
      <w:r w:rsidRPr="00E87D28">
        <w:rPr>
          <w:rFonts w:asciiTheme="minorHAnsi" w:hAnsiTheme="minorHAnsi"/>
        </w:rPr>
        <w:t> 103: 156–59.</w:t>
      </w:r>
    </w:p>
    <w:p w:rsidR="00625F50" w:rsidRPr="00E87D28" w:rsidRDefault="00625F50" w:rsidP="00E87D28">
      <w:pPr>
        <w:pStyle w:val="NormalWeb"/>
        <w:shd w:val="clear" w:color="auto" w:fill="FFFFFF"/>
        <w:spacing w:before="0" w:beforeAutospacing="0" w:after="0" w:afterAutospacing="0" w:line="480" w:lineRule="auto"/>
        <w:rPr>
          <w:rFonts w:asciiTheme="minorHAnsi" w:hAnsiTheme="minorHAnsi"/>
        </w:rPr>
      </w:pPr>
    </w:p>
    <w:p w:rsidR="0067221B" w:rsidRPr="00E87D28" w:rsidRDefault="0067221B" w:rsidP="00E87D28">
      <w:pPr>
        <w:pStyle w:val="NormalWeb"/>
        <w:shd w:val="clear" w:color="auto" w:fill="FFFFFF"/>
        <w:spacing w:before="0" w:beforeAutospacing="0" w:after="0" w:afterAutospacing="0" w:line="480" w:lineRule="auto"/>
        <w:rPr>
          <w:rFonts w:asciiTheme="minorHAnsi" w:hAnsiTheme="minorHAnsi"/>
        </w:rPr>
      </w:pPr>
      <w:r w:rsidRPr="00E87D28">
        <w:rPr>
          <w:rFonts w:asciiTheme="minorHAnsi" w:hAnsiTheme="minorHAnsi"/>
        </w:rPr>
        <w:t xml:space="preserve">Smith, J. Z. 1982. </w:t>
      </w:r>
      <w:r w:rsidRPr="00E87D28">
        <w:rPr>
          <w:rFonts w:asciiTheme="minorHAnsi" w:hAnsiTheme="minorHAnsi"/>
          <w:i/>
        </w:rPr>
        <w:t>Imagining Religion: From Babylon to Jonestown</w:t>
      </w:r>
      <w:r w:rsidRPr="00E87D28">
        <w:rPr>
          <w:rFonts w:asciiTheme="minorHAnsi" w:hAnsiTheme="minorHAnsi"/>
        </w:rPr>
        <w:t>. Chicago, IL: University of Chicago Press.</w:t>
      </w:r>
    </w:p>
    <w:p w:rsidR="00625F50" w:rsidRPr="00E87D28" w:rsidRDefault="00625F50" w:rsidP="00E87D28">
      <w:pPr>
        <w:pStyle w:val="NormalWeb"/>
        <w:shd w:val="clear" w:color="auto" w:fill="FFFFFF"/>
        <w:spacing w:before="0" w:beforeAutospacing="0" w:after="0" w:afterAutospacing="0" w:line="480" w:lineRule="auto"/>
        <w:rPr>
          <w:rFonts w:asciiTheme="minorHAnsi" w:hAnsiTheme="minorHAnsi"/>
        </w:rPr>
      </w:pPr>
    </w:p>
    <w:p w:rsidR="00673BAE" w:rsidRPr="00E87D28" w:rsidRDefault="004843E1" w:rsidP="00E87D28">
      <w:pPr>
        <w:spacing w:line="480" w:lineRule="auto"/>
        <w:rPr>
          <w:sz w:val="24"/>
          <w:szCs w:val="24"/>
        </w:rPr>
      </w:pPr>
      <w:r w:rsidRPr="00E87D28">
        <w:rPr>
          <w:sz w:val="24"/>
          <w:szCs w:val="24"/>
        </w:rPr>
        <w:t xml:space="preserve">Sommer, B.D. 2000. "The Babylonian Akitu Festival: Rectifying the King or Renewing the Cosmos?" </w:t>
      </w:r>
      <w:r w:rsidRPr="00E87D28">
        <w:rPr>
          <w:i/>
          <w:sz w:val="24"/>
          <w:szCs w:val="24"/>
        </w:rPr>
        <w:t>JANES</w:t>
      </w:r>
      <w:r w:rsidRPr="00E87D28">
        <w:rPr>
          <w:sz w:val="24"/>
          <w:szCs w:val="24"/>
        </w:rPr>
        <w:t xml:space="preserve"> 27: 81-95.</w:t>
      </w:r>
    </w:p>
    <w:p w:rsidR="000450F1" w:rsidRPr="00625F50" w:rsidRDefault="000450F1" w:rsidP="00E87D28">
      <w:pPr>
        <w:spacing w:line="480" w:lineRule="auto"/>
      </w:pPr>
      <w:r w:rsidRPr="00E87D28">
        <w:rPr>
          <w:sz w:val="24"/>
          <w:szCs w:val="24"/>
        </w:rPr>
        <w:t xml:space="preserve">Thureau-Dangin, F. 1921. </w:t>
      </w:r>
      <w:r w:rsidRPr="00E87D28">
        <w:rPr>
          <w:i/>
          <w:sz w:val="24"/>
          <w:szCs w:val="24"/>
        </w:rPr>
        <w:t xml:space="preserve">Rituels Accadiens. </w:t>
      </w:r>
      <w:r w:rsidRPr="00E87D28">
        <w:rPr>
          <w:sz w:val="24"/>
          <w:szCs w:val="24"/>
        </w:rPr>
        <w:t>Pari</w:t>
      </w:r>
      <w:r w:rsidRPr="00625F50">
        <w:t xml:space="preserve">s: </w:t>
      </w:r>
      <w:proofErr w:type="spellStart"/>
      <w:r w:rsidRPr="00625F50">
        <w:t>Leroux</w:t>
      </w:r>
      <w:proofErr w:type="spellEnd"/>
      <w:r w:rsidRPr="00625F50">
        <w:t>.</w:t>
      </w:r>
    </w:p>
    <w:sectPr w:rsidR="000450F1" w:rsidRPr="00625F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20C9" w:rsidRDefault="001F20C9" w:rsidP="00301C0D">
      <w:pPr>
        <w:spacing w:after="0" w:line="240" w:lineRule="auto"/>
      </w:pPr>
      <w:r>
        <w:separator/>
      </w:r>
    </w:p>
  </w:endnote>
  <w:endnote w:type="continuationSeparator" w:id="0">
    <w:p w:rsidR="001F20C9" w:rsidRDefault="001F20C9" w:rsidP="00301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Helvetica">
    <w:panose1 w:val="020B05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20C9" w:rsidRDefault="001F20C9" w:rsidP="00301C0D">
      <w:pPr>
        <w:spacing w:after="0" w:line="240" w:lineRule="auto"/>
      </w:pPr>
      <w:r>
        <w:separator/>
      </w:r>
    </w:p>
  </w:footnote>
  <w:footnote w:type="continuationSeparator" w:id="0">
    <w:p w:rsidR="001F20C9" w:rsidRDefault="001F20C9" w:rsidP="00301C0D">
      <w:pPr>
        <w:spacing w:after="0" w:line="240" w:lineRule="auto"/>
      </w:pPr>
      <w:r>
        <w:continuationSeparator/>
      </w:r>
    </w:p>
  </w:footnote>
  <w:footnote w:id="1">
    <w:p w:rsidR="005D02DA" w:rsidRDefault="005D02DA">
      <w:pPr>
        <w:pStyle w:val="FootnoteText"/>
      </w:pPr>
      <w:r>
        <w:rPr>
          <w:rStyle w:val="FootnoteReference"/>
        </w:rPr>
        <w:footnoteRef/>
      </w:r>
      <w:r>
        <w:t xml:space="preserve"> </w:t>
      </w:r>
      <w:proofErr w:type="spellStart"/>
      <w:r>
        <w:t>Bidmead</w:t>
      </w:r>
      <w:proofErr w:type="spellEnd"/>
      <w:r>
        <w:t xml:space="preserve"> 2002</w:t>
      </w:r>
    </w:p>
  </w:footnote>
  <w:footnote w:id="2">
    <w:p w:rsidR="005D02DA" w:rsidRDefault="005D02DA">
      <w:pPr>
        <w:pStyle w:val="FootnoteText"/>
      </w:pPr>
      <w:r>
        <w:rPr>
          <w:rStyle w:val="FootnoteReference"/>
        </w:rPr>
        <w:footnoteRef/>
      </w:r>
      <w:r>
        <w:t xml:space="preserve"> Cohen 1993: 400-402 suggests that the festival may also have been tied to the lunar calendar. </w:t>
      </w:r>
      <w:r w:rsidRPr="00C41A67">
        <w:rPr>
          <w:i/>
        </w:rPr>
        <w:t>The Akitu</w:t>
      </w:r>
      <w:r>
        <w:t xml:space="preserve"> that took place at Ur, was celebrated for Nanna, the moon, and would have naturally taken place when the moon was at its most prominent over the sun, this would likely have occurred during the seventh month to coincide with the autumnal equinox and the new moon, when the moon was more visible and had greater superiority over the sun.</w:t>
      </w:r>
    </w:p>
  </w:footnote>
  <w:footnote w:id="3">
    <w:p w:rsidR="005D02DA" w:rsidRDefault="005D02DA">
      <w:pPr>
        <w:pStyle w:val="FootnoteText"/>
      </w:pPr>
      <w:r>
        <w:rPr>
          <w:rStyle w:val="FootnoteReference"/>
        </w:rPr>
        <w:footnoteRef/>
      </w:r>
      <w:r>
        <w:t xml:space="preserve"> </w:t>
      </w:r>
      <w:proofErr w:type="spellStart"/>
      <w:r>
        <w:t>Lendering</w:t>
      </w:r>
      <w:proofErr w:type="spellEnd"/>
      <w:r>
        <w:t xml:space="preserve"> 1996</w:t>
      </w:r>
    </w:p>
  </w:footnote>
  <w:footnote w:id="4">
    <w:p w:rsidR="005D02DA" w:rsidRDefault="005D02DA">
      <w:pPr>
        <w:pStyle w:val="FootnoteText"/>
      </w:pPr>
      <w:r>
        <w:rPr>
          <w:rStyle w:val="FootnoteReference"/>
        </w:rPr>
        <w:footnoteRef/>
      </w:r>
      <w:r>
        <w:t xml:space="preserve"> </w:t>
      </w:r>
      <w:proofErr w:type="spellStart"/>
      <w:r>
        <w:t>Jastrow</w:t>
      </w:r>
      <w:proofErr w:type="spellEnd"/>
      <w:r>
        <w:t xml:space="preserve"> 2018: 121.</w:t>
      </w:r>
    </w:p>
  </w:footnote>
  <w:footnote w:id="5">
    <w:p w:rsidR="005D02DA" w:rsidRDefault="005D02DA">
      <w:pPr>
        <w:pStyle w:val="FootnoteText"/>
      </w:pPr>
      <w:r>
        <w:rPr>
          <w:rStyle w:val="FootnoteReference"/>
        </w:rPr>
        <w:footnoteRef/>
      </w:r>
      <w:r>
        <w:t xml:space="preserve"> Cohen 1993:441</w:t>
      </w:r>
    </w:p>
  </w:footnote>
  <w:footnote w:id="6">
    <w:p w:rsidR="005D02DA" w:rsidRDefault="005D02DA">
      <w:pPr>
        <w:pStyle w:val="FootnoteText"/>
      </w:pPr>
      <w:r>
        <w:rPr>
          <w:rStyle w:val="FootnoteReference"/>
        </w:rPr>
        <w:footnoteRef/>
      </w:r>
      <w:r>
        <w:t xml:space="preserve"> Erickson 2009</w:t>
      </w:r>
    </w:p>
  </w:footnote>
  <w:footnote w:id="7">
    <w:p w:rsidR="005D02DA" w:rsidRDefault="005D02DA">
      <w:pPr>
        <w:pStyle w:val="FootnoteText"/>
      </w:pPr>
      <w:r>
        <w:rPr>
          <w:rStyle w:val="FootnoteReference"/>
        </w:rPr>
        <w:footnoteRef/>
      </w:r>
      <w:r>
        <w:t xml:space="preserve"> Cohen 1993: 446.</w:t>
      </w:r>
    </w:p>
  </w:footnote>
  <w:footnote w:id="8">
    <w:p w:rsidR="005D02DA" w:rsidRDefault="005D02DA">
      <w:pPr>
        <w:pStyle w:val="FootnoteText"/>
      </w:pPr>
      <w:r>
        <w:rPr>
          <w:rStyle w:val="FootnoteReference"/>
        </w:rPr>
        <w:footnoteRef/>
      </w:r>
      <w:r>
        <w:t xml:space="preserve"> Ibid 447</w:t>
      </w:r>
    </w:p>
  </w:footnote>
  <w:footnote w:id="9">
    <w:p w:rsidR="005D02DA" w:rsidRDefault="005D02DA">
      <w:pPr>
        <w:pStyle w:val="FootnoteText"/>
      </w:pPr>
      <w:r>
        <w:rPr>
          <w:rStyle w:val="FootnoteReference"/>
        </w:rPr>
        <w:footnoteRef/>
      </w:r>
      <w:r>
        <w:t xml:space="preserve"> </w:t>
      </w:r>
      <w:proofErr w:type="spellStart"/>
      <w:r>
        <w:t>Lendering</w:t>
      </w:r>
      <w:proofErr w:type="spellEnd"/>
      <w:r>
        <w:t xml:space="preserve"> 1996</w:t>
      </w:r>
    </w:p>
  </w:footnote>
  <w:footnote w:id="10">
    <w:p w:rsidR="005D02DA" w:rsidRDefault="005D02DA">
      <w:pPr>
        <w:pStyle w:val="FootnoteText"/>
      </w:pPr>
      <w:r>
        <w:rPr>
          <w:rStyle w:val="FootnoteReference"/>
        </w:rPr>
        <w:footnoteRef/>
      </w:r>
      <w:r>
        <w:t xml:space="preserve"> Ibid</w:t>
      </w:r>
    </w:p>
  </w:footnote>
  <w:footnote w:id="11">
    <w:p w:rsidR="005D02DA" w:rsidRDefault="005D02DA">
      <w:pPr>
        <w:pStyle w:val="FootnoteText"/>
      </w:pPr>
      <w:r>
        <w:rPr>
          <w:rStyle w:val="FootnoteReference"/>
        </w:rPr>
        <w:footnoteRef/>
      </w:r>
      <w:r>
        <w:t xml:space="preserve"> Erickson 2009:113</w:t>
      </w:r>
    </w:p>
  </w:footnote>
  <w:footnote w:id="12">
    <w:p w:rsidR="005D02DA" w:rsidRDefault="005D02DA">
      <w:pPr>
        <w:pStyle w:val="FootnoteText"/>
      </w:pPr>
      <w:r>
        <w:rPr>
          <w:rStyle w:val="FootnoteReference"/>
        </w:rPr>
        <w:footnoteRef/>
      </w:r>
      <w:r>
        <w:t xml:space="preserve"> Cohen 1993:448-450</w:t>
      </w:r>
    </w:p>
  </w:footnote>
  <w:footnote w:id="13">
    <w:p w:rsidR="000451EA" w:rsidRDefault="000451EA">
      <w:pPr>
        <w:pStyle w:val="FootnoteText"/>
      </w:pPr>
      <w:r>
        <w:rPr>
          <w:rStyle w:val="FootnoteReference"/>
        </w:rPr>
        <w:footnoteRef/>
      </w:r>
      <w:r>
        <w:t xml:space="preserve"> Lambert 1963</w:t>
      </w:r>
    </w:p>
  </w:footnote>
  <w:footnote w:id="14">
    <w:p w:rsidR="005D02DA" w:rsidRDefault="005D02DA">
      <w:pPr>
        <w:pStyle w:val="FootnoteText"/>
      </w:pPr>
      <w:r>
        <w:rPr>
          <w:rStyle w:val="FootnoteReference"/>
        </w:rPr>
        <w:footnoteRef/>
      </w:r>
      <w:r>
        <w:t xml:space="preserve"> Sommer 2000</w:t>
      </w:r>
    </w:p>
  </w:footnote>
  <w:footnote w:id="15">
    <w:p w:rsidR="005D02DA" w:rsidRDefault="005D02DA">
      <w:pPr>
        <w:pStyle w:val="FootnoteText"/>
      </w:pPr>
      <w:r>
        <w:rPr>
          <w:rStyle w:val="FootnoteReference"/>
        </w:rPr>
        <w:footnoteRef/>
      </w:r>
      <w:r>
        <w:t xml:space="preserve"> Smith 1982</w:t>
      </w:r>
    </w:p>
  </w:footnote>
  <w:footnote w:id="16">
    <w:p w:rsidR="005D02DA" w:rsidRDefault="005D02DA">
      <w:pPr>
        <w:pStyle w:val="FootnoteText"/>
      </w:pPr>
      <w:r>
        <w:rPr>
          <w:rStyle w:val="FootnoteReference"/>
        </w:rPr>
        <w:footnoteRef/>
      </w:r>
      <w:r>
        <w:t xml:space="preserve"> Ibid</w:t>
      </w:r>
    </w:p>
  </w:footnote>
  <w:footnote w:id="17">
    <w:p w:rsidR="005D02DA" w:rsidRDefault="005D02DA">
      <w:pPr>
        <w:pStyle w:val="FootnoteText"/>
      </w:pPr>
      <w:r>
        <w:rPr>
          <w:rStyle w:val="FootnoteReference"/>
        </w:rPr>
        <w:footnoteRef/>
      </w:r>
      <w:r>
        <w:t xml:space="preserve"> Cohen 1993:451</w:t>
      </w:r>
    </w:p>
  </w:footnote>
  <w:footnote w:id="18">
    <w:p w:rsidR="005D02DA" w:rsidRDefault="005D02DA">
      <w:pPr>
        <w:pStyle w:val="FootnoteText"/>
      </w:pPr>
      <w:r>
        <w:rPr>
          <w:rStyle w:val="FootnoteReference"/>
        </w:rPr>
        <w:footnoteRef/>
      </w:r>
      <w:r>
        <w:t xml:space="preserve"> Ibid</w:t>
      </w:r>
    </w:p>
  </w:footnote>
  <w:footnote w:id="19">
    <w:p w:rsidR="005D02DA" w:rsidRDefault="005D02DA">
      <w:pPr>
        <w:pStyle w:val="FootnoteText"/>
      </w:pPr>
      <w:r>
        <w:rPr>
          <w:rStyle w:val="FootnoteReference"/>
        </w:rPr>
        <w:footnoteRef/>
      </w:r>
      <w:r>
        <w:t xml:space="preserve"> Sommer 2000:83-84</w:t>
      </w:r>
    </w:p>
  </w:footnote>
  <w:footnote w:id="20">
    <w:p w:rsidR="005D02DA" w:rsidRDefault="005D02DA">
      <w:pPr>
        <w:pStyle w:val="FootnoteText"/>
      </w:pPr>
      <w:r>
        <w:rPr>
          <w:rStyle w:val="FootnoteReference"/>
        </w:rPr>
        <w:footnoteRef/>
      </w:r>
      <w:r>
        <w:t xml:space="preserve"> Smith 1982: 94</w:t>
      </w:r>
    </w:p>
  </w:footnote>
  <w:footnote w:id="21">
    <w:p w:rsidR="00145D35" w:rsidRDefault="00145D35">
      <w:pPr>
        <w:pStyle w:val="FootnoteText"/>
      </w:pPr>
      <w:r>
        <w:rPr>
          <w:rStyle w:val="FootnoteReference"/>
        </w:rPr>
        <w:footnoteRef/>
      </w:r>
      <w:r>
        <w:t xml:space="preserve"> Smith 1982: 92</w:t>
      </w:r>
    </w:p>
  </w:footnote>
  <w:footnote w:id="22">
    <w:p w:rsidR="005D02DA" w:rsidRDefault="005D02DA">
      <w:pPr>
        <w:pStyle w:val="FootnoteText"/>
      </w:pPr>
      <w:r>
        <w:rPr>
          <w:rStyle w:val="FootnoteReference"/>
        </w:rPr>
        <w:footnoteRef/>
      </w:r>
      <w:r>
        <w:t xml:space="preserve"> Lambert 1968:128 – See </w:t>
      </w:r>
      <w:proofErr w:type="spellStart"/>
      <w:r>
        <w:t>Ib</w:t>
      </w:r>
      <w:proofErr w:type="spellEnd"/>
      <w:r>
        <w:t xml:space="preserve"> (15-21)</w:t>
      </w:r>
    </w:p>
  </w:footnote>
  <w:footnote w:id="23">
    <w:p w:rsidR="005D02DA" w:rsidRDefault="005D02DA">
      <w:pPr>
        <w:pStyle w:val="FootnoteText"/>
      </w:pPr>
      <w:r>
        <w:rPr>
          <w:rStyle w:val="FootnoteReference"/>
        </w:rPr>
        <w:footnoteRef/>
      </w:r>
      <w:r>
        <w:t xml:space="preserve"> Thureau-Dangin 1912:140</w:t>
      </w:r>
    </w:p>
  </w:footnote>
  <w:footnote w:id="24">
    <w:p w:rsidR="005D02DA" w:rsidRDefault="005D02DA">
      <w:pPr>
        <w:pStyle w:val="FootnoteText"/>
      </w:pPr>
      <w:r>
        <w:rPr>
          <w:rStyle w:val="FootnoteReference"/>
        </w:rPr>
        <w:footnoteRef/>
      </w:r>
      <w:r>
        <w:t xml:space="preserve"> Cohen 1993:445</w:t>
      </w:r>
    </w:p>
  </w:footnote>
  <w:footnote w:id="25">
    <w:p w:rsidR="00C22398" w:rsidRDefault="00C22398">
      <w:pPr>
        <w:pStyle w:val="FootnoteText"/>
      </w:pPr>
      <w:r>
        <w:rPr>
          <w:rStyle w:val="FootnoteReference"/>
        </w:rPr>
        <w:footnoteRef/>
      </w:r>
      <w:r>
        <w:t xml:space="preserve"> Sommer 2000:87</w:t>
      </w:r>
    </w:p>
  </w:footnote>
  <w:footnote w:id="26">
    <w:p w:rsidR="00A67374" w:rsidRDefault="00A67374">
      <w:pPr>
        <w:pStyle w:val="FootnoteText"/>
      </w:pPr>
      <w:r>
        <w:rPr>
          <w:rStyle w:val="FootnoteReference"/>
        </w:rPr>
        <w:footnoteRef/>
      </w:r>
      <w:r>
        <w:t xml:space="preserve"> Ibid 87-88</w:t>
      </w:r>
    </w:p>
  </w:footnote>
  <w:footnote w:id="27">
    <w:p w:rsidR="00F72430" w:rsidRDefault="00F72430">
      <w:pPr>
        <w:pStyle w:val="FootnoteText"/>
      </w:pPr>
      <w:r>
        <w:rPr>
          <w:rStyle w:val="FootnoteReference"/>
        </w:rPr>
        <w:footnoteRef/>
      </w:r>
      <w:r>
        <w:t xml:space="preserve"> Erickson 2009:114</w:t>
      </w:r>
    </w:p>
  </w:footnote>
  <w:footnote w:id="28">
    <w:p w:rsidR="0062209E" w:rsidRDefault="0062209E">
      <w:pPr>
        <w:pStyle w:val="FootnoteText"/>
      </w:pPr>
      <w:r>
        <w:rPr>
          <w:rStyle w:val="FootnoteReference"/>
        </w:rPr>
        <w:footnoteRef/>
      </w:r>
      <w:r>
        <w:t xml:space="preserve"> Ibid 106</w:t>
      </w:r>
    </w:p>
  </w:footnote>
  <w:footnote w:id="29">
    <w:p w:rsidR="00E30282" w:rsidRDefault="00E30282">
      <w:pPr>
        <w:pStyle w:val="FootnoteText"/>
      </w:pPr>
      <w:r>
        <w:rPr>
          <w:rStyle w:val="FootnoteReference"/>
        </w:rPr>
        <w:footnoteRef/>
      </w:r>
      <w:r>
        <w:t xml:space="preserve"> See Beaulieu 2014 for further discussion into the syncretism by paronomasia</w:t>
      </w:r>
      <w:r w:rsidR="00814930">
        <w:t>.</w:t>
      </w:r>
      <w:r>
        <w:t xml:space="preserve"> </w:t>
      </w:r>
    </w:p>
  </w:footnote>
  <w:footnote w:id="30">
    <w:p w:rsidR="00026D2A" w:rsidRDefault="00026D2A">
      <w:pPr>
        <w:pStyle w:val="FootnoteText"/>
      </w:pPr>
      <w:r>
        <w:rPr>
          <w:rStyle w:val="FootnoteReference"/>
        </w:rPr>
        <w:footnoteRef/>
      </w:r>
      <w:r>
        <w:t xml:space="preserve"> Sherwin-White 1991</w:t>
      </w:r>
    </w:p>
  </w:footnote>
  <w:footnote w:id="31">
    <w:p w:rsidR="000A1E8B" w:rsidRDefault="000A1E8B">
      <w:pPr>
        <w:pStyle w:val="FootnoteText"/>
      </w:pPr>
      <w:r>
        <w:rPr>
          <w:rStyle w:val="FootnoteReference"/>
        </w:rPr>
        <w:footnoteRef/>
      </w:r>
      <w:r>
        <w:t xml:space="preserve"> Erickson 2009: 119. </w:t>
      </w:r>
      <w:r w:rsidRPr="000A1E8B">
        <w:t>For transl</w:t>
      </w:r>
      <w:r>
        <w:t>ation see Sherwin-White 1991:76</w:t>
      </w:r>
    </w:p>
  </w:footnote>
  <w:footnote w:id="32">
    <w:p w:rsidR="00113904" w:rsidRDefault="00113904">
      <w:pPr>
        <w:pStyle w:val="FootnoteText"/>
      </w:pPr>
      <w:r>
        <w:rPr>
          <w:rStyle w:val="FootnoteReference"/>
        </w:rPr>
        <w:footnoteRef/>
      </w:r>
      <w:r w:rsidR="000A1E8B">
        <w:t xml:space="preserve"> Erickson 2011:56. For translation see </w:t>
      </w:r>
      <w:r w:rsidR="000A1E8B" w:rsidRPr="000A1E8B">
        <w:t>Sherwin-White 1991</w:t>
      </w:r>
      <w:r w:rsidR="000A1E8B">
        <w:t>:77.</w:t>
      </w:r>
    </w:p>
  </w:footnote>
  <w:footnote w:id="33">
    <w:p w:rsidR="00F15494" w:rsidRDefault="00F15494">
      <w:pPr>
        <w:pStyle w:val="FootnoteText"/>
      </w:pPr>
      <w:r>
        <w:rPr>
          <w:rStyle w:val="FootnoteReference"/>
        </w:rPr>
        <w:footnoteRef/>
      </w:r>
      <w:r>
        <w:t xml:space="preserve"> Sherwin-White 1983</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137584"/>
    <w:multiLevelType w:val="hybridMultilevel"/>
    <w:tmpl w:val="AEC677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5A2"/>
    <w:rsid w:val="000040CF"/>
    <w:rsid w:val="00004188"/>
    <w:rsid w:val="00006EEF"/>
    <w:rsid w:val="00017F90"/>
    <w:rsid w:val="00026D2A"/>
    <w:rsid w:val="0003190A"/>
    <w:rsid w:val="000421F0"/>
    <w:rsid w:val="00043214"/>
    <w:rsid w:val="00043FE9"/>
    <w:rsid w:val="000450F1"/>
    <w:rsid w:val="000451EA"/>
    <w:rsid w:val="000533C1"/>
    <w:rsid w:val="000620F0"/>
    <w:rsid w:val="000801D3"/>
    <w:rsid w:val="00080FB4"/>
    <w:rsid w:val="00081DA8"/>
    <w:rsid w:val="00083BB1"/>
    <w:rsid w:val="000973E3"/>
    <w:rsid w:val="000A1E8B"/>
    <w:rsid w:val="000A2315"/>
    <w:rsid w:val="000F6FDA"/>
    <w:rsid w:val="001066E5"/>
    <w:rsid w:val="0011239C"/>
    <w:rsid w:val="00113904"/>
    <w:rsid w:val="00124CB6"/>
    <w:rsid w:val="001364E4"/>
    <w:rsid w:val="00145D35"/>
    <w:rsid w:val="0017482C"/>
    <w:rsid w:val="00174B8A"/>
    <w:rsid w:val="001A6287"/>
    <w:rsid w:val="001A636D"/>
    <w:rsid w:val="001A649D"/>
    <w:rsid w:val="001A7EF8"/>
    <w:rsid w:val="001C7AC8"/>
    <w:rsid w:val="001F20C9"/>
    <w:rsid w:val="002007DF"/>
    <w:rsid w:val="00204A9B"/>
    <w:rsid w:val="00207848"/>
    <w:rsid w:val="00232AF4"/>
    <w:rsid w:val="00242060"/>
    <w:rsid w:val="00294EE4"/>
    <w:rsid w:val="00295899"/>
    <w:rsid w:val="002B288C"/>
    <w:rsid w:val="002B720D"/>
    <w:rsid w:val="002C3C0D"/>
    <w:rsid w:val="002D5D75"/>
    <w:rsid w:val="002E7101"/>
    <w:rsid w:val="00301C0D"/>
    <w:rsid w:val="00305D7F"/>
    <w:rsid w:val="00314C7A"/>
    <w:rsid w:val="003333D6"/>
    <w:rsid w:val="00337AB6"/>
    <w:rsid w:val="00360549"/>
    <w:rsid w:val="00365D2E"/>
    <w:rsid w:val="003664CB"/>
    <w:rsid w:val="00384394"/>
    <w:rsid w:val="003A692F"/>
    <w:rsid w:val="003B467A"/>
    <w:rsid w:val="003D61AA"/>
    <w:rsid w:val="00402139"/>
    <w:rsid w:val="00403B5F"/>
    <w:rsid w:val="00404280"/>
    <w:rsid w:val="004557EF"/>
    <w:rsid w:val="00460EB7"/>
    <w:rsid w:val="004724D4"/>
    <w:rsid w:val="004843E1"/>
    <w:rsid w:val="00497E11"/>
    <w:rsid w:val="004B0851"/>
    <w:rsid w:val="004D3B0D"/>
    <w:rsid w:val="004E5E6A"/>
    <w:rsid w:val="005169D4"/>
    <w:rsid w:val="00542082"/>
    <w:rsid w:val="00542F1A"/>
    <w:rsid w:val="00560FCF"/>
    <w:rsid w:val="0056672A"/>
    <w:rsid w:val="00576C15"/>
    <w:rsid w:val="005A3283"/>
    <w:rsid w:val="005B2A61"/>
    <w:rsid w:val="005D02DA"/>
    <w:rsid w:val="005D4956"/>
    <w:rsid w:val="005D62A3"/>
    <w:rsid w:val="005F26CD"/>
    <w:rsid w:val="00610624"/>
    <w:rsid w:val="0062209E"/>
    <w:rsid w:val="00622943"/>
    <w:rsid w:val="00625F50"/>
    <w:rsid w:val="006526DD"/>
    <w:rsid w:val="00667C3C"/>
    <w:rsid w:val="0067221B"/>
    <w:rsid w:val="00673BAE"/>
    <w:rsid w:val="006836C8"/>
    <w:rsid w:val="006D3227"/>
    <w:rsid w:val="006E69A7"/>
    <w:rsid w:val="00704FF2"/>
    <w:rsid w:val="007465D3"/>
    <w:rsid w:val="00764A4B"/>
    <w:rsid w:val="007A1AA8"/>
    <w:rsid w:val="007D55A2"/>
    <w:rsid w:val="00800A38"/>
    <w:rsid w:val="00804EA2"/>
    <w:rsid w:val="00813A0D"/>
    <w:rsid w:val="00814930"/>
    <w:rsid w:val="00821552"/>
    <w:rsid w:val="008769C8"/>
    <w:rsid w:val="008805C7"/>
    <w:rsid w:val="008921E3"/>
    <w:rsid w:val="008A4F85"/>
    <w:rsid w:val="008D0B55"/>
    <w:rsid w:val="008E6BBE"/>
    <w:rsid w:val="00912D05"/>
    <w:rsid w:val="00922089"/>
    <w:rsid w:val="00937CDD"/>
    <w:rsid w:val="00937F0A"/>
    <w:rsid w:val="009472BD"/>
    <w:rsid w:val="009772A3"/>
    <w:rsid w:val="009933B9"/>
    <w:rsid w:val="009C1064"/>
    <w:rsid w:val="009C4AEA"/>
    <w:rsid w:val="009E5778"/>
    <w:rsid w:val="009F2C64"/>
    <w:rsid w:val="00A013A8"/>
    <w:rsid w:val="00A20DA8"/>
    <w:rsid w:val="00A23550"/>
    <w:rsid w:val="00A67374"/>
    <w:rsid w:val="00A67D8D"/>
    <w:rsid w:val="00A800A9"/>
    <w:rsid w:val="00AA2B1A"/>
    <w:rsid w:val="00AC1340"/>
    <w:rsid w:val="00AC172C"/>
    <w:rsid w:val="00AD02B2"/>
    <w:rsid w:val="00AD72D3"/>
    <w:rsid w:val="00AE37FB"/>
    <w:rsid w:val="00AE69DC"/>
    <w:rsid w:val="00B1480D"/>
    <w:rsid w:val="00B21D83"/>
    <w:rsid w:val="00B25B49"/>
    <w:rsid w:val="00B55A66"/>
    <w:rsid w:val="00BB1F2C"/>
    <w:rsid w:val="00BE5C4A"/>
    <w:rsid w:val="00BF20E8"/>
    <w:rsid w:val="00C05AD6"/>
    <w:rsid w:val="00C201B4"/>
    <w:rsid w:val="00C22398"/>
    <w:rsid w:val="00C41A67"/>
    <w:rsid w:val="00C70A96"/>
    <w:rsid w:val="00C9588A"/>
    <w:rsid w:val="00CD6231"/>
    <w:rsid w:val="00CE0AE6"/>
    <w:rsid w:val="00D20698"/>
    <w:rsid w:val="00D3693B"/>
    <w:rsid w:val="00D44E78"/>
    <w:rsid w:val="00D6112C"/>
    <w:rsid w:val="00D814C1"/>
    <w:rsid w:val="00D86E16"/>
    <w:rsid w:val="00D9343D"/>
    <w:rsid w:val="00DA1BE1"/>
    <w:rsid w:val="00DE01BF"/>
    <w:rsid w:val="00E24121"/>
    <w:rsid w:val="00E30282"/>
    <w:rsid w:val="00E570AA"/>
    <w:rsid w:val="00E77F7C"/>
    <w:rsid w:val="00E87D28"/>
    <w:rsid w:val="00E91C13"/>
    <w:rsid w:val="00EC4B2A"/>
    <w:rsid w:val="00F002DF"/>
    <w:rsid w:val="00F05B6D"/>
    <w:rsid w:val="00F12679"/>
    <w:rsid w:val="00F15494"/>
    <w:rsid w:val="00F16D4A"/>
    <w:rsid w:val="00F3190C"/>
    <w:rsid w:val="00F417E8"/>
    <w:rsid w:val="00F45F9D"/>
    <w:rsid w:val="00F7009C"/>
    <w:rsid w:val="00F72430"/>
    <w:rsid w:val="00F85EE0"/>
    <w:rsid w:val="00F91D45"/>
    <w:rsid w:val="00F956CA"/>
    <w:rsid w:val="00F970DA"/>
    <w:rsid w:val="00FB4EAB"/>
    <w:rsid w:val="00FC0635"/>
    <w:rsid w:val="00FC1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C3A12"/>
  <w15:chartTrackingRefBased/>
  <w15:docId w15:val="{067CCB1A-0B42-4E1E-AAFC-4735A1B8F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7EF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1C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1C0D"/>
    <w:rPr>
      <w:sz w:val="20"/>
      <w:szCs w:val="20"/>
    </w:rPr>
  </w:style>
  <w:style w:type="character" w:styleId="FootnoteReference">
    <w:name w:val="footnote reference"/>
    <w:basedOn w:val="DefaultParagraphFont"/>
    <w:uiPriority w:val="99"/>
    <w:semiHidden/>
    <w:unhideWhenUsed/>
    <w:rsid w:val="00301C0D"/>
    <w:rPr>
      <w:vertAlign w:val="superscript"/>
    </w:rPr>
  </w:style>
  <w:style w:type="character" w:styleId="Hyperlink">
    <w:name w:val="Hyperlink"/>
    <w:basedOn w:val="DefaultParagraphFont"/>
    <w:uiPriority w:val="99"/>
    <w:unhideWhenUsed/>
    <w:rsid w:val="00673BAE"/>
    <w:rPr>
      <w:color w:val="0563C1" w:themeColor="hyperlink"/>
      <w:u w:val="single"/>
    </w:rPr>
  </w:style>
  <w:style w:type="paragraph" w:styleId="ListParagraph">
    <w:name w:val="List Paragraph"/>
    <w:basedOn w:val="Normal"/>
    <w:uiPriority w:val="34"/>
    <w:qFormat/>
    <w:rsid w:val="00D44E78"/>
    <w:pPr>
      <w:ind w:left="720"/>
      <w:contextualSpacing/>
    </w:pPr>
  </w:style>
  <w:style w:type="character" w:customStyle="1" w:styleId="articletitle">
    <w:name w:val="articletitle"/>
    <w:basedOn w:val="DefaultParagraphFont"/>
    <w:rsid w:val="000A2315"/>
  </w:style>
  <w:style w:type="character" w:customStyle="1" w:styleId="name">
    <w:name w:val="name"/>
    <w:basedOn w:val="DefaultParagraphFont"/>
    <w:rsid w:val="000A2315"/>
  </w:style>
  <w:style w:type="character" w:customStyle="1" w:styleId="pubyear">
    <w:name w:val="pubyear"/>
    <w:basedOn w:val="DefaultParagraphFont"/>
    <w:rsid w:val="000A2315"/>
  </w:style>
  <w:style w:type="character" w:customStyle="1" w:styleId="pubinfo">
    <w:name w:val="pubinfo"/>
    <w:basedOn w:val="DefaultParagraphFont"/>
    <w:rsid w:val="000A2315"/>
  </w:style>
  <w:style w:type="character" w:styleId="Emphasis">
    <w:name w:val="Emphasis"/>
    <w:basedOn w:val="DefaultParagraphFont"/>
    <w:uiPriority w:val="20"/>
    <w:qFormat/>
    <w:rsid w:val="000A2315"/>
    <w:rPr>
      <w:i/>
      <w:iCs/>
    </w:rPr>
  </w:style>
  <w:style w:type="paragraph" w:styleId="NormalWeb">
    <w:name w:val="Normal (Web)"/>
    <w:basedOn w:val="Normal"/>
    <w:uiPriority w:val="99"/>
    <w:unhideWhenUsed/>
    <w:rsid w:val="00F1549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042183">
      <w:bodyDiv w:val="1"/>
      <w:marLeft w:val="0"/>
      <w:marRight w:val="0"/>
      <w:marTop w:val="0"/>
      <w:marBottom w:val="0"/>
      <w:divBdr>
        <w:top w:val="none" w:sz="0" w:space="0" w:color="auto"/>
        <w:left w:val="none" w:sz="0" w:space="0" w:color="auto"/>
        <w:bottom w:val="none" w:sz="0" w:space="0" w:color="auto"/>
        <w:right w:val="none" w:sz="0" w:space="0" w:color="auto"/>
      </w:divBdr>
      <w:divsChild>
        <w:div w:id="1643848749">
          <w:marLeft w:val="0"/>
          <w:marRight w:val="0"/>
          <w:marTop w:val="0"/>
          <w:marBottom w:val="0"/>
          <w:divBdr>
            <w:top w:val="none" w:sz="0" w:space="0" w:color="auto"/>
            <w:left w:val="none" w:sz="0" w:space="0" w:color="auto"/>
            <w:bottom w:val="none" w:sz="0" w:space="0" w:color="auto"/>
            <w:right w:val="none" w:sz="0" w:space="0" w:color="auto"/>
          </w:divBdr>
        </w:div>
        <w:div w:id="1986083040">
          <w:marLeft w:val="0"/>
          <w:marRight w:val="0"/>
          <w:marTop w:val="0"/>
          <w:marBottom w:val="0"/>
          <w:divBdr>
            <w:top w:val="none" w:sz="0" w:space="0" w:color="auto"/>
            <w:left w:val="none" w:sz="0" w:space="0" w:color="auto"/>
            <w:bottom w:val="none" w:sz="0" w:space="0" w:color="auto"/>
            <w:right w:val="none" w:sz="0" w:space="0" w:color="auto"/>
          </w:divBdr>
        </w:div>
        <w:div w:id="215046492">
          <w:marLeft w:val="0"/>
          <w:marRight w:val="0"/>
          <w:marTop w:val="0"/>
          <w:marBottom w:val="0"/>
          <w:divBdr>
            <w:top w:val="none" w:sz="0" w:space="0" w:color="auto"/>
            <w:left w:val="none" w:sz="0" w:space="0" w:color="auto"/>
            <w:bottom w:val="none" w:sz="0" w:space="0" w:color="auto"/>
            <w:right w:val="none" w:sz="0" w:space="0" w:color="auto"/>
          </w:divBdr>
        </w:div>
        <w:div w:id="1085106201">
          <w:marLeft w:val="0"/>
          <w:marRight w:val="0"/>
          <w:marTop w:val="0"/>
          <w:marBottom w:val="0"/>
          <w:divBdr>
            <w:top w:val="none" w:sz="0" w:space="0" w:color="auto"/>
            <w:left w:val="none" w:sz="0" w:space="0" w:color="auto"/>
            <w:bottom w:val="none" w:sz="0" w:space="0" w:color="auto"/>
            <w:right w:val="none" w:sz="0" w:space="0" w:color="auto"/>
          </w:divBdr>
        </w:div>
        <w:div w:id="526868462">
          <w:marLeft w:val="0"/>
          <w:marRight w:val="0"/>
          <w:marTop w:val="0"/>
          <w:marBottom w:val="0"/>
          <w:divBdr>
            <w:top w:val="none" w:sz="0" w:space="0" w:color="auto"/>
            <w:left w:val="none" w:sz="0" w:space="0" w:color="auto"/>
            <w:bottom w:val="none" w:sz="0" w:space="0" w:color="auto"/>
            <w:right w:val="none" w:sz="0" w:space="0" w:color="auto"/>
          </w:divBdr>
        </w:div>
        <w:div w:id="1540169369">
          <w:marLeft w:val="0"/>
          <w:marRight w:val="0"/>
          <w:marTop w:val="0"/>
          <w:marBottom w:val="0"/>
          <w:divBdr>
            <w:top w:val="none" w:sz="0" w:space="0" w:color="auto"/>
            <w:left w:val="none" w:sz="0" w:space="0" w:color="auto"/>
            <w:bottom w:val="none" w:sz="0" w:space="0" w:color="auto"/>
            <w:right w:val="none" w:sz="0" w:space="0" w:color="auto"/>
          </w:divBdr>
        </w:div>
        <w:div w:id="1820803601">
          <w:marLeft w:val="0"/>
          <w:marRight w:val="0"/>
          <w:marTop w:val="0"/>
          <w:marBottom w:val="0"/>
          <w:divBdr>
            <w:top w:val="none" w:sz="0" w:space="0" w:color="auto"/>
            <w:left w:val="none" w:sz="0" w:space="0" w:color="auto"/>
            <w:bottom w:val="none" w:sz="0" w:space="0" w:color="auto"/>
            <w:right w:val="none" w:sz="0" w:space="0" w:color="auto"/>
          </w:divBdr>
        </w:div>
        <w:div w:id="245966335">
          <w:marLeft w:val="0"/>
          <w:marRight w:val="0"/>
          <w:marTop w:val="0"/>
          <w:marBottom w:val="0"/>
          <w:divBdr>
            <w:top w:val="none" w:sz="0" w:space="0" w:color="auto"/>
            <w:left w:val="none" w:sz="0" w:space="0" w:color="auto"/>
            <w:bottom w:val="none" w:sz="0" w:space="0" w:color="auto"/>
            <w:right w:val="none" w:sz="0" w:space="0" w:color="auto"/>
          </w:divBdr>
        </w:div>
        <w:div w:id="1285573806">
          <w:marLeft w:val="0"/>
          <w:marRight w:val="0"/>
          <w:marTop w:val="0"/>
          <w:marBottom w:val="0"/>
          <w:divBdr>
            <w:top w:val="none" w:sz="0" w:space="0" w:color="auto"/>
            <w:left w:val="none" w:sz="0" w:space="0" w:color="auto"/>
            <w:bottom w:val="none" w:sz="0" w:space="0" w:color="auto"/>
            <w:right w:val="none" w:sz="0" w:space="0" w:color="auto"/>
          </w:divBdr>
        </w:div>
        <w:div w:id="1048533618">
          <w:marLeft w:val="0"/>
          <w:marRight w:val="0"/>
          <w:marTop w:val="0"/>
          <w:marBottom w:val="0"/>
          <w:divBdr>
            <w:top w:val="none" w:sz="0" w:space="0" w:color="auto"/>
            <w:left w:val="none" w:sz="0" w:space="0" w:color="auto"/>
            <w:bottom w:val="none" w:sz="0" w:space="0" w:color="auto"/>
            <w:right w:val="none" w:sz="0" w:space="0" w:color="auto"/>
          </w:divBdr>
        </w:div>
        <w:div w:id="1712802884">
          <w:marLeft w:val="0"/>
          <w:marRight w:val="0"/>
          <w:marTop w:val="0"/>
          <w:marBottom w:val="0"/>
          <w:divBdr>
            <w:top w:val="none" w:sz="0" w:space="0" w:color="auto"/>
            <w:left w:val="none" w:sz="0" w:space="0" w:color="auto"/>
            <w:bottom w:val="none" w:sz="0" w:space="0" w:color="auto"/>
            <w:right w:val="none" w:sz="0" w:space="0" w:color="auto"/>
          </w:divBdr>
        </w:div>
        <w:div w:id="2024433020">
          <w:marLeft w:val="0"/>
          <w:marRight w:val="0"/>
          <w:marTop w:val="0"/>
          <w:marBottom w:val="0"/>
          <w:divBdr>
            <w:top w:val="none" w:sz="0" w:space="0" w:color="auto"/>
            <w:left w:val="none" w:sz="0" w:space="0" w:color="auto"/>
            <w:bottom w:val="none" w:sz="0" w:space="0" w:color="auto"/>
            <w:right w:val="none" w:sz="0" w:space="0" w:color="auto"/>
          </w:divBdr>
        </w:div>
        <w:div w:id="2098280224">
          <w:marLeft w:val="0"/>
          <w:marRight w:val="0"/>
          <w:marTop w:val="0"/>
          <w:marBottom w:val="0"/>
          <w:divBdr>
            <w:top w:val="none" w:sz="0" w:space="0" w:color="auto"/>
            <w:left w:val="none" w:sz="0" w:space="0" w:color="auto"/>
            <w:bottom w:val="none" w:sz="0" w:space="0" w:color="auto"/>
            <w:right w:val="none" w:sz="0" w:space="0" w:color="auto"/>
          </w:divBdr>
        </w:div>
        <w:div w:id="1469010756">
          <w:marLeft w:val="0"/>
          <w:marRight w:val="0"/>
          <w:marTop w:val="0"/>
          <w:marBottom w:val="0"/>
          <w:divBdr>
            <w:top w:val="none" w:sz="0" w:space="0" w:color="auto"/>
            <w:left w:val="none" w:sz="0" w:space="0" w:color="auto"/>
            <w:bottom w:val="none" w:sz="0" w:space="0" w:color="auto"/>
            <w:right w:val="none" w:sz="0" w:space="0" w:color="auto"/>
          </w:divBdr>
        </w:div>
        <w:div w:id="2127386857">
          <w:marLeft w:val="0"/>
          <w:marRight w:val="0"/>
          <w:marTop w:val="0"/>
          <w:marBottom w:val="0"/>
          <w:divBdr>
            <w:top w:val="none" w:sz="0" w:space="0" w:color="auto"/>
            <w:left w:val="none" w:sz="0" w:space="0" w:color="auto"/>
            <w:bottom w:val="none" w:sz="0" w:space="0" w:color="auto"/>
            <w:right w:val="none" w:sz="0" w:space="0" w:color="auto"/>
          </w:divBdr>
        </w:div>
        <w:div w:id="2135443725">
          <w:marLeft w:val="0"/>
          <w:marRight w:val="0"/>
          <w:marTop w:val="0"/>
          <w:marBottom w:val="0"/>
          <w:divBdr>
            <w:top w:val="none" w:sz="0" w:space="0" w:color="auto"/>
            <w:left w:val="none" w:sz="0" w:space="0" w:color="auto"/>
            <w:bottom w:val="none" w:sz="0" w:space="0" w:color="auto"/>
            <w:right w:val="none" w:sz="0" w:space="0" w:color="auto"/>
          </w:divBdr>
        </w:div>
        <w:div w:id="277225238">
          <w:marLeft w:val="0"/>
          <w:marRight w:val="0"/>
          <w:marTop w:val="0"/>
          <w:marBottom w:val="0"/>
          <w:divBdr>
            <w:top w:val="none" w:sz="0" w:space="0" w:color="auto"/>
            <w:left w:val="none" w:sz="0" w:space="0" w:color="auto"/>
            <w:bottom w:val="none" w:sz="0" w:space="0" w:color="auto"/>
            <w:right w:val="none" w:sz="0" w:space="0" w:color="auto"/>
          </w:divBdr>
        </w:div>
        <w:div w:id="625232807">
          <w:marLeft w:val="0"/>
          <w:marRight w:val="0"/>
          <w:marTop w:val="0"/>
          <w:marBottom w:val="0"/>
          <w:divBdr>
            <w:top w:val="none" w:sz="0" w:space="0" w:color="auto"/>
            <w:left w:val="none" w:sz="0" w:space="0" w:color="auto"/>
            <w:bottom w:val="none" w:sz="0" w:space="0" w:color="auto"/>
            <w:right w:val="none" w:sz="0" w:space="0" w:color="auto"/>
          </w:divBdr>
        </w:div>
        <w:div w:id="1677226412">
          <w:marLeft w:val="0"/>
          <w:marRight w:val="0"/>
          <w:marTop w:val="0"/>
          <w:marBottom w:val="0"/>
          <w:divBdr>
            <w:top w:val="none" w:sz="0" w:space="0" w:color="auto"/>
            <w:left w:val="none" w:sz="0" w:space="0" w:color="auto"/>
            <w:bottom w:val="none" w:sz="0" w:space="0" w:color="auto"/>
            <w:right w:val="none" w:sz="0" w:space="0" w:color="auto"/>
          </w:divBdr>
        </w:div>
        <w:div w:id="1968006182">
          <w:marLeft w:val="0"/>
          <w:marRight w:val="0"/>
          <w:marTop w:val="0"/>
          <w:marBottom w:val="0"/>
          <w:divBdr>
            <w:top w:val="none" w:sz="0" w:space="0" w:color="auto"/>
            <w:left w:val="none" w:sz="0" w:space="0" w:color="auto"/>
            <w:bottom w:val="none" w:sz="0" w:space="0" w:color="auto"/>
            <w:right w:val="none" w:sz="0" w:space="0" w:color="auto"/>
          </w:divBdr>
        </w:div>
      </w:divsChild>
    </w:div>
    <w:div w:id="673384976">
      <w:bodyDiv w:val="1"/>
      <w:marLeft w:val="0"/>
      <w:marRight w:val="0"/>
      <w:marTop w:val="0"/>
      <w:marBottom w:val="0"/>
      <w:divBdr>
        <w:top w:val="none" w:sz="0" w:space="0" w:color="auto"/>
        <w:left w:val="none" w:sz="0" w:space="0" w:color="auto"/>
        <w:bottom w:val="none" w:sz="0" w:space="0" w:color="auto"/>
        <w:right w:val="none" w:sz="0" w:space="0" w:color="auto"/>
      </w:divBdr>
      <w:divsChild>
        <w:div w:id="407306852">
          <w:marLeft w:val="0"/>
          <w:marRight w:val="0"/>
          <w:marTop w:val="0"/>
          <w:marBottom w:val="0"/>
          <w:divBdr>
            <w:top w:val="none" w:sz="0" w:space="0" w:color="auto"/>
            <w:left w:val="none" w:sz="0" w:space="0" w:color="auto"/>
            <w:bottom w:val="none" w:sz="0" w:space="0" w:color="auto"/>
            <w:right w:val="none" w:sz="0" w:space="0" w:color="auto"/>
          </w:divBdr>
        </w:div>
        <w:div w:id="991715474">
          <w:marLeft w:val="0"/>
          <w:marRight w:val="0"/>
          <w:marTop w:val="0"/>
          <w:marBottom w:val="0"/>
          <w:divBdr>
            <w:top w:val="none" w:sz="0" w:space="0" w:color="auto"/>
            <w:left w:val="none" w:sz="0" w:space="0" w:color="auto"/>
            <w:bottom w:val="none" w:sz="0" w:space="0" w:color="auto"/>
            <w:right w:val="none" w:sz="0" w:space="0" w:color="auto"/>
          </w:divBdr>
        </w:div>
        <w:div w:id="1787432932">
          <w:marLeft w:val="0"/>
          <w:marRight w:val="0"/>
          <w:marTop w:val="0"/>
          <w:marBottom w:val="0"/>
          <w:divBdr>
            <w:top w:val="none" w:sz="0" w:space="0" w:color="auto"/>
            <w:left w:val="none" w:sz="0" w:space="0" w:color="auto"/>
            <w:bottom w:val="none" w:sz="0" w:space="0" w:color="auto"/>
            <w:right w:val="none" w:sz="0" w:space="0" w:color="auto"/>
          </w:divBdr>
        </w:div>
        <w:div w:id="915631591">
          <w:marLeft w:val="0"/>
          <w:marRight w:val="0"/>
          <w:marTop w:val="0"/>
          <w:marBottom w:val="0"/>
          <w:divBdr>
            <w:top w:val="none" w:sz="0" w:space="0" w:color="auto"/>
            <w:left w:val="none" w:sz="0" w:space="0" w:color="auto"/>
            <w:bottom w:val="none" w:sz="0" w:space="0" w:color="auto"/>
            <w:right w:val="none" w:sz="0" w:space="0" w:color="auto"/>
          </w:divBdr>
        </w:div>
        <w:div w:id="1716392610">
          <w:marLeft w:val="0"/>
          <w:marRight w:val="0"/>
          <w:marTop w:val="0"/>
          <w:marBottom w:val="0"/>
          <w:divBdr>
            <w:top w:val="none" w:sz="0" w:space="0" w:color="auto"/>
            <w:left w:val="none" w:sz="0" w:space="0" w:color="auto"/>
            <w:bottom w:val="none" w:sz="0" w:space="0" w:color="auto"/>
            <w:right w:val="none" w:sz="0" w:space="0" w:color="auto"/>
          </w:divBdr>
        </w:div>
        <w:div w:id="1733498648">
          <w:marLeft w:val="0"/>
          <w:marRight w:val="0"/>
          <w:marTop w:val="0"/>
          <w:marBottom w:val="0"/>
          <w:divBdr>
            <w:top w:val="none" w:sz="0" w:space="0" w:color="auto"/>
            <w:left w:val="none" w:sz="0" w:space="0" w:color="auto"/>
            <w:bottom w:val="none" w:sz="0" w:space="0" w:color="auto"/>
            <w:right w:val="none" w:sz="0" w:space="0" w:color="auto"/>
          </w:divBdr>
        </w:div>
        <w:div w:id="327948889">
          <w:marLeft w:val="0"/>
          <w:marRight w:val="0"/>
          <w:marTop w:val="0"/>
          <w:marBottom w:val="0"/>
          <w:divBdr>
            <w:top w:val="none" w:sz="0" w:space="0" w:color="auto"/>
            <w:left w:val="none" w:sz="0" w:space="0" w:color="auto"/>
            <w:bottom w:val="none" w:sz="0" w:space="0" w:color="auto"/>
            <w:right w:val="none" w:sz="0" w:space="0" w:color="auto"/>
          </w:divBdr>
        </w:div>
        <w:div w:id="1198348591">
          <w:marLeft w:val="0"/>
          <w:marRight w:val="0"/>
          <w:marTop w:val="0"/>
          <w:marBottom w:val="0"/>
          <w:divBdr>
            <w:top w:val="none" w:sz="0" w:space="0" w:color="auto"/>
            <w:left w:val="none" w:sz="0" w:space="0" w:color="auto"/>
            <w:bottom w:val="none" w:sz="0" w:space="0" w:color="auto"/>
            <w:right w:val="none" w:sz="0" w:space="0" w:color="auto"/>
          </w:divBdr>
        </w:div>
        <w:div w:id="1973976367">
          <w:marLeft w:val="0"/>
          <w:marRight w:val="0"/>
          <w:marTop w:val="0"/>
          <w:marBottom w:val="0"/>
          <w:divBdr>
            <w:top w:val="none" w:sz="0" w:space="0" w:color="auto"/>
            <w:left w:val="none" w:sz="0" w:space="0" w:color="auto"/>
            <w:bottom w:val="none" w:sz="0" w:space="0" w:color="auto"/>
            <w:right w:val="none" w:sz="0" w:space="0" w:color="auto"/>
          </w:divBdr>
        </w:div>
        <w:div w:id="277686279">
          <w:marLeft w:val="0"/>
          <w:marRight w:val="0"/>
          <w:marTop w:val="0"/>
          <w:marBottom w:val="0"/>
          <w:divBdr>
            <w:top w:val="none" w:sz="0" w:space="0" w:color="auto"/>
            <w:left w:val="none" w:sz="0" w:space="0" w:color="auto"/>
            <w:bottom w:val="none" w:sz="0" w:space="0" w:color="auto"/>
            <w:right w:val="none" w:sz="0" w:space="0" w:color="auto"/>
          </w:divBdr>
        </w:div>
        <w:div w:id="397022692">
          <w:marLeft w:val="0"/>
          <w:marRight w:val="0"/>
          <w:marTop w:val="0"/>
          <w:marBottom w:val="0"/>
          <w:divBdr>
            <w:top w:val="none" w:sz="0" w:space="0" w:color="auto"/>
            <w:left w:val="none" w:sz="0" w:space="0" w:color="auto"/>
            <w:bottom w:val="none" w:sz="0" w:space="0" w:color="auto"/>
            <w:right w:val="none" w:sz="0" w:space="0" w:color="auto"/>
          </w:divBdr>
        </w:div>
        <w:div w:id="1386101395">
          <w:marLeft w:val="0"/>
          <w:marRight w:val="0"/>
          <w:marTop w:val="0"/>
          <w:marBottom w:val="0"/>
          <w:divBdr>
            <w:top w:val="none" w:sz="0" w:space="0" w:color="auto"/>
            <w:left w:val="none" w:sz="0" w:space="0" w:color="auto"/>
            <w:bottom w:val="none" w:sz="0" w:space="0" w:color="auto"/>
            <w:right w:val="none" w:sz="0" w:space="0" w:color="auto"/>
          </w:divBdr>
        </w:div>
        <w:div w:id="1150445629">
          <w:marLeft w:val="0"/>
          <w:marRight w:val="0"/>
          <w:marTop w:val="0"/>
          <w:marBottom w:val="0"/>
          <w:divBdr>
            <w:top w:val="none" w:sz="0" w:space="0" w:color="auto"/>
            <w:left w:val="none" w:sz="0" w:space="0" w:color="auto"/>
            <w:bottom w:val="none" w:sz="0" w:space="0" w:color="auto"/>
            <w:right w:val="none" w:sz="0" w:space="0" w:color="auto"/>
          </w:divBdr>
        </w:div>
        <w:div w:id="285084981">
          <w:marLeft w:val="0"/>
          <w:marRight w:val="0"/>
          <w:marTop w:val="0"/>
          <w:marBottom w:val="0"/>
          <w:divBdr>
            <w:top w:val="none" w:sz="0" w:space="0" w:color="auto"/>
            <w:left w:val="none" w:sz="0" w:space="0" w:color="auto"/>
            <w:bottom w:val="none" w:sz="0" w:space="0" w:color="auto"/>
            <w:right w:val="none" w:sz="0" w:space="0" w:color="auto"/>
          </w:divBdr>
        </w:div>
        <w:div w:id="706489144">
          <w:marLeft w:val="0"/>
          <w:marRight w:val="0"/>
          <w:marTop w:val="0"/>
          <w:marBottom w:val="0"/>
          <w:divBdr>
            <w:top w:val="none" w:sz="0" w:space="0" w:color="auto"/>
            <w:left w:val="none" w:sz="0" w:space="0" w:color="auto"/>
            <w:bottom w:val="none" w:sz="0" w:space="0" w:color="auto"/>
            <w:right w:val="none" w:sz="0" w:space="0" w:color="auto"/>
          </w:divBdr>
        </w:div>
        <w:div w:id="418334311">
          <w:marLeft w:val="0"/>
          <w:marRight w:val="0"/>
          <w:marTop w:val="0"/>
          <w:marBottom w:val="0"/>
          <w:divBdr>
            <w:top w:val="none" w:sz="0" w:space="0" w:color="auto"/>
            <w:left w:val="none" w:sz="0" w:space="0" w:color="auto"/>
            <w:bottom w:val="none" w:sz="0" w:space="0" w:color="auto"/>
            <w:right w:val="none" w:sz="0" w:space="0" w:color="auto"/>
          </w:divBdr>
        </w:div>
        <w:div w:id="1941184191">
          <w:marLeft w:val="0"/>
          <w:marRight w:val="0"/>
          <w:marTop w:val="0"/>
          <w:marBottom w:val="0"/>
          <w:divBdr>
            <w:top w:val="none" w:sz="0" w:space="0" w:color="auto"/>
            <w:left w:val="none" w:sz="0" w:space="0" w:color="auto"/>
            <w:bottom w:val="none" w:sz="0" w:space="0" w:color="auto"/>
            <w:right w:val="none" w:sz="0" w:space="0" w:color="auto"/>
          </w:divBdr>
        </w:div>
        <w:div w:id="495341453">
          <w:marLeft w:val="0"/>
          <w:marRight w:val="0"/>
          <w:marTop w:val="0"/>
          <w:marBottom w:val="0"/>
          <w:divBdr>
            <w:top w:val="none" w:sz="0" w:space="0" w:color="auto"/>
            <w:left w:val="none" w:sz="0" w:space="0" w:color="auto"/>
            <w:bottom w:val="none" w:sz="0" w:space="0" w:color="auto"/>
            <w:right w:val="none" w:sz="0" w:space="0" w:color="auto"/>
          </w:divBdr>
        </w:div>
        <w:div w:id="2142649620">
          <w:marLeft w:val="0"/>
          <w:marRight w:val="0"/>
          <w:marTop w:val="0"/>
          <w:marBottom w:val="0"/>
          <w:divBdr>
            <w:top w:val="none" w:sz="0" w:space="0" w:color="auto"/>
            <w:left w:val="none" w:sz="0" w:space="0" w:color="auto"/>
            <w:bottom w:val="none" w:sz="0" w:space="0" w:color="auto"/>
            <w:right w:val="none" w:sz="0" w:space="0" w:color="auto"/>
          </w:divBdr>
        </w:div>
        <w:div w:id="11706046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vius.org/articles/religion/akit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9579E-7DE6-4420-A2D6-6465D8DC0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2023</TotalTime>
  <Pages>21</Pages>
  <Words>4592</Words>
  <Characters>26178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(not Dave)</dc:creator>
  <cp:keywords/>
  <dc:description/>
  <cp:lastModifiedBy>Clair (not Dave)</cp:lastModifiedBy>
  <cp:revision>62</cp:revision>
  <dcterms:created xsi:type="dcterms:W3CDTF">2019-05-23T09:51:00Z</dcterms:created>
  <dcterms:modified xsi:type="dcterms:W3CDTF">2019-05-24T22:42:00Z</dcterms:modified>
</cp:coreProperties>
</file>