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76EA" w:rsidRPr="00774D5C" w:rsidRDefault="00774D5C" w:rsidP="00756A10">
      <w:pPr>
        <w:jc w:val="both"/>
        <w:rPr>
          <w:rFonts w:ascii="Tw Cen MT" w:hAnsi="Tw Cen MT" w:cs="Arial"/>
          <w:b/>
          <w:sz w:val="36"/>
          <w:szCs w:val="24"/>
        </w:rPr>
      </w:pPr>
      <w:r>
        <w:rPr>
          <w:rFonts w:ascii="Tw Cen MT" w:hAnsi="Tw Cen MT" w:cs="Arial"/>
          <w:b/>
          <w:sz w:val="36"/>
          <w:szCs w:val="24"/>
        </w:rPr>
        <w:t>Part 1:</w:t>
      </w:r>
      <w:r w:rsidR="00756A10" w:rsidRPr="00774D5C">
        <w:rPr>
          <w:rFonts w:ascii="Tw Cen MT" w:hAnsi="Tw Cen MT" w:cs="Arial"/>
          <w:b/>
          <w:sz w:val="36"/>
          <w:szCs w:val="24"/>
        </w:rPr>
        <w:t xml:space="preserve"> </w:t>
      </w:r>
      <w:r w:rsidR="008176EA" w:rsidRPr="00774D5C">
        <w:rPr>
          <w:rFonts w:ascii="Tw Cen MT" w:hAnsi="Tw Cen MT" w:cs="Arial"/>
          <w:b/>
          <w:sz w:val="36"/>
          <w:szCs w:val="24"/>
        </w:rPr>
        <w:t xml:space="preserve">Critical analysis of management theories relevant to </w:t>
      </w:r>
      <w:r w:rsidR="0081779D" w:rsidRPr="00774D5C">
        <w:rPr>
          <w:rFonts w:ascii="Tw Cen MT" w:hAnsi="Tw Cen MT" w:cs="Arial"/>
          <w:b/>
          <w:sz w:val="36"/>
          <w:szCs w:val="24"/>
        </w:rPr>
        <w:t>Tesco</w:t>
      </w:r>
      <w:r>
        <w:rPr>
          <w:rFonts w:ascii="Tw Cen MT" w:hAnsi="Tw Cen MT" w:cs="Arial"/>
          <w:b/>
          <w:sz w:val="36"/>
          <w:szCs w:val="24"/>
        </w:rPr>
        <w:t xml:space="preserve"> and their impact.</w:t>
      </w:r>
    </w:p>
    <w:p w:rsidR="005E518D" w:rsidRPr="00921BDB" w:rsidRDefault="005E518D" w:rsidP="005E518D">
      <w:pPr>
        <w:jc w:val="both"/>
        <w:rPr>
          <w:rFonts w:ascii="Tw Cen MT" w:hAnsi="Tw Cen MT"/>
          <w:sz w:val="24"/>
          <w:szCs w:val="24"/>
        </w:rPr>
      </w:pPr>
    </w:p>
    <w:p w:rsidR="005E518D" w:rsidRPr="00921BDB" w:rsidRDefault="005E518D" w:rsidP="005E518D">
      <w:pPr>
        <w:jc w:val="both"/>
        <w:rPr>
          <w:rFonts w:ascii="Tw Cen MT" w:hAnsi="Tw Cen MT"/>
          <w:sz w:val="24"/>
          <w:szCs w:val="24"/>
        </w:rPr>
      </w:pPr>
      <w:r w:rsidRPr="00921BDB">
        <w:rPr>
          <w:rFonts w:ascii="Tw Cen MT" w:hAnsi="Tw Cen MT"/>
          <w:sz w:val="24"/>
          <w:szCs w:val="24"/>
        </w:rPr>
        <w:t>In the modern global economy, productivity depends less on what industries a nation’s firms compete in than on how they compete (Harrison and Huntington, 2000)</w:t>
      </w:r>
      <w:r w:rsidRPr="00921BDB">
        <w:rPr>
          <w:rStyle w:val="FootnoteReference"/>
          <w:rFonts w:ascii="Tw Cen MT" w:hAnsi="Tw Cen MT"/>
          <w:sz w:val="24"/>
          <w:szCs w:val="24"/>
        </w:rPr>
        <w:footnoteReference w:id="2"/>
      </w:r>
      <w:r w:rsidRPr="00921BDB">
        <w:rPr>
          <w:rFonts w:ascii="Tw Cen MT" w:hAnsi="Tw Cen MT"/>
          <w:sz w:val="24"/>
          <w:szCs w:val="24"/>
        </w:rPr>
        <w:t>.</w:t>
      </w:r>
    </w:p>
    <w:p w:rsidR="005E518D" w:rsidRPr="00921BDB" w:rsidRDefault="005E518D" w:rsidP="005E518D">
      <w:pPr>
        <w:jc w:val="both"/>
        <w:rPr>
          <w:rFonts w:ascii="Tw Cen MT" w:hAnsi="Tw Cen MT"/>
          <w:sz w:val="24"/>
          <w:szCs w:val="24"/>
        </w:rPr>
      </w:pPr>
    </w:p>
    <w:p w:rsidR="005E518D" w:rsidRPr="00921BDB" w:rsidRDefault="005E518D" w:rsidP="005E518D">
      <w:pPr>
        <w:jc w:val="both"/>
        <w:rPr>
          <w:rFonts w:ascii="Tw Cen MT" w:hAnsi="Tw Cen MT"/>
          <w:sz w:val="24"/>
          <w:szCs w:val="24"/>
        </w:rPr>
      </w:pPr>
      <w:r w:rsidRPr="00921BDB">
        <w:rPr>
          <w:rFonts w:ascii="Tw Cen MT" w:hAnsi="Tw Cen MT"/>
          <w:sz w:val="24"/>
          <w:szCs w:val="24"/>
        </w:rPr>
        <w:t>Management Theories help to interpret the rapid change within today’s work environments. This involves taking responsibility and actions to motivate people to contribute to the organisational goals. It’s all about planning, staffing, leading and problem-solving, in order to implement motivation, leadership and change within the workplace.</w:t>
      </w:r>
    </w:p>
    <w:p w:rsidR="005E518D" w:rsidRPr="00921BDB" w:rsidRDefault="005E518D" w:rsidP="005E518D">
      <w:pPr>
        <w:jc w:val="both"/>
        <w:rPr>
          <w:rFonts w:ascii="Tw Cen MT" w:hAnsi="Tw Cen MT"/>
          <w:sz w:val="24"/>
          <w:szCs w:val="24"/>
        </w:rPr>
      </w:pPr>
    </w:p>
    <w:p w:rsidR="005E518D" w:rsidRPr="00921BDB" w:rsidRDefault="005E518D" w:rsidP="005E518D">
      <w:pPr>
        <w:jc w:val="both"/>
        <w:rPr>
          <w:rFonts w:ascii="Tw Cen MT" w:hAnsi="Tw Cen MT"/>
          <w:sz w:val="24"/>
          <w:szCs w:val="24"/>
        </w:rPr>
      </w:pPr>
      <w:r w:rsidRPr="00921BDB">
        <w:rPr>
          <w:rFonts w:ascii="Tw Cen MT" w:hAnsi="Tw Cen MT"/>
          <w:sz w:val="24"/>
          <w:szCs w:val="24"/>
        </w:rPr>
        <w:t>The four major well-known schools are:</w:t>
      </w:r>
    </w:p>
    <w:p w:rsidR="005E518D" w:rsidRPr="00921BDB" w:rsidRDefault="005E518D" w:rsidP="005E518D">
      <w:pPr>
        <w:jc w:val="both"/>
        <w:rPr>
          <w:rFonts w:ascii="Tw Cen MT" w:hAnsi="Tw Cen MT"/>
          <w:sz w:val="24"/>
          <w:szCs w:val="24"/>
        </w:rPr>
      </w:pPr>
    </w:p>
    <w:p w:rsidR="005E518D" w:rsidRPr="00921BDB" w:rsidRDefault="005E518D" w:rsidP="00756A10">
      <w:pPr>
        <w:pStyle w:val="ListParagraph"/>
        <w:numPr>
          <w:ilvl w:val="0"/>
          <w:numId w:val="7"/>
        </w:numPr>
        <w:jc w:val="both"/>
        <w:rPr>
          <w:rFonts w:ascii="Tw Cen MT" w:hAnsi="Tw Cen MT"/>
          <w:sz w:val="24"/>
          <w:szCs w:val="24"/>
        </w:rPr>
      </w:pPr>
      <w:r w:rsidRPr="00921BDB">
        <w:rPr>
          <w:rFonts w:ascii="Tw Cen MT" w:hAnsi="Tw Cen MT"/>
          <w:b/>
          <w:sz w:val="24"/>
          <w:szCs w:val="24"/>
        </w:rPr>
        <w:t>The Scientific Management Theory</w:t>
      </w:r>
      <w:r w:rsidRPr="00921BDB">
        <w:rPr>
          <w:rFonts w:ascii="Tw Cen MT" w:hAnsi="Tw Cen MT"/>
          <w:sz w:val="24"/>
          <w:szCs w:val="24"/>
        </w:rPr>
        <w:t xml:space="preserve"> comprising the works of Frederick Taylor, with the promotion of maximising productivity. This Theory is not applied by Tesco, as it does not believe in dehumanisation of workers, although it stands for teamwork, flexibility and creativity.</w:t>
      </w:r>
      <w:r w:rsidR="00203D10" w:rsidRPr="00921BDB">
        <w:rPr>
          <w:rFonts w:ascii="Tw Cen MT" w:hAnsi="Tw Cen MT"/>
          <w:sz w:val="24"/>
          <w:szCs w:val="24"/>
        </w:rPr>
        <w:t xml:space="preserve"> In the Tesco 2018</w:t>
      </w:r>
      <w:r w:rsidR="005F42E9" w:rsidRPr="00921BDB">
        <w:rPr>
          <w:rFonts w:ascii="Tw Cen MT" w:hAnsi="Tw Cen MT"/>
          <w:sz w:val="24"/>
          <w:szCs w:val="24"/>
        </w:rPr>
        <w:t xml:space="preserve"> </w:t>
      </w:r>
      <w:r w:rsidR="00203D10" w:rsidRPr="00921BDB">
        <w:rPr>
          <w:rFonts w:ascii="Tw Cen MT" w:hAnsi="Tw Cen MT"/>
          <w:sz w:val="24"/>
          <w:szCs w:val="24"/>
        </w:rPr>
        <w:t>Strategic Report</w:t>
      </w:r>
      <w:r w:rsidR="005F42E9" w:rsidRPr="00921BDB">
        <w:rPr>
          <w:rStyle w:val="FootnoteReference"/>
          <w:rFonts w:ascii="Tw Cen MT" w:hAnsi="Tw Cen MT"/>
          <w:sz w:val="24"/>
          <w:szCs w:val="24"/>
        </w:rPr>
        <w:footnoteReference w:id="3"/>
      </w:r>
      <w:r w:rsidR="00203D10" w:rsidRPr="00921BDB">
        <w:rPr>
          <w:rFonts w:ascii="Tw Cen MT" w:hAnsi="Tw Cen MT"/>
          <w:sz w:val="24"/>
          <w:szCs w:val="24"/>
        </w:rPr>
        <w:t xml:space="preserve">, the organisation has shown its open-mindfulness by stating “Inclusivity and creating a culture where everyone has equal opportunity remains integral to our business. In January 2018 we pledged support to the UN standards promoting the rights of Lesbian, Gay, Bisexual, Transgender and Intersex (LGBTI) people. More recently we signed up to the 30% Club, demonstrating our commitment to having strong female representation within our senior leadership team by 2020.” </w:t>
      </w:r>
    </w:p>
    <w:p w:rsidR="00F1391F" w:rsidRPr="00921BDB" w:rsidRDefault="00F1391F" w:rsidP="005E518D">
      <w:pPr>
        <w:jc w:val="both"/>
        <w:rPr>
          <w:rFonts w:ascii="Tw Cen MT" w:hAnsi="Tw Cen MT"/>
          <w:sz w:val="24"/>
          <w:szCs w:val="24"/>
        </w:rPr>
      </w:pPr>
    </w:p>
    <w:p w:rsidR="005E518D" w:rsidRPr="00921BDB" w:rsidRDefault="00F1391F" w:rsidP="005E518D">
      <w:pPr>
        <w:jc w:val="both"/>
        <w:rPr>
          <w:rFonts w:ascii="Tw Cen MT" w:hAnsi="Tw Cen MT"/>
          <w:sz w:val="24"/>
          <w:szCs w:val="24"/>
        </w:rPr>
      </w:pPr>
      <w:r w:rsidRPr="00921BDB">
        <w:rPr>
          <w:rFonts w:ascii="Tw Cen MT" w:hAnsi="Tw Cen MT"/>
          <w:sz w:val="24"/>
          <w:szCs w:val="24"/>
        </w:rPr>
        <w:t>The positive points of this theory are:</w:t>
      </w:r>
    </w:p>
    <w:p w:rsidR="00F1391F" w:rsidRPr="00921BDB" w:rsidRDefault="00F1391F" w:rsidP="00F1391F">
      <w:pPr>
        <w:pStyle w:val="ListParagraph"/>
        <w:numPr>
          <w:ilvl w:val="0"/>
          <w:numId w:val="5"/>
        </w:numPr>
        <w:jc w:val="both"/>
        <w:rPr>
          <w:rFonts w:ascii="Tw Cen MT" w:hAnsi="Tw Cen MT"/>
          <w:sz w:val="24"/>
          <w:szCs w:val="24"/>
        </w:rPr>
      </w:pPr>
      <w:r w:rsidRPr="00921BDB">
        <w:rPr>
          <w:rFonts w:ascii="Tw Cen MT" w:hAnsi="Tw Cen MT"/>
          <w:sz w:val="24"/>
          <w:szCs w:val="24"/>
        </w:rPr>
        <w:t>Time efficiency, meaning that all activities have to be timed,</w:t>
      </w:r>
    </w:p>
    <w:p w:rsidR="00F1391F" w:rsidRPr="00921BDB" w:rsidRDefault="00F1391F" w:rsidP="00F1391F">
      <w:pPr>
        <w:pStyle w:val="ListParagraph"/>
        <w:numPr>
          <w:ilvl w:val="0"/>
          <w:numId w:val="5"/>
        </w:numPr>
        <w:jc w:val="both"/>
        <w:rPr>
          <w:rFonts w:ascii="Tw Cen MT" w:hAnsi="Tw Cen MT"/>
          <w:sz w:val="24"/>
          <w:szCs w:val="24"/>
        </w:rPr>
      </w:pPr>
      <w:r w:rsidRPr="00921BDB">
        <w:rPr>
          <w:rFonts w:ascii="Tw Cen MT" w:hAnsi="Tw Cen MT"/>
          <w:sz w:val="24"/>
          <w:szCs w:val="24"/>
        </w:rPr>
        <w:t>Managers need higher training,</w:t>
      </w:r>
    </w:p>
    <w:p w:rsidR="00F1391F" w:rsidRPr="00921BDB" w:rsidRDefault="00F1391F" w:rsidP="00F1391F">
      <w:pPr>
        <w:pStyle w:val="ListParagraph"/>
        <w:numPr>
          <w:ilvl w:val="0"/>
          <w:numId w:val="5"/>
        </w:numPr>
        <w:jc w:val="both"/>
        <w:rPr>
          <w:rFonts w:ascii="Tw Cen MT" w:hAnsi="Tw Cen MT"/>
          <w:sz w:val="24"/>
          <w:szCs w:val="24"/>
        </w:rPr>
      </w:pPr>
      <w:r w:rsidRPr="00921BDB">
        <w:rPr>
          <w:rFonts w:ascii="Tw Cen MT" w:hAnsi="Tw Cen MT"/>
          <w:sz w:val="24"/>
          <w:szCs w:val="24"/>
        </w:rPr>
        <w:t>Tasks must be reduced into smaller manageable bits,</w:t>
      </w:r>
    </w:p>
    <w:p w:rsidR="00F1391F" w:rsidRPr="00921BDB" w:rsidRDefault="00F1391F" w:rsidP="00F1391F">
      <w:pPr>
        <w:pStyle w:val="ListParagraph"/>
        <w:numPr>
          <w:ilvl w:val="0"/>
          <w:numId w:val="5"/>
        </w:numPr>
        <w:jc w:val="both"/>
        <w:rPr>
          <w:rFonts w:ascii="Tw Cen MT" w:hAnsi="Tw Cen MT"/>
          <w:sz w:val="24"/>
          <w:szCs w:val="24"/>
        </w:rPr>
      </w:pPr>
      <w:r w:rsidRPr="00921BDB">
        <w:rPr>
          <w:rFonts w:ascii="Tw Cen MT" w:hAnsi="Tw Cen MT"/>
          <w:sz w:val="24"/>
          <w:szCs w:val="24"/>
        </w:rPr>
        <w:t>Profit sharing,</w:t>
      </w:r>
    </w:p>
    <w:p w:rsidR="00F1391F" w:rsidRPr="00921BDB" w:rsidRDefault="00F1391F" w:rsidP="00F1391F">
      <w:pPr>
        <w:pStyle w:val="ListParagraph"/>
        <w:numPr>
          <w:ilvl w:val="0"/>
          <w:numId w:val="5"/>
        </w:numPr>
        <w:jc w:val="both"/>
        <w:rPr>
          <w:rFonts w:ascii="Tw Cen MT" w:hAnsi="Tw Cen MT"/>
          <w:sz w:val="24"/>
          <w:szCs w:val="24"/>
        </w:rPr>
      </w:pPr>
      <w:r w:rsidRPr="00921BDB">
        <w:rPr>
          <w:rFonts w:ascii="Tw Cen MT" w:hAnsi="Tw Cen MT"/>
          <w:sz w:val="24"/>
          <w:szCs w:val="24"/>
        </w:rPr>
        <w:t>Clear expectation of employees.</w:t>
      </w:r>
    </w:p>
    <w:p w:rsidR="00F1391F" w:rsidRPr="00921BDB" w:rsidRDefault="00F1391F" w:rsidP="00F1391F">
      <w:pPr>
        <w:jc w:val="both"/>
        <w:rPr>
          <w:rFonts w:ascii="Tw Cen MT" w:hAnsi="Tw Cen MT"/>
          <w:sz w:val="24"/>
          <w:szCs w:val="24"/>
        </w:rPr>
      </w:pPr>
    </w:p>
    <w:p w:rsidR="00F1391F" w:rsidRPr="00921BDB" w:rsidRDefault="00F1391F" w:rsidP="00F1391F">
      <w:pPr>
        <w:jc w:val="both"/>
        <w:rPr>
          <w:rFonts w:ascii="Tw Cen MT" w:hAnsi="Tw Cen MT"/>
          <w:sz w:val="24"/>
          <w:szCs w:val="24"/>
        </w:rPr>
      </w:pPr>
      <w:r w:rsidRPr="00921BDB">
        <w:rPr>
          <w:rFonts w:ascii="Tw Cen MT" w:hAnsi="Tw Cen MT"/>
          <w:sz w:val="24"/>
          <w:szCs w:val="24"/>
        </w:rPr>
        <w:t xml:space="preserve">Speak of the negatives, this theory is criticised to be task orientated, which leads to dehumanisation, which is not implemented by Tesco. </w:t>
      </w:r>
    </w:p>
    <w:p w:rsidR="00F1391F" w:rsidRPr="00921BDB" w:rsidRDefault="00F1391F" w:rsidP="00F1391F">
      <w:pPr>
        <w:jc w:val="both"/>
        <w:rPr>
          <w:rFonts w:ascii="Tw Cen MT" w:hAnsi="Tw Cen MT"/>
          <w:sz w:val="24"/>
          <w:szCs w:val="24"/>
        </w:rPr>
      </w:pPr>
    </w:p>
    <w:p w:rsidR="005E518D" w:rsidRPr="00921BDB" w:rsidRDefault="005E518D" w:rsidP="00756A10">
      <w:pPr>
        <w:pStyle w:val="ListParagraph"/>
        <w:numPr>
          <w:ilvl w:val="0"/>
          <w:numId w:val="7"/>
        </w:numPr>
        <w:jc w:val="both"/>
        <w:rPr>
          <w:rFonts w:ascii="Tw Cen MT" w:hAnsi="Tw Cen MT"/>
          <w:sz w:val="24"/>
          <w:szCs w:val="24"/>
        </w:rPr>
      </w:pPr>
      <w:r w:rsidRPr="00921BDB">
        <w:rPr>
          <w:rFonts w:ascii="Tw Cen MT" w:hAnsi="Tw Cen MT"/>
          <w:b/>
          <w:sz w:val="24"/>
          <w:szCs w:val="24"/>
        </w:rPr>
        <w:t>The Classical Organisational Theory</w:t>
      </w:r>
      <w:r w:rsidRPr="00921BDB">
        <w:rPr>
          <w:rFonts w:ascii="Tw Cen MT" w:hAnsi="Tw Cen MT"/>
          <w:sz w:val="24"/>
          <w:szCs w:val="24"/>
        </w:rPr>
        <w:t xml:space="preserve"> comprising the works of Henri Fayol’s views on administration is applied by Tesco with work organisation and employee effective administration and management, as Tesco used to plan, organise, coordinate and control its employees in the limits of their </w:t>
      </w:r>
      <w:r w:rsidR="00B74DD2" w:rsidRPr="00921BDB">
        <w:rPr>
          <w:rFonts w:ascii="Tw Cen MT" w:hAnsi="Tw Cen MT"/>
          <w:sz w:val="24"/>
          <w:szCs w:val="24"/>
        </w:rPr>
        <w:t>rights.</w:t>
      </w:r>
      <w:r w:rsidR="008112B7" w:rsidRPr="00921BDB">
        <w:rPr>
          <w:rFonts w:ascii="Tw Cen MT" w:hAnsi="Tw Cen MT"/>
          <w:sz w:val="24"/>
          <w:szCs w:val="24"/>
        </w:rPr>
        <w:t xml:space="preserve"> This is demonstrated in </w:t>
      </w:r>
      <w:r w:rsidR="005F42E9" w:rsidRPr="00921BDB">
        <w:rPr>
          <w:rFonts w:ascii="Tw Cen MT" w:hAnsi="Tw Cen MT"/>
          <w:sz w:val="24"/>
          <w:szCs w:val="24"/>
        </w:rPr>
        <w:t xml:space="preserve">the </w:t>
      </w:r>
      <w:r w:rsidR="008112B7" w:rsidRPr="00921BDB">
        <w:rPr>
          <w:rFonts w:ascii="Tw Cen MT" w:hAnsi="Tw Cen MT"/>
          <w:sz w:val="24"/>
          <w:szCs w:val="24"/>
        </w:rPr>
        <w:t>Tesco 2018 Strategic Report</w:t>
      </w:r>
      <w:r w:rsidR="008112B7" w:rsidRPr="00921BDB">
        <w:rPr>
          <w:rStyle w:val="FootnoteReference"/>
          <w:rFonts w:ascii="Tw Cen MT" w:hAnsi="Tw Cen MT"/>
          <w:sz w:val="24"/>
          <w:szCs w:val="24"/>
        </w:rPr>
        <w:footnoteReference w:id="4"/>
      </w:r>
      <w:r w:rsidR="008112B7" w:rsidRPr="00921BDB">
        <w:rPr>
          <w:rFonts w:ascii="Tw Cen MT" w:hAnsi="Tw Cen MT"/>
          <w:sz w:val="24"/>
          <w:szCs w:val="24"/>
        </w:rPr>
        <w:t xml:space="preserve"> that states</w:t>
      </w:r>
      <w:r w:rsidR="00B74DD2" w:rsidRPr="00921BDB">
        <w:rPr>
          <w:rFonts w:ascii="Tw Cen MT" w:hAnsi="Tw Cen MT"/>
          <w:sz w:val="24"/>
          <w:szCs w:val="24"/>
        </w:rPr>
        <w:t xml:space="preserve"> </w:t>
      </w:r>
      <w:r w:rsidR="008112B7" w:rsidRPr="00921BDB">
        <w:rPr>
          <w:rFonts w:ascii="Tw Cen MT" w:hAnsi="Tw Cen MT"/>
          <w:sz w:val="24"/>
          <w:szCs w:val="24"/>
        </w:rPr>
        <w:t>“The 440,000 colleagues who work for us around the world are at the forefront of serving our shoppers better every day. We want to give them a great experience of working at Tesco and be a place where everyone can get on, whatever their ambitions. To do this, we are investing in training so colleagues are supported to develop their careers and to build skills for their future. We are committed to building an inclusive culture and ensuring these opportunities are</w:t>
      </w:r>
      <w:r w:rsidR="00FB4211">
        <w:rPr>
          <w:rFonts w:ascii="Tw Cen MT" w:hAnsi="Tw Cen MT"/>
          <w:sz w:val="24"/>
          <w:szCs w:val="24"/>
        </w:rPr>
        <w:t xml:space="preserve"> </w:t>
      </w:r>
      <w:r w:rsidR="008112B7" w:rsidRPr="00921BDB">
        <w:rPr>
          <w:rFonts w:ascii="Tw Cen MT" w:hAnsi="Tw Cen MT"/>
          <w:sz w:val="24"/>
          <w:szCs w:val="24"/>
        </w:rPr>
        <w:lastRenderedPageBreak/>
        <w:t>available to all colleagues. We are also trialling a number of innovative solutions that will offer colleagues greater flexibility over their own work schedules.”</w:t>
      </w:r>
    </w:p>
    <w:p w:rsidR="005E518D" w:rsidRPr="00921BDB" w:rsidRDefault="005E518D" w:rsidP="005E518D">
      <w:pPr>
        <w:pStyle w:val="ListParagraph"/>
        <w:rPr>
          <w:rFonts w:ascii="Tw Cen MT" w:hAnsi="Tw Cen MT"/>
          <w:sz w:val="24"/>
          <w:szCs w:val="24"/>
        </w:rPr>
      </w:pPr>
    </w:p>
    <w:p w:rsidR="00F1391F" w:rsidRPr="00921BDB" w:rsidRDefault="00F1391F" w:rsidP="00F1391F">
      <w:pPr>
        <w:jc w:val="both"/>
        <w:rPr>
          <w:rFonts w:ascii="Tw Cen MT" w:hAnsi="Tw Cen MT"/>
          <w:sz w:val="24"/>
          <w:szCs w:val="24"/>
        </w:rPr>
      </w:pPr>
      <w:r w:rsidRPr="00921BDB">
        <w:rPr>
          <w:rFonts w:ascii="Tw Cen MT" w:hAnsi="Tw Cen MT"/>
          <w:sz w:val="24"/>
          <w:szCs w:val="24"/>
        </w:rPr>
        <w:t>The positive points of this theory are:</w:t>
      </w:r>
    </w:p>
    <w:p w:rsidR="00F1391F" w:rsidRPr="00921BDB" w:rsidRDefault="00F1391F" w:rsidP="00F1391F">
      <w:pPr>
        <w:pStyle w:val="ListParagraph"/>
        <w:numPr>
          <w:ilvl w:val="0"/>
          <w:numId w:val="5"/>
        </w:numPr>
        <w:jc w:val="both"/>
        <w:rPr>
          <w:rFonts w:ascii="Tw Cen MT" w:hAnsi="Tw Cen MT"/>
          <w:sz w:val="24"/>
          <w:szCs w:val="24"/>
        </w:rPr>
      </w:pPr>
      <w:r w:rsidRPr="00921BDB">
        <w:rPr>
          <w:rFonts w:ascii="Tw Cen MT" w:hAnsi="Tw Cen MT"/>
          <w:sz w:val="24"/>
          <w:szCs w:val="24"/>
        </w:rPr>
        <w:t>Better working culture,</w:t>
      </w:r>
    </w:p>
    <w:p w:rsidR="00F1391F" w:rsidRPr="00921BDB" w:rsidRDefault="00F1391F" w:rsidP="00F1391F">
      <w:pPr>
        <w:pStyle w:val="ListParagraph"/>
        <w:numPr>
          <w:ilvl w:val="0"/>
          <w:numId w:val="5"/>
        </w:numPr>
        <w:jc w:val="both"/>
        <w:rPr>
          <w:rFonts w:ascii="Tw Cen MT" w:hAnsi="Tw Cen MT"/>
          <w:sz w:val="24"/>
          <w:szCs w:val="24"/>
        </w:rPr>
      </w:pPr>
      <w:r w:rsidRPr="00921BDB">
        <w:rPr>
          <w:rFonts w:ascii="Tw Cen MT" w:hAnsi="Tw Cen MT"/>
          <w:sz w:val="24"/>
          <w:szCs w:val="24"/>
        </w:rPr>
        <w:t>Produces standards,</w:t>
      </w:r>
    </w:p>
    <w:p w:rsidR="00F1391F" w:rsidRPr="00921BDB" w:rsidRDefault="00F1391F" w:rsidP="00F1391F">
      <w:pPr>
        <w:pStyle w:val="ListParagraph"/>
        <w:numPr>
          <w:ilvl w:val="0"/>
          <w:numId w:val="5"/>
        </w:numPr>
        <w:jc w:val="both"/>
        <w:rPr>
          <w:rFonts w:ascii="Tw Cen MT" w:hAnsi="Tw Cen MT"/>
          <w:sz w:val="24"/>
          <w:szCs w:val="24"/>
        </w:rPr>
      </w:pPr>
      <w:r w:rsidRPr="00921BDB">
        <w:rPr>
          <w:rFonts w:ascii="Tw Cen MT" w:hAnsi="Tw Cen MT"/>
          <w:sz w:val="24"/>
          <w:szCs w:val="24"/>
        </w:rPr>
        <w:t>S</w:t>
      </w:r>
      <w:r w:rsidR="00756A10" w:rsidRPr="00921BDB">
        <w:rPr>
          <w:rFonts w:ascii="Tw Cen MT" w:hAnsi="Tw Cen MT"/>
          <w:sz w:val="24"/>
          <w:szCs w:val="24"/>
        </w:rPr>
        <w:t>eparating</w:t>
      </w:r>
      <w:r w:rsidRPr="00921BDB">
        <w:rPr>
          <w:rFonts w:ascii="Tw Cen MT" w:hAnsi="Tw Cen MT"/>
          <w:sz w:val="24"/>
          <w:szCs w:val="24"/>
        </w:rPr>
        <w:t xml:space="preserve"> personal life from professional.</w:t>
      </w:r>
    </w:p>
    <w:p w:rsidR="00F1391F" w:rsidRPr="00921BDB" w:rsidRDefault="00F1391F" w:rsidP="00F1391F">
      <w:pPr>
        <w:jc w:val="both"/>
        <w:rPr>
          <w:rFonts w:ascii="Tw Cen MT" w:hAnsi="Tw Cen MT"/>
          <w:sz w:val="24"/>
          <w:szCs w:val="24"/>
        </w:rPr>
      </w:pPr>
    </w:p>
    <w:p w:rsidR="00AC5219" w:rsidRPr="00921BDB" w:rsidRDefault="00F1391F" w:rsidP="00F1391F">
      <w:pPr>
        <w:jc w:val="both"/>
        <w:rPr>
          <w:rFonts w:ascii="Tw Cen MT" w:hAnsi="Tw Cen MT"/>
          <w:sz w:val="24"/>
          <w:szCs w:val="24"/>
        </w:rPr>
      </w:pPr>
      <w:r w:rsidRPr="00921BDB">
        <w:rPr>
          <w:rFonts w:ascii="Tw Cen MT" w:hAnsi="Tw Cen MT"/>
          <w:sz w:val="24"/>
          <w:szCs w:val="24"/>
        </w:rPr>
        <w:t>Speak of the negatives, this theory is criticised of not cr</w:t>
      </w:r>
      <w:r w:rsidR="00AC5219" w:rsidRPr="00921BDB">
        <w:rPr>
          <w:rFonts w:ascii="Tw Cen MT" w:hAnsi="Tw Cen MT"/>
          <w:sz w:val="24"/>
          <w:szCs w:val="24"/>
        </w:rPr>
        <w:t>eating additional competencies</w:t>
      </w:r>
      <w:r w:rsidRPr="00921BDB">
        <w:rPr>
          <w:rFonts w:ascii="Tw Cen MT" w:hAnsi="Tw Cen MT"/>
          <w:sz w:val="24"/>
          <w:szCs w:val="24"/>
        </w:rPr>
        <w:t>.</w:t>
      </w:r>
      <w:r w:rsidR="00AC5219" w:rsidRPr="00921BDB">
        <w:rPr>
          <w:rFonts w:ascii="Tw Cen MT" w:hAnsi="Tw Cen MT"/>
          <w:sz w:val="24"/>
          <w:szCs w:val="24"/>
        </w:rPr>
        <w:t xml:space="preserve"> Only managers have authority (sort of dictatorship). This theory weakness is that it’s selecting best employees for selective training.</w:t>
      </w:r>
    </w:p>
    <w:p w:rsidR="0004307F" w:rsidRPr="00921BDB" w:rsidRDefault="0004307F" w:rsidP="00F1391F">
      <w:pPr>
        <w:jc w:val="both"/>
        <w:rPr>
          <w:rFonts w:ascii="Tw Cen MT" w:hAnsi="Tw Cen MT"/>
          <w:sz w:val="24"/>
          <w:szCs w:val="24"/>
        </w:rPr>
      </w:pPr>
    </w:p>
    <w:p w:rsidR="0004307F" w:rsidRPr="00921BDB" w:rsidRDefault="0004307F" w:rsidP="00F1391F">
      <w:pPr>
        <w:jc w:val="both"/>
        <w:rPr>
          <w:rFonts w:ascii="Tw Cen MT" w:hAnsi="Tw Cen MT"/>
          <w:sz w:val="24"/>
          <w:szCs w:val="24"/>
        </w:rPr>
      </w:pPr>
      <w:r w:rsidRPr="00921BDB">
        <w:rPr>
          <w:rFonts w:ascii="Tw Cen MT" w:hAnsi="Tw Cen MT"/>
          <w:sz w:val="24"/>
          <w:szCs w:val="24"/>
        </w:rPr>
        <w:t>In crossing the positive general points of these two theories, we find out that they both promote improving productivity as well as teaching newer employees. They also stand for fair pay.</w:t>
      </w:r>
    </w:p>
    <w:p w:rsidR="0004307F" w:rsidRPr="00921BDB" w:rsidRDefault="0004307F" w:rsidP="00F1391F">
      <w:pPr>
        <w:jc w:val="both"/>
        <w:rPr>
          <w:rFonts w:ascii="Tw Cen MT" w:hAnsi="Tw Cen MT"/>
          <w:sz w:val="24"/>
          <w:szCs w:val="24"/>
        </w:rPr>
      </w:pPr>
    </w:p>
    <w:p w:rsidR="00F1391F" w:rsidRPr="00921BDB" w:rsidRDefault="0004307F" w:rsidP="00F1391F">
      <w:pPr>
        <w:jc w:val="both"/>
        <w:rPr>
          <w:rFonts w:ascii="Tw Cen MT" w:hAnsi="Tw Cen MT"/>
          <w:sz w:val="24"/>
          <w:szCs w:val="24"/>
        </w:rPr>
      </w:pPr>
      <w:r w:rsidRPr="00921BDB">
        <w:rPr>
          <w:rFonts w:ascii="Tw Cen MT" w:hAnsi="Tw Cen MT"/>
          <w:sz w:val="24"/>
          <w:szCs w:val="24"/>
        </w:rPr>
        <w:t>On the general negative points, these two theories seem to be more robotic</w:t>
      </w:r>
      <w:r w:rsidR="006C3073" w:rsidRPr="00921BDB">
        <w:rPr>
          <w:rFonts w:ascii="Tw Cen MT" w:hAnsi="Tw Cen MT"/>
          <w:sz w:val="24"/>
          <w:szCs w:val="24"/>
        </w:rPr>
        <w:t xml:space="preserve"> and individualist</w:t>
      </w:r>
      <w:r w:rsidRPr="00921BDB">
        <w:rPr>
          <w:rFonts w:ascii="Tw Cen MT" w:hAnsi="Tw Cen MT"/>
          <w:sz w:val="24"/>
          <w:szCs w:val="24"/>
        </w:rPr>
        <w:t>, which Tesco does not support. They promote no focus on mental health. They don’t support employee promotion and they pr</w:t>
      </w:r>
      <w:r w:rsidR="006C3073" w:rsidRPr="00921BDB">
        <w:rPr>
          <w:rFonts w:ascii="Tw Cen MT" w:hAnsi="Tw Cen MT"/>
          <w:sz w:val="24"/>
          <w:szCs w:val="24"/>
        </w:rPr>
        <w:t>esent a lack of personal touch.</w:t>
      </w:r>
    </w:p>
    <w:p w:rsidR="0004307F" w:rsidRPr="00921BDB" w:rsidRDefault="0004307F" w:rsidP="00F1391F">
      <w:pPr>
        <w:jc w:val="both"/>
        <w:rPr>
          <w:rFonts w:ascii="Tw Cen MT" w:hAnsi="Tw Cen MT"/>
          <w:sz w:val="24"/>
          <w:szCs w:val="24"/>
        </w:rPr>
      </w:pPr>
    </w:p>
    <w:p w:rsidR="0004307F" w:rsidRPr="00921BDB" w:rsidRDefault="0004307F" w:rsidP="00F1391F">
      <w:pPr>
        <w:jc w:val="both"/>
        <w:rPr>
          <w:rFonts w:ascii="Tw Cen MT" w:hAnsi="Tw Cen MT" w:cs="Arial"/>
          <w:sz w:val="24"/>
          <w:szCs w:val="24"/>
        </w:rPr>
      </w:pPr>
      <w:r w:rsidRPr="00921BDB">
        <w:rPr>
          <w:rFonts w:ascii="Tw Cen MT" w:hAnsi="Tw Cen MT"/>
          <w:sz w:val="24"/>
          <w:szCs w:val="24"/>
        </w:rPr>
        <w:t xml:space="preserve">This analysis clearly shows that Tesco cannot totally implement the ideas of these two theories, as this organisation is human-orientated. This is shown by how it looks after the vulnerable ones and the community in general. Tesco is </w:t>
      </w:r>
      <w:r w:rsidRPr="00921BDB">
        <w:rPr>
          <w:rFonts w:ascii="Tw Cen MT" w:hAnsi="Tw Cen MT" w:cs="Arial"/>
          <w:sz w:val="24"/>
          <w:szCs w:val="24"/>
        </w:rPr>
        <w:t xml:space="preserve">commissioned to </w:t>
      </w:r>
      <w:r w:rsidR="00756A10" w:rsidRPr="00921BDB">
        <w:rPr>
          <w:rFonts w:ascii="Tw Cen MT" w:hAnsi="Tw Cen MT" w:cs="Arial"/>
          <w:sz w:val="24"/>
          <w:szCs w:val="24"/>
        </w:rPr>
        <w:t xml:space="preserve">play a </w:t>
      </w:r>
      <w:r w:rsidRPr="00921BDB">
        <w:rPr>
          <w:rFonts w:ascii="Tw Cen MT" w:hAnsi="Tw Cen MT" w:cs="Arial"/>
          <w:sz w:val="24"/>
          <w:szCs w:val="24"/>
        </w:rPr>
        <w:t xml:space="preserve">role in supporting communities across the UK. </w:t>
      </w:r>
      <w:r w:rsidR="007346DD" w:rsidRPr="00921BDB">
        <w:rPr>
          <w:rFonts w:ascii="Tw Cen MT" w:hAnsi="Tw Cen MT" w:cs="Arial"/>
          <w:sz w:val="24"/>
          <w:szCs w:val="24"/>
        </w:rPr>
        <w:t xml:space="preserve">This was effectively demonstrated in 2004, when </w:t>
      </w:r>
      <w:r w:rsidR="007346DD" w:rsidRPr="00921BDB">
        <w:rPr>
          <w:rFonts w:ascii="Tw Cen MT" w:hAnsi="Tw Cen MT"/>
          <w:sz w:val="24"/>
          <w:szCs w:val="24"/>
        </w:rPr>
        <w:t xml:space="preserve">Tesco decided to use plastic carrier bags containing additives which can make the plastic material degrade more quickly. </w:t>
      </w:r>
      <w:r w:rsidRPr="00921BDB">
        <w:rPr>
          <w:rFonts w:ascii="Tw Cen MT" w:hAnsi="Tw Cen MT" w:cs="Arial"/>
          <w:sz w:val="24"/>
          <w:szCs w:val="24"/>
        </w:rPr>
        <w:t xml:space="preserve">Measuring </w:t>
      </w:r>
      <w:r w:rsidR="00756A10" w:rsidRPr="00921BDB">
        <w:rPr>
          <w:rFonts w:ascii="Tw Cen MT" w:hAnsi="Tw Cen MT" w:cs="Arial"/>
          <w:sz w:val="24"/>
          <w:szCs w:val="24"/>
        </w:rPr>
        <w:t>its</w:t>
      </w:r>
      <w:r w:rsidRPr="00921BDB">
        <w:rPr>
          <w:rFonts w:ascii="Tw Cen MT" w:hAnsi="Tw Cen MT" w:cs="Arial"/>
          <w:sz w:val="24"/>
          <w:szCs w:val="24"/>
        </w:rPr>
        <w:t xml:space="preserve"> contribution helps to understand what more </w:t>
      </w:r>
      <w:r w:rsidR="00756A10" w:rsidRPr="00921BDB">
        <w:rPr>
          <w:rFonts w:ascii="Tw Cen MT" w:hAnsi="Tw Cen MT" w:cs="Arial"/>
          <w:sz w:val="24"/>
          <w:szCs w:val="24"/>
        </w:rPr>
        <w:t>Tesco</w:t>
      </w:r>
      <w:r w:rsidRPr="00921BDB">
        <w:rPr>
          <w:rFonts w:ascii="Tw Cen MT" w:hAnsi="Tw Cen MT" w:cs="Arial"/>
          <w:sz w:val="24"/>
          <w:szCs w:val="24"/>
        </w:rPr>
        <w:t xml:space="preserve"> can do to serve </w:t>
      </w:r>
      <w:r w:rsidR="00756A10" w:rsidRPr="00921BDB">
        <w:rPr>
          <w:rFonts w:ascii="Tw Cen MT" w:hAnsi="Tw Cen MT" w:cs="Arial"/>
          <w:sz w:val="24"/>
          <w:szCs w:val="24"/>
        </w:rPr>
        <w:t>its</w:t>
      </w:r>
      <w:r w:rsidRPr="00921BDB">
        <w:rPr>
          <w:rFonts w:ascii="Tw Cen MT" w:hAnsi="Tw Cen MT" w:cs="Arial"/>
          <w:sz w:val="24"/>
          <w:szCs w:val="24"/>
        </w:rPr>
        <w:t xml:space="preserve"> customers a little better</w:t>
      </w:r>
      <w:r w:rsidR="00756A10" w:rsidRPr="00921BDB">
        <w:rPr>
          <w:rFonts w:ascii="Tw Cen MT" w:hAnsi="Tw Cen MT" w:cs="Arial"/>
          <w:sz w:val="24"/>
          <w:szCs w:val="24"/>
        </w:rPr>
        <w:t xml:space="preserve"> (Tesco plc, 2019)</w:t>
      </w:r>
      <w:r w:rsidR="00756A10" w:rsidRPr="00921BDB">
        <w:rPr>
          <w:rStyle w:val="FootnoteReference"/>
          <w:rFonts w:ascii="Tw Cen MT" w:hAnsi="Tw Cen MT" w:cs="Arial"/>
          <w:sz w:val="24"/>
          <w:szCs w:val="24"/>
        </w:rPr>
        <w:footnoteReference w:id="5"/>
      </w:r>
      <w:r w:rsidRPr="00921BDB">
        <w:rPr>
          <w:rFonts w:ascii="Tw Cen MT" w:hAnsi="Tw Cen MT" w:cs="Arial"/>
          <w:sz w:val="24"/>
          <w:szCs w:val="24"/>
        </w:rPr>
        <w:t xml:space="preserve">. </w:t>
      </w:r>
    </w:p>
    <w:p w:rsidR="00756A10" w:rsidRPr="00921BDB" w:rsidRDefault="00756A10" w:rsidP="00F1391F">
      <w:pPr>
        <w:jc w:val="both"/>
        <w:rPr>
          <w:rFonts w:ascii="Tw Cen MT" w:hAnsi="Tw Cen MT"/>
          <w:sz w:val="24"/>
          <w:szCs w:val="24"/>
        </w:rPr>
      </w:pPr>
    </w:p>
    <w:p w:rsidR="00756A10" w:rsidRPr="00921BDB" w:rsidRDefault="005E518D" w:rsidP="00E07922">
      <w:pPr>
        <w:pStyle w:val="NormalWeb"/>
        <w:numPr>
          <w:ilvl w:val="0"/>
          <w:numId w:val="7"/>
        </w:numPr>
        <w:shd w:val="clear" w:color="auto" w:fill="FFFFFF"/>
        <w:spacing w:before="0" w:beforeAutospacing="0" w:after="0" w:afterAutospacing="0"/>
        <w:jc w:val="both"/>
        <w:rPr>
          <w:rFonts w:ascii="Tw Cen MT" w:hAnsi="Tw Cen MT" w:cs="Arial"/>
        </w:rPr>
      </w:pPr>
      <w:r w:rsidRPr="00921BDB">
        <w:rPr>
          <w:rFonts w:ascii="Tw Cen MT" w:hAnsi="Tw Cen MT"/>
          <w:b/>
        </w:rPr>
        <w:t xml:space="preserve">The Behavioural </w:t>
      </w:r>
      <w:r w:rsidR="00E14033" w:rsidRPr="00921BDB">
        <w:rPr>
          <w:rFonts w:ascii="Tw Cen MT" w:hAnsi="Tw Cen MT"/>
          <w:b/>
        </w:rPr>
        <w:t>Management Theory</w:t>
      </w:r>
      <w:r w:rsidRPr="00921BDB">
        <w:rPr>
          <w:rFonts w:ascii="Tw Cen MT" w:hAnsi="Tw Cen MT"/>
        </w:rPr>
        <w:t xml:space="preserve"> comprising the work</w:t>
      </w:r>
      <w:r w:rsidR="00E14033" w:rsidRPr="00921BDB">
        <w:rPr>
          <w:rFonts w:ascii="Tw Cen MT" w:hAnsi="Tw Cen MT"/>
        </w:rPr>
        <w:t>s</w:t>
      </w:r>
      <w:r w:rsidRPr="00921BDB">
        <w:rPr>
          <w:rFonts w:ascii="Tw Cen MT" w:hAnsi="Tw Cen MT"/>
        </w:rPr>
        <w:t xml:space="preserve"> of Elton Mayo and his associates</w:t>
      </w:r>
      <w:r w:rsidR="00E14033" w:rsidRPr="00921BDB">
        <w:rPr>
          <w:rFonts w:ascii="Tw Cen MT" w:hAnsi="Tw Cen MT"/>
        </w:rPr>
        <w:t xml:space="preserve"> </w:t>
      </w:r>
      <w:r w:rsidR="00E14033" w:rsidRPr="00921BDB">
        <w:rPr>
          <w:rFonts w:ascii="Tw Cen MT" w:hAnsi="Tw Cen MT" w:cs="Arial"/>
          <w:shd w:val="clear" w:color="auto" w:fill="FFFFFF"/>
        </w:rPr>
        <w:t>relies on the notion that managers will better understand the human aspect to workers and treat employees as important assets to achieve goals. Management taking a special interest in workers makes them feel like part of a special group (Hilaris, 2018)</w:t>
      </w:r>
      <w:r w:rsidR="00E14033" w:rsidRPr="00921BDB">
        <w:rPr>
          <w:rStyle w:val="FootnoteReference"/>
          <w:rFonts w:ascii="Tw Cen MT" w:hAnsi="Tw Cen MT" w:cs="Arial"/>
          <w:shd w:val="clear" w:color="auto" w:fill="FFFFFF"/>
        </w:rPr>
        <w:footnoteReference w:id="6"/>
      </w:r>
      <w:r w:rsidR="00E14033" w:rsidRPr="00921BDB">
        <w:rPr>
          <w:rFonts w:ascii="Tw Cen MT" w:hAnsi="Tw Cen MT" w:cs="Arial"/>
          <w:shd w:val="clear" w:color="auto" w:fill="FFFFFF"/>
        </w:rPr>
        <w:t>. </w:t>
      </w:r>
      <w:r w:rsidR="00E14033" w:rsidRPr="00921BDB">
        <w:rPr>
          <w:rFonts w:ascii="Tw Cen MT" w:hAnsi="Tw Cen MT"/>
        </w:rPr>
        <w:t>This theory is well implemented by Tesco with its vision on employee diversity</w:t>
      </w:r>
      <w:r w:rsidR="00756A10" w:rsidRPr="00921BDB">
        <w:rPr>
          <w:rFonts w:ascii="Tw Cen MT" w:hAnsi="Tw Cen MT"/>
        </w:rPr>
        <w:t xml:space="preserve"> and inclusion</w:t>
      </w:r>
      <w:r w:rsidRPr="00921BDB">
        <w:rPr>
          <w:rFonts w:ascii="Tw Cen MT" w:hAnsi="Tw Cen MT"/>
        </w:rPr>
        <w:t xml:space="preserve">. </w:t>
      </w:r>
      <w:r w:rsidR="00756A10" w:rsidRPr="00921BDB">
        <w:rPr>
          <w:rFonts w:ascii="Tw Cen MT" w:hAnsi="Tw Cen MT"/>
        </w:rPr>
        <w:t>This is demonstrated in the following lines: “</w:t>
      </w:r>
      <w:r w:rsidR="00756A10" w:rsidRPr="00921BDB">
        <w:rPr>
          <w:rFonts w:ascii="Tw Cen MT" w:hAnsi="Tw Cen MT" w:cs="Arial"/>
        </w:rPr>
        <w:t>At Tesco, inclusion means that Everyone’s Welcome. Everyone is treated fairly and with respect; by valuing individuality and uniqueness we create a sense of belonging. Diversity and inclusion has always been at the heart of Tesco. It is embedded in our values: we treat people how they want to be treated. We always want our colleagues to feel they can be themselves at work and we are committed to helping them be at their best. Across the Tesco group we are building an inclusive workplace, a place to actively celebrate the cultures, personalities and preferences of our colleagues – who in turn help to build the success of our business and reflect the diversity of the communities we serve</w:t>
      </w:r>
      <w:r w:rsidR="002412B1" w:rsidRPr="00921BDB">
        <w:rPr>
          <w:rFonts w:ascii="Tw Cen MT" w:hAnsi="Tw Cen MT" w:cs="Arial"/>
        </w:rPr>
        <w:t>”</w:t>
      </w:r>
      <w:r w:rsidR="00070098" w:rsidRPr="00921BDB">
        <w:rPr>
          <w:rFonts w:ascii="Tw Cen MT" w:hAnsi="Tw Cen MT" w:cs="Arial"/>
        </w:rPr>
        <w:t xml:space="preserve"> (Tesco plc, 2020)</w:t>
      </w:r>
      <w:r w:rsidR="00070098" w:rsidRPr="00921BDB">
        <w:rPr>
          <w:rStyle w:val="FootnoteReference"/>
          <w:rFonts w:ascii="Tw Cen MT" w:hAnsi="Tw Cen MT" w:cs="Arial"/>
        </w:rPr>
        <w:footnoteReference w:id="7"/>
      </w:r>
      <w:r w:rsidR="00756A10" w:rsidRPr="00921BDB">
        <w:rPr>
          <w:rFonts w:ascii="Tw Cen MT" w:hAnsi="Tw Cen MT" w:cs="Arial"/>
        </w:rPr>
        <w:t>.</w:t>
      </w:r>
    </w:p>
    <w:p w:rsidR="00E07922" w:rsidRPr="00921BDB" w:rsidRDefault="00E07922" w:rsidP="00E07922">
      <w:pPr>
        <w:pStyle w:val="NormalWeb"/>
        <w:shd w:val="clear" w:color="auto" w:fill="FFFFFF"/>
        <w:spacing w:before="0" w:beforeAutospacing="0" w:after="0" w:afterAutospacing="0"/>
        <w:ind w:left="720"/>
        <w:jc w:val="both"/>
        <w:rPr>
          <w:rFonts w:ascii="Tw Cen MT" w:hAnsi="Tw Cen MT" w:cs="Arial"/>
        </w:rPr>
      </w:pPr>
    </w:p>
    <w:p w:rsidR="005E518D" w:rsidRPr="00921BDB" w:rsidRDefault="005E518D" w:rsidP="005E518D">
      <w:pPr>
        <w:jc w:val="both"/>
        <w:rPr>
          <w:rFonts w:ascii="Tw Cen MT" w:hAnsi="Tw Cen MT"/>
          <w:sz w:val="24"/>
          <w:szCs w:val="24"/>
        </w:rPr>
      </w:pPr>
    </w:p>
    <w:p w:rsidR="00E24985" w:rsidRPr="00921BDB" w:rsidRDefault="005E518D" w:rsidP="00E24985">
      <w:pPr>
        <w:pStyle w:val="ListParagraph"/>
        <w:numPr>
          <w:ilvl w:val="0"/>
          <w:numId w:val="7"/>
        </w:numPr>
        <w:jc w:val="both"/>
        <w:rPr>
          <w:rFonts w:ascii="Tw Cen MT" w:hAnsi="Tw Cen MT"/>
          <w:sz w:val="24"/>
          <w:szCs w:val="24"/>
        </w:rPr>
      </w:pPr>
      <w:r w:rsidRPr="00921BDB">
        <w:rPr>
          <w:rFonts w:ascii="Tw Cen MT" w:hAnsi="Tw Cen MT"/>
          <w:b/>
          <w:sz w:val="24"/>
          <w:szCs w:val="24"/>
        </w:rPr>
        <w:t xml:space="preserve">The </w:t>
      </w:r>
      <w:r w:rsidR="00F1391F" w:rsidRPr="00921BDB">
        <w:rPr>
          <w:rFonts w:ascii="Tw Cen MT" w:hAnsi="Tw Cen MT"/>
          <w:b/>
          <w:sz w:val="24"/>
          <w:szCs w:val="24"/>
        </w:rPr>
        <w:t xml:space="preserve">Max Weber’s </w:t>
      </w:r>
      <w:r w:rsidRPr="00921BDB">
        <w:rPr>
          <w:rFonts w:ascii="Tw Cen MT" w:hAnsi="Tw Cen MT"/>
          <w:b/>
          <w:sz w:val="24"/>
          <w:szCs w:val="24"/>
        </w:rPr>
        <w:t xml:space="preserve">Modern Management </w:t>
      </w:r>
      <w:r w:rsidR="00F1391F" w:rsidRPr="00921BDB">
        <w:rPr>
          <w:rFonts w:ascii="Tw Cen MT" w:hAnsi="Tw Cen MT"/>
          <w:b/>
          <w:sz w:val="24"/>
          <w:szCs w:val="24"/>
        </w:rPr>
        <w:t>Theory</w:t>
      </w:r>
      <w:r w:rsidR="00F1391F" w:rsidRPr="00921BDB">
        <w:rPr>
          <w:rFonts w:ascii="Tw Cen MT" w:hAnsi="Tw Cen MT"/>
          <w:sz w:val="24"/>
          <w:szCs w:val="24"/>
        </w:rPr>
        <w:t xml:space="preserve"> </w:t>
      </w:r>
      <w:r w:rsidRPr="00921BDB">
        <w:rPr>
          <w:rFonts w:ascii="Tw Cen MT" w:hAnsi="Tw Cen MT"/>
          <w:sz w:val="24"/>
          <w:szCs w:val="24"/>
        </w:rPr>
        <w:t>by idealized bureaucracy</w:t>
      </w:r>
      <w:r w:rsidR="002412B1" w:rsidRPr="00921BDB">
        <w:rPr>
          <w:rFonts w:ascii="Tw Cen MT" w:hAnsi="Tw Cen MT"/>
          <w:sz w:val="24"/>
          <w:szCs w:val="24"/>
        </w:rPr>
        <w:t xml:space="preserve"> </w:t>
      </w:r>
      <w:r w:rsidRPr="00921BDB">
        <w:rPr>
          <w:rFonts w:ascii="Tw Cen MT" w:hAnsi="Tw Cen MT"/>
          <w:sz w:val="24"/>
          <w:szCs w:val="24"/>
        </w:rPr>
        <w:t>as a large machine for attaining its goals in the most efficient manner possible</w:t>
      </w:r>
      <w:r w:rsidR="00E24985" w:rsidRPr="00921BDB">
        <w:rPr>
          <w:rFonts w:ascii="Tw Cen MT" w:hAnsi="Tw Cen MT"/>
          <w:sz w:val="24"/>
          <w:szCs w:val="24"/>
        </w:rPr>
        <w:t xml:space="preserve"> is actually uses by many organisations such as Tesco to have m</w:t>
      </w:r>
      <w:r w:rsidR="00E24985" w:rsidRPr="00921BDB">
        <w:rPr>
          <w:rFonts w:ascii="Tw Cen MT" w:hAnsi="Tw Cen MT" w:cs="Segoe UI"/>
          <w:sz w:val="24"/>
          <w:szCs w:val="24"/>
        </w:rPr>
        <w:t xml:space="preserve">ore control over the employees with clear rules and regulations and the centralisation of the system allows Tesco to monitor all the decisions. </w:t>
      </w:r>
    </w:p>
    <w:p w:rsidR="00E24985" w:rsidRPr="00921BDB" w:rsidRDefault="00E24985" w:rsidP="00E24985">
      <w:pPr>
        <w:pStyle w:val="ListParagraph"/>
        <w:jc w:val="both"/>
        <w:rPr>
          <w:rFonts w:ascii="Tw Cen MT" w:hAnsi="Tw Cen MT"/>
          <w:sz w:val="24"/>
          <w:szCs w:val="24"/>
        </w:rPr>
      </w:pPr>
    </w:p>
    <w:p w:rsidR="00CB3A84" w:rsidRPr="00921BDB" w:rsidRDefault="00E24985" w:rsidP="00B2417B">
      <w:pPr>
        <w:pStyle w:val="NormalWeb"/>
        <w:spacing w:before="0" w:beforeAutospacing="0" w:after="230" w:afterAutospacing="0"/>
        <w:jc w:val="both"/>
        <w:textAlignment w:val="baseline"/>
        <w:rPr>
          <w:rFonts w:ascii="Tw Cen MT" w:hAnsi="Tw Cen MT"/>
        </w:rPr>
      </w:pPr>
      <w:r w:rsidRPr="00921BDB">
        <w:rPr>
          <w:rFonts w:ascii="Tw Cen MT" w:hAnsi="Tw Cen MT"/>
        </w:rPr>
        <w:t xml:space="preserve">Applied to the theories of beliefs, attitudes and values, dehumanising employees is a selfish and dictatorship attitude. That’s why Gilbreth (1914) raised the </w:t>
      </w:r>
      <w:r w:rsidR="00883FB5" w:rsidRPr="00921BDB">
        <w:rPr>
          <w:rFonts w:ascii="Tw Cen MT" w:hAnsi="Tw Cen MT"/>
        </w:rPr>
        <w:t>motion</w:t>
      </w:r>
      <w:r w:rsidRPr="00921BDB">
        <w:rPr>
          <w:rFonts w:ascii="Tw Cen MT" w:hAnsi="Tw Cen MT"/>
        </w:rPr>
        <w:t xml:space="preserve"> to say that each worker should be involved in doing their own work. This means that people’s beliefs are respected.</w:t>
      </w:r>
      <w:r w:rsidR="00464602" w:rsidRPr="00921BDB">
        <w:rPr>
          <w:rFonts w:ascii="Tw Cen MT" w:hAnsi="Tw Cen MT"/>
        </w:rPr>
        <w:t xml:space="preserve"> Tesco tries its best to apply this motion and allow a gap for flexible working. The following lines will enlighten our argumentation. “We aim to employ people who reflect the diverse nature of society and we value the contribution made by every colleague, irrespective of age, sex, disability, sexual orientation, race, colour, religion, ethnic origin or political belief. At our stores, in our distribution centres and in our offices, we make employment decisions solely on the basis of job-related skills, achievements and performance, using clearly defined and fair criteria. We also try and make sure everyone can work in a way that suits their circumstances. We support flexible working (Tesco plc, 2018)</w:t>
      </w:r>
      <w:r w:rsidR="00464602" w:rsidRPr="00921BDB">
        <w:rPr>
          <w:rStyle w:val="FootnoteReference"/>
          <w:rFonts w:ascii="Tw Cen MT" w:hAnsi="Tw Cen MT"/>
        </w:rPr>
        <w:footnoteReference w:id="8"/>
      </w:r>
      <w:r w:rsidR="00464602" w:rsidRPr="00921BDB">
        <w:rPr>
          <w:rFonts w:ascii="Tw Cen MT" w:hAnsi="Tw Cen MT"/>
        </w:rPr>
        <w:t xml:space="preserve">.  </w:t>
      </w:r>
      <w:r w:rsidRPr="00921BDB">
        <w:rPr>
          <w:rFonts w:ascii="Tw Cen MT" w:hAnsi="Tw Cen MT"/>
        </w:rPr>
        <w:t xml:space="preserve"> </w:t>
      </w:r>
    </w:p>
    <w:p w:rsidR="009E5C8C" w:rsidRPr="00921BDB" w:rsidRDefault="00883FB5" w:rsidP="00B2417B">
      <w:pPr>
        <w:pStyle w:val="NormalWeb"/>
        <w:spacing w:before="0" w:beforeAutospacing="0" w:after="230" w:afterAutospacing="0"/>
        <w:jc w:val="both"/>
        <w:textAlignment w:val="baseline"/>
        <w:rPr>
          <w:rFonts w:ascii="Tw Cen MT" w:hAnsi="Tw Cen MT"/>
        </w:rPr>
      </w:pPr>
      <w:r w:rsidRPr="00921BDB">
        <w:rPr>
          <w:rFonts w:ascii="Tw Cen MT" w:hAnsi="Tw Cen MT"/>
        </w:rPr>
        <w:t>Applying Gilbreth’s motion to personal beliefs and values, we believe that no one must be forced to manipulate alcohol if they don’t believe in being in contact with alcohol. The same applies for testing products/medicines/drugs on animals. That’s why, during the recruitment interview at Tesco, the interviewer asks the job applicant about their beliefs when it comes to work in a certain sector o</w:t>
      </w:r>
      <w:r w:rsidR="00F55838" w:rsidRPr="00921BDB">
        <w:rPr>
          <w:rFonts w:ascii="Tw Cen MT" w:hAnsi="Tw Cen MT"/>
        </w:rPr>
        <w:t xml:space="preserve">r department, such as being in contact with non-halal meat or products </w:t>
      </w:r>
      <w:r w:rsidR="00145D3A" w:rsidRPr="00921BDB">
        <w:rPr>
          <w:rFonts w:ascii="Tw Cen MT" w:hAnsi="Tw Cen MT"/>
        </w:rPr>
        <w:t xml:space="preserve">or pork </w:t>
      </w:r>
      <w:r w:rsidR="00F55838" w:rsidRPr="00921BDB">
        <w:rPr>
          <w:rFonts w:ascii="Tw Cen MT" w:hAnsi="Tw Cen MT"/>
        </w:rPr>
        <w:t xml:space="preserve">for a Muslim. </w:t>
      </w:r>
    </w:p>
    <w:p w:rsidR="00883FB5" w:rsidRDefault="009E5C8C" w:rsidP="00B2417B">
      <w:pPr>
        <w:pStyle w:val="NormalWeb"/>
        <w:spacing w:before="0" w:beforeAutospacing="0" w:after="230" w:afterAutospacing="0"/>
        <w:jc w:val="both"/>
        <w:textAlignment w:val="baseline"/>
        <w:rPr>
          <w:rFonts w:ascii="Tw Cen MT" w:hAnsi="Tw Cen MT"/>
        </w:rPr>
      </w:pPr>
      <w:r w:rsidRPr="00921BDB">
        <w:rPr>
          <w:rFonts w:ascii="Tw Cen MT" w:hAnsi="Tw Cen MT"/>
        </w:rPr>
        <w:t>We are a global company and interact with millions of people around the world every day. We have a responsibility to respect the human rights of our colleagues, our customers, those who work throughout the supply chain and people in the communities of which we are part. We aim to work to the highest international standards. We were a founding member of the Ethical Trading Initiative and also fully support the UN’s Declaration of Human Rights and the Core Conventions of the International Labour Organisation (Tesco, 2018)</w:t>
      </w:r>
      <w:r w:rsidRPr="00921BDB">
        <w:rPr>
          <w:rStyle w:val="FootnoteReference"/>
          <w:rFonts w:ascii="Tw Cen MT" w:hAnsi="Tw Cen MT"/>
        </w:rPr>
        <w:footnoteReference w:id="9"/>
      </w:r>
      <w:r w:rsidRPr="00921BDB">
        <w:rPr>
          <w:rFonts w:ascii="Tw Cen MT" w:hAnsi="Tw Cen MT"/>
        </w:rPr>
        <w:t>.</w:t>
      </w:r>
      <w:r w:rsidR="00F55838" w:rsidRPr="00921BDB">
        <w:rPr>
          <w:rFonts w:ascii="Tw Cen MT" w:hAnsi="Tw Cen MT"/>
        </w:rPr>
        <w:t xml:space="preserve">  </w:t>
      </w:r>
    </w:p>
    <w:p w:rsidR="00115A0E" w:rsidRPr="00921BDB" w:rsidRDefault="006B74C0" w:rsidP="00B2417B">
      <w:pPr>
        <w:pStyle w:val="NormalWeb"/>
        <w:spacing w:before="0" w:beforeAutospacing="0" w:after="230" w:afterAutospacing="0"/>
        <w:jc w:val="both"/>
        <w:textAlignment w:val="baseline"/>
        <w:rPr>
          <w:rFonts w:ascii="Tw Cen MT" w:hAnsi="Tw Cen MT" w:cs="Arial"/>
        </w:rPr>
      </w:pPr>
      <w:r>
        <w:rPr>
          <w:rFonts w:ascii="Tw Cen MT" w:hAnsi="Tw Cen MT"/>
        </w:rPr>
        <w:t>Both</w:t>
      </w:r>
      <w:r w:rsidR="00115A0E">
        <w:rPr>
          <w:rFonts w:ascii="Tw Cen MT" w:hAnsi="Tw Cen MT"/>
        </w:rPr>
        <w:t xml:space="preserve"> the above-mentioned management theories </w:t>
      </w:r>
      <w:r>
        <w:rPr>
          <w:rFonts w:ascii="Tw Cen MT" w:hAnsi="Tw Cen MT"/>
        </w:rPr>
        <w:t>and</w:t>
      </w:r>
      <w:r w:rsidR="00115A0E">
        <w:rPr>
          <w:rFonts w:ascii="Tw Cen MT" w:hAnsi="Tw Cen MT"/>
        </w:rPr>
        <w:t xml:space="preserve"> the old-manner theory </w:t>
      </w:r>
      <w:r>
        <w:rPr>
          <w:rFonts w:ascii="Tw Cen MT" w:hAnsi="Tw Cen MT"/>
        </w:rPr>
        <w:t xml:space="preserve">are suitable </w:t>
      </w:r>
      <w:r w:rsidR="00115A0E">
        <w:rPr>
          <w:rFonts w:ascii="Tw Cen MT" w:hAnsi="Tw Cen MT"/>
        </w:rPr>
        <w:t>towards Tesco</w:t>
      </w:r>
      <w:r>
        <w:rPr>
          <w:rFonts w:ascii="Tw Cen MT" w:hAnsi="Tw Cen MT"/>
        </w:rPr>
        <w:t xml:space="preserve"> </w:t>
      </w:r>
      <w:r w:rsidR="00115A0E">
        <w:rPr>
          <w:rFonts w:ascii="Tw Cen MT" w:hAnsi="Tw Cen MT"/>
        </w:rPr>
        <w:t xml:space="preserve">for its employees’ development and performance. </w:t>
      </w:r>
    </w:p>
    <w:p w:rsidR="00FC5101" w:rsidRDefault="00FC5101" w:rsidP="002412B1">
      <w:pPr>
        <w:pStyle w:val="NormalWeb"/>
        <w:spacing w:before="0" w:after="230"/>
        <w:jc w:val="both"/>
        <w:textAlignment w:val="baseline"/>
        <w:rPr>
          <w:rFonts w:ascii="Tw Cen MT" w:hAnsi="Tw Cen MT" w:cs="Arial"/>
          <w:b/>
          <w:bCs/>
        </w:rPr>
      </w:pPr>
    </w:p>
    <w:p w:rsidR="000C0FDA" w:rsidRPr="00774D5C" w:rsidRDefault="002412B1" w:rsidP="002412B1">
      <w:pPr>
        <w:pStyle w:val="NormalWeb"/>
        <w:spacing w:before="0" w:after="230"/>
        <w:jc w:val="both"/>
        <w:textAlignment w:val="baseline"/>
        <w:rPr>
          <w:rFonts w:ascii="Tw Cen MT" w:hAnsi="Tw Cen MT" w:cs="Arial"/>
          <w:b/>
          <w:bCs/>
          <w:sz w:val="36"/>
        </w:rPr>
      </w:pPr>
      <w:r w:rsidRPr="00774D5C">
        <w:rPr>
          <w:rFonts w:ascii="Tw Cen MT" w:hAnsi="Tw Cen MT" w:cs="Arial"/>
          <w:b/>
          <w:bCs/>
          <w:sz w:val="36"/>
        </w:rPr>
        <w:t xml:space="preserve">Part 2: </w:t>
      </w:r>
      <w:r w:rsidR="00881A46" w:rsidRPr="00774D5C">
        <w:rPr>
          <w:rFonts w:ascii="Tw Cen MT" w:hAnsi="Tw Cen MT" w:cs="Arial"/>
          <w:b/>
          <w:bCs/>
          <w:sz w:val="36"/>
        </w:rPr>
        <w:t>Values, Beliefs and Attitudes</w:t>
      </w:r>
    </w:p>
    <w:bookmarkStart w:id="0" w:name="bb0300"/>
    <w:p w:rsidR="000C0FDA" w:rsidRPr="00921BDB" w:rsidRDefault="00FE1404" w:rsidP="002412B1">
      <w:pPr>
        <w:pStyle w:val="NormalWeb"/>
        <w:spacing w:before="0" w:after="230"/>
        <w:jc w:val="both"/>
        <w:textAlignment w:val="baseline"/>
        <w:rPr>
          <w:rFonts w:ascii="Tw Cen MT" w:hAnsi="Tw Cen MT"/>
        </w:rPr>
      </w:pPr>
      <w:r w:rsidRPr="00921BDB">
        <w:rPr>
          <w:rFonts w:ascii="Tw Cen MT" w:hAnsi="Tw Cen MT"/>
        </w:rPr>
        <w:fldChar w:fldCharType="begin"/>
      </w:r>
      <w:r w:rsidR="000C0FDA" w:rsidRPr="00921BDB">
        <w:rPr>
          <w:rFonts w:ascii="Tw Cen MT" w:hAnsi="Tw Cen MT"/>
        </w:rPr>
        <w:instrText xml:space="preserve"> HYPERLINK "https://www-sciencedirect-com.ezproxy.uwtsd.ac.uk/science/article/pii/S0950329319309991" \l "b0300" </w:instrText>
      </w:r>
      <w:r w:rsidRPr="00921BDB">
        <w:rPr>
          <w:rFonts w:ascii="Tw Cen MT" w:hAnsi="Tw Cen MT"/>
        </w:rPr>
        <w:fldChar w:fldCharType="separate"/>
      </w:r>
      <w:r w:rsidR="000C0FDA" w:rsidRPr="00921BDB">
        <w:rPr>
          <w:rStyle w:val="Hyperlink"/>
          <w:rFonts w:ascii="Tw Cen MT" w:hAnsi="Tw Cen MT"/>
          <w:color w:val="auto"/>
          <w:u w:val="none"/>
        </w:rPr>
        <w:t>Schwartz (1994)</w:t>
      </w:r>
      <w:r w:rsidRPr="00921BDB">
        <w:rPr>
          <w:rFonts w:ascii="Tw Cen MT" w:hAnsi="Tw Cen MT"/>
        </w:rPr>
        <w:fldChar w:fldCharType="end"/>
      </w:r>
      <w:bookmarkEnd w:id="0"/>
      <w:r w:rsidR="000C0FDA" w:rsidRPr="00921BDB">
        <w:rPr>
          <w:rStyle w:val="FootnoteReference"/>
          <w:rFonts w:ascii="Tw Cen MT" w:hAnsi="Tw Cen MT"/>
        </w:rPr>
        <w:footnoteReference w:id="10"/>
      </w:r>
      <w:r w:rsidR="000C0FDA" w:rsidRPr="00921BDB">
        <w:rPr>
          <w:rFonts w:ascii="Tw Cen MT" w:hAnsi="Tw Cen MT"/>
        </w:rPr>
        <w:t> defines values as “desirable trans</w:t>
      </w:r>
      <w:r w:rsidR="00F552E3">
        <w:rPr>
          <w:rFonts w:ascii="Tw Cen MT" w:hAnsi="Tw Cen MT"/>
        </w:rPr>
        <w:t>-</w:t>
      </w:r>
      <w:r w:rsidR="000C0FDA" w:rsidRPr="00921BDB">
        <w:rPr>
          <w:rFonts w:ascii="Tw Cen MT" w:hAnsi="Tw Cen MT"/>
        </w:rPr>
        <w:t>situationa</w:t>
      </w:r>
      <w:r w:rsidR="00C1407E">
        <w:rPr>
          <w:rFonts w:ascii="Tw Cen MT" w:hAnsi="Tw Cen MT"/>
        </w:rPr>
        <w:t xml:space="preserve">l goals, varying in </w:t>
      </w:r>
      <w:r w:rsidR="006B74C0">
        <w:rPr>
          <w:rFonts w:ascii="Tw Cen MT" w:hAnsi="Tw Cen MT"/>
        </w:rPr>
        <w:t xml:space="preserve">importance </w:t>
      </w:r>
      <w:r w:rsidR="006B74C0" w:rsidRPr="00921BDB">
        <w:rPr>
          <w:rFonts w:ascii="Tw Cen MT" w:hAnsi="Tw Cen MT"/>
        </w:rPr>
        <w:t>that serves</w:t>
      </w:r>
      <w:r w:rsidR="000C0FDA" w:rsidRPr="00921BDB">
        <w:rPr>
          <w:rFonts w:ascii="Tw Cen MT" w:hAnsi="Tw Cen MT"/>
        </w:rPr>
        <w:t xml:space="preserve"> as guiding principles in the life of a person or other social entity”.</w:t>
      </w:r>
    </w:p>
    <w:p w:rsidR="00F82004" w:rsidRPr="00921BDB" w:rsidRDefault="00F82004" w:rsidP="002412B1">
      <w:pPr>
        <w:pStyle w:val="NormalWeb"/>
        <w:spacing w:before="0" w:after="230"/>
        <w:jc w:val="both"/>
        <w:textAlignment w:val="baseline"/>
        <w:rPr>
          <w:rFonts w:ascii="Tw Cen MT" w:hAnsi="Tw Cen MT" w:cs="Arial"/>
        </w:rPr>
      </w:pPr>
      <w:r w:rsidRPr="00921BDB">
        <w:rPr>
          <w:rFonts w:ascii="Tw Cen MT" w:hAnsi="Tw Cen MT" w:cs="Arial"/>
          <w:bCs/>
        </w:rPr>
        <w:t>Values</w:t>
      </w:r>
      <w:r w:rsidRPr="00921BDB">
        <w:rPr>
          <w:rFonts w:ascii="Tw Cen MT" w:hAnsi="Tw Cen MT" w:cs="Arial"/>
        </w:rPr>
        <w:t xml:space="preserve"> </w:t>
      </w:r>
      <w:r w:rsidR="000C0FDA" w:rsidRPr="00921BDB">
        <w:rPr>
          <w:rFonts w:ascii="Tw Cen MT" w:hAnsi="Tw Cen MT" w:cs="Arial"/>
        </w:rPr>
        <w:t xml:space="preserve">can also be defined as </w:t>
      </w:r>
      <w:r w:rsidRPr="00921BDB">
        <w:rPr>
          <w:rFonts w:ascii="Tw Cen MT" w:hAnsi="Tw Cen MT" w:cs="Arial"/>
        </w:rPr>
        <w:t xml:space="preserve">our own set of principles as for family, career goals, wealth, </w:t>
      </w:r>
      <w:r w:rsidR="00A1216B" w:rsidRPr="00921BDB">
        <w:rPr>
          <w:rFonts w:ascii="Tw Cen MT" w:hAnsi="Tw Cen MT" w:cs="Arial"/>
        </w:rPr>
        <w:t xml:space="preserve">happiness, </w:t>
      </w:r>
      <w:r w:rsidRPr="00921BDB">
        <w:rPr>
          <w:rFonts w:ascii="Tw Cen MT" w:hAnsi="Tw Cen MT" w:cs="Arial"/>
        </w:rPr>
        <w:t>etc.</w:t>
      </w:r>
    </w:p>
    <w:p w:rsidR="00F82004" w:rsidRPr="00921BDB" w:rsidRDefault="00F82004" w:rsidP="00B2417B">
      <w:pPr>
        <w:pStyle w:val="NormalWeb"/>
        <w:spacing w:before="0" w:after="230"/>
        <w:jc w:val="both"/>
        <w:textAlignment w:val="baseline"/>
        <w:rPr>
          <w:rFonts w:ascii="Tw Cen MT" w:hAnsi="Tw Cen MT" w:cs="Arial"/>
        </w:rPr>
      </w:pPr>
      <w:r w:rsidRPr="00921BDB">
        <w:rPr>
          <w:rFonts w:ascii="Tw Cen MT" w:hAnsi="Tw Cen MT" w:cs="Arial"/>
          <w:bCs/>
        </w:rPr>
        <w:lastRenderedPageBreak/>
        <w:t>Beliefs</w:t>
      </w:r>
      <w:r w:rsidRPr="00921BDB">
        <w:rPr>
          <w:rFonts w:ascii="Tw Cen MT" w:hAnsi="Tw Cen MT" w:cs="Arial"/>
        </w:rPr>
        <w:t xml:space="preserve"> are ideas, assumptions and convictions we hold to be true based on past experiences, as for religion, </w:t>
      </w:r>
      <w:r w:rsidR="00A1216B" w:rsidRPr="00921BDB">
        <w:rPr>
          <w:rFonts w:ascii="Tw Cen MT" w:hAnsi="Tw Cen MT" w:cs="Arial"/>
        </w:rPr>
        <w:t xml:space="preserve">faith, </w:t>
      </w:r>
      <w:r w:rsidRPr="00921BDB">
        <w:rPr>
          <w:rFonts w:ascii="Tw Cen MT" w:hAnsi="Tw Cen MT" w:cs="Arial"/>
        </w:rPr>
        <w:t>culture, morale, education, experience, etc.</w:t>
      </w:r>
    </w:p>
    <w:p w:rsidR="00A1216B" w:rsidRPr="00921BDB" w:rsidRDefault="00F82004" w:rsidP="00B2417B">
      <w:pPr>
        <w:pStyle w:val="NormalWeb"/>
        <w:spacing w:before="0" w:after="230"/>
        <w:jc w:val="both"/>
        <w:textAlignment w:val="baseline"/>
        <w:rPr>
          <w:rFonts w:ascii="Tw Cen MT" w:hAnsi="Tw Cen MT" w:cs="Arial"/>
        </w:rPr>
      </w:pPr>
      <w:r w:rsidRPr="00921BDB">
        <w:rPr>
          <w:rFonts w:ascii="Tw Cen MT" w:hAnsi="Tw Cen MT" w:cs="Arial"/>
          <w:bCs/>
        </w:rPr>
        <w:t>Attitudes</w:t>
      </w:r>
      <w:r w:rsidRPr="00921BDB">
        <w:rPr>
          <w:rFonts w:ascii="Tw Cen MT" w:hAnsi="Tw Cen MT" w:cs="Arial"/>
        </w:rPr>
        <w:t xml:space="preserve"> are defined by how we think, feel or act based on our values and beliefs. It’s a mental disposition towards others as on convenience, respect, peer pressure, being professional, and so on</w:t>
      </w:r>
      <w:r w:rsidR="00A1216B" w:rsidRPr="00921BDB">
        <w:rPr>
          <w:rFonts w:ascii="Tw Cen MT" w:hAnsi="Tw Cen MT" w:cs="Arial"/>
        </w:rPr>
        <w:t xml:space="preserve">. It’s our mental state (disposition) towards others. </w:t>
      </w:r>
    </w:p>
    <w:p w:rsidR="006F1713" w:rsidRPr="00921BDB" w:rsidRDefault="00071507" w:rsidP="00B2417B">
      <w:pPr>
        <w:pStyle w:val="assignmentfont"/>
        <w:shd w:val="clear" w:color="auto" w:fill="FFFFFF"/>
        <w:spacing w:before="0" w:beforeAutospacing="0"/>
        <w:jc w:val="both"/>
        <w:rPr>
          <w:rFonts w:ascii="Tw Cen MT" w:hAnsi="Tw Cen MT"/>
        </w:rPr>
      </w:pPr>
      <w:r w:rsidRPr="00921BDB">
        <w:rPr>
          <w:rFonts w:ascii="Tw Cen MT" w:hAnsi="Tw Cen MT" w:cs="Arial"/>
        </w:rPr>
        <w:t xml:space="preserve">In our case, we based our study on Tesco, which we believe is </w:t>
      </w:r>
      <w:r w:rsidRPr="00921BDB">
        <w:rPr>
          <w:rFonts w:ascii="Tw Cen MT" w:hAnsi="Tw Cen MT"/>
        </w:rPr>
        <w:t>one of the largest retailers in the United Kingdom. The company has more than 34,000 stores in the UK with approximately 300,000 colleagues working for it. The management of the company is making its best efforts to strengthen its foundation each day so that it can offer improved quality, wider product portfolio, better services and sharper prices to its consumers (Tesco plc, 2019)</w:t>
      </w:r>
      <w:r w:rsidRPr="00921BDB">
        <w:rPr>
          <w:rStyle w:val="FootnoteReference"/>
          <w:rFonts w:ascii="Tw Cen MT" w:hAnsi="Tw Cen MT"/>
        </w:rPr>
        <w:footnoteReference w:id="11"/>
      </w:r>
      <w:r w:rsidRPr="00921BDB">
        <w:rPr>
          <w:rFonts w:ascii="Tw Cen MT" w:hAnsi="Tw Cen MT"/>
        </w:rPr>
        <w:t xml:space="preserve">. </w:t>
      </w:r>
    </w:p>
    <w:p w:rsidR="005C6A48" w:rsidRPr="00921BDB" w:rsidRDefault="005C6A48" w:rsidP="00B2417B">
      <w:pPr>
        <w:pStyle w:val="assignmentfont"/>
        <w:shd w:val="clear" w:color="auto" w:fill="FFFFFF"/>
        <w:spacing w:before="0" w:beforeAutospacing="0"/>
        <w:jc w:val="both"/>
        <w:rPr>
          <w:rFonts w:ascii="Tw Cen MT" w:hAnsi="Tw Cen MT"/>
        </w:rPr>
      </w:pPr>
      <w:r w:rsidRPr="00921BDB">
        <w:rPr>
          <w:rFonts w:ascii="Tw Cen MT" w:hAnsi="Tw Cen MT"/>
        </w:rPr>
        <w:t xml:space="preserve">The impact of Tesco’s values and beliefs are clearly displayed on its employees in the way they carry out their role and in the way they treat customers. </w:t>
      </w:r>
    </w:p>
    <w:p w:rsidR="00071507" w:rsidRPr="00921BDB" w:rsidRDefault="00071507" w:rsidP="00B2417B">
      <w:pPr>
        <w:pStyle w:val="assignmentfont"/>
        <w:shd w:val="clear" w:color="auto" w:fill="FFFFFF"/>
        <w:spacing w:before="0" w:beforeAutospacing="0"/>
        <w:jc w:val="both"/>
        <w:rPr>
          <w:rFonts w:ascii="Tw Cen MT" w:hAnsi="Tw Cen MT"/>
        </w:rPr>
      </w:pPr>
      <w:r w:rsidRPr="00921BDB">
        <w:rPr>
          <w:rFonts w:ascii="Tw Cen MT" w:hAnsi="Tw Cen MT"/>
        </w:rPr>
        <w:t>The core purpose of the organization is “Serving shoppers a little better every day”, which boils down to Tesco being a champion for its customers by assisting them in having an easier life. On average, the stores serve 66 shoppers every second, making Tesco adopt a consumer-centric approach of business and marketing (Tesco plc, 2019)</w:t>
      </w:r>
      <w:r w:rsidRPr="00921BDB">
        <w:rPr>
          <w:rStyle w:val="FootnoteReference"/>
          <w:rFonts w:ascii="Tw Cen MT" w:hAnsi="Tw Cen MT"/>
        </w:rPr>
        <w:footnoteReference w:id="12"/>
      </w:r>
      <w:r w:rsidRPr="00921BDB">
        <w:rPr>
          <w:rFonts w:ascii="Tw Cen MT" w:hAnsi="Tw Cen MT"/>
        </w:rPr>
        <w:t>.</w:t>
      </w:r>
    </w:p>
    <w:p w:rsidR="002C05AF" w:rsidRPr="00921BDB" w:rsidRDefault="002C05AF" w:rsidP="00B2417B">
      <w:pPr>
        <w:pStyle w:val="assignmentfont"/>
        <w:shd w:val="clear" w:color="auto" w:fill="FFFFFF"/>
        <w:spacing w:before="0" w:beforeAutospacing="0"/>
        <w:jc w:val="both"/>
        <w:rPr>
          <w:rFonts w:ascii="Tw Cen MT" w:hAnsi="Tw Cen MT"/>
        </w:rPr>
      </w:pPr>
      <w:r w:rsidRPr="00921BDB">
        <w:rPr>
          <w:rFonts w:ascii="Tw Cen MT" w:hAnsi="Tw Cen MT"/>
          <w:shd w:val="clear" w:color="auto" w:fill="FFFFFF"/>
        </w:rPr>
        <w:t>The effectiveness of the human resource strategies and techniques used by Tesco can be judged by aligning and analyzing the theories of motivation and diversity management along with the practices of the organization. Maslow had stated that five essentials needs that motivate an individual to deliver the best performance. He demonstrated those five needs in the form of a pyramid, which came to be known as the hierarchy of needs. Basic needs such as food, shelter and clothing formed the base of the pyramid that could be met by providing proper pay and remuneration. This is followed by safety and security needs, which includes – health and safety requirements at the workplace and conducive working conditions (Taormina &amp; Gao, 2013)</w:t>
      </w:r>
      <w:r w:rsidRPr="00921BDB">
        <w:rPr>
          <w:rStyle w:val="FootnoteReference"/>
          <w:rFonts w:ascii="Tw Cen MT" w:hAnsi="Tw Cen MT"/>
          <w:shd w:val="clear" w:color="auto" w:fill="FFFFFF"/>
        </w:rPr>
        <w:footnoteReference w:id="13"/>
      </w:r>
      <w:r w:rsidRPr="00921BDB">
        <w:rPr>
          <w:rFonts w:ascii="Tw Cen MT" w:hAnsi="Tw Cen MT"/>
          <w:shd w:val="clear" w:color="auto" w:fill="FFFFFF"/>
        </w:rPr>
        <w:t>.</w:t>
      </w:r>
    </w:p>
    <w:p w:rsidR="00CB3A84" w:rsidRPr="00921BDB" w:rsidRDefault="006F1713" w:rsidP="00B2417B">
      <w:pPr>
        <w:pStyle w:val="NormalWeb"/>
        <w:spacing w:before="0" w:after="230"/>
        <w:jc w:val="both"/>
        <w:textAlignment w:val="baseline"/>
        <w:rPr>
          <w:rFonts w:ascii="Tw Cen MT" w:hAnsi="Tw Cen MT" w:cs="Arial"/>
        </w:rPr>
      </w:pPr>
      <w:r w:rsidRPr="00921BDB">
        <w:rPr>
          <w:rFonts w:ascii="Tw Cen MT" w:hAnsi="Tw Cen MT" w:cs="Arial"/>
        </w:rPr>
        <w:t xml:space="preserve">Every organisation is known and identified by </w:t>
      </w:r>
      <w:r w:rsidR="00103A92" w:rsidRPr="00921BDB">
        <w:rPr>
          <w:rFonts w:ascii="Tw Cen MT" w:hAnsi="Tw Cen MT" w:cs="Arial"/>
        </w:rPr>
        <w:t>the values it stan</w:t>
      </w:r>
      <w:r w:rsidRPr="00921BDB">
        <w:rPr>
          <w:rFonts w:ascii="Tw Cen MT" w:hAnsi="Tw Cen MT" w:cs="Arial"/>
        </w:rPr>
        <w:t xml:space="preserve">ds for. </w:t>
      </w:r>
      <w:r w:rsidR="00103A92" w:rsidRPr="00921BDB">
        <w:rPr>
          <w:rFonts w:ascii="Tw Cen MT" w:hAnsi="Tw Cen MT" w:cs="Arial"/>
        </w:rPr>
        <w:t xml:space="preserve">And as many other organisations, the </w:t>
      </w:r>
      <w:r w:rsidR="00CB3A84" w:rsidRPr="00921BDB">
        <w:rPr>
          <w:rFonts w:ascii="Tw Cen MT" w:hAnsi="Tw Cen MT" w:cs="Arial"/>
        </w:rPr>
        <w:t>Tesco three values that drive its business every day</w:t>
      </w:r>
      <w:r w:rsidR="00103A92" w:rsidRPr="00921BDB">
        <w:rPr>
          <w:rFonts w:ascii="Tw Cen MT" w:hAnsi="Tw Cen MT" w:cs="Arial"/>
        </w:rPr>
        <w:t xml:space="preserve"> are known as</w:t>
      </w:r>
      <w:r w:rsidR="00CB3A84" w:rsidRPr="00921BDB">
        <w:rPr>
          <w:rFonts w:ascii="Tw Cen MT" w:hAnsi="Tw Cen MT" w:cs="Arial"/>
        </w:rPr>
        <w:t>:</w:t>
      </w:r>
    </w:p>
    <w:p w:rsidR="00CB3A84" w:rsidRPr="00921BDB" w:rsidRDefault="00CB3A84" w:rsidP="00B2417B">
      <w:pPr>
        <w:pStyle w:val="NormalWeb"/>
        <w:numPr>
          <w:ilvl w:val="0"/>
          <w:numId w:val="1"/>
        </w:numPr>
        <w:spacing w:before="0" w:beforeAutospacing="0" w:after="0" w:afterAutospacing="0"/>
        <w:ind w:left="177" w:firstLine="107"/>
        <w:jc w:val="both"/>
        <w:textAlignment w:val="baseline"/>
        <w:rPr>
          <w:rFonts w:ascii="Tw Cen MT" w:hAnsi="Tw Cen MT" w:cs="Arial"/>
        </w:rPr>
      </w:pPr>
      <w:r w:rsidRPr="00921BDB">
        <w:rPr>
          <w:rStyle w:val="Strong"/>
          <w:rFonts w:ascii="Tw Cen MT" w:hAnsi="Tw Cen MT" w:cs="Arial"/>
          <w:b w:val="0"/>
          <w:bdr w:val="none" w:sz="0" w:space="0" w:color="auto" w:frame="1"/>
        </w:rPr>
        <w:t>No one tries harder for customers</w:t>
      </w:r>
    </w:p>
    <w:p w:rsidR="00CB3A84" w:rsidRPr="00921BDB" w:rsidRDefault="00CB3A84" w:rsidP="00B2417B">
      <w:pPr>
        <w:pStyle w:val="NormalWeb"/>
        <w:numPr>
          <w:ilvl w:val="0"/>
          <w:numId w:val="1"/>
        </w:numPr>
        <w:spacing w:before="0" w:beforeAutospacing="0" w:after="0" w:afterAutospacing="0"/>
        <w:ind w:left="177" w:firstLine="107"/>
        <w:jc w:val="both"/>
        <w:textAlignment w:val="baseline"/>
        <w:rPr>
          <w:rFonts w:ascii="Tw Cen MT" w:hAnsi="Tw Cen MT" w:cs="Arial"/>
        </w:rPr>
      </w:pPr>
      <w:r w:rsidRPr="00921BDB">
        <w:rPr>
          <w:rStyle w:val="Strong"/>
          <w:rFonts w:ascii="Tw Cen MT" w:hAnsi="Tw Cen MT" w:cs="Arial"/>
          <w:b w:val="0"/>
          <w:bdr w:val="none" w:sz="0" w:space="0" w:color="auto" w:frame="1"/>
        </w:rPr>
        <w:t>We treat people how they want to be treated</w:t>
      </w:r>
    </w:p>
    <w:p w:rsidR="00CB3A84" w:rsidRPr="00921BDB" w:rsidRDefault="00CB3A84" w:rsidP="00B2417B">
      <w:pPr>
        <w:pStyle w:val="NormalWeb"/>
        <w:numPr>
          <w:ilvl w:val="0"/>
          <w:numId w:val="1"/>
        </w:numPr>
        <w:spacing w:before="0" w:beforeAutospacing="0" w:after="0" w:afterAutospacing="0"/>
        <w:ind w:left="177" w:firstLine="107"/>
        <w:jc w:val="both"/>
        <w:textAlignment w:val="baseline"/>
        <w:rPr>
          <w:rFonts w:ascii="Tw Cen MT" w:hAnsi="Tw Cen MT" w:cs="Arial"/>
        </w:rPr>
      </w:pPr>
      <w:r w:rsidRPr="00921BDB">
        <w:rPr>
          <w:rStyle w:val="Strong"/>
          <w:rFonts w:ascii="Tw Cen MT" w:hAnsi="Tw Cen MT" w:cs="Arial"/>
          <w:b w:val="0"/>
          <w:bdr w:val="none" w:sz="0" w:space="0" w:color="auto" w:frame="1"/>
        </w:rPr>
        <w:t>We believe every little help can make a big difference</w:t>
      </w:r>
    </w:p>
    <w:p w:rsidR="006F1713" w:rsidRPr="00921BDB" w:rsidRDefault="006F1713" w:rsidP="00B2417B">
      <w:pPr>
        <w:jc w:val="both"/>
        <w:rPr>
          <w:rFonts w:ascii="Tw Cen MT" w:hAnsi="Tw Cen MT" w:cs="Arial"/>
          <w:sz w:val="24"/>
          <w:szCs w:val="24"/>
        </w:rPr>
      </w:pPr>
    </w:p>
    <w:p w:rsidR="006F1713" w:rsidRPr="00921BDB" w:rsidRDefault="006F1713" w:rsidP="00B2417B">
      <w:pPr>
        <w:jc w:val="both"/>
        <w:rPr>
          <w:rFonts w:ascii="Tw Cen MT" w:hAnsi="Tw Cen MT" w:cs="Arial"/>
          <w:sz w:val="24"/>
          <w:szCs w:val="24"/>
        </w:rPr>
      </w:pPr>
      <w:r w:rsidRPr="00921BDB">
        <w:rPr>
          <w:rFonts w:ascii="Tw Cen MT" w:hAnsi="Tw Cen MT" w:cs="Arial"/>
          <w:sz w:val="24"/>
          <w:szCs w:val="24"/>
        </w:rPr>
        <w:t xml:space="preserve">Applying the above-mentioned values, Tesco has proven to be a </w:t>
      </w:r>
      <w:r w:rsidRPr="00921BDB">
        <w:rPr>
          <w:rFonts w:ascii="Tw Cen MT" w:hAnsi="Tw Cen MT" w:cs="Arial"/>
          <w:bCs/>
          <w:i/>
          <w:iCs/>
          <w:sz w:val="24"/>
          <w:szCs w:val="24"/>
        </w:rPr>
        <w:t xml:space="preserve">fair organisation </w:t>
      </w:r>
      <w:r w:rsidRPr="00921BDB">
        <w:rPr>
          <w:rFonts w:ascii="Tw Cen MT" w:hAnsi="Tw Cen MT" w:cs="Arial"/>
          <w:sz w:val="24"/>
          <w:szCs w:val="24"/>
        </w:rPr>
        <w:t xml:space="preserve">due to its objectiveness, reliability, discipline, equitability, responsibility and understanding. This is known of all through its partnership with Cancer Research UK, British Heart Foundation, and Diabetes UK to make a real difference to the health of the nation, especially during this extraordinary time. </w:t>
      </w:r>
      <w:r w:rsidRPr="00921BDB">
        <w:rPr>
          <w:rFonts w:ascii="Tw Cen MT" w:hAnsi="Tw Cen MT" w:cs="Segoe UI"/>
          <w:bCs/>
          <w:sz w:val="24"/>
          <w:szCs w:val="24"/>
          <w:shd w:val="clear" w:color="auto" w:fill="FFFFFF"/>
        </w:rPr>
        <w:t>As with Walmart, Tesco also publishes its social media guidelines online.  It asks staff to ‘live the values’, ‘be authentic’ and respect other people’s copyright, as well as warning that the media and competitors are always watching.</w:t>
      </w:r>
      <w:r w:rsidRPr="00921BDB">
        <w:rPr>
          <w:rFonts w:ascii="Tw Cen MT" w:hAnsi="Tw Cen MT" w:cs="Segoe UI"/>
          <w:sz w:val="24"/>
          <w:szCs w:val="24"/>
          <w:shd w:val="clear" w:color="auto" w:fill="FFFFFF"/>
        </w:rPr>
        <w:t xml:space="preserve"> Tesco also offers a useful ‘Here to help’ tab </w:t>
      </w:r>
      <w:r w:rsidRPr="00921BDB">
        <w:rPr>
          <w:rFonts w:ascii="Tw Cen MT" w:hAnsi="Tw Cen MT" w:cs="Segoe UI"/>
          <w:sz w:val="24"/>
          <w:szCs w:val="24"/>
          <w:shd w:val="clear" w:color="auto" w:fill="FFFFFF"/>
        </w:rPr>
        <w:lastRenderedPageBreak/>
        <w:t>that includes contact details for all its customer care channels and a ‘real food’ app that gives information on seasonal recipes (Moth, 2013)</w:t>
      </w:r>
      <w:r w:rsidRPr="00921BDB">
        <w:rPr>
          <w:rStyle w:val="FootnoteReference"/>
          <w:rFonts w:ascii="Tw Cen MT" w:hAnsi="Tw Cen MT" w:cs="Segoe UI"/>
          <w:sz w:val="24"/>
          <w:szCs w:val="24"/>
          <w:shd w:val="clear" w:color="auto" w:fill="FFFFFF"/>
        </w:rPr>
        <w:footnoteReference w:id="14"/>
      </w:r>
      <w:r w:rsidRPr="00921BDB">
        <w:rPr>
          <w:rFonts w:ascii="Tw Cen MT" w:hAnsi="Tw Cen MT" w:cs="Segoe UI"/>
          <w:sz w:val="24"/>
          <w:szCs w:val="24"/>
          <w:shd w:val="clear" w:color="auto" w:fill="FFFFFF"/>
        </w:rPr>
        <w:t>.</w:t>
      </w:r>
    </w:p>
    <w:p w:rsidR="008176EA" w:rsidRPr="00921BDB" w:rsidRDefault="008176EA" w:rsidP="00B2417B">
      <w:pPr>
        <w:jc w:val="both"/>
        <w:rPr>
          <w:rFonts w:ascii="Tw Cen MT" w:hAnsi="Tw Cen MT" w:cs="Arial"/>
          <w:sz w:val="24"/>
          <w:szCs w:val="24"/>
        </w:rPr>
      </w:pPr>
    </w:p>
    <w:p w:rsidR="003B51DC" w:rsidRPr="00921BDB" w:rsidRDefault="0026080C" w:rsidP="00B2417B">
      <w:pPr>
        <w:jc w:val="both"/>
        <w:rPr>
          <w:rFonts w:ascii="Tw Cen MT" w:hAnsi="Tw Cen MT" w:cs="Arial"/>
          <w:sz w:val="24"/>
          <w:szCs w:val="24"/>
        </w:rPr>
      </w:pPr>
      <w:r w:rsidRPr="00921BDB">
        <w:rPr>
          <w:rFonts w:ascii="Tw Cen MT" w:hAnsi="Tw Cen MT" w:cs="Arial"/>
          <w:sz w:val="24"/>
          <w:szCs w:val="24"/>
        </w:rPr>
        <w:t>Based on the elements developed in this report, s</w:t>
      </w:r>
      <w:r w:rsidR="008176EA" w:rsidRPr="00921BDB">
        <w:rPr>
          <w:rFonts w:ascii="Tw Cen MT" w:hAnsi="Tw Cen MT" w:cs="Arial"/>
          <w:sz w:val="24"/>
          <w:szCs w:val="24"/>
        </w:rPr>
        <w:t>omeone with different values and beliefs might interpret these theories</w:t>
      </w:r>
      <w:r w:rsidRPr="00921BDB">
        <w:rPr>
          <w:rFonts w:ascii="Tw Cen MT" w:hAnsi="Tw Cen MT" w:cs="Arial"/>
          <w:sz w:val="24"/>
          <w:szCs w:val="24"/>
        </w:rPr>
        <w:t xml:space="preserve"> based on their job-related experience at the workplace</w:t>
      </w:r>
      <w:r w:rsidR="00FE6952" w:rsidRPr="00921BDB">
        <w:rPr>
          <w:rFonts w:ascii="Tw Cen MT" w:hAnsi="Tw Cen MT" w:cs="Arial"/>
          <w:sz w:val="24"/>
          <w:szCs w:val="24"/>
        </w:rPr>
        <w:t xml:space="preserve"> by </w:t>
      </w:r>
      <w:r w:rsidR="00230E4D" w:rsidRPr="00921BDB">
        <w:rPr>
          <w:rFonts w:ascii="Tw Cen MT" w:hAnsi="Tw Cen MT" w:cs="Arial"/>
          <w:sz w:val="24"/>
          <w:szCs w:val="24"/>
        </w:rPr>
        <w:t>apply</w:t>
      </w:r>
      <w:r w:rsidR="00FE6952" w:rsidRPr="00921BDB">
        <w:rPr>
          <w:rFonts w:ascii="Tw Cen MT" w:hAnsi="Tw Cen MT" w:cs="Arial"/>
          <w:sz w:val="24"/>
          <w:szCs w:val="24"/>
        </w:rPr>
        <w:t>ing</w:t>
      </w:r>
      <w:r w:rsidR="00230E4D" w:rsidRPr="00921BDB">
        <w:rPr>
          <w:rFonts w:ascii="Tw Cen MT" w:hAnsi="Tw Cen MT" w:cs="Arial"/>
          <w:sz w:val="24"/>
          <w:szCs w:val="24"/>
        </w:rPr>
        <w:t xml:space="preserve"> resilience. </w:t>
      </w:r>
    </w:p>
    <w:p w:rsidR="003B51DC" w:rsidRPr="00921BDB" w:rsidRDefault="003B51DC" w:rsidP="00B2417B">
      <w:pPr>
        <w:jc w:val="both"/>
        <w:rPr>
          <w:rFonts w:ascii="Tw Cen MT" w:hAnsi="Tw Cen MT"/>
          <w:sz w:val="24"/>
          <w:szCs w:val="24"/>
        </w:rPr>
      </w:pPr>
    </w:p>
    <w:p w:rsidR="003B51DC" w:rsidRPr="00921BDB" w:rsidRDefault="003B51DC" w:rsidP="00B2417B">
      <w:pPr>
        <w:jc w:val="both"/>
        <w:rPr>
          <w:rFonts w:ascii="Tw Cen MT" w:hAnsi="Tw Cen MT"/>
          <w:sz w:val="24"/>
          <w:szCs w:val="24"/>
        </w:rPr>
      </w:pPr>
      <w:r w:rsidRPr="00921BDB">
        <w:rPr>
          <w:rFonts w:ascii="Tw Cen MT" w:hAnsi="Tw Cen MT"/>
          <w:sz w:val="24"/>
          <w:szCs w:val="24"/>
        </w:rPr>
        <w:t>Resilience is a dynamic concept (</w:t>
      </w:r>
      <w:bookmarkStart w:id="1" w:name="bbib34"/>
      <w:r w:rsidR="00FE1404" w:rsidRPr="00921BDB">
        <w:rPr>
          <w:rFonts w:ascii="Tw Cen MT" w:hAnsi="Tw Cen MT"/>
          <w:sz w:val="24"/>
          <w:szCs w:val="24"/>
        </w:rPr>
        <w:fldChar w:fldCharType="begin"/>
      </w:r>
      <w:r w:rsidRPr="00921BDB">
        <w:rPr>
          <w:rFonts w:ascii="Tw Cen MT" w:hAnsi="Tw Cen MT"/>
          <w:sz w:val="24"/>
          <w:szCs w:val="24"/>
        </w:rPr>
        <w:instrText xml:space="preserve"> HYPERLINK "https://www-sciencedirect-com.ezproxy.uwtsd.ac.uk/science/article/pii/S0891524516302541" \l "bib34" </w:instrText>
      </w:r>
      <w:r w:rsidR="00FE1404" w:rsidRPr="00921BDB">
        <w:rPr>
          <w:rFonts w:ascii="Tw Cen MT" w:hAnsi="Tw Cen MT"/>
          <w:sz w:val="24"/>
          <w:szCs w:val="24"/>
        </w:rPr>
        <w:fldChar w:fldCharType="separate"/>
      </w:r>
      <w:r w:rsidRPr="00921BDB">
        <w:rPr>
          <w:rStyle w:val="Hyperlink"/>
          <w:rFonts w:ascii="Tw Cen MT" w:hAnsi="Tw Cen MT"/>
          <w:color w:val="auto"/>
          <w:sz w:val="24"/>
          <w:szCs w:val="24"/>
          <w:u w:val="none"/>
        </w:rPr>
        <w:t>Rutter, 2013</w:t>
      </w:r>
      <w:r w:rsidR="00FE1404" w:rsidRPr="00921BDB">
        <w:rPr>
          <w:rFonts w:ascii="Tw Cen MT" w:hAnsi="Tw Cen MT"/>
          <w:sz w:val="24"/>
          <w:szCs w:val="24"/>
        </w:rPr>
        <w:fldChar w:fldCharType="end"/>
      </w:r>
      <w:bookmarkEnd w:id="1"/>
      <w:r w:rsidRPr="00921BDB">
        <w:rPr>
          <w:rFonts w:ascii="Tw Cen MT" w:hAnsi="Tw Cen MT"/>
          <w:sz w:val="24"/>
          <w:szCs w:val="24"/>
        </w:rPr>
        <w:t>)</w:t>
      </w:r>
      <w:r w:rsidRPr="00921BDB">
        <w:rPr>
          <w:rStyle w:val="FootnoteReference"/>
          <w:rFonts w:ascii="Tw Cen MT" w:hAnsi="Tw Cen MT"/>
          <w:sz w:val="24"/>
          <w:szCs w:val="24"/>
        </w:rPr>
        <w:footnoteReference w:id="15"/>
      </w:r>
      <w:r w:rsidRPr="00921BDB">
        <w:rPr>
          <w:rFonts w:ascii="Tw Cen MT" w:hAnsi="Tw Cen MT"/>
          <w:sz w:val="24"/>
          <w:szCs w:val="24"/>
        </w:rPr>
        <w:t>. Most definitions of resilience include the overcoming of stress or adversity or a relative resistance to environmental risk (</w:t>
      </w:r>
      <w:bookmarkStart w:id="2" w:name="bbib2"/>
      <w:r w:rsidR="00FE1404" w:rsidRPr="00921BDB">
        <w:rPr>
          <w:rFonts w:ascii="Tw Cen MT" w:hAnsi="Tw Cen MT"/>
          <w:sz w:val="24"/>
          <w:szCs w:val="24"/>
        </w:rPr>
        <w:fldChar w:fldCharType="begin"/>
      </w:r>
      <w:r w:rsidRPr="00921BDB">
        <w:rPr>
          <w:rFonts w:ascii="Tw Cen MT" w:hAnsi="Tw Cen MT"/>
          <w:sz w:val="24"/>
          <w:szCs w:val="24"/>
        </w:rPr>
        <w:instrText xml:space="preserve"> HYPERLINK "https://www-sciencedirect-com.ezproxy.uwtsd.ac.uk/science/article/pii/S0891524516302541" \l "bib2" </w:instrText>
      </w:r>
      <w:r w:rsidR="00FE1404" w:rsidRPr="00921BDB">
        <w:rPr>
          <w:rFonts w:ascii="Tw Cen MT" w:hAnsi="Tw Cen MT"/>
          <w:sz w:val="24"/>
          <w:szCs w:val="24"/>
        </w:rPr>
        <w:fldChar w:fldCharType="separate"/>
      </w:r>
      <w:r w:rsidRPr="00921BDB">
        <w:rPr>
          <w:rStyle w:val="Hyperlink"/>
          <w:rFonts w:ascii="Tw Cen MT" w:hAnsi="Tw Cen MT"/>
          <w:color w:val="auto"/>
          <w:sz w:val="24"/>
          <w:szCs w:val="24"/>
          <w:u w:val="none"/>
        </w:rPr>
        <w:t>Bowes &amp; Jaffee, 2013</w:t>
      </w:r>
      <w:r w:rsidR="00FE1404" w:rsidRPr="00921BDB">
        <w:rPr>
          <w:rFonts w:ascii="Tw Cen MT" w:hAnsi="Tw Cen MT"/>
          <w:sz w:val="24"/>
          <w:szCs w:val="24"/>
        </w:rPr>
        <w:fldChar w:fldCharType="end"/>
      </w:r>
      <w:bookmarkEnd w:id="2"/>
      <w:r w:rsidRPr="00921BDB">
        <w:rPr>
          <w:rFonts w:ascii="Tw Cen MT" w:hAnsi="Tw Cen MT"/>
          <w:sz w:val="24"/>
          <w:szCs w:val="24"/>
        </w:rPr>
        <w:t>)</w:t>
      </w:r>
      <w:r w:rsidRPr="00921BDB">
        <w:rPr>
          <w:rStyle w:val="FootnoteReference"/>
          <w:rFonts w:ascii="Tw Cen MT" w:hAnsi="Tw Cen MT"/>
          <w:sz w:val="24"/>
          <w:szCs w:val="24"/>
        </w:rPr>
        <w:footnoteReference w:id="16"/>
      </w:r>
      <w:r w:rsidRPr="00921BDB">
        <w:rPr>
          <w:rFonts w:ascii="Tw Cen MT" w:hAnsi="Tw Cen MT"/>
          <w:sz w:val="24"/>
          <w:szCs w:val="24"/>
        </w:rPr>
        <w:t>. The broader, systems framework definition of resilience is the capacity of a dynamic system to withstand or recover from significant challenges that threaten its stability, viability, or development (</w:t>
      </w:r>
      <w:bookmarkStart w:id="3" w:name="bbib35"/>
      <w:r w:rsidR="00FE1404" w:rsidRPr="00921BDB">
        <w:rPr>
          <w:rFonts w:ascii="Tw Cen MT" w:hAnsi="Tw Cen MT"/>
          <w:sz w:val="24"/>
          <w:szCs w:val="24"/>
        </w:rPr>
        <w:fldChar w:fldCharType="begin"/>
      </w:r>
      <w:r w:rsidRPr="00921BDB">
        <w:rPr>
          <w:rFonts w:ascii="Tw Cen MT" w:hAnsi="Tw Cen MT"/>
          <w:sz w:val="24"/>
          <w:szCs w:val="24"/>
        </w:rPr>
        <w:instrText xml:space="preserve"> HYPERLINK "https://www-sciencedirect-com.ezproxy.uwtsd.ac.uk/science/article/pii/S0891524516302541" \l "bib35" </w:instrText>
      </w:r>
      <w:r w:rsidR="00FE1404" w:rsidRPr="00921BDB">
        <w:rPr>
          <w:rFonts w:ascii="Tw Cen MT" w:hAnsi="Tw Cen MT"/>
          <w:sz w:val="24"/>
          <w:szCs w:val="24"/>
        </w:rPr>
        <w:fldChar w:fldCharType="separate"/>
      </w:r>
      <w:r w:rsidRPr="00921BDB">
        <w:rPr>
          <w:rStyle w:val="Hyperlink"/>
          <w:rFonts w:ascii="Tw Cen MT" w:hAnsi="Tw Cen MT"/>
          <w:color w:val="auto"/>
          <w:sz w:val="24"/>
          <w:szCs w:val="24"/>
          <w:u w:val="none"/>
        </w:rPr>
        <w:t>Sapienza &amp; Masten, 2011</w:t>
      </w:r>
      <w:r w:rsidR="00FE1404" w:rsidRPr="00921BDB">
        <w:rPr>
          <w:rFonts w:ascii="Tw Cen MT" w:hAnsi="Tw Cen MT"/>
          <w:sz w:val="24"/>
          <w:szCs w:val="24"/>
        </w:rPr>
        <w:fldChar w:fldCharType="end"/>
      </w:r>
      <w:bookmarkEnd w:id="3"/>
      <w:r w:rsidRPr="00921BDB">
        <w:rPr>
          <w:rFonts w:ascii="Tw Cen MT" w:hAnsi="Tw Cen MT"/>
          <w:sz w:val="24"/>
          <w:szCs w:val="24"/>
        </w:rPr>
        <w:t>)</w:t>
      </w:r>
      <w:r w:rsidRPr="00921BDB">
        <w:rPr>
          <w:rStyle w:val="FootnoteReference"/>
          <w:rFonts w:ascii="Tw Cen MT" w:hAnsi="Tw Cen MT"/>
          <w:sz w:val="24"/>
          <w:szCs w:val="24"/>
        </w:rPr>
        <w:footnoteReference w:id="17"/>
      </w:r>
      <w:r w:rsidRPr="00921BDB">
        <w:rPr>
          <w:rFonts w:ascii="Tw Cen MT" w:hAnsi="Tw Cen MT"/>
          <w:sz w:val="24"/>
          <w:szCs w:val="24"/>
        </w:rPr>
        <w:t>. </w:t>
      </w:r>
      <w:bookmarkStart w:id="4" w:name="bbib32"/>
      <w:r w:rsidRPr="00921BDB">
        <w:rPr>
          <w:rFonts w:ascii="Tw Cen MT" w:hAnsi="Tw Cen MT"/>
          <w:sz w:val="24"/>
          <w:szCs w:val="24"/>
        </w:rPr>
        <w:t>Resilience is also used to refer to the finding that some individuals have a relatively good psychological outcome despite suffering risk experiences. Resilience, at its essence, is an interactive concept to describe the combination of serious risk experiences and a relatively positive psychological outcome despite those experiences</w:t>
      </w:r>
      <w:bookmarkEnd w:id="4"/>
      <w:r w:rsidRPr="00921BDB">
        <w:rPr>
          <w:rFonts w:ascii="Tw Cen MT" w:hAnsi="Tw Cen MT"/>
          <w:sz w:val="24"/>
          <w:szCs w:val="24"/>
        </w:rPr>
        <w:t>. Resiliency can also be defined as protective or positive processes that reduce maladaptive outcomes under conditions of risk (</w:t>
      </w:r>
      <w:bookmarkStart w:id="5" w:name="bbib17"/>
      <w:r w:rsidR="00FE1404" w:rsidRPr="00921BDB">
        <w:rPr>
          <w:rFonts w:ascii="Tw Cen MT" w:hAnsi="Tw Cen MT"/>
          <w:sz w:val="24"/>
          <w:szCs w:val="24"/>
        </w:rPr>
        <w:fldChar w:fldCharType="begin"/>
      </w:r>
      <w:r w:rsidRPr="00921BDB">
        <w:rPr>
          <w:rFonts w:ascii="Tw Cen MT" w:hAnsi="Tw Cen MT"/>
          <w:sz w:val="24"/>
          <w:szCs w:val="24"/>
        </w:rPr>
        <w:instrText xml:space="preserve"> HYPERLINK "https://www-sciencedirect-com.ezproxy.uwtsd.ac.uk/science/article/pii/S0891524516302541" \l "bib17" </w:instrText>
      </w:r>
      <w:r w:rsidR="00FE1404" w:rsidRPr="00921BDB">
        <w:rPr>
          <w:rFonts w:ascii="Tw Cen MT" w:hAnsi="Tw Cen MT"/>
          <w:sz w:val="24"/>
          <w:szCs w:val="24"/>
        </w:rPr>
        <w:fldChar w:fldCharType="separate"/>
      </w:r>
      <w:r w:rsidRPr="00921BDB">
        <w:rPr>
          <w:rStyle w:val="Hyperlink"/>
          <w:rFonts w:ascii="Tw Cen MT" w:hAnsi="Tw Cen MT"/>
          <w:color w:val="auto"/>
          <w:sz w:val="24"/>
          <w:szCs w:val="24"/>
          <w:u w:val="none"/>
        </w:rPr>
        <w:t>Greenberg, 2006</w:t>
      </w:r>
      <w:r w:rsidR="00FE1404" w:rsidRPr="00921BDB">
        <w:rPr>
          <w:rFonts w:ascii="Tw Cen MT" w:hAnsi="Tw Cen MT"/>
          <w:sz w:val="24"/>
          <w:szCs w:val="24"/>
        </w:rPr>
        <w:fldChar w:fldCharType="end"/>
      </w:r>
      <w:bookmarkEnd w:id="5"/>
      <w:r w:rsidRPr="00921BDB">
        <w:rPr>
          <w:rFonts w:ascii="Tw Cen MT" w:hAnsi="Tw Cen MT"/>
          <w:sz w:val="24"/>
          <w:szCs w:val="24"/>
        </w:rPr>
        <w:t>)</w:t>
      </w:r>
      <w:r w:rsidRPr="00921BDB">
        <w:rPr>
          <w:rStyle w:val="FootnoteReference"/>
          <w:rFonts w:ascii="Tw Cen MT" w:hAnsi="Tw Cen MT"/>
          <w:sz w:val="24"/>
          <w:szCs w:val="24"/>
        </w:rPr>
        <w:footnoteReference w:id="18"/>
      </w:r>
      <w:r w:rsidRPr="00921BDB">
        <w:rPr>
          <w:rFonts w:ascii="Tw Cen MT" w:hAnsi="Tw Cen MT"/>
          <w:sz w:val="24"/>
          <w:szCs w:val="24"/>
        </w:rPr>
        <w:t>. </w:t>
      </w:r>
    </w:p>
    <w:p w:rsidR="003B51DC" w:rsidRPr="00921BDB" w:rsidRDefault="003B51DC" w:rsidP="00B2417B">
      <w:pPr>
        <w:jc w:val="both"/>
        <w:rPr>
          <w:rFonts w:ascii="Tw Cen MT" w:hAnsi="Tw Cen MT"/>
          <w:sz w:val="24"/>
          <w:szCs w:val="24"/>
        </w:rPr>
      </w:pPr>
    </w:p>
    <w:p w:rsidR="003B51DC" w:rsidRPr="00921BDB" w:rsidRDefault="003B51DC" w:rsidP="003B51DC">
      <w:pPr>
        <w:jc w:val="both"/>
        <w:rPr>
          <w:rFonts w:ascii="Tw Cen MT" w:hAnsi="Tw Cen MT"/>
          <w:sz w:val="24"/>
          <w:szCs w:val="24"/>
        </w:rPr>
      </w:pPr>
      <w:r w:rsidRPr="00921BDB">
        <w:rPr>
          <w:rFonts w:ascii="Tw Cen MT" w:hAnsi="Tw Cen MT" w:cs="Arial"/>
          <w:sz w:val="24"/>
          <w:szCs w:val="24"/>
        </w:rPr>
        <w:t>In this matter, Tesco’s Code (2018)</w:t>
      </w:r>
      <w:r w:rsidRPr="00921BDB">
        <w:rPr>
          <w:rStyle w:val="FootnoteReference"/>
          <w:rFonts w:ascii="Tw Cen MT" w:hAnsi="Tw Cen MT" w:cs="Arial"/>
          <w:sz w:val="24"/>
          <w:szCs w:val="24"/>
        </w:rPr>
        <w:footnoteReference w:id="19"/>
      </w:r>
      <w:r w:rsidRPr="00921BDB">
        <w:rPr>
          <w:rFonts w:ascii="Tw Cen MT" w:hAnsi="Tw Cen MT" w:cs="Arial"/>
          <w:sz w:val="24"/>
          <w:szCs w:val="24"/>
        </w:rPr>
        <w:t xml:space="preserve"> states: “</w:t>
      </w:r>
      <w:r w:rsidRPr="00921BDB">
        <w:rPr>
          <w:rFonts w:ascii="Tw Cen MT" w:hAnsi="Tw Cen MT"/>
          <w:sz w:val="24"/>
          <w:szCs w:val="24"/>
        </w:rPr>
        <w:t>Knowing your own sources of energy and keeping yourself fit for life. We understand the Code and ensure we follow it, even if it is sometimes hard to do. We speak up if we think the Code is being breached.”</w:t>
      </w:r>
    </w:p>
    <w:p w:rsidR="003B51DC" w:rsidRPr="00921BDB" w:rsidRDefault="003B51DC" w:rsidP="00B2417B">
      <w:pPr>
        <w:jc w:val="both"/>
        <w:rPr>
          <w:rFonts w:ascii="Tw Cen MT" w:hAnsi="Tw Cen MT" w:cs="Arial"/>
          <w:sz w:val="24"/>
          <w:szCs w:val="24"/>
        </w:rPr>
      </w:pPr>
    </w:p>
    <w:p w:rsidR="007D77E1" w:rsidRPr="00921BDB" w:rsidRDefault="007D77E1" w:rsidP="00B2417B">
      <w:pPr>
        <w:jc w:val="both"/>
        <w:rPr>
          <w:rFonts w:ascii="Tw Cen MT" w:hAnsi="Tw Cen MT" w:cs="Arial"/>
          <w:sz w:val="24"/>
          <w:szCs w:val="24"/>
        </w:rPr>
      </w:pPr>
    </w:p>
    <w:p w:rsidR="00881A46" w:rsidRPr="00774D5C" w:rsidRDefault="00881A46" w:rsidP="00B2417B">
      <w:pPr>
        <w:jc w:val="both"/>
        <w:rPr>
          <w:rFonts w:ascii="Tw Cen MT" w:hAnsi="Tw Cen MT"/>
          <w:b/>
          <w:sz w:val="36"/>
          <w:szCs w:val="24"/>
        </w:rPr>
      </w:pPr>
      <w:r w:rsidRPr="00774D5C">
        <w:rPr>
          <w:rFonts w:ascii="Tw Cen MT" w:hAnsi="Tw Cen MT"/>
          <w:b/>
          <w:sz w:val="36"/>
          <w:szCs w:val="24"/>
        </w:rPr>
        <w:t>Part 3: Aligning personal values, attitudes and beliefs with Tesco</w:t>
      </w:r>
      <w:r w:rsidR="00774D5C">
        <w:rPr>
          <w:rFonts w:ascii="Tw Cen MT" w:hAnsi="Tw Cen MT"/>
          <w:b/>
          <w:sz w:val="36"/>
          <w:szCs w:val="24"/>
        </w:rPr>
        <w:t>’s.</w:t>
      </w:r>
      <w:r w:rsidRPr="00774D5C">
        <w:rPr>
          <w:rFonts w:ascii="Tw Cen MT" w:hAnsi="Tw Cen MT"/>
          <w:b/>
          <w:sz w:val="36"/>
          <w:szCs w:val="24"/>
        </w:rPr>
        <w:t xml:space="preserve"> </w:t>
      </w:r>
    </w:p>
    <w:p w:rsidR="001B505B" w:rsidRPr="00921BDB" w:rsidRDefault="00CB3A84" w:rsidP="00B2417B">
      <w:pPr>
        <w:jc w:val="both"/>
        <w:rPr>
          <w:rFonts w:ascii="Tw Cen MT" w:hAnsi="Tw Cen MT" w:cs="Arial"/>
          <w:b/>
          <w:bCs/>
          <w:i/>
          <w:iCs/>
          <w:sz w:val="24"/>
          <w:szCs w:val="24"/>
          <w:shd w:val="clear" w:color="auto" w:fill="FFFFFF"/>
        </w:rPr>
      </w:pPr>
      <w:r w:rsidRPr="00921BDB">
        <w:rPr>
          <w:rFonts w:ascii="Tw Cen MT" w:hAnsi="Tw Cen MT"/>
          <w:sz w:val="24"/>
          <w:szCs w:val="24"/>
        </w:rPr>
        <w:t>Aligning personal values, attitudes and beliefs with T</w:t>
      </w:r>
      <w:r w:rsidR="00861360" w:rsidRPr="00921BDB">
        <w:rPr>
          <w:rFonts w:ascii="Tw Cen MT" w:hAnsi="Tw Cen MT"/>
          <w:sz w:val="24"/>
          <w:szCs w:val="24"/>
        </w:rPr>
        <w:t>esco</w:t>
      </w:r>
      <w:r w:rsidR="00774D5C">
        <w:rPr>
          <w:rFonts w:ascii="Tw Cen MT" w:hAnsi="Tw Cen MT"/>
          <w:sz w:val="24"/>
          <w:szCs w:val="24"/>
        </w:rPr>
        <w:t>’s</w:t>
      </w:r>
      <w:r w:rsidR="00861360" w:rsidRPr="00921BDB">
        <w:rPr>
          <w:rFonts w:ascii="Tw Cen MT" w:hAnsi="Tw Cen MT"/>
          <w:sz w:val="24"/>
          <w:szCs w:val="24"/>
        </w:rPr>
        <w:t xml:space="preserve"> and based on what Tesco stands </w:t>
      </w:r>
      <w:r w:rsidR="00774D5C" w:rsidRPr="00921BDB">
        <w:rPr>
          <w:rFonts w:ascii="Tw Cen MT" w:hAnsi="Tw Cen MT"/>
          <w:sz w:val="24"/>
          <w:szCs w:val="24"/>
        </w:rPr>
        <w:t>for;</w:t>
      </w:r>
      <w:r w:rsidR="00861360" w:rsidRPr="00921BDB">
        <w:rPr>
          <w:rFonts w:ascii="Tw Cen MT" w:hAnsi="Tw Cen MT"/>
          <w:sz w:val="24"/>
          <w:szCs w:val="24"/>
        </w:rPr>
        <w:t xml:space="preserve"> we can confirm doubtlessly that we can work for a</w:t>
      </w:r>
      <w:r w:rsidR="006700B1" w:rsidRPr="00921BDB">
        <w:rPr>
          <w:rFonts w:ascii="Tw Cen MT" w:hAnsi="Tw Cen MT"/>
          <w:sz w:val="24"/>
          <w:szCs w:val="24"/>
        </w:rPr>
        <w:t xml:space="preserve">n organisation like Tesco. This is because </w:t>
      </w:r>
      <w:r w:rsidR="000E0B0E" w:rsidRPr="00921BDB">
        <w:rPr>
          <w:rStyle w:val="Strong"/>
          <w:rFonts w:ascii="Tw Cen MT" w:hAnsi="Tw Cen MT" w:cs="Arial"/>
          <w:b w:val="0"/>
          <w:sz w:val="24"/>
          <w:szCs w:val="24"/>
          <w:shd w:val="clear" w:color="auto" w:fill="FFFFFF"/>
        </w:rPr>
        <w:t>we firmly believe that all human beings are born free and are equal in dignity and rights. Men or women, everyone deserves the best in terms of pay</w:t>
      </w:r>
      <w:r w:rsidR="00005431" w:rsidRPr="00921BDB">
        <w:rPr>
          <w:rStyle w:val="Strong"/>
          <w:rFonts w:ascii="Tw Cen MT" w:hAnsi="Tw Cen MT" w:cs="Arial"/>
          <w:b w:val="0"/>
          <w:sz w:val="24"/>
          <w:szCs w:val="24"/>
          <w:shd w:val="clear" w:color="auto" w:fill="FFFFFF"/>
        </w:rPr>
        <w:t xml:space="preserve">, and no one can be subject to discrimination because of their </w:t>
      </w:r>
      <w:r w:rsidR="00005431" w:rsidRPr="00921BDB">
        <w:rPr>
          <w:rStyle w:val="Strong"/>
          <w:rFonts w:ascii="Tw Cen MT" w:hAnsi="Tw Cen MT" w:cs="Arial"/>
          <w:b w:val="0"/>
          <w:iCs/>
          <w:sz w:val="24"/>
          <w:szCs w:val="24"/>
          <w:shd w:val="clear" w:color="auto" w:fill="FFFFFF"/>
        </w:rPr>
        <w:t xml:space="preserve">race, sex, religion, beliefs, gender or sexual orientation. For employment or promotion, Tesco </w:t>
      </w:r>
      <w:r w:rsidR="00005431" w:rsidRPr="00921BDB">
        <w:rPr>
          <w:rFonts w:ascii="Tw Cen MT" w:hAnsi="Tw Cen MT"/>
          <w:sz w:val="24"/>
          <w:szCs w:val="24"/>
        </w:rPr>
        <w:t>only makes decisions based on job-related skills, achievements and performance. Tesco never makes decisions based on age or any other non-job related characteristics.</w:t>
      </w:r>
    </w:p>
    <w:p w:rsidR="00D53613" w:rsidRPr="00921BDB" w:rsidRDefault="00D53613" w:rsidP="00B2417B">
      <w:pPr>
        <w:pStyle w:val="NormalWeb"/>
        <w:shd w:val="clear" w:color="auto" w:fill="F7F6F6"/>
        <w:jc w:val="both"/>
        <w:rPr>
          <w:rFonts w:ascii="Tw Cen MT" w:hAnsi="Tw Cen MT"/>
        </w:rPr>
      </w:pPr>
      <w:r w:rsidRPr="00921BDB">
        <w:rPr>
          <w:rFonts w:ascii="Tw Cen MT" w:hAnsi="Tw Cen MT"/>
        </w:rPr>
        <w:lastRenderedPageBreak/>
        <w:t xml:space="preserve">This theory leads us to support </w:t>
      </w:r>
      <w:r w:rsidRPr="00921BDB">
        <w:rPr>
          <w:rFonts w:ascii="Tw Cen MT" w:hAnsi="Tw Cen MT" w:cs="Arial"/>
          <w:shd w:val="clear" w:color="auto" w:fill="FFFFFF"/>
        </w:rPr>
        <w:t>Dunham </w:t>
      </w:r>
      <w:r w:rsidRPr="00921BDB">
        <w:rPr>
          <w:rFonts w:ascii="Tw Cen MT" w:hAnsi="Tw Cen MT" w:cs="Arial"/>
          <w:i/>
          <w:iCs/>
          <w:shd w:val="clear" w:color="auto" w:fill="FFFFFF"/>
        </w:rPr>
        <w:t>et al</w:t>
      </w:r>
      <w:r w:rsidRPr="00921BDB">
        <w:rPr>
          <w:rFonts w:ascii="Tw Cen MT" w:hAnsi="Tw Cen MT" w:cs="Arial"/>
          <w:shd w:val="clear" w:color="auto" w:fill="FFFFFF"/>
        </w:rPr>
        <w:t>. (</w:t>
      </w:r>
      <w:r w:rsidRPr="00921BDB">
        <w:rPr>
          <w:rFonts w:ascii="Tw Cen MT" w:hAnsi="Tw Cen MT" w:cs="Arial"/>
          <w:bCs/>
        </w:rPr>
        <w:t>1989</w:t>
      </w:r>
      <w:r w:rsidRPr="00921BDB">
        <w:rPr>
          <w:rFonts w:ascii="Tw Cen MT" w:hAnsi="Tw Cen MT" w:cs="Arial"/>
          <w:shd w:val="clear" w:color="auto" w:fill="FFFFFF"/>
        </w:rPr>
        <w:t>)</w:t>
      </w:r>
      <w:r w:rsidR="00B316DC" w:rsidRPr="00921BDB">
        <w:rPr>
          <w:rStyle w:val="FootnoteReference"/>
          <w:rFonts w:ascii="Tw Cen MT" w:hAnsi="Tw Cen MT" w:cs="Arial"/>
          <w:shd w:val="clear" w:color="auto" w:fill="FFFFFF"/>
        </w:rPr>
        <w:footnoteReference w:id="20"/>
      </w:r>
      <w:r w:rsidRPr="00921BDB">
        <w:rPr>
          <w:rFonts w:ascii="Tw Cen MT" w:hAnsi="Tw Cen MT" w:cs="Arial"/>
          <w:shd w:val="clear" w:color="auto" w:fill="FFFFFF"/>
        </w:rPr>
        <w:t>, in relation with job crafting, who argued that one’s change attitude is composed of an affective (feelings), a cognitive (thoughts), and a behavioural component. For that sake, individuals’ attitudes to organizational change are of critical importance for change success, inferred Oreg </w:t>
      </w:r>
      <w:r w:rsidRPr="00921BDB">
        <w:rPr>
          <w:rFonts w:ascii="Tw Cen MT" w:hAnsi="Tw Cen MT" w:cs="Arial"/>
          <w:i/>
          <w:iCs/>
          <w:shd w:val="clear" w:color="auto" w:fill="FFFFFF"/>
        </w:rPr>
        <w:t>et al</w:t>
      </w:r>
      <w:r w:rsidRPr="00921BDB">
        <w:rPr>
          <w:rFonts w:ascii="Tw Cen MT" w:hAnsi="Tw Cen MT" w:cs="Arial"/>
          <w:shd w:val="clear" w:color="auto" w:fill="FFFFFF"/>
        </w:rPr>
        <w:t>., (</w:t>
      </w:r>
      <w:r w:rsidRPr="00921BDB">
        <w:rPr>
          <w:rFonts w:ascii="Tw Cen MT" w:hAnsi="Tw Cen MT" w:cs="Arial"/>
          <w:bCs/>
        </w:rPr>
        <w:t>2011</w:t>
      </w:r>
      <w:r w:rsidRPr="00921BDB">
        <w:rPr>
          <w:rFonts w:ascii="Tw Cen MT" w:hAnsi="Tw Cen MT" w:cs="Arial"/>
          <w:shd w:val="clear" w:color="auto" w:fill="FFFFFF"/>
        </w:rPr>
        <w:t>)</w:t>
      </w:r>
      <w:r w:rsidR="00B316DC" w:rsidRPr="00921BDB">
        <w:rPr>
          <w:rStyle w:val="FootnoteReference"/>
          <w:rFonts w:ascii="Tw Cen MT" w:hAnsi="Tw Cen MT" w:cs="Arial"/>
          <w:shd w:val="clear" w:color="auto" w:fill="FFFFFF"/>
        </w:rPr>
        <w:footnoteReference w:id="21"/>
      </w:r>
      <w:r w:rsidRPr="00921BDB">
        <w:rPr>
          <w:rFonts w:ascii="Tw Cen MT" w:hAnsi="Tw Cen MT" w:cs="Arial"/>
          <w:shd w:val="clear" w:color="auto" w:fill="FFFFFF"/>
        </w:rPr>
        <w:t>. We hereby argue that a job crafting intervention can provide a means to yield a more positive change attitude.</w:t>
      </w:r>
      <w:r w:rsidRPr="00921BDB">
        <w:rPr>
          <w:rFonts w:ascii="Tw Cen MT" w:hAnsi="Tw Cen MT"/>
        </w:rPr>
        <w:t xml:space="preserve"> </w:t>
      </w:r>
    </w:p>
    <w:p w:rsidR="000566F0" w:rsidRPr="00921BDB" w:rsidRDefault="009E5C8C" w:rsidP="00B2417B">
      <w:pPr>
        <w:pStyle w:val="NormalWeb"/>
        <w:shd w:val="clear" w:color="auto" w:fill="F7F6F6"/>
        <w:jc w:val="both"/>
        <w:rPr>
          <w:rFonts w:ascii="Tw Cen MT" w:hAnsi="Tw Cen MT" w:cs="Helvetica"/>
          <w:bCs/>
        </w:rPr>
      </w:pPr>
      <w:r w:rsidRPr="00921BDB">
        <w:rPr>
          <w:rFonts w:ascii="Tw Cen MT" w:hAnsi="Tw Cen MT"/>
        </w:rPr>
        <w:t>Applying</w:t>
      </w:r>
      <w:r w:rsidR="002C05AF" w:rsidRPr="00921BDB">
        <w:rPr>
          <w:rFonts w:ascii="Tw Cen MT" w:hAnsi="Tw Cen MT"/>
        </w:rPr>
        <w:t xml:space="preserve"> R</w:t>
      </w:r>
      <w:r w:rsidR="0046225E" w:rsidRPr="00921BDB">
        <w:rPr>
          <w:rFonts w:ascii="Tw Cen MT" w:hAnsi="Tw Cen MT"/>
        </w:rPr>
        <w:t>.</w:t>
      </w:r>
      <w:r w:rsidR="002C05AF" w:rsidRPr="00921BDB">
        <w:rPr>
          <w:rFonts w:ascii="Tw Cen MT" w:hAnsi="Tw Cen MT"/>
        </w:rPr>
        <w:t>E</w:t>
      </w:r>
      <w:r w:rsidR="0046225E" w:rsidRPr="00921BDB">
        <w:rPr>
          <w:rFonts w:ascii="Tw Cen MT" w:hAnsi="Tw Cen MT"/>
        </w:rPr>
        <w:t>.</w:t>
      </w:r>
      <w:r w:rsidR="002C05AF" w:rsidRPr="00921BDB">
        <w:rPr>
          <w:rFonts w:ascii="Tw Cen MT" w:hAnsi="Tw Cen MT"/>
        </w:rPr>
        <w:t xml:space="preserve">D Model, </w:t>
      </w:r>
      <w:r w:rsidR="002C05AF" w:rsidRPr="00921BDB">
        <w:rPr>
          <w:rFonts w:ascii="Tw Cen MT" w:hAnsi="Tw Cen MT"/>
          <w:shd w:val="clear" w:color="auto" w:fill="FFFFFF"/>
        </w:rPr>
        <w:t>we can state that the Human Resource management of Tesco is using a variety of effective strategies and techniques to keep their colleagues motivated and encouraged. However, considering the continuous change within business environment and dynamicity of the labour markets, the management of Tesco has to amalgamate its existing strategies with new policies. Tesco needs to conduct surveys among the employees to understand their future needs, job inclusion criteria, future threats to job security and decision-making needs. Additionally, the company needs to involve its employees more in the decision-making process and even impose equal pay criteria more strictly to avoid discrimination of any sorts</w:t>
      </w:r>
      <w:r w:rsidR="000566F0" w:rsidRPr="00921BDB">
        <w:rPr>
          <w:rFonts w:ascii="Tw Cen MT" w:hAnsi="Tw Cen MT"/>
          <w:shd w:val="clear" w:color="auto" w:fill="FFFFFF"/>
        </w:rPr>
        <w:t xml:space="preserve">, as </w:t>
      </w:r>
      <w:r w:rsidR="000566F0" w:rsidRPr="00921BDB">
        <w:rPr>
          <w:rFonts w:ascii="Tw Cen MT" w:hAnsi="Tw Cen MT" w:cs="Helvetica"/>
          <w:bCs/>
        </w:rPr>
        <w:t>the Law gives a woman the right to be paid the same as a man (and vice versa) when carrying out:</w:t>
      </w:r>
    </w:p>
    <w:p w:rsidR="000566F0" w:rsidRPr="00921BDB" w:rsidRDefault="000566F0" w:rsidP="00B2417B">
      <w:pPr>
        <w:pStyle w:val="NormalWeb"/>
        <w:numPr>
          <w:ilvl w:val="0"/>
          <w:numId w:val="2"/>
        </w:numPr>
        <w:shd w:val="clear" w:color="auto" w:fill="F7F6F6"/>
        <w:jc w:val="both"/>
        <w:rPr>
          <w:rFonts w:ascii="Tw Cen MT" w:hAnsi="Tw Cen MT" w:cs="Helvetica"/>
          <w:bCs/>
        </w:rPr>
      </w:pPr>
      <w:r w:rsidRPr="00921BDB">
        <w:rPr>
          <w:rStyle w:val="Strong"/>
          <w:rFonts w:ascii="Tw Cen MT" w:hAnsi="Tw Cen MT" w:cs="Helvetica"/>
          <w:b w:val="0"/>
        </w:rPr>
        <w:t>Like work</w:t>
      </w:r>
      <w:r w:rsidRPr="00921BDB">
        <w:rPr>
          <w:rFonts w:ascii="Tw Cen MT" w:hAnsi="Tw Cen MT" w:cs="Helvetica"/>
          <w:bCs/>
        </w:rPr>
        <w:t> </w:t>
      </w:r>
      <w:r w:rsidRPr="00921BDB">
        <w:rPr>
          <w:rFonts w:ascii="Helvetica" w:hAnsi="Helvetica" w:cs="Helvetica"/>
          <w:bCs/>
        </w:rPr>
        <w:t>─</w:t>
      </w:r>
      <w:r w:rsidRPr="00921BDB">
        <w:rPr>
          <w:rFonts w:ascii="Tw Cen MT" w:hAnsi="Tw Cen MT" w:cs="Helvetica"/>
          <w:bCs/>
        </w:rPr>
        <w:t xml:space="preserve"> two employees who are doing the same or broadly similar roles, or</w:t>
      </w:r>
    </w:p>
    <w:p w:rsidR="000566F0" w:rsidRPr="00921BDB" w:rsidRDefault="000566F0" w:rsidP="00B2417B">
      <w:pPr>
        <w:pStyle w:val="NormalWeb"/>
        <w:numPr>
          <w:ilvl w:val="0"/>
          <w:numId w:val="2"/>
        </w:numPr>
        <w:shd w:val="clear" w:color="auto" w:fill="F7F6F6"/>
        <w:jc w:val="both"/>
        <w:rPr>
          <w:rFonts w:ascii="Tw Cen MT" w:hAnsi="Tw Cen MT" w:cs="Helvetica"/>
          <w:bCs/>
        </w:rPr>
      </w:pPr>
      <w:r w:rsidRPr="00921BDB">
        <w:rPr>
          <w:rStyle w:val="Strong"/>
          <w:rFonts w:ascii="Tw Cen MT" w:hAnsi="Tw Cen MT" w:cs="Helvetica"/>
          <w:b w:val="0"/>
        </w:rPr>
        <w:t>Work rated as equivalent by analytical job evaluation study</w:t>
      </w:r>
      <w:r w:rsidRPr="00921BDB">
        <w:rPr>
          <w:rFonts w:ascii="Tw Cen MT" w:hAnsi="Tw Cen MT" w:cs="Helvetica"/>
          <w:bCs/>
        </w:rPr>
        <w:t> </w:t>
      </w:r>
      <w:r w:rsidRPr="00921BDB">
        <w:rPr>
          <w:rFonts w:ascii="Helvetica" w:hAnsi="Helvetica" w:cs="Helvetica"/>
          <w:bCs/>
        </w:rPr>
        <w:t>─</w:t>
      </w:r>
      <w:r w:rsidRPr="00921BDB">
        <w:rPr>
          <w:rFonts w:ascii="Tw Cen MT" w:hAnsi="Tw Cen MT" w:cs="Helvetica"/>
          <w:bCs/>
        </w:rPr>
        <w:t xml:space="preserve"> this could be totally different jobs which have been given the same rating as the result of an analytical job evaluation, or</w:t>
      </w:r>
    </w:p>
    <w:p w:rsidR="000566F0" w:rsidRPr="00921BDB" w:rsidRDefault="000566F0" w:rsidP="00B2417B">
      <w:pPr>
        <w:pStyle w:val="NormalWeb"/>
        <w:numPr>
          <w:ilvl w:val="0"/>
          <w:numId w:val="2"/>
        </w:numPr>
        <w:shd w:val="clear" w:color="auto" w:fill="F7F6F6"/>
        <w:jc w:val="both"/>
        <w:rPr>
          <w:rFonts w:ascii="Tw Cen MT" w:hAnsi="Tw Cen MT" w:cs="Helvetica"/>
          <w:bCs/>
        </w:rPr>
      </w:pPr>
      <w:r w:rsidRPr="00921BDB">
        <w:rPr>
          <w:rStyle w:val="Strong"/>
          <w:rFonts w:ascii="Tw Cen MT" w:hAnsi="Tw Cen MT" w:cs="Helvetica"/>
          <w:b w:val="0"/>
        </w:rPr>
        <w:t>Work of equal value</w:t>
      </w:r>
      <w:r w:rsidRPr="00921BDB">
        <w:rPr>
          <w:rFonts w:ascii="Tw Cen MT" w:hAnsi="Tw Cen MT" w:cs="Helvetica"/>
          <w:bCs/>
        </w:rPr>
        <w:t> </w:t>
      </w:r>
      <w:r w:rsidRPr="00921BDB">
        <w:rPr>
          <w:rFonts w:ascii="Helvetica" w:hAnsi="Helvetica" w:cs="Helvetica"/>
          <w:bCs/>
        </w:rPr>
        <w:t>─</w:t>
      </w:r>
      <w:r w:rsidRPr="00921BDB">
        <w:rPr>
          <w:rFonts w:ascii="Tw Cen MT" w:hAnsi="Tw Cen MT" w:cs="Helvetica"/>
          <w:bCs/>
        </w:rPr>
        <w:t xml:space="preserve"> when there are two jobs that are very different, but the employee claims that they require a similar level of skill and ability.</w:t>
      </w:r>
    </w:p>
    <w:p w:rsidR="000566F0" w:rsidRPr="00921BDB" w:rsidRDefault="000566F0" w:rsidP="00B2417B">
      <w:pPr>
        <w:pStyle w:val="NormalWeb"/>
        <w:shd w:val="clear" w:color="auto" w:fill="F7F6F6"/>
        <w:jc w:val="both"/>
        <w:rPr>
          <w:rFonts w:ascii="Tw Cen MT" w:hAnsi="Tw Cen MT" w:cs="Helvetica"/>
          <w:bCs/>
        </w:rPr>
      </w:pPr>
      <w:r w:rsidRPr="00921BDB">
        <w:rPr>
          <w:rFonts w:ascii="Tw Cen MT" w:hAnsi="Tw Cen MT" w:cs="Helvetica"/>
          <w:bCs/>
        </w:rPr>
        <w:t>The right to make a claim under equal pay legislation applies to employees and to anyone with a contract to carry out any work personally (CIPD, 2020)</w:t>
      </w:r>
      <w:r w:rsidRPr="00921BDB">
        <w:rPr>
          <w:rStyle w:val="FootnoteReference"/>
          <w:rFonts w:ascii="Tw Cen MT" w:hAnsi="Tw Cen MT" w:cs="Helvetica"/>
          <w:bCs/>
        </w:rPr>
        <w:footnoteReference w:id="22"/>
      </w:r>
      <w:r w:rsidRPr="00921BDB">
        <w:rPr>
          <w:rFonts w:ascii="Tw Cen MT" w:hAnsi="Tw Cen MT" w:cs="Helvetica"/>
          <w:bCs/>
        </w:rPr>
        <w:t>.</w:t>
      </w:r>
    </w:p>
    <w:p w:rsidR="00E90304" w:rsidRPr="00921BDB" w:rsidRDefault="00E90304" w:rsidP="00B2417B">
      <w:pPr>
        <w:jc w:val="both"/>
        <w:rPr>
          <w:rFonts w:ascii="Tw Cen MT" w:hAnsi="Tw Cen MT"/>
          <w:sz w:val="24"/>
          <w:szCs w:val="24"/>
          <w:shd w:val="clear" w:color="auto" w:fill="FFFFFF"/>
        </w:rPr>
      </w:pPr>
    </w:p>
    <w:p w:rsidR="00E90304" w:rsidRPr="00921BDB" w:rsidRDefault="00E90304" w:rsidP="00E90304">
      <w:pPr>
        <w:rPr>
          <w:rFonts w:ascii="Tw Cen MT" w:hAnsi="Tw Cen MT"/>
          <w:sz w:val="24"/>
          <w:szCs w:val="24"/>
        </w:rPr>
      </w:pPr>
    </w:p>
    <w:p w:rsidR="00E90304" w:rsidRPr="00921BDB" w:rsidRDefault="00E90304" w:rsidP="00E90304">
      <w:pPr>
        <w:rPr>
          <w:rFonts w:ascii="Tw Cen MT" w:hAnsi="Tw Cen MT"/>
          <w:sz w:val="24"/>
          <w:szCs w:val="24"/>
        </w:rPr>
      </w:pPr>
    </w:p>
    <w:p w:rsidR="00E90304" w:rsidRPr="00921BDB" w:rsidRDefault="00E90304" w:rsidP="00E90304">
      <w:pPr>
        <w:rPr>
          <w:rFonts w:ascii="Tw Cen MT" w:hAnsi="Tw Cen MT"/>
          <w:sz w:val="24"/>
          <w:szCs w:val="24"/>
        </w:rPr>
      </w:pPr>
    </w:p>
    <w:p w:rsidR="00E90304" w:rsidRPr="00921BDB" w:rsidRDefault="00E90304" w:rsidP="00E90304">
      <w:pPr>
        <w:rPr>
          <w:rFonts w:ascii="Tw Cen MT" w:hAnsi="Tw Cen MT"/>
          <w:sz w:val="24"/>
          <w:szCs w:val="24"/>
        </w:rPr>
      </w:pPr>
    </w:p>
    <w:p w:rsidR="00E90304" w:rsidRPr="00921BDB" w:rsidRDefault="00E90304" w:rsidP="00E90304">
      <w:pPr>
        <w:rPr>
          <w:rFonts w:ascii="Tw Cen MT" w:hAnsi="Tw Cen MT"/>
          <w:sz w:val="24"/>
          <w:szCs w:val="24"/>
        </w:rPr>
      </w:pPr>
    </w:p>
    <w:p w:rsidR="00E90304" w:rsidRPr="00921BDB" w:rsidRDefault="00E90304" w:rsidP="00E90304">
      <w:pPr>
        <w:rPr>
          <w:rFonts w:ascii="Tw Cen MT" w:hAnsi="Tw Cen MT"/>
          <w:sz w:val="24"/>
          <w:szCs w:val="24"/>
        </w:rPr>
      </w:pPr>
    </w:p>
    <w:p w:rsidR="00E90304" w:rsidRPr="00921BDB" w:rsidRDefault="00E90304" w:rsidP="00E90304">
      <w:pPr>
        <w:rPr>
          <w:rFonts w:ascii="Tw Cen MT" w:hAnsi="Tw Cen MT"/>
          <w:sz w:val="24"/>
          <w:szCs w:val="24"/>
        </w:rPr>
      </w:pPr>
    </w:p>
    <w:p w:rsidR="00E90304" w:rsidRPr="00921BDB" w:rsidRDefault="00E90304" w:rsidP="00E90304">
      <w:pPr>
        <w:rPr>
          <w:rFonts w:ascii="Tw Cen MT" w:hAnsi="Tw Cen MT"/>
          <w:sz w:val="24"/>
          <w:szCs w:val="24"/>
        </w:rPr>
      </w:pPr>
    </w:p>
    <w:p w:rsidR="00E90304" w:rsidRPr="00921BDB" w:rsidRDefault="00E90304" w:rsidP="00E90304">
      <w:pPr>
        <w:rPr>
          <w:rFonts w:ascii="Tw Cen MT" w:hAnsi="Tw Cen MT"/>
          <w:sz w:val="24"/>
          <w:szCs w:val="24"/>
        </w:rPr>
      </w:pPr>
    </w:p>
    <w:p w:rsidR="00E90304" w:rsidRPr="00921BDB" w:rsidRDefault="00E90304" w:rsidP="00E90304">
      <w:pPr>
        <w:rPr>
          <w:rFonts w:ascii="Tw Cen MT" w:hAnsi="Tw Cen MT"/>
          <w:sz w:val="24"/>
          <w:szCs w:val="24"/>
        </w:rPr>
      </w:pPr>
    </w:p>
    <w:p w:rsidR="005E36F5" w:rsidRPr="00921BDB" w:rsidRDefault="005E36F5" w:rsidP="00E90304">
      <w:pPr>
        <w:rPr>
          <w:rFonts w:ascii="Tw Cen MT" w:hAnsi="Tw Cen MT"/>
          <w:sz w:val="24"/>
          <w:szCs w:val="24"/>
        </w:rPr>
      </w:pPr>
    </w:p>
    <w:p w:rsidR="00E90304" w:rsidRPr="00921BDB" w:rsidRDefault="00E90304" w:rsidP="00E90304">
      <w:pPr>
        <w:rPr>
          <w:rFonts w:ascii="Tw Cen MT" w:hAnsi="Tw Cen MT"/>
          <w:sz w:val="24"/>
          <w:szCs w:val="24"/>
        </w:rPr>
      </w:pPr>
    </w:p>
    <w:p w:rsidR="00E90304" w:rsidRPr="00921BDB" w:rsidRDefault="00E90304" w:rsidP="00E90304">
      <w:pPr>
        <w:rPr>
          <w:rFonts w:ascii="Tw Cen MT" w:hAnsi="Tw Cen MT"/>
          <w:sz w:val="24"/>
          <w:szCs w:val="24"/>
        </w:rPr>
      </w:pPr>
    </w:p>
    <w:p w:rsidR="00E90304" w:rsidRPr="00921BDB" w:rsidRDefault="00E90304" w:rsidP="00E90304">
      <w:pPr>
        <w:rPr>
          <w:rFonts w:ascii="Tw Cen MT" w:hAnsi="Tw Cen MT"/>
          <w:sz w:val="24"/>
          <w:szCs w:val="24"/>
        </w:rPr>
      </w:pPr>
    </w:p>
    <w:p w:rsidR="00E90304" w:rsidRPr="00921BDB" w:rsidRDefault="00E90304" w:rsidP="00E90304">
      <w:pPr>
        <w:rPr>
          <w:rFonts w:ascii="Tw Cen MT" w:hAnsi="Tw Cen MT"/>
          <w:sz w:val="24"/>
          <w:szCs w:val="24"/>
        </w:rPr>
      </w:pPr>
    </w:p>
    <w:p w:rsidR="00E90304" w:rsidRPr="00921BDB" w:rsidRDefault="00E90304" w:rsidP="00E90304">
      <w:pPr>
        <w:rPr>
          <w:rFonts w:ascii="Tw Cen MT" w:hAnsi="Tw Cen MT"/>
          <w:sz w:val="24"/>
          <w:szCs w:val="24"/>
        </w:rPr>
      </w:pPr>
    </w:p>
    <w:p w:rsidR="0021082B" w:rsidRDefault="0021082B" w:rsidP="00E90304">
      <w:pPr>
        <w:rPr>
          <w:rFonts w:ascii="Tw Cen MT" w:hAnsi="Tw Cen MT"/>
          <w:b/>
          <w:sz w:val="24"/>
          <w:szCs w:val="24"/>
        </w:rPr>
      </w:pPr>
    </w:p>
    <w:p w:rsidR="0021082B" w:rsidRDefault="0021082B" w:rsidP="00E90304">
      <w:pPr>
        <w:rPr>
          <w:rFonts w:ascii="Tw Cen MT" w:hAnsi="Tw Cen MT"/>
          <w:b/>
          <w:sz w:val="24"/>
          <w:szCs w:val="24"/>
        </w:rPr>
      </w:pPr>
    </w:p>
    <w:p w:rsidR="0021082B" w:rsidRDefault="0021082B" w:rsidP="00E90304">
      <w:pPr>
        <w:rPr>
          <w:rFonts w:ascii="Tw Cen MT" w:hAnsi="Tw Cen MT"/>
          <w:b/>
          <w:sz w:val="24"/>
          <w:szCs w:val="24"/>
        </w:rPr>
      </w:pPr>
    </w:p>
    <w:p w:rsidR="00E90304" w:rsidRPr="00921BDB" w:rsidRDefault="00E90304" w:rsidP="00E90304">
      <w:pPr>
        <w:rPr>
          <w:rFonts w:ascii="Tw Cen MT" w:hAnsi="Tw Cen MT"/>
          <w:b/>
          <w:sz w:val="24"/>
          <w:szCs w:val="24"/>
        </w:rPr>
      </w:pPr>
      <w:r w:rsidRPr="00921BDB">
        <w:rPr>
          <w:rFonts w:ascii="Tw Cen MT" w:hAnsi="Tw Cen MT"/>
          <w:b/>
          <w:sz w:val="24"/>
          <w:szCs w:val="24"/>
        </w:rPr>
        <w:t xml:space="preserve">References and Bibliography </w:t>
      </w:r>
    </w:p>
    <w:p w:rsidR="00CD12A0" w:rsidRPr="00CD12A0" w:rsidRDefault="00CD12A0" w:rsidP="00683C40">
      <w:pPr>
        <w:rPr>
          <w:rFonts w:ascii="High Tower Text" w:hAnsi="High Tower Text"/>
          <w:sz w:val="22"/>
          <w:szCs w:val="22"/>
        </w:rPr>
      </w:pPr>
    </w:p>
    <w:p w:rsidR="00CD12A0" w:rsidRPr="00CD12A0" w:rsidRDefault="00CD12A0" w:rsidP="00683C40">
      <w:pPr>
        <w:rPr>
          <w:rFonts w:ascii="High Tower Text" w:hAnsi="High Tower Text"/>
          <w:sz w:val="22"/>
          <w:szCs w:val="22"/>
        </w:rPr>
      </w:pPr>
      <w:r w:rsidRPr="00CD12A0">
        <w:rPr>
          <w:rFonts w:ascii="High Tower Text" w:hAnsi="High Tower Text"/>
          <w:sz w:val="22"/>
          <w:szCs w:val="22"/>
        </w:rPr>
        <w:t xml:space="preserve">Harold, K. (1961) </w:t>
      </w:r>
      <w:r w:rsidRPr="0021082B">
        <w:rPr>
          <w:rFonts w:ascii="High Tower Text" w:hAnsi="High Tower Text"/>
          <w:i/>
          <w:sz w:val="22"/>
          <w:szCs w:val="22"/>
        </w:rPr>
        <w:t>T</w:t>
      </w:r>
      <w:r w:rsidR="0021082B" w:rsidRPr="0021082B">
        <w:rPr>
          <w:rFonts w:ascii="High Tower Text" w:hAnsi="High Tower Text"/>
          <w:i/>
          <w:sz w:val="22"/>
          <w:szCs w:val="22"/>
        </w:rPr>
        <w:t>he Management Theory Jungle</w:t>
      </w:r>
      <w:r w:rsidR="0021082B">
        <w:rPr>
          <w:rFonts w:ascii="High Tower Text" w:hAnsi="High Tower Text"/>
          <w:sz w:val="22"/>
          <w:szCs w:val="22"/>
        </w:rPr>
        <w:t xml:space="preserve">. </w:t>
      </w:r>
      <w:r w:rsidRPr="00CD12A0">
        <w:rPr>
          <w:rFonts w:ascii="High Tower Text" w:hAnsi="High Tower Text"/>
          <w:sz w:val="22"/>
          <w:szCs w:val="22"/>
        </w:rPr>
        <w:t xml:space="preserve">Journal of the Academy of Management, December. </w:t>
      </w:r>
    </w:p>
    <w:p w:rsidR="00CD12A0" w:rsidRPr="00CD12A0" w:rsidRDefault="00CD12A0" w:rsidP="00683C40">
      <w:pPr>
        <w:rPr>
          <w:rFonts w:ascii="High Tower Text" w:hAnsi="High Tower Text"/>
          <w:sz w:val="22"/>
          <w:szCs w:val="22"/>
        </w:rPr>
      </w:pPr>
    </w:p>
    <w:p w:rsidR="00375F78" w:rsidRDefault="00CD12A0" w:rsidP="00375F78">
      <w:pPr>
        <w:jc w:val="both"/>
        <w:rPr>
          <w:rFonts w:ascii="High Tower Text" w:hAnsi="High Tower Text"/>
          <w:sz w:val="22"/>
          <w:szCs w:val="22"/>
        </w:rPr>
      </w:pPr>
      <w:r w:rsidRPr="00CD12A0">
        <w:rPr>
          <w:rFonts w:ascii="High Tower Text" w:hAnsi="High Tower Text"/>
          <w:sz w:val="22"/>
          <w:szCs w:val="22"/>
        </w:rPr>
        <w:t xml:space="preserve">Harold, K. and Heinz, W. (1990) </w:t>
      </w:r>
      <w:r w:rsidRPr="0021082B">
        <w:rPr>
          <w:rFonts w:ascii="High Tower Text" w:hAnsi="High Tower Text"/>
          <w:i/>
          <w:sz w:val="22"/>
          <w:szCs w:val="22"/>
        </w:rPr>
        <w:t>Essentials of Management</w:t>
      </w:r>
      <w:r w:rsidR="0021082B">
        <w:rPr>
          <w:rFonts w:ascii="High Tower Text" w:hAnsi="High Tower Text"/>
          <w:sz w:val="22"/>
          <w:szCs w:val="22"/>
        </w:rPr>
        <w:t>.</w:t>
      </w:r>
      <w:r w:rsidRPr="00CD12A0">
        <w:rPr>
          <w:rFonts w:ascii="High Tower Text" w:hAnsi="High Tower Text"/>
          <w:sz w:val="22"/>
          <w:szCs w:val="22"/>
        </w:rPr>
        <w:t xml:space="preserve"> Fifth Edition, McGraw-Hill.</w:t>
      </w:r>
      <w:r w:rsidR="00375F78" w:rsidRPr="00375F78">
        <w:rPr>
          <w:rFonts w:ascii="High Tower Text" w:hAnsi="High Tower Text"/>
          <w:sz w:val="22"/>
          <w:szCs w:val="22"/>
        </w:rPr>
        <w:t xml:space="preserve"> </w:t>
      </w:r>
    </w:p>
    <w:p w:rsidR="00375F78" w:rsidRDefault="00375F78" w:rsidP="00375F78">
      <w:pPr>
        <w:jc w:val="both"/>
        <w:rPr>
          <w:rFonts w:ascii="High Tower Text" w:hAnsi="High Tower Text"/>
          <w:sz w:val="22"/>
          <w:szCs w:val="22"/>
        </w:rPr>
      </w:pPr>
    </w:p>
    <w:p w:rsidR="00375F78" w:rsidRPr="00CD12A0" w:rsidRDefault="00375F78" w:rsidP="00375F78">
      <w:pPr>
        <w:jc w:val="both"/>
        <w:rPr>
          <w:rFonts w:ascii="High Tower Text" w:hAnsi="High Tower Text"/>
          <w:sz w:val="22"/>
          <w:szCs w:val="22"/>
        </w:rPr>
      </w:pPr>
      <w:r w:rsidRPr="00CD12A0">
        <w:rPr>
          <w:rFonts w:ascii="High Tower Text" w:hAnsi="High Tower Text"/>
          <w:sz w:val="22"/>
          <w:szCs w:val="22"/>
        </w:rPr>
        <w:t xml:space="preserve">Riordan, C. (2000) </w:t>
      </w:r>
      <w:r w:rsidRPr="0021082B">
        <w:rPr>
          <w:rFonts w:ascii="High Tower Text" w:hAnsi="High Tower Text"/>
          <w:i/>
          <w:sz w:val="22"/>
          <w:szCs w:val="22"/>
        </w:rPr>
        <w:t>Relational Demography Within Groups: Past Developments, Contradictions, and New Directions.</w:t>
      </w:r>
      <w:r w:rsidRPr="00CD12A0">
        <w:rPr>
          <w:rFonts w:ascii="High Tower Text" w:hAnsi="High Tower Text"/>
          <w:sz w:val="22"/>
          <w:szCs w:val="22"/>
        </w:rPr>
        <w:t xml:space="preserve"> Research in Personnel and Human Resource Management, pp. 131-173. </w:t>
      </w:r>
    </w:p>
    <w:p w:rsidR="00375F78" w:rsidRPr="00115A0E" w:rsidRDefault="00375F78" w:rsidP="00375F78">
      <w:pPr>
        <w:rPr>
          <w:rFonts w:ascii="High Tower Text" w:hAnsi="High Tower Text"/>
          <w:sz w:val="22"/>
          <w:szCs w:val="22"/>
        </w:rPr>
      </w:pPr>
    </w:p>
    <w:p w:rsidR="00375F78" w:rsidRPr="00CD12A0" w:rsidRDefault="00375F78" w:rsidP="00375F78">
      <w:pPr>
        <w:rPr>
          <w:rFonts w:ascii="High Tower Text" w:hAnsi="High Tower Text"/>
          <w:sz w:val="22"/>
          <w:szCs w:val="22"/>
        </w:rPr>
      </w:pPr>
      <w:r w:rsidRPr="00115A0E">
        <w:rPr>
          <w:rFonts w:ascii="High Tower Text" w:hAnsi="High Tower Text"/>
          <w:sz w:val="22"/>
          <w:szCs w:val="22"/>
        </w:rPr>
        <w:t xml:space="preserve">Harrison, D. A. et al. </w:t>
      </w:r>
      <w:r w:rsidRPr="00CD12A0">
        <w:rPr>
          <w:rFonts w:ascii="High Tower Text" w:hAnsi="High Tower Text"/>
          <w:sz w:val="22"/>
          <w:szCs w:val="22"/>
        </w:rPr>
        <w:t xml:space="preserve">(2006) </w:t>
      </w:r>
      <w:r w:rsidRPr="0021082B">
        <w:rPr>
          <w:rFonts w:ascii="High Tower Text" w:hAnsi="High Tower Text"/>
          <w:i/>
          <w:sz w:val="22"/>
          <w:szCs w:val="22"/>
        </w:rPr>
        <w:t>How Important Are Job Attitudes?</w:t>
      </w:r>
      <w:r w:rsidRPr="00CD12A0">
        <w:rPr>
          <w:rFonts w:ascii="High Tower Text" w:hAnsi="High Tower Text"/>
          <w:sz w:val="22"/>
          <w:szCs w:val="22"/>
        </w:rPr>
        <w:t xml:space="preserve"> Academy of Management Journal, pp. 305-325. </w:t>
      </w:r>
    </w:p>
    <w:p w:rsidR="00375F78" w:rsidRDefault="00375F78" w:rsidP="00375F78">
      <w:pPr>
        <w:jc w:val="both"/>
        <w:rPr>
          <w:rFonts w:ascii="High Tower Text" w:hAnsi="High Tower Text"/>
          <w:sz w:val="22"/>
          <w:szCs w:val="22"/>
        </w:rPr>
      </w:pPr>
    </w:p>
    <w:p w:rsidR="00375F78" w:rsidRPr="00CD12A0" w:rsidRDefault="00375F78" w:rsidP="00375F78">
      <w:pPr>
        <w:jc w:val="both"/>
        <w:rPr>
          <w:rFonts w:ascii="High Tower Text" w:hAnsi="High Tower Text"/>
          <w:sz w:val="22"/>
          <w:szCs w:val="22"/>
        </w:rPr>
      </w:pPr>
      <w:r w:rsidRPr="00CD12A0">
        <w:rPr>
          <w:rFonts w:ascii="High Tower Text" w:hAnsi="High Tower Text"/>
          <w:sz w:val="22"/>
          <w:szCs w:val="22"/>
        </w:rPr>
        <w:t xml:space="preserve">Rollag, K. (2007) </w:t>
      </w:r>
      <w:r w:rsidRPr="0021082B">
        <w:rPr>
          <w:rFonts w:ascii="High Tower Text" w:hAnsi="High Tower Text"/>
          <w:i/>
          <w:sz w:val="22"/>
          <w:szCs w:val="22"/>
        </w:rPr>
        <w:t>Defining the Term New in New Employee Research.</w:t>
      </w:r>
      <w:r w:rsidRPr="00CD12A0">
        <w:rPr>
          <w:rFonts w:ascii="High Tower Text" w:hAnsi="High Tower Text"/>
          <w:sz w:val="22"/>
          <w:szCs w:val="22"/>
        </w:rPr>
        <w:t xml:space="preserve"> Journal of Occupational and Organizational Psychology, pp. 63-75.</w:t>
      </w:r>
    </w:p>
    <w:p w:rsidR="00375F78" w:rsidRDefault="00375F78" w:rsidP="00375F78">
      <w:pPr>
        <w:jc w:val="both"/>
        <w:rPr>
          <w:rFonts w:ascii="High Tower Text" w:hAnsi="High Tower Text"/>
          <w:sz w:val="22"/>
          <w:szCs w:val="22"/>
        </w:rPr>
      </w:pPr>
    </w:p>
    <w:p w:rsidR="00375F78" w:rsidRPr="00CD12A0" w:rsidRDefault="00375F78" w:rsidP="00375F78">
      <w:pPr>
        <w:jc w:val="both"/>
        <w:rPr>
          <w:rFonts w:ascii="High Tower Text" w:hAnsi="High Tower Text"/>
          <w:sz w:val="22"/>
          <w:szCs w:val="22"/>
        </w:rPr>
      </w:pPr>
      <w:r w:rsidRPr="00CD12A0">
        <w:rPr>
          <w:rFonts w:ascii="High Tower Text" w:hAnsi="High Tower Text"/>
          <w:sz w:val="22"/>
          <w:szCs w:val="22"/>
        </w:rPr>
        <w:t xml:space="preserve">Stewart, M. M., and Garcia-Prieto, P. (2008) </w:t>
      </w:r>
      <w:r w:rsidRPr="0021082B">
        <w:rPr>
          <w:rFonts w:ascii="High Tower Text" w:hAnsi="High Tower Text"/>
          <w:i/>
          <w:sz w:val="22"/>
          <w:szCs w:val="22"/>
        </w:rPr>
        <w:t>A Relational Demography Model of Workgroup Identification: Testing the Effects of Race, Race Dissimilarity, Racial Identification, and Communication Behaviour,</w:t>
      </w:r>
      <w:r w:rsidRPr="00CD12A0">
        <w:rPr>
          <w:rFonts w:ascii="High Tower Text" w:hAnsi="High Tower Text"/>
          <w:sz w:val="22"/>
          <w:szCs w:val="22"/>
        </w:rPr>
        <w:t xml:space="preserve"> Pp. 657-680.</w:t>
      </w:r>
    </w:p>
    <w:p w:rsidR="00375F78" w:rsidRPr="00CD12A0" w:rsidRDefault="00375F78" w:rsidP="00375F78">
      <w:pPr>
        <w:jc w:val="both"/>
        <w:rPr>
          <w:rFonts w:ascii="High Tower Text" w:hAnsi="High Tower Text"/>
          <w:sz w:val="22"/>
          <w:szCs w:val="22"/>
        </w:rPr>
      </w:pPr>
    </w:p>
    <w:p w:rsidR="00375F78" w:rsidRPr="00CD12A0" w:rsidRDefault="00375F78" w:rsidP="00375F78">
      <w:pPr>
        <w:rPr>
          <w:rFonts w:ascii="High Tower Text" w:hAnsi="High Tower Text"/>
          <w:sz w:val="22"/>
          <w:szCs w:val="22"/>
        </w:rPr>
      </w:pPr>
      <w:r w:rsidRPr="00CD12A0">
        <w:rPr>
          <w:rFonts w:ascii="High Tower Text" w:hAnsi="High Tower Text"/>
          <w:sz w:val="22"/>
          <w:szCs w:val="22"/>
        </w:rPr>
        <w:t xml:space="preserve">Husin, S. et al. (2012) </w:t>
      </w:r>
      <w:r w:rsidRPr="0021082B">
        <w:rPr>
          <w:rFonts w:ascii="High Tower Text" w:hAnsi="High Tower Text"/>
          <w:i/>
          <w:sz w:val="22"/>
          <w:szCs w:val="22"/>
        </w:rPr>
        <w:t>FIRM Practices, Organizational Citizenship Behaviours, and Perceived Service Quality in Golf Courses</w:t>
      </w:r>
      <w:r w:rsidRPr="00CD12A0">
        <w:rPr>
          <w:rFonts w:ascii="High Tower Text" w:hAnsi="High Tower Text"/>
          <w:sz w:val="22"/>
          <w:szCs w:val="22"/>
        </w:rPr>
        <w:t>. Journal of Sport Management, pp. 143-158.</w:t>
      </w:r>
    </w:p>
    <w:p w:rsidR="00CD12A0" w:rsidRPr="00CD12A0" w:rsidRDefault="00CD12A0" w:rsidP="00683C40">
      <w:pPr>
        <w:rPr>
          <w:rFonts w:ascii="High Tower Text" w:hAnsi="High Tower Text"/>
          <w:sz w:val="22"/>
          <w:szCs w:val="22"/>
        </w:rPr>
      </w:pPr>
    </w:p>
    <w:sectPr w:rsidR="00CD12A0" w:rsidRPr="00CD12A0" w:rsidSect="00881A46">
      <w:footerReference w:type="default" r:id="rId8"/>
      <w:pgSz w:w="11906" w:h="16838"/>
      <w:pgMar w:top="1103"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1702" w:rsidRDefault="00491702" w:rsidP="00CB3A84">
      <w:r>
        <w:separator/>
      </w:r>
    </w:p>
  </w:endnote>
  <w:endnote w:type="continuationSeparator" w:id="1">
    <w:p w:rsidR="00491702" w:rsidRDefault="00491702" w:rsidP="00CB3A8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High Tower Text">
    <w:panose1 w:val="0204050205050603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7367797"/>
      <w:docPartObj>
        <w:docPartGallery w:val="Page Numbers (Bottom of Page)"/>
        <w:docPartUnique/>
      </w:docPartObj>
    </w:sdtPr>
    <w:sdtContent>
      <w:p w:rsidR="00881A46" w:rsidRDefault="00881A46">
        <w:pPr>
          <w:pStyle w:val="Footer"/>
        </w:pPr>
        <w:r>
          <w:t xml:space="preserve">Page | </w:t>
        </w:r>
        <w:fldSimple w:instr=" PAGE   \* MERGEFORMAT ">
          <w:r w:rsidR="00FB4211">
            <w:rPr>
              <w:noProof/>
            </w:rPr>
            <w:t>2</w:t>
          </w:r>
        </w:fldSimple>
      </w:p>
    </w:sdtContent>
  </w:sdt>
  <w:p w:rsidR="00881A46" w:rsidRDefault="00881A4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1702" w:rsidRDefault="00491702" w:rsidP="00CB3A84">
      <w:r>
        <w:separator/>
      </w:r>
    </w:p>
  </w:footnote>
  <w:footnote w:type="continuationSeparator" w:id="1">
    <w:p w:rsidR="00491702" w:rsidRDefault="00491702" w:rsidP="00CB3A84">
      <w:r>
        <w:continuationSeparator/>
      </w:r>
    </w:p>
  </w:footnote>
  <w:footnote w:id="2">
    <w:p w:rsidR="00AF176E" w:rsidRPr="00B316DC" w:rsidRDefault="00AF176E" w:rsidP="005E518D">
      <w:pPr>
        <w:pStyle w:val="FootnoteText"/>
        <w:rPr>
          <w:rFonts w:asciiTheme="minorHAnsi" w:hAnsiTheme="minorHAnsi" w:cstheme="minorHAnsi"/>
        </w:rPr>
      </w:pPr>
      <w:r w:rsidRPr="00B316DC">
        <w:rPr>
          <w:rStyle w:val="FootnoteReference"/>
          <w:rFonts w:asciiTheme="minorHAnsi" w:hAnsiTheme="minorHAnsi" w:cstheme="minorHAnsi"/>
        </w:rPr>
        <w:footnoteRef/>
      </w:r>
      <w:r w:rsidRPr="00B316DC">
        <w:rPr>
          <w:rFonts w:asciiTheme="minorHAnsi" w:hAnsiTheme="minorHAnsi" w:cstheme="minorHAnsi"/>
        </w:rPr>
        <w:t xml:space="preserve"> Harrison, L.E. and Huntington, S. P. (2000) </w:t>
      </w:r>
      <w:r w:rsidRPr="00B316DC">
        <w:rPr>
          <w:rFonts w:asciiTheme="minorHAnsi" w:hAnsiTheme="minorHAnsi" w:cstheme="minorHAnsi"/>
          <w:i/>
        </w:rPr>
        <w:t xml:space="preserve">Culture Matters, How Values Shape Human Progress, </w:t>
      </w:r>
      <w:r w:rsidRPr="00B316DC">
        <w:rPr>
          <w:rFonts w:asciiTheme="minorHAnsi" w:hAnsiTheme="minorHAnsi" w:cstheme="minorHAnsi"/>
        </w:rPr>
        <w:t>Basic Books, New York, p.16</w:t>
      </w:r>
    </w:p>
    <w:p w:rsidR="00AF176E" w:rsidRPr="00B316DC" w:rsidRDefault="00AF176E" w:rsidP="005E518D">
      <w:pPr>
        <w:pStyle w:val="FootnoteText"/>
        <w:rPr>
          <w:rFonts w:asciiTheme="minorHAnsi" w:hAnsiTheme="minorHAnsi" w:cstheme="minorHAnsi"/>
        </w:rPr>
      </w:pPr>
    </w:p>
  </w:footnote>
  <w:footnote w:id="3">
    <w:p w:rsidR="00AF176E" w:rsidRPr="00B316DC" w:rsidRDefault="00AF176E">
      <w:pPr>
        <w:pStyle w:val="FootnoteText"/>
        <w:rPr>
          <w:rFonts w:asciiTheme="minorHAnsi" w:hAnsiTheme="minorHAnsi" w:cstheme="minorHAnsi"/>
          <w:shd w:val="clear" w:color="auto" w:fill="FFFFFF"/>
        </w:rPr>
      </w:pPr>
      <w:r w:rsidRPr="00B316DC">
        <w:rPr>
          <w:rStyle w:val="FootnoteReference"/>
          <w:rFonts w:asciiTheme="minorHAnsi" w:hAnsiTheme="minorHAnsi" w:cstheme="minorHAnsi"/>
        </w:rPr>
        <w:footnoteRef/>
      </w:r>
      <w:r w:rsidRPr="00B316DC">
        <w:rPr>
          <w:rFonts w:asciiTheme="minorHAnsi" w:hAnsiTheme="minorHAnsi" w:cstheme="minorHAnsi"/>
        </w:rPr>
        <w:t xml:space="preserve"> </w:t>
      </w:r>
      <w:r w:rsidRPr="00B316DC">
        <w:rPr>
          <w:rFonts w:asciiTheme="minorHAnsi" w:hAnsiTheme="minorHAnsi" w:cstheme="minorHAnsi"/>
          <w:shd w:val="clear" w:color="auto" w:fill="FFFFFF"/>
        </w:rPr>
        <w:t xml:space="preserve">Tesco plc. (2018) </w:t>
      </w:r>
      <w:r w:rsidRPr="00B316DC">
        <w:rPr>
          <w:rFonts w:asciiTheme="minorHAnsi" w:hAnsiTheme="minorHAnsi" w:cstheme="minorHAnsi"/>
          <w:i/>
          <w:shd w:val="clear" w:color="auto" w:fill="FFFFFF"/>
        </w:rPr>
        <w:t>Tesco 2018 Strategic Report, p.20</w:t>
      </w:r>
      <w:r w:rsidRPr="00B316DC">
        <w:rPr>
          <w:rFonts w:asciiTheme="minorHAnsi" w:hAnsiTheme="minorHAnsi" w:cstheme="minorHAnsi"/>
          <w:shd w:val="clear" w:color="auto" w:fill="FFFFFF"/>
        </w:rPr>
        <w:t xml:space="preserve">, available at </w:t>
      </w:r>
      <w:hyperlink r:id="rId1" w:history="1">
        <w:r w:rsidRPr="00B316DC">
          <w:rPr>
            <w:rStyle w:val="Hyperlink"/>
            <w:rFonts w:asciiTheme="minorHAnsi" w:hAnsiTheme="minorHAnsi" w:cstheme="minorHAnsi"/>
            <w:color w:val="auto"/>
            <w:shd w:val="clear" w:color="auto" w:fill="FFFFFF"/>
          </w:rPr>
          <w:t>https://www.tescoplc.com/media/476557/tesco_2018_strategic_report.pdf</w:t>
        </w:r>
      </w:hyperlink>
      <w:r w:rsidRPr="00B316DC">
        <w:rPr>
          <w:rFonts w:asciiTheme="minorHAnsi" w:hAnsiTheme="minorHAnsi" w:cstheme="minorHAnsi"/>
          <w:shd w:val="clear" w:color="auto" w:fill="FFFFFF"/>
        </w:rPr>
        <w:t xml:space="preserve">  (Accessed: 05 December 2020).</w:t>
      </w:r>
    </w:p>
    <w:p w:rsidR="00AF176E" w:rsidRPr="00B316DC" w:rsidRDefault="00AF176E">
      <w:pPr>
        <w:pStyle w:val="FootnoteText"/>
        <w:rPr>
          <w:rFonts w:asciiTheme="minorHAnsi" w:hAnsiTheme="minorHAnsi" w:cstheme="minorHAnsi"/>
        </w:rPr>
      </w:pPr>
    </w:p>
  </w:footnote>
  <w:footnote w:id="4">
    <w:p w:rsidR="00AF176E" w:rsidRPr="00B316DC" w:rsidRDefault="00AF176E">
      <w:pPr>
        <w:pStyle w:val="FootnoteText"/>
        <w:rPr>
          <w:rFonts w:asciiTheme="minorHAnsi" w:hAnsiTheme="minorHAnsi" w:cstheme="minorHAnsi"/>
          <w:shd w:val="clear" w:color="auto" w:fill="FFFFFF"/>
        </w:rPr>
      </w:pPr>
      <w:r w:rsidRPr="00B316DC">
        <w:rPr>
          <w:rStyle w:val="FootnoteReference"/>
          <w:rFonts w:asciiTheme="minorHAnsi" w:hAnsiTheme="minorHAnsi" w:cstheme="minorHAnsi"/>
        </w:rPr>
        <w:footnoteRef/>
      </w:r>
      <w:r w:rsidRPr="00B316DC">
        <w:rPr>
          <w:rFonts w:asciiTheme="minorHAnsi" w:hAnsiTheme="minorHAnsi" w:cstheme="minorHAnsi"/>
        </w:rPr>
        <w:t xml:space="preserve"> </w:t>
      </w:r>
      <w:r w:rsidRPr="00B316DC">
        <w:rPr>
          <w:rFonts w:asciiTheme="minorHAnsi" w:hAnsiTheme="minorHAnsi" w:cstheme="minorHAnsi"/>
          <w:shd w:val="clear" w:color="auto" w:fill="FFFFFF"/>
        </w:rPr>
        <w:t xml:space="preserve">Tesco plc. (2018) </w:t>
      </w:r>
      <w:r w:rsidRPr="00B316DC">
        <w:rPr>
          <w:rFonts w:asciiTheme="minorHAnsi" w:hAnsiTheme="minorHAnsi" w:cstheme="minorHAnsi"/>
          <w:i/>
          <w:shd w:val="clear" w:color="auto" w:fill="FFFFFF"/>
        </w:rPr>
        <w:t xml:space="preserve">Tesco 2018 Strategic Report, p.16, </w:t>
      </w:r>
      <w:r w:rsidRPr="00B316DC">
        <w:rPr>
          <w:rFonts w:asciiTheme="minorHAnsi" w:hAnsiTheme="minorHAnsi" w:cstheme="minorHAnsi"/>
          <w:shd w:val="clear" w:color="auto" w:fill="FFFFFF"/>
        </w:rPr>
        <w:t xml:space="preserve">available at </w:t>
      </w:r>
      <w:hyperlink r:id="rId2" w:history="1">
        <w:r w:rsidRPr="00B316DC">
          <w:rPr>
            <w:rStyle w:val="Hyperlink"/>
            <w:rFonts w:asciiTheme="minorHAnsi" w:hAnsiTheme="minorHAnsi" w:cstheme="minorHAnsi"/>
            <w:color w:val="auto"/>
            <w:shd w:val="clear" w:color="auto" w:fill="FFFFFF"/>
          </w:rPr>
          <w:t>https://www.tescoplc.com/media/476557/tesco_2018_strategic_report.pdf</w:t>
        </w:r>
      </w:hyperlink>
      <w:r w:rsidRPr="00B316DC">
        <w:rPr>
          <w:rFonts w:asciiTheme="minorHAnsi" w:hAnsiTheme="minorHAnsi" w:cstheme="minorHAnsi"/>
          <w:shd w:val="clear" w:color="auto" w:fill="FFFFFF"/>
        </w:rPr>
        <w:t xml:space="preserve">  (Accessed: 05 December 2020).</w:t>
      </w:r>
    </w:p>
    <w:p w:rsidR="00AF176E" w:rsidRPr="00B316DC" w:rsidRDefault="00AF176E">
      <w:pPr>
        <w:pStyle w:val="FootnoteText"/>
        <w:rPr>
          <w:rFonts w:asciiTheme="minorHAnsi" w:hAnsiTheme="minorHAnsi" w:cstheme="minorHAnsi"/>
        </w:rPr>
      </w:pPr>
    </w:p>
  </w:footnote>
  <w:footnote w:id="5">
    <w:p w:rsidR="00AF176E" w:rsidRPr="00B316DC" w:rsidRDefault="00AF176E">
      <w:pPr>
        <w:pStyle w:val="FootnoteText"/>
        <w:rPr>
          <w:rFonts w:asciiTheme="minorHAnsi" w:hAnsiTheme="minorHAnsi" w:cstheme="minorHAnsi"/>
        </w:rPr>
      </w:pPr>
      <w:r w:rsidRPr="00B316DC">
        <w:rPr>
          <w:rStyle w:val="FootnoteReference"/>
          <w:rFonts w:asciiTheme="minorHAnsi" w:hAnsiTheme="minorHAnsi" w:cstheme="minorHAnsi"/>
        </w:rPr>
        <w:footnoteRef/>
      </w:r>
      <w:r w:rsidRPr="00B316DC">
        <w:rPr>
          <w:rFonts w:asciiTheme="minorHAnsi" w:hAnsiTheme="minorHAnsi" w:cstheme="minorHAnsi"/>
        </w:rPr>
        <w:t xml:space="preserve"> Tesco plc (2019) Socio-economic Report, available at </w:t>
      </w:r>
      <w:hyperlink r:id="rId3" w:history="1">
        <w:r w:rsidRPr="00B316DC">
          <w:rPr>
            <w:rStyle w:val="Hyperlink"/>
            <w:rFonts w:asciiTheme="minorHAnsi" w:hAnsiTheme="minorHAnsi" w:cstheme="minorHAnsi"/>
            <w:color w:val="auto"/>
          </w:rPr>
          <w:t>https://se-report.tescoplc.com/se-report</w:t>
        </w:r>
      </w:hyperlink>
      <w:r w:rsidRPr="00B316DC">
        <w:rPr>
          <w:rFonts w:asciiTheme="minorHAnsi" w:hAnsiTheme="minorHAnsi" w:cstheme="minorHAnsi"/>
        </w:rPr>
        <w:t xml:space="preserve"> (Accessed: 08 December 2020).</w:t>
      </w:r>
    </w:p>
    <w:p w:rsidR="00AF176E" w:rsidRPr="00B316DC" w:rsidRDefault="00AF176E">
      <w:pPr>
        <w:pStyle w:val="FootnoteText"/>
        <w:rPr>
          <w:rFonts w:asciiTheme="minorHAnsi" w:hAnsiTheme="minorHAnsi" w:cstheme="minorHAnsi"/>
        </w:rPr>
      </w:pPr>
    </w:p>
  </w:footnote>
  <w:footnote w:id="6">
    <w:p w:rsidR="00AF176E" w:rsidRPr="00B316DC" w:rsidRDefault="00AF176E" w:rsidP="00070098">
      <w:pPr>
        <w:pStyle w:val="Heading1"/>
        <w:shd w:val="clear" w:color="auto" w:fill="FFFFFF"/>
        <w:spacing w:before="0" w:beforeAutospacing="0"/>
        <w:rPr>
          <w:rFonts w:asciiTheme="minorHAnsi" w:hAnsiTheme="minorHAnsi" w:cstheme="minorHAnsi"/>
          <w:b w:val="0"/>
          <w:sz w:val="20"/>
          <w:szCs w:val="20"/>
        </w:rPr>
      </w:pPr>
      <w:r w:rsidRPr="00B316DC">
        <w:rPr>
          <w:rStyle w:val="FootnoteReference"/>
          <w:rFonts w:asciiTheme="minorHAnsi" w:hAnsiTheme="minorHAnsi" w:cstheme="minorHAnsi"/>
          <w:b w:val="0"/>
          <w:sz w:val="20"/>
          <w:szCs w:val="20"/>
        </w:rPr>
        <w:footnoteRef/>
      </w:r>
      <w:r w:rsidRPr="00B316DC">
        <w:rPr>
          <w:rFonts w:asciiTheme="minorHAnsi" w:hAnsiTheme="minorHAnsi" w:cstheme="minorHAnsi"/>
          <w:b w:val="0"/>
          <w:sz w:val="20"/>
          <w:szCs w:val="20"/>
        </w:rPr>
        <w:t xml:space="preserve"> Hilaris Team (2018) </w:t>
      </w:r>
      <w:r w:rsidRPr="00B316DC">
        <w:rPr>
          <w:rFonts w:asciiTheme="minorHAnsi" w:hAnsiTheme="minorHAnsi" w:cstheme="minorHAnsi"/>
          <w:b w:val="0"/>
          <w:bCs w:val="0"/>
          <w:i/>
          <w:sz w:val="20"/>
          <w:szCs w:val="20"/>
        </w:rPr>
        <w:t>Arabian Journal of Business and Management Review</w:t>
      </w:r>
      <w:r w:rsidRPr="00B316DC">
        <w:rPr>
          <w:rFonts w:asciiTheme="minorHAnsi" w:hAnsiTheme="minorHAnsi" w:cstheme="minorHAnsi"/>
          <w:b w:val="0"/>
          <w:bCs w:val="0"/>
          <w:sz w:val="20"/>
          <w:szCs w:val="20"/>
        </w:rPr>
        <w:t xml:space="preserve">, available at </w:t>
      </w:r>
      <w:hyperlink r:id="rId4" w:history="1">
        <w:r w:rsidRPr="00B316DC">
          <w:rPr>
            <w:rStyle w:val="Hyperlink"/>
            <w:rFonts w:asciiTheme="minorHAnsi" w:hAnsiTheme="minorHAnsi" w:cstheme="minorHAnsi"/>
            <w:b w:val="0"/>
            <w:bCs w:val="0"/>
            <w:color w:val="auto"/>
            <w:sz w:val="20"/>
            <w:szCs w:val="20"/>
          </w:rPr>
          <w:t>https://www.hilarispublisher.com/scholarly/behavioral-management-theory-journals-articles-ppts-list-1639.html</w:t>
        </w:r>
      </w:hyperlink>
      <w:r w:rsidRPr="00B316DC">
        <w:rPr>
          <w:rFonts w:asciiTheme="minorHAnsi" w:hAnsiTheme="minorHAnsi" w:cstheme="minorHAnsi"/>
          <w:b w:val="0"/>
          <w:bCs w:val="0"/>
          <w:sz w:val="20"/>
          <w:szCs w:val="20"/>
        </w:rPr>
        <w:t xml:space="preserve"> (Accessed: 09 December 2020).</w:t>
      </w:r>
    </w:p>
  </w:footnote>
  <w:footnote w:id="7">
    <w:p w:rsidR="00AF176E" w:rsidRDefault="00AF176E">
      <w:pPr>
        <w:pStyle w:val="FootnoteText"/>
        <w:rPr>
          <w:rFonts w:asciiTheme="minorHAnsi" w:hAnsiTheme="minorHAnsi" w:cstheme="minorHAnsi"/>
          <w:bCs/>
        </w:rPr>
      </w:pPr>
      <w:r w:rsidRPr="00B316DC">
        <w:rPr>
          <w:rStyle w:val="FootnoteReference"/>
          <w:rFonts w:asciiTheme="minorHAnsi" w:hAnsiTheme="minorHAnsi" w:cstheme="minorHAnsi"/>
        </w:rPr>
        <w:footnoteRef/>
      </w:r>
      <w:r w:rsidRPr="00B316DC">
        <w:rPr>
          <w:rFonts w:asciiTheme="minorHAnsi" w:hAnsiTheme="minorHAnsi" w:cstheme="minorHAnsi"/>
        </w:rPr>
        <w:t xml:space="preserve"> Tesco plc (2020) </w:t>
      </w:r>
      <w:r w:rsidRPr="00B316DC">
        <w:rPr>
          <w:rFonts w:asciiTheme="minorHAnsi" w:hAnsiTheme="minorHAnsi" w:cstheme="minorHAnsi"/>
          <w:i/>
        </w:rPr>
        <w:t>Inclusion and Diversity</w:t>
      </w:r>
      <w:r w:rsidRPr="00B316DC">
        <w:rPr>
          <w:rFonts w:asciiTheme="minorHAnsi" w:hAnsiTheme="minorHAnsi" w:cstheme="minorHAnsi"/>
        </w:rPr>
        <w:t xml:space="preserve">, available at </w:t>
      </w:r>
      <w:hyperlink r:id="rId5" w:history="1">
        <w:r w:rsidRPr="00B316DC">
          <w:rPr>
            <w:rStyle w:val="Hyperlink"/>
            <w:rFonts w:asciiTheme="minorHAnsi" w:hAnsiTheme="minorHAnsi" w:cstheme="minorHAnsi"/>
            <w:color w:val="auto"/>
          </w:rPr>
          <w:t>https://www.tescoplc.com/sustainability/people/inclusion-diversity/</w:t>
        </w:r>
      </w:hyperlink>
      <w:r w:rsidRPr="00B316DC">
        <w:rPr>
          <w:rFonts w:asciiTheme="minorHAnsi" w:hAnsiTheme="minorHAnsi" w:cstheme="minorHAnsi"/>
        </w:rPr>
        <w:t xml:space="preserve"> (</w:t>
      </w:r>
      <w:r w:rsidRPr="00B316DC">
        <w:rPr>
          <w:rFonts w:asciiTheme="minorHAnsi" w:hAnsiTheme="minorHAnsi" w:cstheme="minorHAnsi"/>
          <w:bCs/>
        </w:rPr>
        <w:t>Accessed: 10 December 2020).</w:t>
      </w:r>
    </w:p>
    <w:p w:rsidR="00AE6273" w:rsidRPr="00B316DC" w:rsidRDefault="00AE6273">
      <w:pPr>
        <w:pStyle w:val="FootnoteText"/>
        <w:rPr>
          <w:rFonts w:asciiTheme="minorHAnsi" w:hAnsiTheme="minorHAnsi" w:cstheme="minorHAnsi"/>
        </w:rPr>
      </w:pPr>
    </w:p>
  </w:footnote>
  <w:footnote w:id="8">
    <w:p w:rsidR="00AF176E" w:rsidRPr="00B316DC" w:rsidRDefault="00AF176E">
      <w:pPr>
        <w:pStyle w:val="FootnoteText"/>
        <w:rPr>
          <w:rFonts w:asciiTheme="minorHAnsi" w:hAnsiTheme="minorHAnsi" w:cstheme="minorHAnsi"/>
        </w:rPr>
      </w:pPr>
      <w:r w:rsidRPr="00B316DC">
        <w:rPr>
          <w:rStyle w:val="FootnoteReference"/>
          <w:rFonts w:asciiTheme="minorHAnsi" w:hAnsiTheme="minorHAnsi" w:cstheme="minorHAnsi"/>
        </w:rPr>
        <w:footnoteRef/>
      </w:r>
      <w:r w:rsidRPr="00B316DC">
        <w:rPr>
          <w:rFonts w:asciiTheme="minorHAnsi" w:hAnsiTheme="minorHAnsi" w:cstheme="minorHAnsi"/>
        </w:rPr>
        <w:t xml:space="preserve"> Tesco plc. (2018) </w:t>
      </w:r>
      <w:r w:rsidRPr="00B316DC">
        <w:rPr>
          <w:rFonts w:asciiTheme="minorHAnsi" w:hAnsiTheme="minorHAnsi" w:cstheme="minorHAnsi"/>
          <w:i/>
        </w:rPr>
        <w:t>Our Code of Business Conduct: Equal opportunity, inclusion &amp; diversity</w:t>
      </w:r>
      <w:r w:rsidRPr="00B316DC">
        <w:rPr>
          <w:rFonts w:asciiTheme="minorHAnsi" w:hAnsiTheme="minorHAnsi" w:cstheme="minorHAnsi"/>
        </w:rPr>
        <w:t xml:space="preserve">, p.24 </w:t>
      </w:r>
    </w:p>
    <w:p w:rsidR="00AF176E" w:rsidRPr="00B316DC" w:rsidRDefault="00AF176E">
      <w:pPr>
        <w:pStyle w:val="FootnoteText"/>
        <w:rPr>
          <w:rFonts w:asciiTheme="minorHAnsi" w:hAnsiTheme="minorHAnsi" w:cstheme="minorHAnsi"/>
        </w:rPr>
      </w:pPr>
    </w:p>
  </w:footnote>
  <w:footnote w:id="9">
    <w:p w:rsidR="00AF176E" w:rsidRPr="00B316DC" w:rsidRDefault="00AF176E">
      <w:pPr>
        <w:pStyle w:val="FootnoteText"/>
        <w:rPr>
          <w:rFonts w:asciiTheme="minorHAnsi" w:hAnsiTheme="minorHAnsi" w:cstheme="minorHAnsi"/>
        </w:rPr>
      </w:pPr>
      <w:r w:rsidRPr="00B316DC">
        <w:rPr>
          <w:rStyle w:val="FootnoteReference"/>
          <w:rFonts w:asciiTheme="minorHAnsi" w:hAnsiTheme="minorHAnsi" w:cstheme="minorHAnsi"/>
        </w:rPr>
        <w:footnoteRef/>
      </w:r>
      <w:r w:rsidRPr="00B316DC">
        <w:rPr>
          <w:rFonts w:asciiTheme="minorHAnsi" w:hAnsiTheme="minorHAnsi" w:cstheme="minorHAnsi"/>
        </w:rPr>
        <w:t xml:space="preserve"> Tesco plc. (2018) </w:t>
      </w:r>
      <w:r w:rsidRPr="00B316DC">
        <w:rPr>
          <w:rFonts w:asciiTheme="minorHAnsi" w:hAnsiTheme="minorHAnsi" w:cstheme="minorHAnsi"/>
          <w:i/>
        </w:rPr>
        <w:t>Our Code of Business Conduct: Human Rights</w:t>
      </w:r>
      <w:r w:rsidRPr="00B316DC">
        <w:rPr>
          <w:rFonts w:asciiTheme="minorHAnsi" w:hAnsiTheme="minorHAnsi" w:cstheme="minorHAnsi"/>
        </w:rPr>
        <w:t>, p.28</w:t>
      </w:r>
    </w:p>
    <w:p w:rsidR="00AF176E" w:rsidRPr="00B316DC" w:rsidRDefault="00AF176E">
      <w:pPr>
        <w:pStyle w:val="FootnoteText"/>
        <w:rPr>
          <w:rFonts w:asciiTheme="minorHAnsi" w:hAnsiTheme="minorHAnsi" w:cstheme="minorHAnsi"/>
        </w:rPr>
      </w:pPr>
    </w:p>
  </w:footnote>
  <w:footnote w:id="10">
    <w:p w:rsidR="00AF176E" w:rsidRPr="00B316DC" w:rsidRDefault="00AF176E" w:rsidP="000C0FDA">
      <w:pPr>
        <w:shd w:val="clear" w:color="auto" w:fill="F5F5F5"/>
        <w:rPr>
          <w:rFonts w:asciiTheme="minorHAnsi" w:hAnsiTheme="minorHAnsi" w:cstheme="minorHAnsi"/>
          <w:i/>
          <w:color w:val="323232"/>
        </w:rPr>
      </w:pPr>
      <w:r w:rsidRPr="00B316DC">
        <w:rPr>
          <w:rStyle w:val="FootnoteReference"/>
          <w:rFonts w:asciiTheme="minorHAnsi" w:hAnsiTheme="minorHAnsi" w:cstheme="minorHAnsi"/>
        </w:rPr>
        <w:footnoteRef/>
      </w:r>
      <w:r w:rsidRPr="00B316DC">
        <w:rPr>
          <w:rFonts w:asciiTheme="minorHAnsi" w:hAnsiTheme="minorHAnsi" w:cstheme="minorHAnsi"/>
        </w:rPr>
        <w:t xml:space="preserve"> </w:t>
      </w:r>
      <w:r w:rsidRPr="00B316DC">
        <w:rPr>
          <w:rFonts w:asciiTheme="minorHAnsi" w:hAnsiTheme="minorHAnsi" w:cstheme="minorHAnsi"/>
          <w:color w:val="323232"/>
        </w:rPr>
        <w:t>Schwartz, S.H. (1994)</w:t>
      </w:r>
      <w:r w:rsidRPr="00FC5101">
        <w:rPr>
          <w:rFonts w:asciiTheme="minorHAnsi" w:hAnsiTheme="minorHAnsi" w:cstheme="minorHAnsi"/>
          <w:color w:val="323232"/>
        </w:rPr>
        <w:t xml:space="preserve"> </w:t>
      </w:r>
      <w:r w:rsidRPr="00FC5101">
        <w:rPr>
          <w:rFonts w:asciiTheme="minorHAnsi" w:hAnsiTheme="minorHAnsi" w:cstheme="minorHAnsi"/>
          <w:bCs/>
          <w:i/>
          <w:color w:val="323232"/>
        </w:rPr>
        <w:t>Are there universal aspects in the structure and contents of human values?</w:t>
      </w:r>
    </w:p>
    <w:p w:rsidR="00AF176E" w:rsidRPr="000C0FDA" w:rsidRDefault="00AF176E" w:rsidP="000C0FDA">
      <w:pPr>
        <w:shd w:val="clear" w:color="auto" w:fill="F5F5F5"/>
        <w:rPr>
          <w:rFonts w:asciiTheme="minorHAnsi" w:hAnsiTheme="minorHAnsi" w:cstheme="minorHAnsi"/>
          <w:color w:val="323232"/>
        </w:rPr>
      </w:pPr>
      <w:r w:rsidRPr="000C0FDA">
        <w:rPr>
          <w:rFonts w:asciiTheme="minorHAnsi" w:hAnsiTheme="minorHAnsi" w:cstheme="minorHAnsi"/>
          <w:i/>
          <w:color w:val="323232"/>
        </w:rPr>
        <w:t>Journal</w:t>
      </w:r>
      <w:r w:rsidRPr="00B316DC">
        <w:rPr>
          <w:rFonts w:asciiTheme="minorHAnsi" w:hAnsiTheme="minorHAnsi" w:cstheme="minorHAnsi"/>
          <w:i/>
          <w:color w:val="323232"/>
        </w:rPr>
        <w:t xml:space="preserve"> of Social Issues</w:t>
      </w:r>
      <w:r w:rsidRPr="000C0FDA">
        <w:rPr>
          <w:rFonts w:asciiTheme="minorHAnsi" w:hAnsiTheme="minorHAnsi" w:cstheme="minorHAnsi"/>
          <w:color w:val="323232"/>
        </w:rPr>
        <w:t>, pp. 19-45</w:t>
      </w:r>
    </w:p>
    <w:p w:rsidR="00AF176E" w:rsidRPr="00B316DC" w:rsidRDefault="00AF176E">
      <w:pPr>
        <w:pStyle w:val="FootnoteText"/>
        <w:rPr>
          <w:rFonts w:asciiTheme="minorHAnsi" w:hAnsiTheme="minorHAnsi" w:cstheme="minorHAnsi"/>
        </w:rPr>
      </w:pPr>
    </w:p>
  </w:footnote>
  <w:footnote w:id="11">
    <w:p w:rsidR="00AF176E" w:rsidRPr="00B316DC" w:rsidRDefault="00AF176E">
      <w:pPr>
        <w:pStyle w:val="FootnoteText"/>
        <w:rPr>
          <w:rFonts w:asciiTheme="minorHAnsi" w:hAnsiTheme="minorHAnsi" w:cstheme="minorHAnsi"/>
          <w:shd w:val="clear" w:color="auto" w:fill="FFFFFF"/>
        </w:rPr>
      </w:pPr>
      <w:r w:rsidRPr="00B316DC">
        <w:rPr>
          <w:rStyle w:val="FootnoteReference"/>
          <w:rFonts w:asciiTheme="minorHAnsi" w:hAnsiTheme="minorHAnsi" w:cstheme="minorHAnsi"/>
        </w:rPr>
        <w:footnoteRef/>
      </w:r>
      <w:r w:rsidRPr="00B316DC">
        <w:rPr>
          <w:rFonts w:asciiTheme="minorHAnsi" w:hAnsiTheme="minorHAnsi" w:cstheme="minorHAnsi"/>
        </w:rPr>
        <w:t xml:space="preserve"> </w:t>
      </w:r>
      <w:r w:rsidRPr="00B316DC">
        <w:rPr>
          <w:rFonts w:asciiTheme="minorHAnsi" w:hAnsiTheme="minorHAnsi" w:cstheme="minorHAnsi"/>
          <w:shd w:val="clear" w:color="auto" w:fill="FFFFFF"/>
        </w:rPr>
        <w:t xml:space="preserve">Tesco plc. (2019). </w:t>
      </w:r>
      <w:r w:rsidRPr="00B316DC">
        <w:rPr>
          <w:rFonts w:asciiTheme="minorHAnsi" w:hAnsiTheme="minorHAnsi" w:cstheme="minorHAnsi"/>
          <w:i/>
          <w:shd w:val="clear" w:color="auto" w:fill="FFFFFF"/>
        </w:rPr>
        <w:t>Tesco in the UK</w:t>
      </w:r>
      <w:r w:rsidRPr="00B316DC">
        <w:rPr>
          <w:rFonts w:asciiTheme="minorHAnsi" w:hAnsiTheme="minorHAnsi" w:cstheme="minorHAnsi"/>
          <w:shd w:val="clear" w:color="auto" w:fill="FFFFFF"/>
        </w:rPr>
        <w:t xml:space="preserve">, available at </w:t>
      </w:r>
      <w:hyperlink r:id="rId6" w:history="1">
        <w:r w:rsidRPr="00B316DC">
          <w:rPr>
            <w:rStyle w:val="Hyperlink"/>
            <w:rFonts w:asciiTheme="minorHAnsi" w:hAnsiTheme="minorHAnsi" w:cstheme="minorHAnsi"/>
            <w:color w:val="auto"/>
            <w:shd w:val="clear" w:color="auto" w:fill="FFFFFF"/>
          </w:rPr>
          <w:t>https://www.tescoplc.com/about-us/our-businesses/tesco-uk/tesco-in-the-uk/</w:t>
        </w:r>
      </w:hyperlink>
      <w:r w:rsidRPr="00B316DC">
        <w:rPr>
          <w:rFonts w:asciiTheme="minorHAnsi" w:hAnsiTheme="minorHAnsi" w:cstheme="minorHAnsi"/>
          <w:shd w:val="clear" w:color="auto" w:fill="FFFFFF"/>
        </w:rPr>
        <w:t xml:space="preserve"> (Accessed: 05 December 2020).</w:t>
      </w:r>
    </w:p>
    <w:p w:rsidR="00AF176E" w:rsidRPr="00B316DC" w:rsidRDefault="00AF176E">
      <w:pPr>
        <w:pStyle w:val="FootnoteText"/>
        <w:rPr>
          <w:rFonts w:asciiTheme="minorHAnsi" w:hAnsiTheme="minorHAnsi" w:cstheme="minorHAnsi"/>
        </w:rPr>
      </w:pPr>
    </w:p>
  </w:footnote>
  <w:footnote w:id="12">
    <w:p w:rsidR="00AF176E" w:rsidRPr="00B316DC" w:rsidRDefault="00AF176E">
      <w:pPr>
        <w:pStyle w:val="FootnoteText"/>
        <w:rPr>
          <w:rFonts w:asciiTheme="minorHAnsi" w:hAnsiTheme="minorHAnsi" w:cstheme="minorHAnsi"/>
          <w:shd w:val="clear" w:color="auto" w:fill="FFFFFF"/>
        </w:rPr>
      </w:pPr>
      <w:r w:rsidRPr="00B316DC">
        <w:rPr>
          <w:rStyle w:val="FootnoteReference"/>
          <w:rFonts w:asciiTheme="minorHAnsi" w:hAnsiTheme="minorHAnsi" w:cstheme="minorHAnsi"/>
        </w:rPr>
        <w:footnoteRef/>
      </w:r>
      <w:r w:rsidRPr="00B316DC">
        <w:rPr>
          <w:rFonts w:asciiTheme="minorHAnsi" w:hAnsiTheme="minorHAnsi" w:cstheme="minorHAnsi"/>
        </w:rPr>
        <w:t xml:space="preserve"> </w:t>
      </w:r>
      <w:r w:rsidRPr="00B316DC">
        <w:rPr>
          <w:rFonts w:asciiTheme="minorHAnsi" w:hAnsiTheme="minorHAnsi" w:cstheme="minorHAnsi"/>
          <w:shd w:val="clear" w:color="auto" w:fill="FFFFFF"/>
        </w:rPr>
        <w:t xml:space="preserve">Tesco plc. (2019). </w:t>
      </w:r>
      <w:r w:rsidRPr="00B316DC">
        <w:rPr>
          <w:rFonts w:asciiTheme="minorHAnsi" w:hAnsiTheme="minorHAnsi" w:cstheme="minorHAnsi"/>
          <w:i/>
          <w:shd w:val="clear" w:color="auto" w:fill="FFFFFF"/>
        </w:rPr>
        <w:t>Core Purpose and Values</w:t>
      </w:r>
      <w:r w:rsidRPr="00B316DC">
        <w:rPr>
          <w:rFonts w:asciiTheme="minorHAnsi" w:hAnsiTheme="minorHAnsi" w:cstheme="minorHAnsi"/>
          <w:shd w:val="clear" w:color="auto" w:fill="FFFFFF"/>
        </w:rPr>
        <w:t xml:space="preserve">, available at </w:t>
      </w:r>
      <w:hyperlink r:id="rId7" w:history="1">
        <w:r w:rsidRPr="00B316DC">
          <w:rPr>
            <w:rStyle w:val="Hyperlink"/>
            <w:rFonts w:asciiTheme="minorHAnsi" w:hAnsiTheme="minorHAnsi" w:cstheme="minorHAnsi"/>
            <w:color w:val="auto"/>
            <w:shd w:val="clear" w:color="auto" w:fill="FFFFFF"/>
          </w:rPr>
          <w:t>https://www.tescoplc.com/about-us/core-purpose-and-values/</w:t>
        </w:r>
      </w:hyperlink>
      <w:r w:rsidRPr="00B316DC">
        <w:rPr>
          <w:rFonts w:asciiTheme="minorHAnsi" w:hAnsiTheme="minorHAnsi" w:cstheme="minorHAnsi"/>
          <w:shd w:val="clear" w:color="auto" w:fill="FFFFFF"/>
        </w:rPr>
        <w:t xml:space="preserve"> (Accessed: 05 December 2020).</w:t>
      </w:r>
    </w:p>
    <w:p w:rsidR="00AF176E" w:rsidRPr="00B316DC" w:rsidRDefault="00AF176E">
      <w:pPr>
        <w:pStyle w:val="FootnoteText"/>
        <w:rPr>
          <w:rFonts w:asciiTheme="minorHAnsi" w:hAnsiTheme="minorHAnsi" w:cstheme="minorHAnsi"/>
        </w:rPr>
      </w:pPr>
    </w:p>
  </w:footnote>
  <w:footnote w:id="13">
    <w:p w:rsidR="00AF176E" w:rsidRPr="00B316DC" w:rsidRDefault="00AF176E">
      <w:pPr>
        <w:pStyle w:val="FootnoteText"/>
        <w:rPr>
          <w:rFonts w:asciiTheme="minorHAnsi" w:hAnsiTheme="minorHAnsi" w:cstheme="minorHAnsi"/>
        </w:rPr>
      </w:pPr>
      <w:r w:rsidRPr="00B316DC">
        <w:rPr>
          <w:rStyle w:val="FootnoteReference"/>
          <w:rFonts w:asciiTheme="minorHAnsi" w:hAnsiTheme="minorHAnsi" w:cstheme="minorHAnsi"/>
        </w:rPr>
        <w:footnoteRef/>
      </w:r>
      <w:r w:rsidRPr="00B316DC">
        <w:rPr>
          <w:rFonts w:asciiTheme="minorHAnsi" w:hAnsiTheme="minorHAnsi" w:cstheme="minorHAnsi"/>
        </w:rPr>
        <w:t xml:space="preserve"> </w:t>
      </w:r>
      <w:r w:rsidRPr="00B316DC">
        <w:rPr>
          <w:rFonts w:asciiTheme="minorHAnsi" w:hAnsiTheme="minorHAnsi" w:cstheme="minorHAnsi"/>
          <w:shd w:val="clear" w:color="auto" w:fill="FFFFFF"/>
        </w:rPr>
        <w:t xml:space="preserve">Taormina, R. J., &amp; Gao, J. H. (2013). </w:t>
      </w:r>
      <w:r w:rsidRPr="00B316DC">
        <w:rPr>
          <w:rFonts w:asciiTheme="minorHAnsi" w:hAnsiTheme="minorHAnsi" w:cstheme="minorHAnsi"/>
          <w:i/>
          <w:shd w:val="clear" w:color="auto" w:fill="FFFFFF"/>
        </w:rPr>
        <w:t>Maslow and the motivation hierarchy: Measuring satisfaction of the needs</w:t>
      </w:r>
      <w:r w:rsidRPr="00B316DC">
        <w:rPr>
          <w:rFonts w:asciiTheme="minorHAnsi" w:hAnsiTheme="minorHAnsi" w:cstheme="minorHAnsi"/>
          <w:shd w:val="clear" w:color="auto" w:fill="FFFFFF"/>
        </w:rPr>
        <w:t xml:space="preserve">. </w:t>
      </w:r>
      <w:r w:rsidRPr="00B316DC">
        <w:rPr>
          <w:rFonts w:asciiTheme="minorHAnsi" w:hAnsiTheme="minorHAnsi" w:cstheme="minorHAnsi"/>
          <w:i/>
          <w:shd w:val="clear" w:color="auto" w:fill="FFFFFF"/>
        </w:rPr>
        <w:t>The American journal of psychology</w:t>
      </w:r>
      <w:r w:rsidRPr="00B316DC">
        <w:rPr>
          <w:rFonts w:asciiTheme="minorHAnsi" w:hAnsiTheme="minorHAnsi" w:cstheme="minorHAnsi"/>
          <w:shd w:val="clear" w:color="auto" w:fill="FFFFFF"/>
        </w:rPr>
        <w:t>, pp.126, 155-177.</w:t>
      </w:r>
    </w:p>
  </w:footnote>
  <w:footnote w:id="14">
    <w:p w:rsidR="00AF176E" w:rsidRPr="00B316DC" w:rsidRDefault="00AF176E" w:rsidP="006F1713">
      <w:pPr>
        <w:pStyle w:val="Heading1"/>
        <w:shd w:val="clear" w:color="auto" w:fill="FFFFFF"/>
        <w:spacing w:before="171" w:beforeAutospacing="0" w:after="171" w:afterAutospacing="0"/>
        <w:rPr>
          <w:rFonts w:asciiTheme="minorHAnsi" w:hAnsiTheme="minorHAnsi" w:cstheme="minorHAnsi"/>
          <w:b w:val="0"/>
          <w:sz w:val="20"/>
          <w:szCs w:val="20"/>
        </w:rPr>
      </w:pPr>
      <w:r w:rsidRPr="00B316DC">
        <w:rPr>
          <w:rStyle w:val="FootnoteReference"/>
          <w:rFonts w:asciiTheme="minorHAnsi" w:hAnsiTheme="minorHAnsi" w:cstheme="minorHAnsi"/>
          <w:b w:val="0"/>
          <w:sz w:val="20"/>
          <w:szCs w:val="20"/>
        </w:rPr>
        <w:footnoteRef/>
      </w:r>
      <w:r w:rsidRPr="00B316DC">
        <w:rPr>
          <w:rFonts w:asciiTheme="minorHAnsi" w:hAnsiTheme="minorHAnsi" w:cstheme="minorHAnsi"/>
          <w:b w:val="0"/>
          <w:sz w:val="20"/>
          <w:szCs w:val="20"/>
        </w:rPr>
        <w:t xml:space="preserve"> Moth, D. (2013) </w:t>
      </w:r>
      <w:r w:rsidRPr="00B316DC">
        <w:rPr>
          <w:rFonts w:asciiTheme="minorHAnsi" w:hAnsiTheme="minorHAnsi" w:cstheme="minorHAnsi"/>
          <w:b w:val="0"/>
          <w:i/>
          <w:sz w:val="20"/>
          <w:szCs w:val="20"/>
        </w:rPr>
        <w:t>How Tesco uses Facebook, Twitter, Pinterest and Google+</w:t>
      </w:r>
      <w:r w:rsidRPr="00B316DC">
        <w:rPr>
          <w:rFonts w:asciiTheme="minorHAnsi" w:hAnsiTheme="minorHAnsi" w:cstheme="minorHAnsi"/>
          <w:b w:val="0"/>
          <w:sz w:val="20"/>
          <w:szCs w:val="20"/>
        </w:rPr>
        <w:t xml:space="preserve">, available at: </w:t>
      </w:r>
      <w:hyperlink r:id="rId8" w:history="1">
        <w:r w:rsidRPr="00B316DC">
          <w:rPr>
            <w:rStyle w:val="Hyperlink"/>
            <w:rFonts w:asciiTheme="minorHAnsi" w:hAnsiTheme="minorHAnsi" w:cstheme="minorHAnsi"/>
            <w:b w:val="0"/>
            <w:color w:val="auto"/>
            <w:sz w:val="20"/>
            <w:szCs w:val="20"/>
          </w:rPr>
          <w:t>https://econsultancy.com/how-tesco-uses-facebook-twitter-pinterest-and-google/</w:t>
        </w:r>
      </w:hyperlink>
      <w:r w:rsidRPr="00B316DC">
        <w:rPr>
          <w:rFonts w:asciiTheme="minorHAnsi" w:hAnsiTheme="minorHAnsi" w:cstheme="minorHAnsi"/>
          <w:b w:val="0"/>
          <w:sz w:val="20"/>
          <w:szCs w:val="20"/>
        </w:rPr>
        <w:t xml:space="preserve"> (Accessed: 08 December 2020).</w:t>
      </w:r>
    </w:p>
  </w:footnote>
  <w:footnote w:id="15">
    <w:p w:rsidR="00AF176E" w:rsidRPr="00B316DC" w:rsidRDefault="00AF176E">
      <w:pPr>
        <w:pStyle w:val="FootnoteText"/>
        <w:rPr>
          <w:rFonts w:asciiTheme="minorHAnsi" w:hAnsiTheme="minorHAnsi" w:cstheme="minorHAnsi"/>
          <w:color w:val="323232"/>
          <w:shd w:val="clear" w:color="auto" w:fill="F5F5F5"/>
        </w:rPr>
      </w:pPr>
      <w:r w:rsidRPr="00B316DC">
        <w:rPr>
          <w:rStyle w:val="FootnoteReference"/>
          <w:rFonts w:asciiTheme="minorHAnsi" w:hAnsiTheme="minorHAnsi" w:cstheme="minorHAnsi"/>
        </w:rPr>
        <w:footnoteRef/>
      </w:r>
      <w:r w:rsidRPr="00B316DC">
        <w:rPr>
          <w:rFonts w:asciiTheme="minorHAnsi" w:hAnsiTheme="minorHAnsi" w:cstheme="minorHAnsi"/>
        </w:rPr>
        <w:t xml:space="preserve"> Rutter, M. (2013) </w:t>
      </w:r>
      <w:r w:rsidRPr="00B316DC">
        <w:rPr>
          <w:rFonts w:asciiTheme="minorHAnsi" w:hAnsiTheme="minorHAnsi" w:cstheme="minorHAnsi"/>
          <w:i/>
          <w:color w:val="323232"/>
          <w:shd w:val="clear" w:color="auto" w:fill="F5F5F5"/>
        </w:rPr>
        <w:t>Journal of Child Psychology and Psychiatry</w:t>
      </w:r>
      <w:r w:rsidRPr="00B316DC">
        <w:rPr>
          <w:rFonts w:asciiTheme="minorHAnsi" w:hAnsiTheme="minorHAnsi" w:cstheme="minorHAnsi"/>
          <w:color w:val="323232"/>
          <w:shd w:val="clear" w:color="auto" w:fill="F5F5F5"/>
        </w:rPr>
        <w:t>, pp. 474-487</w:t>
      </w:r>
    </w:p>
    <w:p w:rsidR="00AF176E" w:rsidRPr="00B316DC" w:rsidRDefault="00AF176E">
      <w:pPr>
        <w:pStyle w:val="FootnoteText"/>
        <w:rPr>
          <w:rFonts w:asciiTheme="minorHAnsi" w:hAnsiTheme="minorHAnsi" w:cstheme="minorHAnsi"/>
        </w:rPr>
      </w:pPr>
    </w:p>
  </w:footnote>
  <w:footnote w:id="16">
    <w:p w:rsidR="00AF176E" w:rsidRPr="00B316DC" w:rsidRDefault="00AF176E" w:rsidP="003B51DC">
      <w:pPr>
        <w:shd w:val="clear" w:color="auto" w:fill="F5F5F5"/>
        <w:rPr>
          <w:rFonts w:asciiTheme="minorHAnsi" w:hAnsiTheme="minorHAnsi" w:cstheme="minorHAnsi"/>
          <w:i/>
          <w:color w:val="323232"/>
        </w:rPr>
      </w:pPr>
      <w:r w:rsidRPr="00B316DC">
        <w:rPr>
          <w:rStyle w:val="FootnoteReference"/>
          <w:rFonts w:asciiTheme="minorHAnsi" w:hAnsiTheme="minorHAnsi" w:cstheme="minorHAnsi"/>
        </w:rPr>
        <w:footnoteRef/>
      </w:r>
      <w:r w:rsidRPr="00B316DC">
        <w:rPr>
          <w:rFonts w:asciiTheme="minorHAnsi" w:hAnsiTheme="minorHAnsi" w:cstheme="minorHAnsi"/>
        </w:rPr>
        <w:t xml:space="preserve"> </w:t>
      </w:r>
      <w:r w:rsidRPr="00B316DC">
        <w:rPr>
          <w:rFonts w:asciiTheme="minorHAnsi" w:hAnsiTheme="minorHAnsi" w:cstheme="minorHAnsi"/>
          <w:color w:val="323232"/>
        </w:rPr>
        <w:t xml:space="preserve">Bowes, L. and Jaffee, S. (2013) </w:t>
      </w:r>
      <w:r w:rsidRPr="00B316DC">
        <w:rPr>
          <w:rFonts w:asciiTheme="minorHAnsi" w:hAnsiTheme="minorHAnsi" w:cstheme="minorHAnsi"/>
          <w:b/>
          <w:bCs/>
          <w:i/>
          <w:color w:val="323232"/>
        </w:rPr>
        <w:t>Biology, genes, and resilience: Toward a multidisciplinary approach</w:t>
      </w:r>
    </w:p>
    <w:p w:rsidR="00AF176E" w:rsidRPr="003B51DC" w:rsidRDefault="00AF176E" w:rsidP="003B51DC">
      <w:pPr>
        <w:shd w:val="clear" w:color="auto" w:fill="F5F5F5"/>
        <w:rPr>
          <w:rFonts w:asciiTheme="minorHAnsi" w:hAnsiTheme="minorHAnsi" w:cstheme="minorHAnsi"/>
          <w:color w:val="323232"/>
        </w:rPr>
      </w:pPr>
      <w:r w:rsidRPr="003B51DC">
        <w:rPr>
          <w:rFonts w:asciiTheme="minorHAnsi" w:hAnsiTheme="minorHAnsi" w:cstheme="minorHAnsi"/>
          <w:i/>
          <w:color w:val="323232"/>
        </w:rPr>
        <w:t xml:space="preserve">Trauma, </w:t>
      </w:r>
      <w:r w:rsidRPr="00B316DC">
        <w:rPr>
          <w:rFonts w:asciiTheme="minorHAnsi" w:hAnsiTheme="minorHAnsi" w:cstheme="minorHAnsi"/>
          <w:i/>
          <w:color w:val="323232"/>
        </w:rPr>
        <w:t>Violence, &amp; Abuse</w:t>
      </w:r>
      <w:r w:rsidRPr="003B51DC">
        <w:rPr>
          <w:rFonts w:asciiTheme="minorHAnsi" w:hAnsiTheme="minorHAnsi" w:cstheme="minorHAnsi"/>
          <w:color w:val="323232"/>
        </w:rPr>
        <w:t>, pp. 195-208</w:t>
      </w:r>
    </w:p>
    <w:p w:rsidR="00AF176E" w:rsidRPr="00B316DC" w:rsidRDefault="00AF176E">
      <w:pPr>
        <w:pStyle w:val="FootnoteText"/>
        <w:rPr>
          <w:rFonts w:asciiTheme="minorHAnsi" w:hAnsiTheme="minorHAnsi" w:cstheme="minorHAnsi"/>
        </w:rPr>
      </w:pPr>
    </w:p>
  </w:footnote>
  <w:footnote w:id="17">
    <w:p w:rsidR="00AF176E" w:rsidRPr="00B316DC" w:rsidRDefault="00AF176E" w:rsidP="003B51DC">
      <w:pPr>
        <w:shd w:val="clear" w:color="auto" w:fill="F5F5F5"/>
        <w:rPr>
          <w:rFonts w:asciiTheme="minorHAnsi" w:hAnsiTheme="minorHAnsi" w:cstheme="minorHAnsi"/>
          <w:i/>
          <w:color w:val="323232"/>
        </w:rPr>
      </w:pPr>
      <w:r w:rsidRPr="00B316DC">
        <w:rPr>
          <w:rStyle w:val="FootnoteReference"/>
          <w:rFonts w:asciiTheme="minorHAnsi" w:hAnsiTheme="minorHAnsi" w:cstheme="minorHAnsi"/>
        </w:rPr>
        <w:footnoteRef/>
      </w:r>
      <w:r w:rsidRPr="00B316DC">
        <w:rPr>
          <w:rFonts w:asciiTheme="minorHAnsi" w:hAnsiTheme="minorHAnsi" w:cstheme="minorHAnsi"/>
        </w:rPr>
        <w:t xml:space="preserve"> </w:t>
      </w:r>
      <w:r w:rsidRPr="00B316DC">
        <w:rPr>
          <w:rFonts w:asciiTheme="minorHAnsi" w:hAnsiTheme="minorHAnsi" w:cstheme="minorHAnsi"/>
          <w:color w:val="323232"/>
        </w:rPr>
        <w:t xml:space="preserve">Sapienza, J. and Masten, A. (2011) </w:t>
      </w:r>
      <w:r w:rsidRPr="00B316DC">
        <w:rPr>
          <w:rFonts w:asciiTheme="minorHAnsi" w:hAnsiTheme="minorHAnsi" w:cstheme="minorHAnsi"/>
          <w:b/>
          <w:bCs/>
          <w:i/>
          <w:color w:val="323232"/>
        </w:rPr>
        <w:t>Understanding and promoting resilience in children and youth</w:t>
      </w:r>
    </w:p>
    <w:p w:rsidR="00AF176E" w:rsidRPr="003B51DC" w:rsidRDefault="00AF176E" w:rsidP="003B51DC">
      <w:pPr>
        <w:shd w:val="clear" w:color="auto" w:fill="F5F5F5"/>
        <w:rPr>
          <w:rFonts w:asciiTheme="minorHAnsi" w:hAnsiTheme="minorHAnsi" w:cstheme="minorHAnsi"/>
          <w:color w:val="323232"/>
        </w:rPr>
      </w:pPr>
      <w:r w:rsidRPr="003B51DC">
        <w:rPr>
          <w:rFonts w:asciiTheme="minorHAnsi" w:hAnsiTheme="minorHAnsi" w:cstheme="minorHAnsi"/>
          <w:i/>
          <w:color w:val="323232"/>
        </w:rPr>
        <w:t xml:space="preserve">Current Opinion in </w:t>
      </w:r>
      <w:r w:rsidRPr="00B316DC">
        <w:rPr>
          <w:rFonts w:asciiTheme="minorHAnsi" w:hAnsiTheme="minorHAnsi" w:cstheme="minorHAnsi"/>
          <w:i/>
          <w:color w:val="323232"/>
        </w:rPr>
        <w:t>Psychiatry</w:t>
      </w:r>
      <w:r w:rsidRPr="003B51DC">
        <w:rPr>
          <w:rFonts w:asciiTheme="minorHAnsi" w:hAnsiTheme="minorHAnsi" w:cstheme="minorHAnsi"/>
          <w:color w:val="323232"/>
        </w:rPr>
        <w:t>, pp. 267-273</w:t>
      </w:r>
    </w:p>
    <w:p w:rsidR="00AF176E" w:rsidRPr="00B316DC" w:rsidRDefault="00AF176E">
      <w:pPr>
        <w:pStyle w:val="FootnoteText"/>
        <w:rPr>
          <w:rFonts w:asciiTheme="minorHAnsi" w:hAnsiTheme="minorHAnsi" w:cstheme="minorHAnsi"/>
        </w:rPr>
      </w:pPr>
    </w:p>
  </w:footnote>
  <w:footnote w:id="18">
    <w:p w:rsidR="00AF176E" w:rsidRPr="00B316DC" w:rsidRDefault="00AF176E" w:rsidP="003B51DC">
      <w:pPr>
        <w:shd w:val="clear" w:color="auto" w:fill="F5F5F5"/>
        <w:rPr>
          <w:rFonts w:asciiTheme="minorHAnsi" w:hAnsiTheme="minorHAnsi" w:cstheme="minorHAnsi"/>
          <w:i/>
          <w:color w:val="323232"/>
        </w:rPr>
      </w:pPr>
      <w:r w:rsidRPr="00B316DC">
        <w:rPr>
          <w:rStyle w:val="FootnoteReference"/>
          <w:rFonts w:asciiTheme="minorHAnsi" w:hAnsiTheme="minorHAnsi" w:cstheme="minorHAnsi"/>
        </w:rPr>
        <w:footnoteRef/>
      </w:r>
      <w:r w:rsidRPr="00B316DC">
        <w:rPr>
          <w:rFonts w:asciiTheme="minorHAnsi" w:hAnsiTheme="minorHAnsi" w:cstheme="minorHAnsi"/>
        </w:rPr>
        <w:t xml:space="preserve"> </w:t>
      </w:r>
      <w:r w:rsidRPr="00B316DC">
        <w:rPr>
          <w:rFonts w:asciiTheme="minorHAnsi" w:hAnsiTheme="minorHAnsi" w:cstheme="minorHAnsi"/>
          <w:color w:val="323232"/>
        </w:rPr>
        <w:t xml:space="preserve">Greenberg, M. (2006) </w:t>
      </w:r>
      <w:r w:rsidRPr="00B316DC">
        <w:rPr>
          <w:rFonts w:asciiTheme="minorHAnsi" w:hAnsiTheme="minorHAnsi" w:cstheme="minorHAnsi"/>
          <w:b/>
          <w:bCs/>
          <w:i/>
          <w:color w:val="323232"/>
        </w:rPr>
        <w:t>Promoting resilience in children and youth: Preventive interventions and their interface with neuroscience</w:t>
      </w:r>
    </w:p>
    <w:p w:rsidR="00AF176E" w:rsidRPr="003B51DC" w:rsidRDefault="00AF176E" w:rsidP="003B51DC">
      <w:pPr>
        <w:shd w:val="clear" w:color="auto" w:fill="F5F5F5"/>
        <w:rPr>
          <w:rFonts w:asciiTheme="minorHAnsi" w:hAnsiTheme="minorHAnsi" w:cstheme="minorHAnsi"/>
          <w:color w:val="323232"/>
        </w:rPr>
      </w:pPr>
      <w:r w:rsidRPr="003B51DC">
        <w:rPr>
          <w:rFonts w:asciiTheme="minorHAnsi" w:hAnsiTheme="minorHAnsi" w:cstheme="minorHAnsi"/>
          <w:i/>
          <w:color w:val="323232"/>
        </w:rPr>
        <w:t xml:space="preserve">Annals of New York </w:t>
      </w:r>
      <w:r w:rsidRPr="00B316DC">
        <w:rPr>
          <w:rFonts w:asciiTheme="minorHAnsi" w:hAnsiTheme="minorHAnsi" w:cstheme="minorHAnsi"/>
          <w:i/>
          <w:color w:val="323232"/>
        </w:rPr>
        <w:t>Academy of Sciences</w:t>
      </w:r>
      <w:r w:rsidRPr="003B51DC">
        <w:rPr>
          <w:rFonts w:asciiTheme="minorHAnsi" w:hAnsiTheme="minorHAnsi" w:cstheme="minorHAnsi"/>
          <w:color w:val="323232"/>
        </w:rPr>
        <w:t>, pp. 139-150</w:t>
      </w:r>
    </w:p>
    <w:p w:rsidR="00AF176E" w:rsidRPr="00B316DC" w:rsidRDefault="00AF176E">
      <w:pPr>
        <w:pStyle w:val="FootnoteText"/>
        <w:rPr>
          <w:rFonts w:asciiTheme="minorHAnsi" w:hAnsiTheme="minorHAnsi" w:cstheme="minorHAnsi"/>
        </w:rPr>
      </w:pPr>
    </w:p>
  </w:footnote>
  <w:footnote w:id="19">
    <w:p w:rsidR="00AF176E" w:rsidRPr="00B316DC" w:rsidRDefault="00AF176E" w:rsidP="003B51DC">
      <w:pPr>
        <w:pStyle w:val="FootnoteText"/>
        <w:rPr>
          <w:rFonts w:asciiTheme="minorHAnsi" w:hAnsiTheme="minorHAnsi" w:cstheme="minorHAnsi"/>
        </w:rPr>
      </w:pPr>
      <w:r w:rsidRPr="00B316DC">
        <w:rPr>
          <w:rStyle w:val="FootnoteReference"/>
          <w:rFonts w:asciiTheme="minorHAnsi" w:hAnsiTheme="minorHAnsi" w:cstheme="minorHAnsi"/>
        </w:rPr>
        <w:footnoteRef/>
      </w:r>
      <w:r w:rsidRPr="00B316DC">
        <w:rPr>
          <w:rFonts w:asciiTheme="minorHAnsi" w:hAnsiTheme="minorHAnsi" w:cstheme="minorHAnsi"/>
        </w:rPr>
        <w:t xml:space="preserve"> Tesco plc. (2018) </w:t>
      </w:r>
      <w:r w:rsidRPr="00B316DC">
        <w:rPr>
          <w:rFonts w:asciiTheme="minorHAnsi" w:hAnsiTheme="minorHAnsi" w:cstheme="minorHAnsi"/>
          <w:i/>
        </w:rPr>
        <w:t>Our Code of Business Conduct: Resilience</w:t>
      </w:r>
      <w:r w:rsidRPr="00B316DC">
        <w:rPr>
          <w:rFonts w:asciiTheme="minorHAnsi" w:hAnsiTheme="minorHAnsi" w:cstheme="minorHAnsi"/>
        </w:rPr>
        <w:t>, p.11</w:t>
      </w:r>
    </w:p>
    <w:p w:rsidR="00AF176E" w:rsidRPr="00B316DC" w:rsidRDefault="00AF176E" w:rsidP="003B51DC">
      <w:pPr>
        <w:pStyle w:val="FootnoteText"/>
        <w:rPr>
          <w:rFonts w:asciiTheme="minorHAnsi" w:hAnsiTheme="minorHAnsi" w:cstheme="minorHAnsi"/>
        </w:rPr>
      </w:pPr>
    </w:p>
  </w:footnote>
  <w:footnote w:id="20">
    <w:p w:rsidR="00AF176E" w:rsidRPr="00B316DC" w:rsidRDefault="00AF176E">
      <w:pPr>
        <w:pStyle w:val="FootnoteText"/>
        <w:rPr>
          <w:rFonts w:asciiTheme="minorHAnsi" w:hAnsiTheme="minorHAnsi" w:cstheme="minorHAnsi"/>
          <w:color w:val="1C1D1E"/>
          <w:shd w:val="clear" w:color="auto" w:fill="EFEFF0"/>
        </w:rPr>
      </w:pPr>
      <w:r w:rsidRPr="00B316DC">
        <w:rPr>
          <w:rStyle w:val="FootnoteReference"/>
          <w:rFonts w:asciiTheme="minorHAnsi" w:hAnsiTheme="minorHAnsi" w:cstheme="minorHAnsi"/>
        </w:rPr>
        <w:footnoteRef/>
      </w:r>
      <w:r w:rsidRPr="00B316DC">
        <w:rPr>
          <w:rFonts w:asciiTheme="minorHAnsi" w:hAnsiTheme="minorHAnsi" w:cstheme="minorHAnsi"/>
        </w:rPr>
        <w:t xml:space="preserve"> </w:t>
      </w:r>
      <w:r w:rsidRPr="00B316DC">
        <w:rPr>
          <w:rStyle w:val="author"/>
          <w:rFonts w:asciiTheme="minorHAnsi" w:hAnsiTheme="minorHAnsi" w:cstheme="minorHAnsi"/>
          <w:color w:val="1C1D1E"/>
          <w:shd w:val="clear" w:color="auto" w:fill="EFEFF0"/>
        </w:rPr>
        <w:t>Dunham et al.</w:t>
      </w:r>
      <w:r w:rsidRPr="00B316DC">
        <w:rPr>
          <w:rFonts w:asciiTheme="minorHAnsi" w:hAnsiTheme="minorHAnsi" w:cstheme="minorHAnsi"/>
          <w:color w:val="1C1D1E"/>
          <w:shd w:val="clear" w:color="auto" w:fill="EFEFF0"/>
        </w:rPr>
        <w:t> (</w:t>
      </w:r>
      <w:r w:rsidRPr="00B316DC">
        <w:rPr>
          <w:rStyle w:val="pubyear"/>
          <w:rFonts w:asciiTheme="minorHAnsi" w:hAnsiTheme="minorHAnsi" w:cstheme="minorHAnsi"/>
          <w:color w:val="1C1D1E"/>
          <w:shd w:val="clear" w:color="auto" w:fill="EFEFF0"/>
        </w:rPr>
        <w:t>1989</w:t>
      </w:r>
      <w:r w:rsidRPr="00B316DC">
        <w:rPr>
          <w:rFonts w:asciiTheme="minorHAnsi" w:hAnsiTheme="minorHAnsi" w:cstheme="minorHAnsi"/>
          <w:color w:val="1C1D1E"/>
          <w:shd w:val="clear" w:color="auto" w:fill="EFEFF0"/>
        </w:rPr>
        <w:t xml:space="preserve">) </w:t>
      </w:r>
      <w:r w:rsidRPr="00B316DC">
        <w:rPr>
          <w:rStyle w:val="booktitle"/>
          <w:rFonts w:asciiTheme="minorHAnsi" w:hAnsiTheme="minorHAnsi" w:cstheme="minorHAnsi"/>
          <w:i/>
          <w:iCs/>
          <w:color w:val="1C1D1E"/>
          <w:shd w:val="clear" w:color="auto" w:fill="EFEFF0"/>
        </w:rPr>
        <w:t>The development of an attitude toward change instrument</w:t>
      </w:r>
      <w:r w:rsidRPr="00B316DC">
        <w:rPr>
          <w:rFonts w:asciiTheme="minorHAnsi" w:hAnsiTheme="minorHAnsi" w:cstheme="minorHAnsi"/>
          <w:color w:val="1C1D1E"/>
          <w:shd w:val="clear" w:color="auto" w:fill="EFEFF0"/>
        </w:rPr>
        <w:t>. Paper presented at Academy of Management Annual Meeting, Washington, DC.</w:t>
      </w:r>
    </w:p>
    <w:p w:rsidR="00AF176E" w:rsidRPr="00B316DC" w:rsidRDefault="00AF176E">
      <w:pPr>
        <w:pStyle w:val="FootnoteText"/>
        <w:rPr>
          <w:rFonts w:asciiTheme="minorHAnsi" w:hAnsiTheme="minorHAnsi" w:cstheme="minorHAnsi"/>
        </w:rPr>
      </w:pPr>
    </w:p>
  </w:footnote>
  <w:footnote w:id="21">
    <w:p w:rsidR="00AF176E" w:rsidRPr="00B316DC" w:rsidRDefault="00AF176E">
      <w:pPr>
        <w:pStyle w:val="FootnoteText"/>
        <w:rPr>
          <w:rFonts w:asciiTheme="minorHAnsi" w:hAnsiTheme="minorHAnsi" w:cstheme="minorHAnsi"/>
          <w:color w:val="1C1D1E"/>
          <w:shd w:val="clear" w:color="auto" w:fill="EFEFF0"/>
        </w:rPr>
      </w:pPr>
      <w:r w:rsidRPr="00B316DC">
        <w:rPr>
          <w:rStyle w:val="FootnoteReference"/>
          <w:rFonts w:asciiTheme="minorHAnsi" w:hAnsiTheme="minorHAnsi" w:cstheme="minorHAnsi"/>
        </w:rPr>
        <w:footnoteRef/>
      </w:r>
      <w:r w:rsidRPr="00B316DC">
        <w:rPr>
          <w:rFonts w:asciiTheme="minorHAnsi" w:hAnsiTheme="minorHAnsi" w:cstheme="minorHAnsi"/>
        </w:rPr>
        <w:t xml:space="preserve"> </w:t>
      </w:r>
      <w:r w:rsidRPr="00B316DC">
        <w:rPr>
          <w:rStyle w:val="author"/>
          <w:rFonts w:asciiTheme="minorHAnsi" w:hAnsiTheme="minorHAnsi" w:cstheme="minorHAnsi"/>
          <w:color w:val="1C1D1E"/>
          <w:shd w:val="clear" w:color="auto" w:fill="EFEFF0"/>
        </w:rPr>
        <w:t>Oreg, S.</w:t>
      </w:r>
      <w:r w:rsidRPr="00B316DC">
        <w:rPr>
          <w:rFonts w:asciiTheme="minorHAnsi" w:hAnsiTheme="minorHAnsi" w:cstheme="minorHAnsi"/>
          <w:color w:val="1C1D1E"/>
          <w:shd w:val="clear" w:color="auto" w:fill="EFEFF0"/>
        </w:rPr>
        <w:t xml:space="preserve"> et al. (</w:t>
      </w:r>
      <w:r w:rsidRPr="00B316DC">
        <w:rPr>
          <w:rStyle w:val="pubyear"/>
          <w:rFonts w:asciiTheme="minorHAnsi" w:hAnsiTheme="minorHAnsi" w:cstheme="minorHAnsi"/>
          <w:color w:val="1C1D1E"/>
          <w:shd w:val="clear" w:color="auto" w:fill="EFEFF0"/>
        </w:rPr>
        <w:t>2011</w:t>
      </w:r>
      <w:r w:rsidRPr="00B316DC">
        <w:rPr>
          <w:rFonts w:asciiTheme="minorHAnsi" w:hAnsiTheme="minorHAnsi" w:cstheme="minorHAnsi"/>
          <w:color w:val="1C1D1E"/>
          <w:shd w:val="clear" w:color="auto" w:fill="EFEFF0"/>
        </w:rPr>
        <w:t>) </w:t>
      </w:r>
      <w:r w:rsidRPr="00B316DC">
        <w:rPr>
          <w:rStyle w:val="articletitle"/>
          <w:rFonts w:asciiTheme="minorHAnsi" w:hAnsiTheme="minorHAnsi" w:cstheme="minorHAnsi"/>
          <w:i/>
          <w:color w:val="1C1D1E"/>
          <w:shd w:val="clear" w:color="auto" w:fill="EFEFF0"/>
        </w:rPr>
        <w:t>Change recipients’ reactions to organizational change: A 60‐year review of quantitative studies</w:t>
      </w:r>
      <w:r w:rsidRPr="00B316DC">
        <w:rPr>
          <w:rFonts w:asciiTheme="minorHAnsi" w:hAnsiTheme="minorHAnsi" w:cstheme="minorHAnsi"/>
          <w:i/>
          <w:color w:val="1C1D1E"/>
          <w:shd w:val="clear" w:color="auto" w:fill="EFEFF0"/>
        </w:rPr>
        <w:t>.</w:t>
      </w:r>
      <w:r w:rsidRPr="00B316DC">
        <w:rPr>
          <w:rFonts w:asciiTheme="minorHAnsi" w:hAnsiTheme="minorHAnsi" w:cstheme="minorHAnsi"/>
          <w:color w:val="1C1D1E"/>
          <w:shd w:val="clear" w:color="auto" w:fill="EFEFF0"/>
        </w:rPr>
        <w:t> </w:t>
      </w:r>
      <w:r w:rsidRPr="00B316DC">
        <w:rPr>
          <w:rStyle w:val="journaltitle"/>
          <w:rFonts w:asciiTheme="minorHAnsi" w:hAnsiTheme="minorHAnsi" w:cstheme="minorHAnsi"/>
          <w:i/>
          <w:iCs/>
          <w:color w:val="1C1D1E"/>
          <w:shd w:val="clear" w:color="auto" w:fill="EFEFF0"/>
        </w:rPr>
        <w:t>The Journal of Applied Behavioural Science</w:t>
      </w:r>
      <w:r w:rsidRPr="00B316DC">
        <w:rPr>
          <w:rFonts w:asciiTheme="minorHAnsi" w:hAnsiTheme="minorHAnsi" w:cstheme="minorHAnsi"/>
          <w:color w:val="1C1D1E"/>
          <w:shd w:val="clear" w:color="auto" w:fill="EFEFF0"/>
        </w:rPr>
        <w:t>, </w:t>
      </w:r>
      <w:r w:rsidRPr="00B316DC">
        <w:rPr>
          <w:rStyle w:val="vol"/>
          <w:rFonts w:asciiTheme="minorHAnsi" w:hAnsiTheme="minorHAnsi" w:cstheme="minorHAnsi"/>
          <w:b/>
          <w:bCs/>
          <w:color w:val="1C1D1E"/>
          <w:shd w:val="clear" w:color="auto" w:fill="EFEFF0"/>
        </w:rPr>
        <w:t xml:space="preserve">pp. </w:t>
      </w:r>
      <w:r w:rsidRPr="00B316DC">
        <w:rPr>
          <w:rStyle w:val="pagefirst"/>
          <w:rFonts w:asciiTheme="minorHAnsi" w:hAnsiTheme="minorHAnsi" w:cstheme="minorHAnsi"/>
          <w:color w:val="1C1D1E"/>
          <w:shd w:val="clear" w:color="auto" w:fill="EFEFF0"/>
        </w:rPr>
        <w:t>461</w:t>
      </w:r>
      <w:r w:rsidRPr="00B316DC">
        <w:rPr>
          <w:rFonts w:asciiTheme="minorHAnsi" w:hAnsiTheme="minorHAnsi" w:cstheme="minorHAnsi"/>
          <w:color w:val="1C1D1E"/>
          <w:shd w:val="clear" w:color="auto" w:fill="EFEFF0"/>
        </w:rPr>
        <w:t>–</w:t>
      </w:r>
      <w:r w:rsidRPr="00B316DC">
        <w:rPr>
          <w:rStyle w:val="pagelast"/>
          <w:rFonts w:asciiTheme="minorHAnsi" w:hAnsiTheme="minorHAnsi" w:cstheme="minorHAnsi"/>
          <w:color w:val="1C1D1E"/>
          <w:shd w:val="clear" w:color="auto" w:fill="EFEFF0"/>
        </w:rPr>
        <w:t>524</w:t>
      </w:r>
      <w:r w:rsidRPr="00B316DC">
        <w:rPr>
          <w:rFonts w:asciiTheme="minorHAnsi" w:hAnsiTheme="minorHAnsi" w:cstheme="minorHAnsi"/>
          <w:color w:val="1C1D1E"/>
          <w:shd w:val="clear" w:color="auto" w:fill="EFEFF0"/>
        </w:rPr>
        <w:t>.</w:t>
      </w:r>
    </w:p>
    <w:p w:rsidR="00AF176E" w:rsidRPr="00B316DC" w:rsidRDefault="00AF176E">
      <w:pPr>
        <w:pStyle w:val="FootnoteText"/>
        <w:rPr>
          <w:rFonts w:asciiTheme="minorHAnsi" w:hAnsiTheme="minorHAnsi" w:cstheme="minorHAnsi"/>
        </w:rPr>
      </w:pPr>
    </w:p>
  </w:footnote>
  <w:footnote w:id="22">
    <w:p w:rsidR="00AF176E" w:rsidRPr="00B316DC" w:rsidRDefault="00AF176E">
      <w:pPr>
        <w:pStyle w:val="FootnoteText"/>
        <w:rPr>
          <w:rFonts w:asciiTheme="minorHAnsi" w:hAnsiTheme="minorHAnsi" w:cstheme="minorHAnsi"/>
        </w:rPr>
      </w:pPr>
      <w:r w:rsidRPr="00B316DC">
        <w:rPr>
          <w:rStyle w:val="FootnoteReference"/>
          <w:rFonts w:asciiTheme="minorHAnsi" w:hAnsiTheme="minorHAnsi" w:cstheme="minorHAnsi"/>
        </w:rPr>
        <w:footnoteRef/>
      </w:r>
      <w:r w:rsidRPr="00B316DC">
        <w:rPr>
          <w:rFonts w:asciiTheme="minorHAnsi" w:hAnsiTheme="minorHAnsi" w:cstheme="minorHAnsi"/>
        </w:rPr>
        <w:t xml:space="preserve"> CIPD (2020) </w:t>
      </w:r>
      <w:r w:rsidRPr="00B316DC">
        <w:rPr>
          <w:rFonts w:asciiTheme="minorHAnsi" w:hAnsiTheme="minorHAnsi" w:cstheme="minorHAnsi"/>
          <w:i/>
        </w:rPr>
        <w:t>Pay fairness and pay reporting</w:t>
      </w:r>
      <w:r w:rsidRPr="00B316DC">
        <w:rPr>
          <w:rFonts w:asciiTheme="minorHAnsi" w:hAnsiTheme="minorHAnsi" w:cstheme="minorHAnsi"/>
        </w:rPr>
        <w:t xml:space="preserve">, available at:  </w:t>
      </w:r>
      <w:hyperlink r:id="rId9" w:history="1">
        <w:r w:rsidRPr="00B316DC">
          <w:rPr>
            <w:rStyle w:val="Hyperlink"/>
            <w:rFonts w:asciiTheme="minorHAnsi" w:hAnsiTheme="minorHAnsi" w:cstheme="minorHAnsi"/>
            <w:color w:val="auto"/>
          </w:rPr>
          <w:t>https://www.cipd.co.uk/knowledge/strategy/reward/pay-fairness-reporting-factsheet</w:t>
        </w:r>
      </w:hyperlink>
      <w:r w:rsidRPr="00B316DC">
        <w:rPr>
          <w:rFonts w:asciiTheme="minorHAnsi" w:hAnsiTheme="minorHAnsi" w:cstheme="minorHAnsi"/>
        </w:rPr>
        <w:t xml:space="preserve"> (Accessed: 07 December 2020).</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142E9"/>
    <w:multiLevelType w:val="hybridMultilevel"/>
    <w:tmpl w:val="2F6477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F85542"/>
    <w:multiLevelType w:val="multilevel"/>
    <w:tmpl w:val="09708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1F86039"/>
    <w:multiLevelType w:val="multilevel"/>
    <w:tmpl w:val="6C9C3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6AF4965"/>
    <w:multiLevelType w:val="hybridMultilevel"/>
    <w:tmpl w:val="84DEDE94"/>
    <w:lvl w:ilvl="0" w:tplc="EB2C7C0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58B5BDC"/>
    <w:multiLevelType w:val="hybridMultilevel"/>
    <w:tmpl w:val="BF3A8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A2429D5"/>
    <w:multiLevelType w:val="hybridMultilevel"/>
    <w:tmpl w:val="B9929C4A"/>
    <w:lvl w:ilvl="0" w:tplc="4144216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1FB0A9D"/>
    <w:multiLevelType w:val="hybridMultilevel"/>
    <w:tmpl w:val="096E1510"/>
    <w:lvl w:ilvl="0" w:tplc="2B3C27AA">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6"/>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20"/>
  <w:characterSpacingControl w:val="doNotCompress"/>
  <w:footnotePr>
    <w:footnote w:id="0"/>
    <w:footnote w:id="1"/>
  </w:footnotePr>
  <w:endnotePr>
    <w:endnote w:id="0"/>
    <w:endnote w:id="1"/>
  </w:endnotePr>
  <w:compat/>
  <w:rsids>
    <w:rsidRoot w:val="008176EA"/>
    <w:rsid w:val="00005431"/>
    <w:rsid w:val="0004307F"/>
    <w:rsid w:val="000566F0"/>
    <w:rsid w:val="00070098"/>
    <w:rsid w:val="00071507"/>
    <w:rsid w:val="000C0FDA"/>
    <w:rsid w:val="000E0B0E"/>
    <w:rsid w:val="00103A92"/>
    <w:rsid w:val="00115A0E"/>
    <w:rsid w:val="00145D3A"/>
    <w:rsid w:val="001B505B"/>
    <w:rsid w:val="00203D10"/>
    <w:rsid w:val="0021082B"/>
    <w:rsid w:val="00215F1A"/>
    <w:rsid w:val="00230196"/>
    <w:rsid w:val="00230E4D"/>
    <w:rsid w:val="002412B1"/>
    <w:rsid w:val="0026080C"/>
    <w:rsid w:val="00283B6A"/>
    <w:rsid w:val="002C05AF"/>
    <w:rsid w:val="00375F78"/>
    <w:rsid w:val="00382590"/>
    <w:rsid w:val="003B51DC"/>
    <w:rsid w:val="003F1CA2"/>
    <w:rsid w:val="0046225E"/>
    <w:rsid w:val="00464602"/>
    <w:rsid w:val="00476DF8"/>
    <w:rsid w:val="00491702"/>
    <w:rsid w:val="005502FD"/>
    <w:rsid w:val="00587E28"/>
    <w:rsid w:val="005C6A48"/>
    <w:rsid w:val="005E36F5"/>
    <w:rsid w:val="005E518D"/>
    <w:rsid w:val="005F42E9"/>
    <w:rsid w:val="006700B1"/>
    <w:rsid w:val="00675FFB"/>
    <w:rsid w:val="00683C40"/>
    <w:rsid w:val="006B74C0"/>
    <w:rsid w:val="006C3073"/>
    <w:rsid w:val="006F1713"/>
    <w:rsid w:val="007346DD"/>
    <w:rsid w:val="00756A10"/>
    <w:rsid w:val="00774D5C"/>
    <w:rsid w:val="007D77E1"/>
    <w:rsid w:val="008112B7"/>
    <w:rsid w:val="008176EA"/>
    <w:rsid w:val="0081779D"/>
    <w:rsid w:val="00851331"/>
    <w:rsid w:val="00861360"/>
    <w:rsid w:val="00881A46"/>
    <w:rsid w:val="00883FB5"/>
    <w:rsid w:val="00921BDB"/>
    <w:rsid w:val="009A5DAE"/>
    <w:rsid w:val="009E5C8C"/>
    <w:rsid w:val="00A1216B"/>
    <w:rsid w:val="00A32BCF"/>
    <w:rsid w:val="00AC3A0E"/>
    <w:rsid w:val="00AC5219"/>
    <w:rsid w:val="00AC66A3"/>
    <w:rsid w:val="00AE6273"/>
    <w:rsid w:val="00AF176E"/>
    <w:rsid w:val="00B2417B"/>
    <w:rsid w:val="00B316DC"/>
    <w:rsid w:val="00B45DFE"/>
    <w:rsid w:val="00B74DD2"/>
    <w:rsid w:val="00BD79FB"/>
    <w:rsid w:val="00C1407E"/>
    <w:rsid w:val="00CB3A84"/>
    <w:rsid w:val="00CD12A0"/>
    <w:rsid w:val="00D53613"/>
    <w:rsid w:val="00DC61ED"/>
    <w:rsid w:val="00E07922"/>
    <w:rsid w:val="00E14033"/>
    <w:rsid w:val="00E24985"/>
    <w:rsid w:val="00E37DBF"/>
    <w:rsid w:val="00E43893"/>
    <w:rsid w:val="00E90304"/>
    <w:rsid w:val="00EC33BE"/>
    <w:rsid w:val="00F1391F"/>
    <w:rsid w:val="00F54F0A"/>
    <w:rsid w:val="00F552E3"/>
    <w:rsid w:val="00F55838"/>
    <w:rsid w:val="00F82004"/>
    <w:rsid w:val="00FB4211"/>
    <w:rsid w:val="00FC5101"/>
    <w:rsid w:val="00FE1404"/>
    <w:rsid w:val="00FE695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6EA"/>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6F171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B3A84"/>
    <w:pPr>
      <w:spacing w:before="100" w:beforeAutospacing="1" w:after="100" w:afterAutospacing="1"/>
    </w:pPr>
    <w:rPr>
      <w:sz w:val="24"/>
      <w:szCs w:val="24"/>
    </w:rPr>
  </w:style>
  <w:style w:type="character" w:styleId="Strong">
    <w:name w:val="Strong"/>
    <w:basedOn w:val="DefaultParagraphFont"/>
    <w:uiPriority w:val="22"/>
    <w:qFormat/>
    <w:rsid w:val="00CB3A84"/>
    <w:rPr>
      <w:b/>
      <w:bCs/>
    </w:rPr>
  </w:style>
  <w:style w:type="paragraph" w:styleId="FootnoteText">
    <w:name w:val="footnote text"/>
    <w:basedOn w:val="Normal"/>
    <w:link w:val="FootnoteTextChar"/>
    <w:uiPriority w:val="99"/>
    <w:semiHidden/>
    <w:unhideWhenUsed/>
    <w:rsid w:val="00CB3A84"/>
  </w:style>
  <w:style w:type="character" w:customStyle="1" w:styleId="FootnoteTextChar">
    <w:name w:val="Footnote Text Char"/>
    <w:basedOn w:val="DefaultParagraphFont"/>
    <w:link w:val="FootnoteText"/>
    <w:uiPriority w:val="99"/>
    <w:semiHidden/>
    <w:rsid w:val="00CB3A84"/>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CB3A84"/>
    <w:rPr>
      <w:vertAlign w:val="superscript"/>
    </w:rPr>
  </w:style>
  <w:style w:type="paragraph" w:customStyle="1" w:styleId="assignmentfont">
    <w:name w:val="assignmentfont"/>
    <w:basedOn w:val="Normal"/>
    <w:rsid w:val="00071507"/>
    <w:pPr>
      <w:spacing w:before="100" w:beforeAutospacing="1" w:after="100" w:afterAutospacing="1"/>
    </w:pPr>
    <w:rPr>
      <w:sz w:val="24"/>
      <w:szCs w:val="24"/>
    </w:rPr>
  </w:style>
  <w:style w:type="character" w:styleId="Hyperlink">
    <w:name w:val="Hyperlink"/>
    <w:basedOn w:val="DefaultParagraphFont"/>
    <w:uiPriority w:val="99"/>
    <w:unhideWhenUsed/>
    <w:rsid w:val="002C05AF"/>
    <w:rPr>
      <w:color w:val="0000FF" w:themeColor="hyperlink"/>
      <w:u w:val="single"/>
    </w:rPr>
  </w:style>
  <w:style w:type="character" w:customStyle="1" w:styleId="Heading1Char">
    <w:name w:val="Heading 1 Char"/>
    <w:basedOn w:val="DefaultParagraphFont"/>
    <w:link w:val="Heading1"/>
    <w:uiPriority w:val="9"/>
    <w:rsid w:val="006F1713"/>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E37DBF"/>
    <w:pPr>
      <w:ind w:left="720"/>
      <w:contextualSpacing/>
    </w:pPr>
  </w:style>
  <w:style w:type="character" w:customStyle="1" w:styleId="author">
    <w:name w:val="author"/>
    <w:basedOn w:val="DefaultParagraphFont"/>
    <w:rsid w:val="00B316DC"/>
  </w:style>
  <w:style w:type="character" w:customStyle="1" w:styleId="pubyear">
    <w:name w:val="pubyear"/>
    <w:basedOn w:val="DefaultParagraphFont"/>
    <w:rsid w:val="00B316DC"/>
  </w:style>
  <w:style w:type="character" w:customStyle="1" w:styleId="booktitle">
    <w:name w:val="booktitle"/>
    <w:basedOn w:val="DefaultParagraphFont"/>
    <w:rsid w:val="00B316DC"/>
  </w:style>
  <w:style w:type="character" w:customStyle="1" w:styleId="articletitle">
    <w:name w:val="articletitle"/>
    <w:basedOn w:val="DefaultParagraphFont"/>
    <w:rsid w:val="00B316DC"/>
  </w:style>
  <w:style w:type="character" w:customStyle="1" w:styleId="journaltitle">
    <w:name w:val="journaltitle"/>
    <w:basedOn w:val="DefaultParagraphFont"/>
    <w:rsid w:val="00B316DC"/>
  </w:style>
  <w:style w:type="character" w:customStyle="1" w:styleId="vol">
    <w:name w:val="vol"/>
    <w:basedOn w:val="DefaultParagraphFont"/>
    <w:rsid w:val="00B316DC"/>
  </w:style>
  <w:style w:type="character" w:customStyle="1" w:styleId="pagefirst">
    <w:name w:val="pagefirst"/>
    <w:basedOn w:val="DefaultParagraphFont"/>
    <w:rsid w:val="00B316DC"/>
  </w:style>
  <w:style w:type="character" w:customStyle="1" w:styleId="pagelast">
    <w:name w:val="pagelast"/>
    <w:basedOn w:val="DefaultParagraphFont"/>
    <w:rsid w:val="00B316DC"/>
  </w:style>
  <w:style w:type="paragraph" w:styleId="Header">
    <w:name w:val="header"/>
    <w:basedOn w:val="Normal"/>
    <w:link w:val="HeaderChar"/>
    <w:uiPriority w:val="99"/>
    <w:semiHidden/>
    <w:unhideWhenUsed/>
    <w:rsid w:val="00881A46"/>
    <w:pPr>
      <w:tabs>
        <w:tab w:val="center" w:pos="4513"/>
        <w:tab w:val="right" w:pos="9026"/>
      </w:tabs>
    </w:pPr>
  </w:style>
  <w:style w:type="character" w:customStyle="1" w:styleId="HeaderChar">
    <w:name w:val="Header Char"/>
    <w:basedOn w:val="DefaultParagraphFont"/>
    <w:link w:val="Header"/>
    <w:uiPriority w:val="99"/>
    <w:semiHidden/>
    <w:rsid w:val="00881A4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881A46"/>
    <w:pPr>
      <w:tabs>
        <w:tab w:val="center" w:pos="4513"/>
        <w:tab w:val="right" w:pos="9026"/>
      </w:tabs>
    </w:pPr>
  </w:style>
  <w:style w:type="character" w:customStyle="1" w:styleId="FooterChar">
    <w:name w:val="Footer Char"/>
    <w:basedOn w:val="DefaultParagraphFont"/>
    <w:link w:val="Footer"/>
    <w:uiPriority w:val="99"/>
    <w:rsid w:val="00881A46"/>
    <w:rPr>
      <w:rFonts w:ascii="Times New Roman" w:eastAsia="Times New Roman" w:hAnsi="Times New Roman" w:cs="Times New Roman"/>
      <w:sz w:val="20"/>
      <w:szCs w:val="20"/>
      <w:lang w:eastAsia="en-GB"/>
    </w:rPr>
  </w:style>
</w:styles>
</file>

<file path=word/webSettings.xml><?xml version="1.0" encoding="utf-8"?>
<w:webSettings xmlns:r="http://schemas.openxmlformats.org/officeDocument/2006/relationships" xmlns:w="http://schemas.openxmlformats.org/wordprocessingml/2006/main">
  <w:divs>
    <w:div w:id="86659650">
      <w:bodyDiv w:val="1"/>
      <w:marLeft w:val="0"/>
      <w:marRight w:val="0"/>
      <w:marTop w:val="0"/>
      <w:marBottom w:val="0"/>
      <w:divBdr>
        <w:top w:val="none" w:sz="0" w:space="0" w:color="auto"/>
        <w:left w:val="none" w:sz="0" w:space="0" w:color="auto"/>
        <w:bottom w:val="none" w:sz="0" w:space="0" w:color="auto"/>
        <w:right w:val="none" w:sz="0" w:space="0" w:color="auto"/>
      </w:divBdr>
    </w:div>
    <w:div w:id="207838540">
      <w:bodyDiv w:val="1"/>
      <w:marLeft w:val="0"/>
      <w:marRight w:val="0"/>
      <w:marTop w:val="0"/>
      <w:marBottom w:val="0"/>
      <w:divBdr>
        <w:top w:val="none" w:sz="0" w:space="0" w:color="auto"/>
        <w:left w:val="none" w:sz="0" w:space="0" w:color="auto"/>
        <w:bottom w:val="none" w:sz="0" w:space="0" w:color="auto"/>
        <w:right w:val="none" w:sz="0" w:space="0" w:color="auto"/>
      </w:divBdr>
    </w:div>
    <w:div w:id="235479328">
      <w:bodyDiv w:val="1"/>
      <w:marLeft w:val="0"/>
      <w:marRight w:val="0"/>
      <w:marTop w:val="0"/>
      <w:marBottom w:val="0"/>
      <w:divBdr>
        <w:top w:val="none" w:sz="0" w:space="0" w:color="auto"/>
        <w:left w:val="none" w:sz="0" w:space="0" w:color="auto"/>
        <w:bottom w:val="none" w:sz="0" w:space="0" w:color="auto"/>
        <w:right w:val="none" w:sz="0" w:space="0" w:color="auto"/>
      </w:divBdr>
      <w:divsChild>
        <w:div w:id="129134456">
          <w:marLeft w:val="0"/>
          <w:marRight w:val="0"/>
          <w:marTop w:val="0"/>
          <w:marBottom w:val="0"/>
          <w:divBdr>
            <w:top w:val="none" w:sz="0" w:space="0" w:color="auto"/>
            <w:left w:val="none" w:sz="0" w:space="0" w:color="auto"/>
            <w:bottom w:val="none" w:sz="0" w:space="0" w:color="auto"/>
            <w:right w:val="none" w:sz="0" w:space="0" w:color="auto"/>
          </w:divBdr>
        </w:div>
        <w:div w:id="1689528336">
          <w:marLeft w:val="0"/>
          <w:marRight w:val="0"/>
          <w:marTop w:val="0"/>
          <w:marBottom w:val="0"/>
          <w:divBdr>
            <w:top w:val="none" w:sz="0" w:space="0" w:color="auto"/>
            <w:left w:val="none" w:sz="0" w:space="0" w:color="auto"/>
            <w:bottom w:val="none" w:sz="0" w:space="0" w:color="auto"/>
            <w:right w:val="none" w:sz="0" w:space="0" w:color="auto"/>
          </w:divBdr>
        </w:div>
      </w:divsChild>
    </w:div>
    <w:div w:id="282613129">
      <w:bodyDiv w:val="1"/>
      <w:marLeft w:val="0"/>
      <w:marRight w:val="0"/>
      <w:marTop w:val="0"/>
      <w:marBottom w:val="0"/>
      <w:divBdr>
        <w:top w:val="none" w:sz="0" w:space="0" w:color="auto"/>
        <w:left w:val="none" w:sz="0" w:space="0" w:color="auto"/>
        <w:bottom w:val="none" w:sz="0" w:space="0" w:color="auto"/>
        <w:right w:val="none" w:sz="0" w:space="0" w:color="auto"/>
      </w:divBdr>
      <w:divsChild>
        <w:div w:id="770124278">
          <w:marLeft w:val="0"/>
          <w:marRight w:val="0"/>
          <w:marTop w:val="0"/>
          <w:marBottom w:val="0"/>
          <w:divBdr>
            <w:top w:val="none" w:sz="0" w:space="0" w:color="auto"/>
            <w:left w:val="none" w:sz="0" w:space="0" w:color="auto"/>
            <w:bottom w:val="none" w:sz="0" w:space="0" w:color="auto"/>
            <w:right w:val="none" w:sz="0" w:space="0" w:color="auto"/>
          </w:divBdr>
        </w:div>
        <w:div w:id="1384402626">
          <w:marLeft w:val="0"/>
          <w:marRight w:val="0"/>
          <w:marTop w:val="0"/>
          <w:marBottom w:val="0"/>
          <w:divBdr>
            <w:top w:val="none" w:sz="0" w:space="0" w:color="auto"/>
            <w:left w:val="none" w:sz="0" w:space="0" w:color="auto"/>
            <w:bottom w:val="none" w:sz="0" w:space="0" w:color="auto"/>
            <w:right w:val="none" w:sz="0" w:space="0" w:color="auto"/>
          </w:divBdr>
        </w:div>
      </w:divsChild>
    </w:div>
    <w:div w:id="439839291">
      <w:bodyDiv w:val="1"/>
      <w:marLeft w:val="0"/>
      <w:marRight w:val="0"/>
      <w:marTop w:val="0"/>
      <w:marBottom w:val="0"/>
      <w:divBdr>
        <w:top w:val="none" w:sz="0" w:space="0" w:color="auto"/>
        <w:left w:val="none" w:sz="0" w:space="0" w:color="auto"/>
        <w:bottom w:val="none" w:sz="0" w:space="0" w:color="auto"/>
        <w:right w:val="none" w:sz="0" w:space="0" w:color="auto"/>
      </w:divBdr>
      <w:divsChild>
        <w:div w:id="666327669">
          <w:marLeft w:val="0"/>
          <w:marRight w:val="0"/>
          <w:marTop w:val="0"/>
          <w:marBottom w:val="0"/>
          <w:divBdr>
            <w:top w:val="none" w:sz="0" w:space="0" w:color="auto"/>
            <w:left w:val="none" w:sz="0" w:space="0" w:color="auto"/>
            <w:bottom w:val="none" w:sz="0" w:space="0" w:color="auto"/>
            <w:right w:val="none" w:sz="0" w:space="0" w:color="auto"/>
          </w:divBdr>
        </w:div>
        <w:div w:id="1791434668">
          <w:marLeft w:val="0"/>
          <w:marRight w:val="0"/>
          <w:marTop w:val="0"/>
          <w:marBottom w:val="0"/>
          <w:divBdr>
            <w:top w:val="none" w:sz="0" w:space="0" w:color="auto"/>
            <w:left w:val="none" w:sz="0" w:space="0" w:color="auto"/>
            <w:bottom w:val="none" w:sz="0" w:space="0" w:color="auto"/>
            <w:right w:val="none" w:sz="0" w:space="0" w:color="auto"/>
          </w:divBdr>
        </w:div>
      </w:divsChild>
    </w:div>
    <w:div w:id="453595355">
      <w:bodyDiv w:val="1"/>
      <w:marLeft w:val="0"/>
      <w:marRight w:val="0"/>
      <w:marTop w:val="0"/>
      <w:marBottom w:val="0"/>
      <w:divBdr>
        <w:top w:val="none" w:sz="0" w:space="0" w:color="auto"/>
        <w:left w:val="none" w:sz="0" w:space="0" w:color="auto"/>
        <w:bottom w:val="none" w:sz="0" w:space="0" w:color="auto"/>
        <w:right w:val="none" w:sz="0" w:space="0" w:color="auto"/>
      </w:divBdr>
    </w:div>
    <w:div w:id="576600621">
      <w:bodyDiv w:val="1"/>
      <w:marLeft w:val="0"/>
      <w:marRight w:val="0"/>
      <w:marTop w:val="0"/>
      <w:marBottom w:val="0"/>
      <w:divBdr>
        <w:top w:val="none" w:sz="0" w:space="0" w:color="auto"/>
        <w:left w:val="none" w:sz="0" w:space="0" w:color="auto"/>
        <w:bottom w:val="none" w:sz="0" w:space="0" w:color="auto"/>
        <w:right w:val="none" w:sz="0" w:space="0" w:color="auto"/>
      </w:divBdr>
    </w:div>
    <w:div w:id="637027804">
      <w:bodyDiv w:val="1"/>
      <w:marLeft w:val="0"/>
      <w:marRight w:val="0"/>
      <w:marTop w:val="0"/>
      <w:marBottom w:val="0"/>
      <w:divBdr>
        <w:top w:val="none" w:sz="0" w:space="0" w:color="auto"/>
        <w:left w:val="none" w:sz="0" w:space="0" w:color="auto"/>
        <w:bottom w:val="none" w:sz="0" w:space="0" w:color="auto"/>
        <w:right w:val="none" w:sz="0" w:space="0" w:color="auto"/>
      </w:divBdr>
      <w:divsChild>
        <w:div w:id="1324626382">
          <w:marLeft w:val="0"/>
          <w:marRight w:val="0"/>
          <w:marTop w:val="0"/>
          <w:marBottom w:val="0"/>
          <w:divBdr>
            <w:top w:val="none" w:sz="0" w:space="0" w:color="auto"/>
            <w:left w:val="none" w:sz="0" w:space="0" w:color="auto"/>
            <w:bottom w:val="none" w:sz="0" w:space="0" w:color="auto"/>
            <w:right w:val="none" w:sz="0" w:space="0" w:color="auto"/>
          </w:divBdr>
        </w:div>
        <w:div w:id="1046486349">
          <w:marLeft w:val="0"/>
          <w:marRight w:val="0"/>
          <w:marTop w:val="0"/>
          <w:marBottom w:val="0"/>
          <w:divBdr>
            <w:top w:val="none" w:sz="0" w:space="0" w:color="auto"/>
            <w:left w:val="none" w:sz="0" w:space="0" w:color="auto"/>
            <w:bottom w:val="none" w:sz="0" w:space="0" w:color="auto"/>
            <w:right w:val="none" w:sz="0" w:space="0" w:color="auto"/>
          </w:divBdr>
        </w:div>
      </w:divsChild>
    </w:div>
    <w:div w:id="724059904">
      <w:bodyDiv w:val="1"/>
      <w:marLeft w:val="0"/>
      <w:marRight w:val="0"/>
      <w:marTop w:val="0"/>
      <w:marBottom w:val="0"/>
      <w:divBdr>
        <w:top w:val="none" w:sz="0" w:space="0" w:color="auto"/>
        <w:left w:val="none" w:sz="0" w:space="0" w:color="auto"/>
        <w:bottom w:val="none" w:sz="0" w:space="0" w:color="auto"/>
        <w:right w:val="none" w:sz="0" w:space="0" w:color="auto"/>
      </w:divBdr>
    </w:div>
    <w:div w:id="829256020">
      <w:bodyDiv w:val="1"/>
      <w:marLeft w:val="0"/>
      <w:marRight w:val="0"/>
      <w:marTop w:val="0"/>
      <w:marBottom w:val="0"/>
      <w:divBdr>
        <w:top w:val="none" w:sz="0" w:space="0" w:color="auto"/>
        <w:left w:val="none" w:sz="0" w:space="0" w:color="auto"/>
        <w:bottom w:val="none" w:sz="0" w:space="0" w:color="auto"/>
        <w:right w:val="none" w:sz="0" w:space="0" w:color="auto"/>
      </w:divBdr>
    </w:div>
    <w:div w:id="866023385">
      <w:bodyDiv w:val="1"/>
      <w:marLeft w:val="0"/>
      <w:marRight w:val="0"/>
      <w:marTop w:val="0"/>
      <w:marBottom w:val="0"/>
      <w:divBdr>
        <w:top w:val="none" w:sz="0" w:space="0" w:color="auto"/>
        <w:left w:val="none" w:sz="0" w:space="0" w:color="auto"/>
        <w:bottom w:val="none" w:sz="0" w:space="0" w:color="auto"/>
        <w:right w:val="none" w:sz="0" w:space="0" w:color="auto"/>
      </w:divBdr>
    </w:div>
    <w:div w:id="912542446">
      <w:bodyDiv w:val="1"/>
      <w:marLeft w:val="0"/>
      <w:marRight w:val="0"/>
      <w:marTop w:val="0"/>
      <w:marBottom w:val="0"/>
      <w:divBdr>
        <w:top w:val="none" w:sz="0" w:space="0" w:color="auto"/>
        <w:left w:val="none" w:sz="0" w:space="0" w:color="auto"/>
        <w:bottom w:val="none" w:sz="0" w:space="0" w:color="auto"/>
        <w:right w:val="none" w:sz="0" w:space="0" w:color="auto"/>
      </w:divBdr>
    </w:div>
    <w:div w:id="1177307347">
      <w:bodyDiv w:val="1"/>
      <w:marLeft w:val="0"/>
      <w:marRight w:val="0"/>
      <w:marTop w:val="0"/>
      <w:marBottom w:val="0"/>
      <w:divBdr>
        <w:top w:val="none" w:sz="0" w:space="0" w:color="auto"/>
        <w:left w:val="none" w:sz="0" w:space="0" w:color="auto"/>
        <w:bottom w:val="none" w:sz="0" w:space="0" w:color="auto"/>
        <w:right w:val="none" w:sz="0" w:space="0" w:color="auto"/>
      </w:divBdr>
    </w:div>
    <w:div w:id="1654482910">
      <w:bodyDiv w:val="1"/>
      <w:marLeft w:val="0"/>
      <w:marRight w:val="0"/>
      <w:marTop w:val="0"/>
      <w:marBottom w:val="0"/>
      <w:divBdr>
        <w:top w:val="none" w:sz="0" w:space="0" w:color="auto"/>
        <w:left w:val="none" w:sz="0" w:space="0" w:color="auto"/>
        <w:bottom w:val="none" w:sz="0" w:space="0" w:color="auto"/>
        <w:right w:val="none" w:sz="0" w:space="0" w:color="auto"/>
      </w:divBdr>
    </w:div>
    <w:div w:id="2016372530">
      <w:bodyDiv w:val="1"/>
      <w:marLeft w:val="0"/>
      <w:marRight w:val="0"/>
      <w:marTop w:val="0"/>
      <w:marBottom w:val="0"/>
      <w:divBdr>
        <w:top w:val="none" w:sz="0" w:space="0" w:color="auto"/>
        <w:left w:val="none" w:sz="0" w:space="0" w:color="auto"/>
        <w:bottom w:val="none" w:sz="0" w:space="0" w:color="auto"/>
        <w:right w:val="none" w:sz="0" w:space="0" w:color="auto"/>
      </w:divBdr>
    </w:div>
    <w:div w:id="201969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econsultancy.com/how-tesco-uses-facebook-twitter-pinterest-and-google/" TargetMode="External"/><Relationship Id="rId3" Type="http://schemas.openxmlformats.org/officeDocument/2006/relationships/hyperlink" Target="https://se-report.tescoplc.com/se-report" TargetMode="External"/><Relationship Id="rId7" Type="http://schemas.openxmlformats.org/officeDocument/2006/relationships/hyperlink" Target="https://www.tescoplc.com/about-us/core-purpose-and-values/" TargetMode="External"/><Relationship Id="rId2" Type="http://schemas.openxmlformats.org/officeDocument/2006/relationships/hyperlink" Target="https://www.tescoplc.com/media/476557/tesco_2018_strategic_report.pdf" TargetMode="External"/><Relationship Id="rId1" Type="http://schemas.openxmlformats.org/officeDocument/2006/relationships/hyperlink" Target="https://www.tescoplc.com/media/476557/tesco_2018_strategic_report.pdf" TargetMode="External"/><Relationship Id="rId6" Type="http://schemas.openxmlformats.org/officeDocument/2006/relationships/hyperlink" Target="https://www.tescoplc.com/about-us/our-businesses/tesco-uk/tesco-in-the-uk/" TargetMode="External"/><Relationship Id="rId5" Type="http://schemas.openxmlformats.org/officeDocument/2006/relationships/hyperlink" Target="https://www.tescoplc.com/sustainability/people/inclusion-diversity/" TargetMode="External"/><Relationship Id="rId4" Type="http://schemas.openxmlformats.org/officeDocument/2006/relationships/hyperlink" Target="https://www.hilarispublisher.com/scholarly/behavioral-management-theory-journals-articles-ppts-list-1639.html" TargetMode="External"/><Relationship Id="rId9" Type="http://schemas.openxmlformats.org/officeDocument/2006/relationships/hyperlink" Target="https://www.cipd.co.uk/knowledge/strategy/reward/pay-fairness-reporting-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99A7E-9118-44F4-B029-680A26C5D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4586</TotalTime>
  <Pages>7</Pages>
  <Words>2541</Words>
  <Characters>14490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68</cp:revision>
  <dcterms:created xsi:type="dcterms:W3CDTF">2020-12-10T10:29:00Z</dcterms:created>
  <dcterms:modified xsi:type="dcterms:W3CDTF">2020-12-15T00:24:00Z</dcterms:modified>
</cp:coreProperties>
</file>