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89FC2A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B10D7">
              <w:rPr>
                <w:rFonts w:ascii="Times New Roman" w:hAnsi="Times New Roman" w:cs="Times New Roman"/>
                <w:b/>
                <w:color w:val="auto"/>
                <w:sz w:val="48"/>
              </w:rPr>
              <w:t>Beverley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B6516E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B10D7">
              <w:t xml:space="preserve"> </w:t>
            </w:r>
            <w:r w:rsidR="00DB10D7" w:rsidRPr="00DB10D7">
              <w:rPr>
                <w:rFonts w:ascii="Times New Roman" w:hAnsi="Times New Roman" w:cs="Times New Roman"/>
                <w:b/>
                <w:color w:val="auto"/>
                <w:sz w:val="48"/>
              </w:rPr>
              <w:t>beverleywilliams@carmarthenshire.gov.uk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DA56557" w14:textId="77777777" w:rsidR="00DB10D7" w:rsidRDefault="0085230E" w:rsidP="00DB10D7">
            <w:pPr>
              <w:ind w:right="-957"/>
              <w:rPr>
                <w:rFonts w:ascii="Times New Roman" w:hAnsi="Times New Roman" w:cs="Times New Roman"/>
                <w:b/>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B10D7">
              <w:rPr>
                <w:rFonts w:ascii="Times New Roman" w:hAnsi="Times New Roman" w:cs="Times New Roman"/>
                <w:b/>
                <w:sz w:val="48"/>
              </w:rPr>
              <w:t xml:space="preserve"> </w:t>
            </w:r>
          </w:p>
          <w:p w14:paraId="756DC1D0" w14:textId="28FF8531" w:rsidR="00DB10D7" w:rsidRDefault="00DB10D7" w:rsidP="00DB10D7">
            <w:pPr>
              <w:ind w:right="-957"/>
              <w:rPr>
                <w:rFonts w:ascii="Times New Roman" w:hAnsi="Times New Roman" w:cs="Times New Roman"/>
                <w:b/>
                <w:color w:val="auto"/>
                <w:sz w:val="48"/>
              </w:rPr>
            </w:pPr>
            <w:r>
              <w:rPr>
                <w:rFonts w:ascii="Times New Roman" w:hAnsi="Times New Roman" w:cs="Times New Roman"/>
                <w:b/>
                <w:sz w:val="48"/>
              </w:rPr>
              <w:t>2431552</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E24CBE6" w14:textId="40B8B016" w:rsidR="003C0138" w:rsidRDefault="00153DA1" w:rsidP="00FF7EBB">
            <w:pPr>
              <w:jc w:val="both"/>
              <w:rPr>
                <w:sz w:val="24"/>
                <w:szCs w:val="24"/>
              </w:rPr>
            </w:pPr>
            <w:r w:rsidRPr="00153DA1">
              <w:rPr>
                <w:sz w:val="24"/>
                <w:szCs w:val="24"/>
              </w:rPr>
              <w:t>500 words (+/- 10%: include your actual word count at the end of each section).</w:t>
            </w:r>
          </w:p>
          <w:p w14:paraId="4FF903DF" w14:textId="77777777" w:rsidR="00153DA1" w:rsidRDefault="00153DA1" w:rsidP="00FF7EBB">
            <w:pPr>
              <w:jc w:val="both"/>
              <w:rPr>
                <w:sz w:val="24"/>
                <w:szCs w:val="24"/>
              </w:rPr>
            </w:pPr>
          </w:p>
          <w:p w14:paraId="7043CEC2" w14:textId="073CABCD" w:rsidR="000552AA" w:rsidRDefault="000552AA" w:rsidP="000552AA">
            <w:pPr>
              <w:spacing w:line="360" w:lineRule="auto"/>
              <w:jc w:val="both"/>
              <w:rPr>
                <w:sz w:val="24"/>
                <w:szCs w:val="24"/>
              </w:rPr>
            </w:pPr>
            <w:r w:rsidRPr="000552AA">
              <w:rPr>
                <w:sz w:val="24"/>
                <w:szCs w:val="24"/>
              </w:rPr>
              <w:t xml:space="preserve">As a children’s social worker, I have focused this task on adult safeguarding as an area outside my main practice. Adult safeguarding is enshrined in law in Wales, under the Social Services and Well-being (Wales) Act 2014 </w:t>
            </w:r>
            <w:r w:rsidR="00B97C16" w:rsidRPr="00B97C16">
              <w:rPr>
                <w:sz w:val="24"/>
                <w:szCs w:val="24"/>
              </w:rPr>
              <w:t>(SSWBA 2014, s.7)</w:t>
            </w:r>
            <w:r w:rsidR="00B97C16">
              <w:rPr>
                <w:sz w:val="24"/>
                <w:szCs w:val="24"/>
              </w:rPr>
              <w:t xml:space="preserve">. </w:t>
            </w:r>
            <w:r w:rsidRPr="000552AA">
              <w:rPr>
                <w:sz w:val="24"/>
                <w:szCs w:val="24"/>
              </w:rPr>
              <w:t>This legislation provides local authorities and their partners with a legal framework to protect individuals at risk of abuse or neglect, which is a fundamental responsibility and statutory duty across health, social care, and community services in Wales</w:t>
            </w:r>
            <w:r w:rsidR="003A2E71">
              <w:rPr>
                <w:sz w:val="24"/>
                <w:szCs w:val="24"/>
              </w:rPr>
              <w:t xml:space="preserve"> (SSWBA, 2014, </w:t>
            </w:r>
            <w:r w:rsidR="00B97C16">
              <w:rPr>
                <w:sz w:val="24"/>
                <w:szCs w:val="24"/>
              </w:rPr>
              <w:t>s.</w:t>
            </w:r>
            <w:r w:rsidR="003A2E71">
              <w:rPr>
                <w:sz w:val="24"/>
                <w:szCs w:val="24"/>
              </w:rPr>
              <w:t>128)</w:t>
            </w:r>
            <w:r w:rsidRPr="000552AA">
              <w:rPr>
                <w:sz w:val="24"/>
                <w:szCs w:val="24"/>
              </w:rPr>
              <w:t>.  The SSWBA (2014)</w:t>
            </w:r>
            <w:r w:rsidR="00676493">
              <w:rPr>
                <w:sz w:val="24"/>
                <w:szCs w:val="24"/>
              </w:rPr>
              <w:t xml:space="preserve">, </w:t>
            </w:r>
            <w:r w:rsidR="00B97C16">
              <w:rPr>
                <w:sz w:val="24"/>
                <w:szCs w:val="24"/>
              </w:rPr>
              <w:t>s.</w:t>
            </w:r>
            <w:r w:rsidR="00676493">
              <w:rPr>
                <w:sz w:val="24"/>
                <w:szCs w:val="24"/>
              </w:rPr>
              <w:t>126</w:t>
            </w:r>
            <w:r w:rsidR="00FE6529">
              <w:rPr>
                <w:sz w:val="24"/>
                <w:szCs w:val="24"/>
              </w:rPr>
              <w:t>,</w:t>
            </w:r>
            <w:r w:rsidRPr="000552AA">
              <w:rPr>
                <w:sz w:val="24"/>
                <w:szCs w:val="24"/>
              </w:rPr>
              <w:t xml:space="preserve"> identifies an adult at risk as someone who is experiencing, or could experience, abuse or neglect, and whose care and support needs limit their ability to protect themselves from harm.</w:t>
            </w:r>
          </w:p>
          <w:p w14:paraId="79EF509A" w14:textId="77777777" w:rsidR="005956BE" w:rsidRPr="000552AA" w:rsidRDefault="005956BE" w:rsidP="000552AA">
            <w:pPr>
              <w:spacing w:line="360" w:lineRule="auto"/>
              <w:jc w:val="both"/>
              <w:rPr>
                <w:sz w:val="24"/>
                <w:szCs w:val="24"/>
              </w:rPr>
            </w:pPr>
          </w:p>
          <w:p w14:paraId="745FCDED" w14:textId="24363205" w:rsidR="000552AA" w:rsidRDefault="000552AA" w:rsidP="000552AA">
            <w:pPr>
              <w:spacing w:line="360" w:lineRule="auto"/>
              <w:jc w:val="both"/>
              <w:rPr>
                <w:sz w:val="24"/>
                <w:szCs w:val="24"/>
              </w:rPr>
            </w:pPr>
            <w:r w:rsidRPr="000552AA">
              <w:rPr>
                <w:sz w:val="24"/>
                <w:szCs w:val="24"/>
              </w:rPr>
              <w:t>Safeguarding Wales is the national framework that outlines procedures for protecting children and adults who may be at risk of abuse, harm, or neglect, and it expands on the SSWBA (2014), outlining that ‘at risk’ means that actual abuse or neglect doesn’t need to have happened for support to be offered and advocating early intervention to prevent harm from occurring (</w:t>
            </w:r>
            <w:r w:rsidR="00B97C16">
              <w:rPr>
                <w:sz w:val="24"/>
                <w:szCs w:val="24"/>
              </w:rPr>
              <w:t>S</w:t>
            </w:r>
            <w:r w:rsidRPr="000552AA">
              <w:rPr>
                <w:sz w:val="24"/>
                <w:szCs w:val="24"/>
              </w:rPr>
              <w:t>afeguarding.</w:t>
            </w:r>
            <w:r w:rsidR="00B97C16">
              <w:rPr>
                <w:sz w:val="24"/>
                <w:szCs w:val="24"/>
              </w:rPr>
              <w:t>W</w:t>
            </w:r>
            <w:r w:rsidRPr="000552AA">
              <w:rPr>
                <w:sz w:val="24"/>
                <w:szCs w:val="24"/>
              </w:rPr>
              <w:t xml:space="preserve">ales, n.d.). It sets out consistent processes for recognising, reporting, and responding to concerns and acknowledges that harm may occur suddenly or develop gradually, highlighting the need for practitioners to consider both immediate concerns and broader patterns when assessing risk. The SSWBA (2014) requires agencies to work together through Regional Safeguarding Boards, creating a joined-up system of protection </w:t>
            </w:r>
            <w:r w:rsidRPr="000552AA">
              <w:rPr>
                <w:sz w:val="24"/>
                <w:szCs w:val="24"/>
              </w:rPr>
              <w:lastRenderedPageBreak/>
              <w:t>(Legislation.gov.uk, 2015). The Boards ensure that local authorities, health boards, police, and voluntary services implement the Wales Safeguarding Procedures (2023). These procedures are supported by statutory guidance such as Working Together to Safeguard People (Welsh Government, 2018), which clarifies roles and responsibilities across agencies. Oversight is provided by the National Independent Safeguarding Board, which monitors safeguarding activity and advises Welsh Ministers (Safeguarding Board Wales, n.d.). These frameworks create consistency across Wales and ensure safeguarding adults is not left</w:t>
            </w:r>
            <w:r w:rsidR="004C03EB">
              <w:rPr>
                <w:sz w:val="24"/>
                <w:szCs w:val="24"/>
              </w:rPr>
              <w:t xml:space="preserve"> open</w:t>
            </w:r>
            <w:r w:rsidRPr="000552AA">
              <w:rPr>
                <w:sz w:val="24"/>
                <w:szCs w:val="24"/>
              </w:rPr>
              <w:t xml:space="preserve"> to interpretation by individual organisations.</w:t>
            </w:r>
          </w:p>
          <w:p w14:paraId="6BB447CA" w14:textId="77777777" w:rsidR="005956BE" w:rsidRPr="000552AA" w:rsidRDefault="005956BE" w:rsidP="000552AA">
            <w:pPr>
              <w:spacing w:line="360" w:lineRule="auto"/>
              <w:jc w:val="both"/>
              <w:rPr>
                <w:sz w:val="24"/>
                <w:szCs w:val="24"/>
              </w:rPr>
            </w:pPr>
          </w:p>
          <w:p w14:paraId="1A6BFB34" w14:textId="77777777" w:rsidR="000552AA" w:rsidRDefault="000552AA" w:rsidP="000552AA">
            <w:pPr>
              <w:spacing w:line="360" w:lineRule="auto"/>
              <w:jc w:val="both"/>
              <w:rPr>
                <w:sz w:val="24"/>
                <w:szCs w:val="24"/>
              </w:rPr>
            </w:pPr>
            <w:r w:rsidRPr="000552AA">
              <w:rPr>
                <w:sz w:val="24"/>
                <w:szCs w:val="24"/>
              </w:rPr>
              <w:t>Further legislation that influences adult safeguarding practice in Wales includes The Mental Capacity Act (2005) which provides a framework for supporting individuals who may lack decision-making capacity, ensuring intervention is made in their best interests. In addition, The Human Rights Act 1998 protects rights to dignity, liberty, and protection from degrading treatment, reminding practitioners that safeguarding must always respect individuals’ freedoms. Furthermore, the Well-being of Future Generations (Wales) Act 2015 promotes preventative approaches that help reduce risks of harm and build safe communities.</w:t>
            </w:r>
          </w:p>
          <w:p w14:paraId="06CE2ABA" w14:textId="77777777" w:rsidR="005956BE" w:rsidRPr="000552AA" w:rsidRDefault="005956BE" w:rsidP="000552AA">
            <w:pPr>
              <w:spacing w:line="360" w:lineRule="auto"/>
              <w:jc w:val="both"/>
              <w:rPr>
                <w:sz w:val="24"/>
                <w:szCs w:val="24"/>
              </w:rPr>
            </w:pPr>
          </w:p>
          <w:p w14:paraId="3B90C857" w14:textId="77777777" w:rsidR="000552AA" w:rsidRDefault="000552AA" w:rsidP="000552AA">
            <w:pPr>
              <w:spacing w:line="360" w:lineRule="auto"/>
              <w:jc w:val="both"/>
              <w:rPr>
                <w:sz w:val="24"/>
                <w:szCs w:val="24"/>
              </w:rPr>
            </w:pPr>
            <w:r w:rsidRPr="000552AA">
              <w:rPr>
                <w:sz w:val="24"/>
                <w:szCs w:val="24"/>
              </w:rPr>
              <w:t>Organisationally, safeguarding is addressed through internal policies linked with national and local frameworks. These policies set out staff responsibilities, referral processes, and the role of designated safeguarding leads. They also ensure safe recruitment, whistleblowing procedures, staff training, and clear record-keeping standards. These measures aim to give staff confidence to act quickly and appropriately when concerns arise.</w:t>
            </w:r>
          </w:p>
          <w:p w14:paraId="62A9F194" w14:textId="77777777" w:rsidR="005956BE" w:rsidRPr="000552AA" w:rsidRDefault="005956BE" w:rsidP="000552AA">
            <w:pPr>
              <w:spacing w:line="360" w:lineRule="auto"/>
              <w:jc w:val="both"/>
              <w:rPr>
                <w:sz w:val="24"/>
                <w:szCs w:val="24"/>
              </w:rPr>
            </w:pPr>
          </w:p>
          <w:p w14:paraId="3C629243" w14:textId="77777777" w:rsidR="000552AA" w:rsidRPr="000552AA" w:rsidRDefault="000552AA" w:rsidP="000552AA">
            <w:pPr>
              <w:spacing w:line="360" w:lineRule="auto"/>
              <w:jc w:val="both"/>
              <w:rPr>
                <w:sz w:val="24"/>
                <w:szCs w:val="24"/>
              </w:rPr>
            </w:pPr>
            <w:r w:rsidRPr="000552AA">
              <w:rPr>
                <w:sz w:val="24"/>
                <w:szCs w:val="24"/>
              </w:rPr>
              <w:t>Recognising adults at risk requires awareness of factors such as cognitive impairment, social isolation, dependency, and exposure to coercive environments as well as of the possible indicators of abuse (Welsh Government, 2018).  Categories of abuse include physical, emotional, sexual and financial abuse, alongside the category of neglect.  Indicators can be broad ranging, but may include unexplained injuries, poor hygiene, missing possessions, changes in behaviour or emotional presentation, a drop in confidence and self-esteem, a fear of being touched, losing weight, or appearing malnourished and unkempt (SCIE, 2015).</w:t>
            </w:r>
          </w:p>
          <w:p w14:paraId="2C91FA52" w14:textId="77777777" w:rsidR="000552AA" w:rsidRPr="000552AA" w:rsidRDefault="000552AA" w:rsidP="000552AA">
            <w:pPr>
              <w:spacing w:line="360" w:lineRule="auto"/>
              <w:jc w:val="both"/>
              <w:rPr>
                <w:sz w:val="24"/>
                <w:szCs w:val="24"/>
              </w:rPr>
            </w:pPr>
          </w:p>
          <w:p w14:paraId="6BF459EB" w14:textId="77777777" w:rsidR="005956BE" w:rsidRDefault="005956BE" w:rsidP="000552AA">
            <w:pPr>
              <w:spacing w:line="360" w:lineRule="auto"/>
              <w:jc w:val="both"/>
              <w:rPr>
                <w:b/>
                <w:bCs/>
                <w:sz w:val="24"/>
                <w:szCs w:val="24"/>
              </w:rPr>
            </w:pPr>
          </w:p>
          <w:p w14:paraId="773CD76E" w14:textId="3232C1FD" w:rsidR="000552AA" w:rsidRPr="000552AA" w:rsidRDefault="000552AA" w:rsidP="000552AA">
            <w:pPr>
              <w:spacing w:line="360" w:lineRule="auto"/>
              <w:jc w:val="both"/>
              <w:rPr>
                <w:b/>
                <w:bCs/>
                <w:sz w:val="24"/>
                <w:szCs w:val="24"/>
              </w:rPr>
            </w:pPr>
            <w:r w:rsidRPr="000552AA">
              <w:rPr>
                <w:b/>
                <w:bCs/>
                <w:sz w:val="24"/>
                <w:szCs w:val="24"/>
              </w:rPr>
              <w:t xml:space="preserve">Word Count: </w:t>
            </w:r>
            <w:r w:rsidRPr="000552AA">
              <w:rPr>
                <w:sz w:val="24"/>
                <w:szCs w:val="24"/>
              </w:rPr>
              <w:t>5</w:t>
            </w:r>
            <w:r w:rsidR="00FE6529">
              <w:rPr>
                <w:sz w:val="24"/>
                <w:szCs w:val="24"/>
              </w:rPr>
              <w:t>4</w:t>
            </w:r>
            <w:r w:rsidR="004C03EB">
              <w:rPr>
                <w:sz w:val="24"/>
                <w:szCs w:val="24"/>
              </w:rPr>
              <w:t>3</w:t>
            </w:r>
          </w:p>
          <w:p w14:paraId="03BD6D93" w14:textId="56AD433A" w:rsidR="007A628F" w:rsidRPr="008B28E7" w:rsidRDefault="007A628F" w:rsidP="00153DA1">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7B2BD8" w14:textId="77777777" w:rsidR="00153DA1" w:rsidRDefault="00E67DF4" w:rsidP="00E67DF4">
            <w:pPr>
              <w:overflowPunct/>
              <w:autoSpaceDE/>
              <w:autoSpaceDN/>
              <w:adjustRightInd/>
              <w:spacing w:after="160" w:line="259" w:lineRule="auto"/>
              <w:textAlignment w:val="auto"/>
              <w:rPr>
                <w:rFonts w:eastAsia="Calibri"/>
                <w:b/>
                <w:bCs/>
                <w:color w:val="auto"/>
                <w:kern w:val="2"/>
                <w:sz w:val="24"/>
                <w:szCs w:val="24"/>
                <w:lang w:eastAsia="en-US"/>
                <w14:ligatures w14:val="standardContextual"/>
              </w:rPr>
            </w:pPr>
            <w:r w:rsidRPr="00153DA1">
              <w:rPr>
                <w:rFonts w:eastAsia="Calibri"/>
                <w:b/>
                <w:bCs/>
                <w:color w:val="auto"/>
                <w:kern w:val="2"/>
                <w:sz w:val="24"/>
                <w:szCs w:val="24"/>
                <w:lang w:eastAsia="en-US"/>
                <w14:ligatures w14:val="standardContextual"/>
              </w:rPr>
              <w:t>Question b:</w:t>
            </w:r>
          </w:p>
          <w:p w14:paraId="75461B1F" w14:textId="30A866C4" w:rsidR="00E67DF4" w:rsidRPr="00153DA1" w:rsidRDefault="00E67DF4" w:rsidP="00E67DF4">
            <w:pPr>
              <w:overflowPunct/>
              <w:autoSpaceDE/>
              <w:autoSpaceDN/>
              <w:adjustRightInd/>
              <w:spacing w:after="160" w:line="259" w:lineRule="auto"/>
              <w:textAlignment w:val="auto"/>
              <w:rPr>
                <w:rFonts w:eastAsia="Calibri"/>
                <w:b/>
                <w:bCs/>
                <w:color w:val="auto"/>
                <w:kern w:val="2"/>
                <w:sz w:val="24"/>
                <w:szCs w:val="24"/>
                <w:lang w:eastAsia="en-US"/>
                <w14:ligatures w14:val="standardContextual"/>
              </w:rPr>
            </w:pPr>
            <w:r w:rsidRPr="00153DA1">
              <w:rPr>
                <w:rFonts w:eastAsia="Calibri"/>
                <w:color w:val="auto"/>
                <w:kern w:val="2"/>
                <w:sz w:val="24"/>
                <w:szCs w:val="24"/>
                <w:lang w:eastAsia="en-US"/>
                <w14:ligatures w14:val="standardContextual"/>
              </w:rPr>
              <w:t>Reflect on the difference between safeguarding in adults’ and children’s work (400 words +/-10%).</w:t>
            </w:r>
          </w:p>
          <w:p w14:paraId="29ECD468" w14:textId="759794D5" w:rsidR="00153DA1" w:rsidRPr="00153DA1" w:rsidRDefault="00153DA1" w:rsidP="00E67DF4">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153DA1">
              <w:rPr>
                <w:rFonts w:eastAsia="Calibri"/>
                <w:color w:val="auto"/>
                <w:kern w:val="2"/>
                <w:sz w:val="24"/>
                <w:szCs w:val="24"/>
                <w:lang w:eastAsia="en-US"/>
                <w14:ligatures w14:val="standardContextual"/>
              </w:rPr>
              <w:t>400 words (+/- 10%: include your actual word count at the end of each section).</w:t>
            </w:r>
          </w:p>
          <w:p w14:paraId="536F4D33" w14:textId="77777777" w:rsidR="00153DA1" w:rsidRDefault="00153DA1" w:rsidP="00E67DF4">
            <w:pPr>
              <w:overflowPunct/>
              <w:autoSpaceDE/>
              <w:autoSpaceDN/>
              <w:adjustRightInd/>
              <w:spacing w:before="100" w:beforeAutospacing="1" w:after="100" w:afterAutospacing="1" w:line="360" w:lineRule="auto"/>
              <w:jc w:val="both"/>
              <w:textAlignment w:val="auto"/>
              <w:rPr>
                <w:color w:val="auto"/>
                <w:sz w:val="24"/>
                <w:szCs w:val="24"/>
              </w:rPr>
            </w:pPr>
          </w:p>
          <w:p w14:paraId="1D8B78B3" w14:textId="5B4DD19D" w:rsidR="00E67DF4" w:rsidRPr="00E67DF4" w:rsidRDefault="00E67DF4" w:rsidP="00E67DF4">
            <w:pPr>
              <w:overflowPunct/>
              <w:autoSpaceDE/>
              <w:autoSpaceDN/>
              <w:adjustRightInd/>
              <w:spacing w:before="100" w:beforeAutospacing="1" w:after="100" w:afterAutospacing="1" w:line="360" w:lineRule="auto"/>
              <w:jc w:val="both"/>
              <w:textAlignment w:val="auto"/>
              <w:rPr>
                <w:color w:val="auto"/>
                <w:sz w:val="24"/>
                <w:szCs w:val="24"/>
              </w:rPr>
            </w:pPr>
            <w:r w:rsidRPr="00E67DF4">
              <w:rPr>
                <w:color w:val="auto"/>
                <w:sz w:val="24"/>
                <w:szCs w:val="24"/>
              </w:rPr>
              <w:t xml:space="preserve">Safeguarding practice in Wales differs </w:t>
            </w:r>
            <w:r w:rsidR="0087759A">
              <w:rPr>
                <w:color w:val="auto"/>
                <w:sz w:val="24"/>
                <w:szCs w:val="24"/>
              </w:rPr>
              <w:t>between</w:t>
            </w:r>
            <w:r w:rsidRPr="00E67DF4">
              <w:rPr>
                <w:color w:val="auto"/>
                <w:sz w:val="24"/>
                <w:szCs w:val="24"/>
              </w:rPr>
              <w:t xml:space="preserve"> children </w:t>
            </w:r>
            <w:r w:rsidR="0087759A">
              <w:rPr>
                <w:color w:val="auto"/>
                <w:sz w:val="24"/>
                <w:szCs w:val="24"/>
              </w:rPr>
              <w:t>and</w:t>
            </w:r>
            <w:r w:rsidRPr="00E67DF4">
              <w:rPr>
                <w:color w:val="auto"/>
                <w:sz w:val="24"/>
                <w:szCs w:val="24"/>
              </w:rPr>
              <w:t xml:space="preserve"> adults, due to the </w:t>
            </w:r>
            <w:r w:rsidR="0087759A">
              <w:rPr>
                <w:color w:val="auto"/>
                <w:sz w:val="24"/>
                <w:szCs w:val="24"/>
              </w:rPr>
              <w:t xml:space="preserve">distinction in </w:t>
            </w:r>
            <w:r w:rsidRPr="00E67DF4">
              <w:rPr>
                <w:color w:val="auto"/>
                <w:sz w:val="24"/>
                <w:szCs w:val="24"/>
              </w:rPr>
              <w:t>legal frameworks, recognition of children’s and adults’ rights, and recognitions of autonomy and capacity</w:t>
            </w:r>
            <w:r w:rsidR="0087759A">
              <w:rPr>
                <w:color w:val="auto"/>
                <w:sz w:val="24"/>
                <w:szCs w:val="24"/>
              </w:rPr>
              <w:t xml:space="preserve">. </w:t>
            </w:r>
            <w:r w:rsidRPr="00E67DF4">
              <w:rPr>
                <w:color w:val="auto"/>
                <w:sz w:val="24"/>
                <w:szCs w:val="24"/>
              </w:rPr>
              <w:t>Children’s safeguarding is underpinned by the Children Act (1989)</w:t>
            </w:r>
            <w:r w:rsidR="00617671">
              <w:rPr>
                <w:color w:val="auto"/>
                <w:sz w:val="24"/>
                <w:szCs w:val="24"/>
              </w:rPr>
              <w:t>, s</w:t>
            </w:r>
            <w:r w:rsidR="001A02C0">
              <w:rPr>
                <w:color w:val="auto"/>
                <w:sz w:val="24"/>
                <w:szCs w:val="24"/>
              </w:rPr>
              <w:t>.</w:t>
            </w:r>
            <w:r w:rsidR="00617671">
              <w:rPr>
                <w:color w:val="auto"/>
                <w:sz w:val="24"/>
                <w:szCs w:val="24"/>
              </w:rPr>
              <w:t>47</w:t>
            </w:r>
            <w:r w:rsidRPr="00E67DF4">
              <w:rPr>
                <w:color w:val="auto"/>
                <w:sz w:val="24"/>
                <w:szCs w:val="24"/>
              </w:rPr>
              <w:t>, the Children Act (2004), and the Social Services and Well</w:t>
            </w:r>
            <w:r w:rsidRPr="00E67DF4">
              <w:rPr>
                <w:rFonts w:ascii="Cambria Math" w:hAnsi="Cambria Math" w:cs="Cambria Math"/>
                <w:color w:val="auto"/>
                <w:sz w:val="24"/>
                <w:szCs w:val="24"/>
              </w:rPr>
              <w:t>‑</w:t>
            </w:r>
            <w:r w:rsidRPr="00E67DF4">
              <w:rPr>
                <w:color w:val="auto"/>
                <w:sz w:val="24"/>
                <w:szCs w:val="24"/>
              </w:rPr>
              <w:t>being (Wales) Act (2014)</w:t>
            </w:r>
            <w:r w:rsidR="00617671">
              <w:rPr>
                <w:color w:val="auto"/>
                <w:sz w:val="24"/>
                <w:szCs w:val="24"/>
              </w:rPr>
              <w:t xml:space="preserve"> s.7</w:t>
            </w:r>
            <w:r w:rsidRPr="00E67DF4">
              <w:rPr>
                <w:color w:val="auto"/>
                <w:sz w:val="24"/>
                <w:szCs w:val="24"/>
              </w:rPr>
              <w:t>, further reinforced by the All Wales Child Protection Procedures (2020). These establish the paramountcy principle, that the welfare of the child must always be the primary consideration, taking precedence over all other factors. Because of their age, dependence, and developmental capacity, children are seen as intrinsically vulnerable. Professionals are expected to intervene when there is risk of significant harm, even when this conflicts with the child’s wishes and feelings. Thus, the approach to children’s safeguarding is highly proactive and protective.</w:t>
            </w:r>
          </w:p>
          <w:p w14:paraId="0AA233A3" w14:textId="77777777" w:rsidR="00E67DF4" w:rsidRPr="00E67DF4" w:rsidRDefault="00E67DF4" w:rsidP="00E67DF4">
            <w:pPr>
              <w:overflowPunct/>
              <w:autoSpaceDE/>
              <w:autoSpaceDN/>
              <w:adjustRightInd/>
              <w:spacing w:before="100" w:beforeAutospacing="1" w:after="100" w:afterAutospacing="1" w:line="360" w:lineRule="auto"/>
              <w:jc w:val="both"/>
              <w:textAlignment w:val="auto"/>
              <w:rPr>
                <w:color w:val="auto"/>
                <w:sz w:val="24"/>
                <w:szCs w:val="24"/>
              </w:rPr>
            </w:pPr>
            <w:r w:rsidRPr="00E67DF4">
              <w:rPr>
                <w:color w:val="auto"/>
                <w:sz w:val="24"/>
                <w:szCs w:val="24"/>
              </w:rPr>
              <w:t xml:space="preserve">Regarding children’s participation, Gillick competence and the Fraser guidelines assist practitioners in determining whether a child under sixteen has the maturity to make specific decisions (NSPCC, 2022). Likewise, practitioners must heed the children’s rights outlined in the United Nations Convention on the Rights of the Child (United Nations 1989), underpinned by The Rights of Children and Young Persons (Wales) Measure (2011). However, this is conditional, as even when a child is deemed competent, safeguarding concerns override their </w:t>
            </w:r>
            <w:r w:rsidRPr="00E67DF4">
              <w:rPr>
                <w:color w:val="auto"/>
                <w:sz w:val="24"/>
                <w:szCs w:val="24"/>
              </w:rPr>
              <w:lastRenderedPageBreak/>
              <w:t>wishes if protection is required. In children’s work, therefore, whilst autonomy is acknowledged, it is ultimately secondary to welfare and safety.</w:t>
            </w:r>
          </w:p>
          <w:p w14:paraId="20736254" w14:textId="4F6DB6B4" w:rsidR="00E67DF4" w:rsidRPr="00E67DF4" w:rsidRDefault="00E67DF4" w:rsidP="00E67DF4">
            <w:pPr>
              <w:overflowPunct/>
              <w:autoSpaceDE/>
              <w:autoSpaceDN/>
              <w:adjustRightInd/>
              <w:spacing w:before="100" w:beforeAutospacing="1" w:after="100" w:afterAutospacing="1" w:line="360" w:lineRule="auto"/>
              <w:jc w:val="both"/>
              <w:textAlignment w:val="auto"/>
              <w:rPr>
                <w:color w:val="auto"/>
                <w:sz w:val="24"/>
                <w:szCs w:val="24"/>
              </w:rPr>
            </w:pPr>
            <w:r w:rsidRPr="00E67DF4">
              <w:rPr>
                <w:color w:val="auto"/>
                <w:sz w:val="24"/>
                <w:szCs w:val="24"/>
              </w:rPr>
              <w:t>Adult safeguarding in Wales is governed by the Social Services and Well</w:t>
            </w:r>
            <w:r w:rsidRPr="00E67DF4">
              <w:rPr>
                <w:rFonts w:ascii="Cambria Math" w:hAnsi="Cambria Math" w:cs="Cambria Math"/>
                <w:color w:val="auto"/>
                <w:sz w:val="24"/>
                <w:szCs w:val="24"/>
              </w:rPr>
              <w:t>‑</w:t>
            </w:r>
            <w:r w:rsidRPr="00E67DF4">
              <w:rPr>
                <w:color w:val="auto"/>
                <w:sz w:val="24"/>
                <w:szCs w:val="24"/>
              </w:rPr>
              <w:t>being (Wales) Act (2014) and the Mental Capacity Act (2005). The distinction between the safeguarding of adults and children is based on capacity and consent. In contrast to children’s safeguarding, adults are presumed to have capacity and the right to make autonomous decisions, including choices that may expose them to harm or be deemed unwise. The legislation permits adults with capacity to decline safeguarding intervention, even when professionals disagree. This behoves practitioners to respect an adult’s right to decline support, provided they have capacity and no-one else is at serious risk. Intervention without consent is only justified in specific circumstances, such as when the adult lacks capacity, when coercion or control undermines free decision</w:t>
            </w:r>
            <w:r w:rsidRPr="00E67DF4">
              <w:rPr>
                <w:rFonts w:ascii="Cambria Math" w:hAnsi="Cambria Math" w:cs="Cambria Math"/>
                <w:color w:val="auto"/>
                <w:sz w:val="24"/>
                <w:szCs w:val="24"/>
              </w:rPr>
              <w:t>‑</w:t>
            </w:r>
            <w:r w:rsidRPr="00E67DF4">
              <w:rPr>
                <w:color w:val="auto"/>
                <w:sz w:val="24"/>
                <w:szCs w:val="24"/>
              </w:rPr>
              <w:t xml:space="preserve">making, or when others are at risk. Although the Wales Safeguarding Procedures (2023) highlight that permission must be taken into account alongside broader responsibilities, it </w:t>
            </w:r>
            <w:r w:rsidR="008958C1" w:rsidRPr="00E67DF4">
              <w:rPr>
                <w:color w:val="auto"/>
                <w:sz w:val="24"/>
                <w:szCs w:val="24"/>
              </w:rPr>
              <w:t>is assumed</w:t>
            </w:r>
            <w:r w:rsidRPr="00E67DF4">
              <w:rPr>
                <w:color w:val="auto"/>
                <w:sz w:val="24"/>
                <w:szCs w:val="24"/>
              </w:rPr>
              <w:t xml:space="preserve"> that adults are free to choose how they want to live.</w:t>
            </w:r>
          </w:p>
          <w:p w14:paraId="058FF54E" w14:textId="74858D65" w:rsidR="00E67DF4" w:rsidRDefault="00210FEF" w:rsidP="00E67DF4">
            <w:pPr>
              <w:overflowPunct/>
              <w:autoSpaceDE/>
              <w:autoSpaceDN/>
              <w:adjustRightInd/>
              <w:spacing w:before="100" w:beforeAutospacing="1" w:after="100" w:afterAutospacing="1" w:line="360" w:lineRule="auto"/>
              <w:jc w:val="both"/>
              <w:textAlignment w:val="auto"/>
              <w:rPr>
                <w:color w:val="auto"/>
                <w:sz w:val="24"/>
                <w:szCs w:val="24"/>
              </w:rPr>
            </w:pPr>
            <w:r>
              <w:rPr>
                <w:color w:val="auto"/>
                <w:sz w:val="24"/>
                <w:szCs w:val="24"/>
              </w:rPr>
              <w:t>Ultimately</w:t>
            </w:r>
            <w:r w:rsidR="00E67DF4" w:rsidRPr="00E67DF4">
              <w:rPr>
                <w:color w:val="auto"/>
                <w:sz w:val="24"/>
                <w:szCs w:val="24"/>
              </w:rPr>
              <w:t xml:space="preserve">, safeguarding children is inherently directive, with professionals taking responsibility for protective action. Safeguarding adults is collaborative and enabling, requiring practitioners to balance risk with respect for </w:t>
            </w:r>
            <w:r w:rsidR="00075283">
              <w:rPr>
                <w:color w:val="auto"/>
                <w:sz w:val="24"/>
                <w:szCs w:val="24"/>
              </w:rPr>
              <w:t>preferred outcomes and autonomy</w:t>
            </w:r>
            <w:r w:rsidR="00E67DF4" w:rsidRPr="00E67DF4">
              <w:rPr>
                <w:color w:val="auto"/>
                <w:sz w:val="24"/>
                <w:szCs w:val="24"/>
              </w:rPr>
              <w:t>. Therefore, children’s safeguarding prioritises welfare, while adult safeguarding prioritises choice, unless capacity or wider risk justifies intervention.</w:t>
            </w:r>
          </w:p>
          <w:p w14:paraId="58304DB0" w14:textId="77777777" w:rsidR="00075283" w:rsidRPr="00E67DF4" w:rsidRDefault="00075283" w:rsidP="00E67DF4">
            <w:pPr>
              <w:overflowPunct/>
              <w:autoSpaceDE/>
              <w:autoSpaceDN/>
              <w:adjustRightInd/>
              <w:spacing w:before="100" w:beforeAutospacing="1" w:after="100" w:afterAutospacing="1" w:line="360" w:lineRule="auto"/>
              <w:jc w:val="both"/>
              <w:textAlignment w:val="auto"/>
              <w:rPr>
                <w:color w:val="auto"/>
                <w:sz w:val="24"/>
                <w:szCs w:val="24"/>
              </w:rPr>
            </w:pPr>
          </w:p>
          <w:p w14:paraId="08760B3D" w14:textId="36C8F7A3" w:rsidR="00FC0334" w:rsidRPr="00153DA1" w:rsidRDefault="00E67DF4" w:rsidP="00153DA1">
            <w:pPr>
              <w:overflowPunct/>
              <w:autoSpaceDE/>
              <w:autoSpaceDN/>
              <w:adjustRightInd/>
              <w:spacing w:before="100" w:beforeAutospacing="1" w:after="100" w:afterAutospacing="1" w:line="360" w:lineRule="auto"/>
              <w:jc w:val="both"/>
              <w:textAlignment w:val="auto"/>
              <w:rPr>
                <w:b/>
                <w:bCs/>
                <w:color w:val="auto"/>
                <w:sz w:val="24"/>
                <w:szCs w:val="24"/>
              </w:rPr>
            </w:pPr>
            <w:r w:rsidRPr="00E67DF4">
              <w:rPr>
                <w:b/>
                <w:bCs/>
                <w:color w:val="auto"/>
                <w:sz w:val="24"/>
                <w:szCs w:val="24"/>
              </w:rPr>
              <w:t>Word Count:</w:t>
            </w:r>
            <w:r w:rsidRPr="00E67DF4">
              <w:rPr>
                <w:color w:val="auto"/>
                <w:sz w:val="24"/>
                <w:szCs w:val="24"/>
              </w:rPr>
              <w:t xml:space="preserve"> 440</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CDD3A" w14:textId="77777777" w:rsidR="000F72B2" w:rsidRDefault="000F72B2">
      <w:r>
        <w:separator/>
      </w:r>
    </w:p>
  </w:endnote>
  <w:endnote w:type="continuationSeparator" w:id="0">
    <w:p w14:paraId="19B0F77E" w14:textId="77777777" w:rsidR="000F72B2" w:rsidRDefault="000F72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2308A" w14:textId="77777777" w:rsidR="000F72B2" w:rsidRDefault="000F72B2">
      <w:r>
        <w:separator/>
      </w:r>
    </w:p>
  </w:footnote>
  <w:footnote w:type="continuationSeparator" w:id="0">
    <w:p w14:paraId="21216514" w14:textId="77777777" w:rsidR="000F72B2" w:rsidRDefault="000F72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2AA"/>
    <w:rsid w:val="00055D43"/>
    <w:rsid w:val="00056FAC"/>
    <w:rsid w:val="00057751"/>
    <w:rsid w:val="00062E39"/>
    <w:rsid w:val="00064063"/>
    <w:rsid w:val="0006581A"/>
    <w:rsid w:val="00074461"/>
    <w:rsid w:val="00075283"/>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72B2"/>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3DA1"/>
    <w:rsid w:val="001608C4"/>
    <w:rsid w:val="00164832"/>
    <w:rsid w:val="00171418"/>
    <w:rsid w:val="00175D10"/>
    <w:rsid w:val="001772BF"/>
    <w:rsid w:val="001772DE"/>
    <w:rsid w:val="0019496C"/>
    <w:rsid w:val="001961CF"/>
    <w:rsid w:val="001A02C0"/>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0FEF"/>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7D8"/>
    <w:rsid w:val="00392F73"/>
    <w:rsid w:val="00393600"/>
    <w:rsid w:val="0039762B"/>
    <w:rsid w:val="003A0C37"/>
    <w:rsid w:val="003A1B6B"/>
    <w:rsid w:val="003A2E71"/>
    <w:rsid w:val="003A46C0"/>
    <w:rsid w:val="003A600E"/>
    <w:rsid w:val="003A6513"/>
    <w:rsid w:val="003B16C7"/>
    <w:rsid w:val="003B3115"/>
    <w:rsid w:val="003C0138"/>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59B2"/>
    <w:rsid w:val="004B600B"/>
    <w:rsid w:val="004B6822"/>
    <w:rsid w:val="004B69F6"/>
    <w:rsid w:val="004C03EB"/>
    <w:rsid w:val="004C2D3A"/>
    <w:rsid w:val="004C5E25"/>
    <w:rsid w:val="004D03C4"/>
    <w:rsid w:val="004D0BF1"/>
    <w:rsid w:val="004D0F4E"/>
    <w:rsid w:val="004D3278"/>
    <w:rsid w:val="004D35A4"/>
    <w:rsid w:val="004D445F"/>
    <w:rsid w:val="004E087B"/>
    <w:rsid w:val="004E33A8"/>
    <w:rsid w:val="004E44A4"/>
    <w:rsid w:val="004E7B8B"/>
    <w:rsid w:val="004E7BDD"/>
    <w:rsid w:val="004F1966"/>
    <w:rsid w:val="004F1E21"/>
    <w:rsid w:val="004F2542"/>
    <w:rsid w:val="004F4E33"/>
    <w:rsid w:val="004F6F6B"/>
    <w:rsid w:val="004F740D"/>
    <w:rsid w:val="004F7B8F"/>
    <w:rsid w:val="00500748"/>
    <w:rsid w:val="005011D6"/>
    <w:rsid w:val="00502A14"/>
    <w:rsid w:val="005042F1"/>
    <w:rsid w:val="0050481B"/>
    <w:rsid w:val="00507790"/>
    <w:rsid w:val="005113D4"/>
    <w:rsid w:val="0051287D"/>
    <w:rsid w:val="00513C7D"/>
    <w:rsid w:val="00521123"/>
    <w:rsid w:val="00521221"/>
    <w:rsid w:val="0052250B"/>
    <w:rsid w:val="005305C6"/>
    <w:rsid w:val="00540EEC"/>
    <w:rsid w:val="005414F4"/>
    <w:rsid w:val="00544142"/>
    <w:rsid w:val="00546187"/>
    <w:rsid w:val="00547B11"/>
    <w:rsid w:val="00557D77"/>
    <w:rsid w:val="00562EAA"/>
    <w:rsid w:val="00563B58"/>
    <w:rsid w:val="005640C4"/>
    <w:rsid w:val="0056684C"/>
    <w:rsid w:val="00574A0C"/>
    <w:rsid w:val="00576D09"/>
    <w:rsid w:val="0057780F"/>
    <w:rsid w:val="00581E0A"/>
    <w:rsid w:val="00586D89"/>
    <w:rsid w:val="005877C8"/>
    <w:rsid w:val="00587923"/>
    <w:rsid w:val="00593EDA"/>
    <w:rsid w:val="00594F9F"/>
    <w:rsid w:val="005956BE"/>
    <w:rsid w:val="00596566"/>
    <w:rsid w:val="005A1B4C"/>
    <w:rsid w:val="005A545C"/>
    <w:rsid w:val="005B271A"/>
    <w:rsid w:val="005B3A2D"/>
    <w:rsid w:val="005C1567"/>
    <w:rsid w:val="005C28D3"/>
    <w:rsid w:val="005C6CE5"/>
    <w:rsid w:val="005D3F07"/>
    <w:rsid w:val="005D4A1E"/>
    <w:rsid w:val="005D4F72"/>
    <w:rsid w:val="005E13EA"/>
    <w:rsid w:val="005E17F1"/>
    <w:rsid w:val="005E5E51"/>
    <w:rsid w:val="005F05D8"/>
    <w:rsid w:val="005F64AA"/>
    <w:rsid w:val="005F7851"/>
    <w:rsid w:val="00606E27"/>
    <w:rsid w:val="006108C9"/>
    <w:rsid w:val="00614DF7"/>
    <w:rsid w:val="00617671"/>
    <w:rsid w:val="006179BB"/>
    <w:rsid w:val="00621262"/>
    <w:rsid w:val="0062158D"/>
    <w:rsid w:val="006223FD"/>
    <w:rsid w:val="0063138E"/>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493"/>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1B09"/>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2A5"/>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644"/>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9A"/>
    <w:rsid w:val="00880539"/>
    <w:rsid w:val="008859E8"/>
    <w:rsid w:val="0088737B"/>
    <w:rsid w:val="00891078"/>
    <w:rsid w:val="00892716"/>
    <w:rsid w:val="00893067"/>
    <w:rsid w:val="008933DE"/>
    <w:rsid w:val="008958C1"/>
    <w:rsid w:val="00895FCE"/>
    <w:rsid w:val="00897F3E"/>
    <w:rsid w:val="008A21B4"/>
    <w:rsid w:val="008B07DE"/>
    <w:rsid w:val="008B1309"/>
    <w:rsid w:val="008B28E7"/>
    <w:rsid w:val="008B67F6"/>
    <w:rsid w:val="008B6A35"/>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7607"/>
    <w:rsid w:val="00902A65"/>
    <w:rsid w:val="00903932"/>
    <w:rsid w:val="009079BD"/>
    <w:rsid w:val="00912BD9"/>
    <w:rsid w:val="00916FB2"/>
    <w:rsid w:val="00920E5B"/>
    <w:rsid w:val="00926436"/>
    <w:rsid w:val="00926C53"/>
    <w:rsid w:val="0093018C"/>
    <w:rsid w:val="0094495F"/>
    <w:rsid w:val="009517B7"/>
    <w:rsid w:val="0095354A"/>
    <w:rsid w:val="009544C0"/>
    <w:rsid w:val="00954FA4"/>
    <w:rsid w:val="00956AE9"/>
    <w:rsid w:val="00964CC6"/>
    <w:rsid w:val="00967BFA"/>
    <w:rsid w:val="0098262C"/>
    <w:rsid w:val="0098427C"/>
    <w:rsid w:val="00986B43"/>
    <w:rsid w:val="00986C0B"/>
    <w:rsid w:val="00986D46"/>
    <w:rsid w:val="0099019D"/>
    <w:rsid w:val="00991FDA"/>
    <w:rsid w:val="00992ACA"/>
    <w:rsid w:val="009A511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97C1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67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3FE"/>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10D7"/>
    <w:rsid w:val="00DB120D"/>
    <w:rsid w:val="00DB2767"/>
    <w:rsid w:val="00DB650B"/>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67DF4"/>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4D77"/>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529"/>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5</Pages>
  <Words>1267</Words>
  <Characters>7223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Beverley Williams</cp:lastModifiedBy>
  <cp:revision>35</cp:revision>
  <cp:lastPrinted>2020-02-11T19:20:00Z</cp:lastPrinted>
  <dcterms:created xsi:type="dcterms:W3CDTF">2022-09-29T11:35:00Z</dcterms:created>
  <dcterms:modified xsi:type="dcterms:W3CDTF">2026-01-31T23:55:00Z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