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FA883" w14:textId="77777777" w:rsidR="006769EE" w:rsidRPr="00C06BA9" w:rsidRDefault="006769EE" w:rsidP="006769EE">
      <w:pPr>
        <w:spacing w:after="240" w:line="360" w:lineRule="auto"/>
      </w:pPr>
      <w:r w:rsidRPr="00C06BA9">
        <w:t xml:space="preserve">Name: </w:t>
      </w:r>
      <w:r>
        <w:tab/>
      </w:r>
      <w:r>
        <w:tab/>
      </w:r>
      <w:r>
        <w:tab/>
      </w:r>
      <w:r>
        <w:tab/>
        <w:t>Salma Begum</w:t>
      </w:r>
    </w:p>
    <w:p w14:paraId="6FB096FC" w14:textId="77777777" w:rsidR="006769EE" w:rsidRPr="00C06BA9" w:rsidRDefault="006769EE" w:rsidP="006769EE">
      <w:pPr>
        <w:spacing w:after="240" w:line="360" w:lineRule="auto"/>
      </w:pPr>
      <w:r w:rsidRPr="00C06BA9">
        <w:t xml:space="preserve">Student number: </w:t>
      </w:r>
      <w:r>
        <w:tab/>
      </w:r>
      <w:r>
        <w:tab/>
        <w:t>2409645</w:t>
      </w:r>
    </w:p>
    <w:p w14:paraId="649D22E0" w14:textId="4283A38A" w:rsidR="006769EE" w:rsidRDefault="006769EE" w:rsidP="006769EE">
      <w:pPr>
        <w:spacing w:after="240" w:line="360" w:lineRule="auto"/>
      </w:pPr>
      <w:r w:rsidRPr="00C06BA9">
        <w:t>Module code:</w:t>
      </w:r>
      <w:r>
        <w:tab/>
      </w:r>
      <w:r>
        <w:tab/>
      </w:r>
      <w:r w:rsidR="00E12977">
        <w:tab/>
      </w:r>
      <w:r>
        <w:t>BMHP6026</w:t>
      </w:r>
    </w:p>
    <w:p w14:paraId="7A88C09A" w14:textId="77777777" w:rsidR="006769EE" w:rsidRDefault="006769EE" w:rsidP="006769EE">
      <w:pPr>
        <w:spacing w:after="240" w:line="360" w:lineRule="auto"/>
      </w:pPr>
      <w:r>
        <w:t>Lecturer:</w:t>
      </w:r>
      <w:r>
        <w:tab/>
      </w:r>
      <w:r>
        <w:tab/>
      </w:r>
      <w:r>
        <w:tab/>
        <w:t>Tony Adattu Chacko</w:t>
      </w:r>
      <w:r>
        <w:tab/>
      </w:r>
    </w:p>
    <w:p w14:paraId="342351C0" w14:textId="77777777" w:rsidR="006769EE" w:rsidRDefault="006769EE" w:rsidP="006769EE">
      <w:pPr>
        <w:spacing w:after="240" w:line="360" w:lineRule="auto"/>
      </w:pPr>
    </w:p>
    <w:p w14:paraId="0F348F78" w14:textId="4E18FEC5" w:rsidR="00C06BA9" w:rsidRPr="00DE30A1" w:rsidRDefault="006769EE" w:rsidP="006769EE">
      <w:pPr>
        <w:spacing w:after="240" w:line="360" w:lineRule="auto"/>
      </w:pPr>
      <w:r>
        <w:t>Title:</w:t>
      </w:r>
      <w:r w:rsidR="00DE30A1">
        <w:tab/>
      </w:r>
      <w:r w:rsidR="00A445C7" w:rsidRPr="00C06BA9">
        <w:rPr>
          <w:b/>
          <w:bCs/>
        </w:rPr>
        <w:t xml:space="preserve">A Critical Evaluation of Video Consultations in UK Health and Social Care: </w:t>
      </w:r>
    </w:p>
    <w:p w14:paraId="4C59E734" w14:textId="39BFD3FE" w:rsidR="0081299F" w:rsidRPr="00C06BA9" w:rsidRDefault="00A445C7" w:rsidP="00DE30A1">
      <w:pPr>
        <w:spacing w:after="240" w:line="360" w:lineRule="auto"/>
        <w:ind w:firstLine="720"/>
        <w:rPr>
          <w:b/>
          <w:bCs/>
        </w:rPr>
      </w:pPr>
      <w:r w:rsidRPr="00C06BA9">
        <w:rPr>
          <w:b/>
          <w:bCs/>
        </w:rPr>
        <w:t>Workforce, Service Delivery, Patient Experience and Community Impact</w:t>
      </w:r>
    </w:p>
    <w:p w14:paraId="776F7658" w14:textId="6148725B" w:rsidR="001B35FA" w:rsidRPr="00C06BA9" w:rsidRDefault="00BE0CAA" w:rsidP="00C06BA9">
      <w:pPr>
        <w:spacing w:after="240" w:line="360" w:lineRule="auto"/>
      </w:pPr>
      <w:r>
        <w:tab/>
      </w:r>
    </w:p>
    <w:p w14:paraId="4C59E73C" w14:textId="77777777" w:rsidR="0081299F" w:rsidRPr="00C06BA9" w:rsidRDefault="00A445C7" w:rsidP="00C06BA9">
      <w:pPr>
        <w:pStyle w:val="Heading1"/>
        <w:keepNext/>
        <w:spacing w:line="360" w:lineRule="auto"/>
        <w:jc w:val="both"/>
        <w:rPr>
          <w:sz w:val="22"/>
          <w:szCs w:val="22"/>
        </w:rPr>
      </w:pPr>
      <w:r w:rsidRPr="00C06BA9">
        <w:rPr>
          <w:sz w:val="22"/>
          <w:szCs w:val="22"/>
        </w:rPr>
        <w:t>1. Introduction</w:t>
      </w:r>
    </w:p>
    <w:p w14:paraId="4C59E73D" w14:textId="77777777" w:rsidR="0081299F" w:rsidRPr="00C06BA9" w:rsidRDefault="00A445C7" w:rsidP="00C06BA9">
      <w:pPr>
        <w:spacing w:after="160" w:line="360" w:lineRule="auto"/>
        <w:jc w:val="both"/>
      </w:pPr>
      <w:r w:rsidRPr="00C06BA9">
        <w:t>Video consultation is a live, two-way audio-visual appointment between a clinician and a patient in different locations, usually delivered through a secure online platform (Greenhalgh et al., 2020). This report critically evaluates how video consultations have been implemented in UK health care, focusing mainly on NHS Scotland’s Near Me service and on GP video appointments in England. Near Me grew from earlier regional pilots in the Highlands and Islands into a national service supported by Scotland’s digit</w:t>
      </w:r>
      <w:r w:rsidRPr="00C06BA9">
        <w:t>al health and care strategy (Scottish Government, 2018), while the NHS Long Term Plan committed England to digital-first primary care and reduced outpatient attendances (NHS England, 2019). The COVID-19 pandemic then accelerated adoption far beyond what planners had anticipated (Hutchings, 2020). Because this expansion occurred within the last ten years and under crisis conditions, it offers a valuable case for critical evaluation.</w:t>
      </w:r>
    </w:p>
    <w:p w14:paraId="4C59E73E" w14:textId="77777777" w:rsidR="0081299F" w:rsidRPr="00C06BA9" w:rsidRDefault="00A445C7" w:rsidP="00C06BA9">
      <w:pPr>
        <w:spacing w:after="160" w:line="360" w:lineRule="auto"/>
        <w:jc w:val="both"/>
      </w:pPr>
      <w:r w:rsidRPr="00C06BA9">
        <w:t>The report uses the NASSS framework (Greenhalgh et al., 2017), which argues that the success of health technologies depends on interacting influences, including the condition being treated, the technology itself, the adopters, the organisation and the wider policy system. It examines workforce, service delivery, patient experience and community in turn, weighing positive and negative outcomes in each. It argues that video consultations offer real gains in convenience and access, but that these gains are une</w:t>
      </w:r>
      <w:r w:rsidRPr="00C06BA9">
        <w:t>venly distributed and depend on training, infrastructure and careful clinical selection.</w:t>
      </w:r>
    </w:p>
    <w:p w14:paraId="4C59E73F" w14:textId="77777777" w:rsidR="0081299F" w:rsidRPr="00C06BA9" w:rsidRDefault="00A445C7" w:rsidP="00C06BA9">
      <w:pPr>
        <w:pStyle w:val="Heading1"/>
        <w:keepNext/>
        <w:spacing w:line="360" w:lineRule="auto"/>
        <w:jc w:val="both"/>
        <w:rPr>
          <w:sz w:val="22"/>
          <w:szCs w:val="22"/>
        </w:rPr>
      </w:pPr>
      <w:r w:rsidRPr="00C06BA9">
        <w:rPr>
          <w:sz w:val="22"/>
          <w:szCs w:val="22"/>
        </w:rPr>
        <w:t>2. Workforce</w:t>
      </w:r>
    </w:p>
    <w:p w14:paraId="4C59E740" w14:textId="77777777" w:rsidR="0081299F" w:rsidRPr="00C06BA9" w:rsidRDefault="00A445C7" w:rsidP="00C06BA9">
      <w:pPr>
        <w:spacing w:after="160" w:line="360" w:lineRule="auto"/>
        <w:jc w:val="both"/>
      </w:pPr>
      <w:r w:rsidRPr="00C06BA9">
        <w:t xml:space="preserve">Video consultations have changed both what clinicians do and the competencies they need. Positively, remote consulting can offer greater flexibility, including reduced travel between </w:t>
      </w:r>
      <w:r w:rsidRPr="00C06BA9">
        <w:lastRenderedPageBreak/>
        <w:t>sites and, in some services, the option of home working. It also extends clinical skills: practitioners must manage technology, conduct remote assessments, build rapport through a screen and judge when video is clinically unsuitable. The Topol Review (2019) argued that the NHS workforce needs digital literacy and continuous learning to use technology safely, and video consulting makes this requirement concrete. Roles have also shifted. In English primary care, many practices moved to a triage-led model in w</w:t>
      </w:r>
      <w:r w:rsidRPr="00C06BA9">
        <w:t>hich clinicians, and sometimes trained reception staff, decide whether a problem suits video, telephone or face-to-face assessment (Murphy et al., 2021). Staff who help patients to connect, such as administrators acting as digital champions, have become part of the care pathway, which blurs traditional boundaries between clinical and administrative work. Social care teams have also begun to use video to review service users and liaise with families, although the evidence base here is thinner than in general</w:t>
      </w:r>
      <w:r w:rsidRPr="00C06BA9">
        <w:t xml:space="preserve"> practice and outpatient settings. Differences in digital confidence </w:t>
      </w:r>
      <w:r w:rsidRPr="00C06BA9">
        <w:t>between staff may also create uneven workloads if remote work is allocated informally rather than planned.</w:t>
      </w:r>
    </w:p>
    <w:p w14:paraId="4C59E741" w14:textId="77777777" w:rsidR="0081299F" w:rsidRPr="00C06BA9" w:rsidRDefault="00A445C7" w:rsidP="00C06BA9">
      <w:pPr>
        <w:spacing w:after="160" w:line="360" w:lineRule="auto"/>
        <w:jc w:val="both"/>
      </w:pPr>
      <w:r w:rsidRPr="00C06BA9">
        <w:t xml:space="preserve">However, the pace of change exposed weaknesses in preparation. Greenhalgh et al. (2020) noted that many clinicians had to begin using video within days, often with limited training, and </w:t>
      </w:r>
      <w:proofErr w:type="spellStart"/>
      <w:r w:rsidRPr="00C06BA9">
        <w:t>Wherton</w:t>
      </w:r>
      <w:proofErr w:type="spellEnd"/>
      <w:r w:rsidRPr="00C06BA9">
        <w:t xml:space="preserve"> et al. (2020) found that formal guidance lagged behind</w:t>
      </w:r>
      <w:r w:rsidRPr="00C06BA9">
        <w:t xml:space="preserve"> practice. Competence therefore varied, and inconsistent skill creates a risk of poor-quality consultations or missed clinical signs. Clinicians interviewed in primary care studies raised concerns about the lack of physical examination and the loss of the subtle cues available in the room, which could compromise diagnosis and safety (Donaghy et al., 2019). Uncertainty about professional accountability and the boundaries of remote practice may also lead to hesitancy, which the NASSS framework would describe </w:t>
      </w:r>
      <w:r w:rsidRPr="00C06BA9">
        <w:t xml:space="preserve">as a challenge within the adopter system (Greenhalgh et al., 2017). It is also unclear whether additional responsibilities, such as technical troubleshooting, have been matched by recognition in job descriptions or workload planning. Overall, video consultations expand clinicians’ skills and flexibility, but these benefits depend on structured training, clear professional guidance and protected time to learn, rather than on </w:t>
      </w:r>
      <w:r w:rsidRPr="00C06BA9">
        <w:t>assuming that competence will develop naturally.</w:t>
      </w:r>
    </w:p>
    <w:p w14:paraId="4C59E742" w14:textId="77777777" w:rsidR="0081299F" w:rsidRPr="00C06BA9" w:rsidRDefault="00A445C7" w:rsidP="00C06BA9">
      <w:pPr>
        <w:pStyle w:val="Heading1"/>
        <w:keepNext/>
        <w:spacing w:line="360" w:lineRule="auto"/>
        <w:jc w:val="both"/>
        <w:rPr>
          <w:sz w:val="22"/>
          <w:szCs w:val="22"/>
        </w:rPr>
      </w:pPr>
      <w:r w:rsidRPr="00C06BA9">
        <w:rPr>
          <w:sz w:val="22"/>
          <w:szCs w:val="22"/>
        </w:rPr>
        <w:t>3. Service Delivery</w:t>
      </w:r>
    </w:p>
    <w:p w14:paraId="4C59E743" w14:textId="77777777" w:rsidR="0081299F" w:rsidRPr="00C06BA9" w:rsidRDefault="00A445C7" w:rsidP="00C06BA9">
      <w:pPr>
        <w:spacing w:after="160" w:line="360" w:lineRule="auto"/>
        <w:jc w:val="both"/>
      </w:pPr>
      <w:r w:rsidRPr="00C06BA9">
        <w:t>The day-to-day delivery of care has altered in several ways. Video consultations remove the need for patients to travel, which is especially significant in Scotland, where Near Me allows people in remote and island communities to see specialists without long journeys to a mainland hospital (Scottish Government, 2018). Avoided travel is also the main route by which telemedicine can reduce carbon emissions, as shown in a systematic review by Purohit et al. (2021), which supports sustainability aims within the</w:t>
      </w:r>
      <w:r w:rsidRPr="00C06BA9">
        <w:t xml:space="preserve"> NHS. Video can also help services to </w:t>
      </w:r>
      <w:r w:rsidRPr="00C06BA9">
        <w:lastRenderedPageBreak/>
        <w:t>maintain access during infection outbreaks, as the pandemic demonstrated (Greenhalgh et al., 2020). In operational terms, appointments are increasingly allocated through triage, so that services use clinical time according to need and offer a mix of consultation types (Murphy et al., 2021). The national, centrally supported approach taken in Scotland also reduced duplication, because individual services did not need to procure and configure their own platforms. Implemen</w:t>
      </w:r>
      <w:r w:rsidRPr="00C06BA9">
        <w:t>tation was also shaped by wider system conditions. In England, adoption arguably relied more on individual practices and trusts selecting their own tools, which may have led to greater variation in quality and experience. This illustrates the emphasis in the NASSS framework on the wider system, where policy, funding and regulation influence whether an innovation spreads or stalls (Greenhalgh et al., 2017).</w:t>
      </w:r>
    </w:p>
    <w:p w14:paraId="4C59E744" w14:textId="77777777" w:rsidR="0081299F" w:rsidRPr="00C06BA9" w:rsidRDefault="00A445C7" w:rsidP="00C06BA9">
      <w:pPr>
        <w:spacing w:after="160" w:line="360" w:lineRule="auto"/>
        <w:jc w:val="both"/>
      </w:pPr>
      <w:r w:rsidRPr="00C06BA9">
        <w:t xml:space="preserve">Nevertheless, there are significant limitations. Technical problems such as poor connections, platform failures and incompatible devices interrupt consultations and can waste clinical time </w:t>
      </w:r>
      <w:r w:rsidRPr="00C06BA9">
        <w:t>(Donaghy et al., 2019). Fragmented systems and limited integration with electronic records create extra administrative work, a barrier the NASSS framework places at the organisational level (Greenhalgh et al., 2017). Some tasks cannot be carried out remotely, including physical examination, investigations and certain treatments, so video may generate a further face-to-face appointment instead of replacing one. Hammersley et al. (2019) compared the content and quality of video, telephone and face-to-face con</w:t>
      </w:r>
      <w:r w:rsidRPr="00C06BA9">
        <w:t xml:space="preserve">sultations and found differences between them, indicating that modes are not interchangeable and that appropriateness must be judged case by case. Safeguarding and confidentiality also present challenges, because clinicians cannot easily verify who else is present with the patient. Efficiency gains are therefore not automatic: video may move work from the patient’s journey to the service’s technical and administrative systems. Evidence on cost-effectiveness remains mixed, and many studies are small or were </w:t>
      </w:r>
      <w:r w:rsidRPr="00C06BA9">
        <w:t>conducted during the pandemic, which limits how far their findings can be generalised.</w:t>
      </w:r>
    </w:p>
    <w:p w14:paraId="4C59E745" w14:textId="77777777" w:rsidR="0081299F" w:rsidRPr="00C06BA9" w:rsidRDefault="00A445C7" w:rsidP="00C06BA9">
      <w:pPr>
        <w:pStyle w:val="Heading1"/>
        <w:keepNext/>
        <w:spacing w:line="360" w:lineRule="auto"/>
        <w:jc w:val="both"/>
        <w:rPr>
          <w:sz w:val="22"/>
          <w:szCs w:val="22"/>
        </w:rPr>
      </w:pPr>
      <w:r w:rsidRPr="00C06BA9">
        <w:rPr>
          <w:sz w:val="22"/>
          <w:szCs w:val="22"/>
        </w:rPr>
        <w:t>4. Patient and Service User Experience</w:t>
      </w:r>
    </w:p>
    <w:p w14:paraId="4C59E746" w14:textId="77777777" w:rsidR="0081299F" w:rsidRPr="00C06BA9" w:rsidRDefault="00A445C7" w:rsidP="00C06BA9">
      <w:pPr>
        <w:spacing w:after="160" w:line="360" w:lineRule="auto"/>
        <w:jc w:val="both"/>
      </w:pPr>
      <w:r w:rsidRPr="00C06BA9">
        <w:t xml:space="preserve">Patients’ perceptions of video consultations are generally positive but shaped by context. In a qualitative study of UK primary care, Donaghy et al. (2019) found that patients valued the convenience, the time and cost saved by not travelling, and the ability to be seen from a familiar environment. For people with mobility problems, caring responsibilities or inflexible work, this can make care more accessible and increase their sense of control over when and how they engage with services. Greenhalgh et al. </w:t>
      </w:r>
      <w:r w:rsidRPr="00C06BA9">
        <w:t xml:space="preserve">(2020) suggest that video can also offer advantages over telephone consultation because visual cues support communication, and it can allow relatives or interpreters to join the appointment. For some patients, being seen at home may also feel less intimidating than attending a clinic, which could encourage earlier </w:t>
      </w:r>
      <w:r w:rsidRPr="00C06BA9">
        <w:lastRenderedPageBreak/>
        <w:t>help-seeking. Continuity of care is a further consideration. Patients with long-term conditions often value seeing a clinician who knows them, and video may support this by making follow-up easier</w:t>
      </w:r>
      <w:r w:rsidRPr="00C06BA9">
        <w:t>, but only if appointments are organised to preserve continuity. Where consultations are delivered by unfamiliar clinicians, the relational benefits of remote access may be lost.</w:t>
      </w:r>
    </w:p>
    <w:p w14:paraId="4C59E747" w14:textId="77777777" w:rsidR="0081299F" w:rsidRPr="00C06BA9" w:rsidRDefault="00A445C7" w:rsidP="00C06BA9">
      <w:pPr>
        <w:spacing w:after="160" w:line="360" w:lineRule="auto"/>
        <w:jc w:val="both"/>
      </w:pPr>
      <w:r w:rsidRPr="00C06BA9">
        <w:t>However, experiences are not uniformly positive. Some patients feel that rapport is weaker and that they have not been properly examined, which may reduce trust in the quality of their care (Donaghy et al., 2019). Anxiety about technology, limited digital skills and unreliable connections can make the experience stressful, particularly for older people or those with sensory impairments, cognitive difficulties or mental health conditions. Privacy is another concern, as patients may lack a private space at ho</w:t>
      </w:r>
      <w:r w:rsidRPr="00C06BA9">
        <w:t xml:space="preserve">me from which to discuss sensitive matters. Perceptions of care are also likely to depend on whether video is offered as a choice or imposed as a default; where it is the only option, it may feel like a barrier rather than an </w:t>
      </w:r>
      <w:r w:rsidRPr="00C06BA9">
        <w:t>enabler. Patient experience therefore depends less on the technology itself than on how it is introduced, supported and combined with other forms of contact.</w:t>
      </w:r>
    </w:p>
    <w:p w14:paraId="4C59E748" w14:textId="77777777" w:rsidR="0081299F" w:rsidRPr="00C06BA9" w:rsidRDefault="00A445C7" w:rsidP="00C06BA9">
      <w:pPr>
        <w:pStyle w:val="Heading1"/>
        <w:keepNext/>
        <w:spacing w:line="360" w:lineRule="auto"/>
        <w:jc w:val="both"/>
        <w:rPr>
          <w:sz w:val="22"/>
          <w:szCs w:val="22"/>
        </w:rPr>
      </w:pPr>
      <w:r w:rsidRPr="00C06BA9">
        <w:rPr>
          <w:sz w:val="22"/>
          <w:szCs w:val="22"/>
        </w:rPr>
        <w:t>5. Community</w:t>
      </w:r>
    </w:p>
    <w:p w14:paraId="4C59E749" w14:textId="77777777" w:rsidR="0081299F" w:rsidRPr="00C06BA9" w:rsidRDefault="00A445C7" w:rsidP="00C06BA9">
      <w:pPr>
        <w:spacing w:after="160" w:line="360" w:lineRule="auto"/>
        <w:jc w:val="both"/>
      </w:pPr>
      <w:r w:rsidRPr="00C06BA9">
        <w:t>Video consultations alter the relationship between services and the communities they serve. Care can be delivered where people live, work or gather: Near Me appointments can be accessed from home or from local venues, which reduces the burden of travel for rural and island populations (Scottish Government, 2018). Families may also benefit, as relatives can join an appointment remotely, supporting communication and shared decision-making, and carers may avoid the time, cost and disruption of accompanying som</w:t>
      </w:r>
      <w:r w:rsidRPr="00C06BA9">
        <w:t xml:space="preserve">eone to hospital. </w:t>
      </w:r>
      <w:proofErr w:type="spellStart"/>
      <w:r w:rsidRPr="00C06BA9">
        <w:t>Wherton</w:t>
      </w:r>
      <w:proofErr w:type="spellEnd"/>
      <w:r w:rsidRPr="00C06BA9">
        <w:t xml:space="preserve"> et al. (2015) argue that technologies work best when they are co-produced with the people who use them, and this principle suggests that patient and carer feedback should shape video services rather than being treated as an afterthought. Co-production also raises questions about who is heard. Patients who already engage with services online are more likely to give feedback on video consultations, so the views of digitally excluded groups may be underrepresented in evaluation. Community organisations, volun</w:t>
      </w:r>
      <w:r w:rsidRPr="00C06BA9">
        <w:t>tary groups and carers’ representatives could therefore play an important role in shaping and testing services. There are also public health benefits, including reduced infection risk during outbreaks and lower travel-related emissions (Purohit et al., 2021).</w:t>
      </w:r>
    </w:p>
    <w:p w14:paraId="4C59E74A" w14:textId="77777777" w:rsidR="0081299F" w:rsidRPr="00C06BA9" w:rsidRDefault="00A445C7" w:rsidP="00C06BA9">
      <w:pPr>
        <w:spacing w:after="160" w:line="360" w:lineRule="auto"/>
        <w:jc w:val="both"/>
      </w:pPr>
      <w:r w:rsidRPr="00C06BA9">
        <w:t xml:space="preserve">Conversely, the community impact is uneven. Digital exclusion is strongly linked to age, income, disability and geography, and the pandemic highlighted that many households lacked the devices, data or skills required for online care (Watts, 2020). A scoping review by Honeyman et al. (2020) concluded that digital technologies can widen health inequalities if the needs of excluded groups are not addressed. This echoes the inverse care law, which holds </w:t>
      </w:r>
      <w:r w:rsidRPr="00C06BA9">
        <w:lastRenderedPageBreak/>
        <w:t>that those with the greatest need often receive the least care (Tudor Hart, 1971): if video consultation becomes the default, people with the poorest access to technology may be those with the greatest health needs. Family members can also be drawn into acting as informal technical support, adding to carer burden. Rural areas that benefit from reduced travel may still be affected by poor broadband. To mitigate these risks, services should keep alternative routes of access, offer community-based support such</w:t>
      </w:r>
      <w:r w:rsidRPr="00C06BA9">
        <w:t xml:space="preserve"> as local digital hubs, and monitor who is and is not using video services.</w:t>
      </w:r>
    </w:p>
    <w:p w14:paraId="4C59E74B" w14:textId="77777777" w:rsidR="0081299F" w:rsidRPr="00C06BA9" w:rsidRDefault="00A445C7" w:rsidP="00C06BA9">
      <w:pPr>
        <w:pStyle w:val="Heading1"/>
        <w:keepNext/>
        <w:spacing w:line="360" w:lineRule="auto"/>
        <w:jc w:val="both"/>
        <w:rPr>
          <w:sz w:val="22"/>
          <w:szCs w:val="22"/>
        </w:rPr>
      </w:pPr>
      <w:r w:rsidRPr="00C06BA9">
        <w:rPr>
          <w:sz w:val="22"/>
          <w:szCs w:val="22"/>
        </w:rPr>
        <w:t>6. Conclusion</w:t>
      </w:r>
    </w:p>
    <w:p w14:paraId="4C59E74C" w14:textId="77777777" w:rsidR="0081299F" w:rsidRPr="00C06BA9" w:rsidRDefault="00A445C7" w:rsidP="00C06BA9">
      <w:pPr>
        <w:spacing w:after="160" w:line="360" w:lineRule="auto"/>
        <w:jc w:val="both"/>
      </w:pPr>
      <w:r w:rsidRPr="00C06BA9">
        <w:t xml:space="preserve">Video consultations have been implemented successfully in many UK services, and Near Me in particular shows how technology can bring specialist care closer to rural communities. This evaluation found clear benefits for convenience, travel, sustainability and flexible working, </w:t>
      </w:r>
      <w:r w:rsidRPr="00C06BA9">
        <w:t>alongside genuine risks. For the workforce, training and guidance have not always kept pace with implementation; for services, technical and integration problems limit efficiency gains; for patients, experiences depend on choice, confidence and clinical suitability; and for communities, digital exclusion threatens to widen inequalities. The NASSS framework helps to explain these findings, since success depends on the interaction of technology, people, organisations and the wider system rather than on the te</w:t>
      </w:r>
      <w:r w:rsidRPr="00C06BA9">
        <w:t>chnology alone. It also highlights that the same innovation can produce different outcomes in different settings, which is why local context must inform implementation.</w:t>
      </w:r>
    </w:p>
    <w:p w14:paraId="4C59E74D" w14:textId="77777777" w:rsidR="0081299F" w:rsidRPr="00C06BA9" w:rsidRDefault="00A445C7" w:rsidP="00C06BA9">
      <w:pPr>
        <w:spacing w:after="160" w:line="360" w:lineRule="auto"/>
        <w:jc w:val="both"/>
      </w:pPr>
      <w:r w:rsidRPr="00C06BA9">
        <w:t>Much of the available evidence is small-scale, qualitative or drawn from the pandemic period, so conclusions should be treated with caution. On balance, video consultations are best understood as one option within a blended model rather than a replacement for face-to-face or telephone care. Future implementation should prioritise workforce training, patient choice, digital inclusion support and ongoing co-production with patients and communities, so that the benefits of this innovation are shared fairly.</w:t>
      </w:r>
    </w:p>
    <w:p w14:paraId="4C59E74E" w14:textId="77777777" w:rsidR="0081299F" w:rsidRPr="00C06BA9" w:rsidRDefault="00A445C7" w:rsidP="00C06BA9">
      <w:pPr>
        <w:spacing w:line="360" w:lineRule="auto"/>
        <w:jc w:val="both"/>
      </w:pPr>
      <w:r w:rsidRPr="00C06BA9">
        <w:br w:type="page"/>
      </w:r>
    </w:p>
    <w:p w14:paraId="4C59E74F" w14:textId="77777777" w:rsidR="0081299F" w:rsidRPr="00C06BA9" w:rsidRDefault="00A445C7" w:rsidP="00C06BA9">
      <w:pPr>
        <w:pStyle w:val="Heading1"/>
        <w:keepNext/>
        <w:spacing w:line="360" w:lineRule="auto"/>
        <w:jc w:val="both"/>
        <w:rPr>
          <w:sz w:val="22"/>
          <w:szCs w:val="22"/>
        </w:rPr>
      </w:pPr>
      <w:r w:rsidRPr="00C06BA9">
        <w:rPr>
          <w:sz w:val="22"/>
          <w:szCs w:val="22"/>
        </w:rPr>
        <w:lastRenderedPageBreak/>
        <w:t>Reference List</w:t>
      </w:r>
    </w:p>
    <w:p w14:paraId="4C59E750" w14:textId="77777777" w:rsidR="0081299F" w:rsidRPr="00C06BA9" w:rsidRDefault="00A445C7" w:rsidP="00C06BA9">
      <w:pPr>
        <w:spacing w:after="120" w:line="360" w:lineRule="auto"/>
        <w:ind w:left="720" w:hanging="720"/>
      </w:pPr>
      <w:r w:rsidRPr="00C06BA9">
        <w:t xml:space="preserve">Donaghy, E., Atherton, H., Hammersley, V., McNeilly, H., Bikker, A., Robbins, L., Campbell, J. and McKinstry, B. (2019) ‘Acceptability, benefits, and challenges of video consulting: a qualitative study in primary care’, </w:t>
      </w:r>
      <w:r w:rsidRPr="00C06BA9">
        <w:rPr>
          <w:i/>
          <w:iCs/>
        </w:rPr>
        <w:t>British Journal of General Practice</w:t>
      </w:r>
      <w:r w:rsidRPr="00C06BA9">
        <w:t>, 69(686), pp. e586–e594.</w:t>
      </w:r>
    </w:p>
    <w:p w14:paraId="4C59E751" w14:textId="77777777" w:rsidR="0081299F" w:rsidRPr="00C06BA9" w:rsidRDefault="00A445C7" w:rsidP="00C06BA9">
      <w:pPr>
        <w:spacing w:after="120" w:line="360" w:lineRule="auto"/>
        <w:ind w:left="720" w:hanging="720"/>
      </w:pPr>
      <w:r w:rsidRPr="00C06BA9">
        <w:t xml:space="preserve">Greenhalgh, T., </w:t>
      </w:r>
      <w:proofErr w:type="spellStart"/>
      <w:r w:rsidRPr="00C06BA9">
        <w:t>Wherton</w:t>
      </w:r>
      <w:proofErr w:type="spellEnd"/>
      <w:r w:rsidRPr="00C06BA9">
        <w:t xml:space="preserve">, J., Papoutsi, C., Lynch, J., Hughes, G., A’Court, C., Hinder, S., Fahy, N., Procter, R. and Shaw, S. (2017) ‘Beyond adoption: a new framework for theorizing and evaluating </w:t>
      </w:r>
      <w:proofErr w:type="spellStart"/>
      <w:r w:rsidRPr="00C06BA9">
        <w:t>nonadoption</w:t>
      </w:r>
      <w:proofErr w:type="spellEnd"/>
      <w:r w:rsidRPr="00C06BA9">
        <w:t xml:space="preserve">, abandonment, and scale-up, spread, and sustainability of health and care technologies’, </w:t>
      </w:r>
      <w:r w:rsidRPr="00C06BA9">
        <w:rPr>
          <w:i/>
          <w:iCs/>
        </w:rPr>
        <w:t>Journal of Medical Internet Research</w:t>
      </w:r>
      <w:r w:rsidRPr="00C06BA9">
        <w:t>, 19(11), e367.</w:t>
      </w:r>
    </w:p>
    <w:p w14:paraId="4C59E752" w14:textId="77777777" w:rsidR="0081299F" w:rsidRPr="00C06BA9" w:rsidRDefault="00A445C7" w:rsidP="00C06BA9">
      <w:pPr>
        <w:spacing w:after="120" w:line="360" w:lineRule="auto"/>
        <w:ind w:left="720" w:hanging="720"/>
      </w:pPr>
      <w:r w:rsidRPr="00C06BA9">
        <w:t xml:space="preserve">Greenhalgh, T., </w:t>
      </w:r>
      <w:proofErr w:type="spellStart"/>
      <w:r w:rsidRPr="00C06BA9">
        <w:t>Wherton</w:t>
      </w:r>
      <w:proofErr w:type="spellEnd"/>
      <w:r w:rsidRPr="00C06BA9">
        <w:t xml:space="preserve">, J., Shaw, S. and Morrison, C. (2020) ‘Video consultations for covid-19’, </w:t>
      </w:r>
      <w:r w:rsidRPr="00C06BA9">
        <w:rPr>
          <w:i/>
          <w:iCs/>
        </w:rPr>
        <w:t>BMJ</w:t>
      </w:r>
      <w:r w:rsidRPr="00C06BA9">
        <w:t>, 368, m998.</w:t>
      </w:r>
    </w:p>
    <w:p w14:paraId="4C59E753" w14:textId="77777777" w:rsidR="0081299F" w:rsidRPr="00C06BA9" w:rsidRDefault="00A445C7" w:rsidP="00C06BA9">
      <w:pPr>
        <w:spacing w:after="120" w:line="360" w:lineRule="auto"/>
        <w:ind w:left="720" w:hanging="720"/>
      </w:pPr>
      <w:r w:rsidRPr="00C06BA9">
        <w:t xml:space="preserve">Hammersley, V., Donaghy, E., Parker, R., McNeilly, H., Atherton, H., Bikker, A., Campbell, J. and McKinstry, B. (2019) ‘Comparing the content and quality of video, telephone, and face-to-face consultations: a non-randomised, quasi-experimental, exploratory study in UK primary care’, </w:t>
      </w:r>
      <w:r w:rsidRPr="00C06BA9">
        <w:rPr>
          <w:i/>
          <w:iCs/>
        </w:rPr>
        <w:t>British Journal of General Practice</w:t>
      </w:r>
      <w:r w:rsidRPr="00C06BA9">
        <w:t>, 69(686), pp. e595–e604.</w:t>
      </w:r>
    </w:p>
    <w:p w14:paraId="4C59E754" w14:textId="77777777" w:rsidR="0081299F" w:rsidRPr="00C06BA9" w:rsidRDefault="00A445C7" w:rsidP="00C06BA9">
      <w:pPr>
        <w:spacing w:after="120" w:line="360" w:lineRule="auto"/>
        <w:ind w:left="720" w:hanging="720"/>
      </w:pPr>
      <w:r w:rsidRPr="00C06BA9">
        <w:t xml:space="preserve">Honeyman, M., Maguire, D., Evans, H. and Davies, A. (2020) </w:t>
      </w:r>
      <w:r w:rsidRPr="00C06BA9">
        <w:rPr>
          <w:i/>
          <w:iCs/>
        </w:rPr>
        <w:t>Digital technology and health inequalities: a scoping review</w:t>
      </w:r>
      <w:r w:rsidRPr="00C06BA9">
        <w:t>. Cardiff: Public Health Wales NHS Trust.</w:t>
      </w:r>
    </w:p>
    <w:p w14:paraId="4C59E755" w14:textId="77777777" w:rsidR="0081299F" w:rsidRPr="00C06BA9" w:rsidRDefault="00A445C7" w:rsidP="00C06BA9">
      <w:pPr>
        <w:spacing w:after="120" w:line="360" w:lineRule="auto"/>
        <w:ind w:left="720" w:hanging="720"/>
      </w:pPr>
      <w:r w:rsidRPr="00C06BA9">
        <w:t xml:space="preserve">Hutchings, R. (2020) </w:t>
      </w:r>
      <w:r w:rsidRPr="00C06BA9">
        <w:rPr>
          <w:i/>
          <w:iCs/>
        </w:rPr>
        <w:t>The impact of Covid-19 on the use of digital technology in the NHS</w:t>
      </w:r>
      <w:r w:rsidRPr="00C06BA9">
        <w:t>. London: Nuffield Trust.</w:t>
      </w:r>
    </w:p>
    <w:p w14:paraId="4C59E756" w14:textId="77777777" w:rsidR="0081299F" w:rsidRPr="00C06BA9" w:rsidRDefault="00A445C7" w:rsidP="00C06BA9">
      <w:pPr>
        <w:spacing w:after="120" w:line="360" w:lineRule="auto"/>
        <w:ind w:left="720" w:hanging="720"/>
      </w:pPr>
      <w:r w:rsidRPr="00C06BA9">
        <w:t xml:space="preserve">Murphy, M., Scott, L.J., Salisbury, C., Turner, A., Scott, A., Denholm, R., Lewis, R., Iyer, G., Macleod, J. and Horwood, J. (2021) ‘Implementation of remote consulting in UK primary care following the COVID-19 pandemic: a mixed-methods longitudinal study’, </w:t>
      </w:r>
      <w:r w:rsidRPr="00C06BA9">
        <w:rPr>
          <w:i/>
          <w:iCs/>
        </w:rPr>
        <w:t>British Journal of General Practice</w:t>
      </w:r>
      <w:r w:rsidRPr="00C06BA9">
        <w:t>, 71(704), pp. e166–e177.</w:t>
      </w:r>
    </w:p>
    <w:p w14:paraId="4C59E757" w14:textId="77777777" w:rsidR="0081299F" w:rsidRPr="00C06BA9" w:rsidRDefault="00A445C7" w:rsidP="00C06BA9">
      <w:pPr>
        <w:spacing w:after="120" w:line="360" w:lineRule="auto"/>
        <w:ind w:left="720" w:hanging="720"/>
      </w:pPr>
      <w:r w:rsidRPr="00C06BA9">
        <w:t xml:space="preserve">NHS England (2019) </w:t>
      </w:r>
      <w:r w:rsidRPr="00C06BA9">
        <w:rPr>
          <w:i/>
          <w:iCs/>
        </w:rPr>
        <w:t>The NHS Long Term Plan</w:t>
      </w:r>
      <w:r w:rsidRPr="00C06BA9">
        <w:t>. London: NHS England.</w:t>
      </w:r>
    </w:p>
    <w:p w14:paraId="4C59E758" w14:textId="77777777" w:rsidR="0081299F" w:rsidRPr="00C06BA9" w:rsidRDefault="00A445C7" w:rsidP="00C06BA9">
      <w:pPr>
        <w:spacing w:after="120" w:line="360" w:lineRule="auto"/>
        <w:ind w:left="720" w:hanging="720"/>
      </w:pPr>
      <w:r w:rsidRPr="00C06BA9">
        <w:t xml:space="preserve">Purohit, A., Smith, J. and Hibble, A. (2021) ‘Does telemedicine reduce the carbon footprint of healthcare? A systematic review’, </w:t>
      </w:r>
      <w:r w:rsidRPr="00C06BA9">
        <w:rPr>
          <w:i/>
          <w:iCs/>
        </w:rPr>
        <w:t>Future Healthcare Journal</w:t>
      </w:r>
      <w:r w:rsidRPr="00C06BA9">
        <w:t>, 8(1), pp. e85–e91.</w:t>
      </w:r>
    </w:p>
    <w:p w14:paraId="4C59E759" w14:textId="77777777" w:rsidR="0081299F" w:rsidRPr="00C06BA9" w:rsidRDefault="00A445C7" w:rsidP="00C06BA9">
      <w:pPr>
        <w:spacing w:after="120" w:line="360" w:lineRule="auto"/>
        <w:ind w:left="720" w:hanging="720"/>
      </w:pPr>
      <w:r w:rsidRPr="00C06BA9">
        <w:t xml:space="preserve">Scottish Government (2018) </w:t>
      </w:r>
      <w:r w:rsidRPr="00C06BA9">
        <w:rPr>
          <w:i/>
          <w:iCs/>
        </w:rPr>
        <w:t>Scotland’s digital health and care strategy: enabling, connecting and empowering</w:t>
      </w:r>
      <w:r w:rsidRPr="00C06BA9">
        <w:t>. Edinburgh: Scottish Government.</w:t>
      </w:r>
    </w:p>
    <w:p w14:paraId="4C59E75A" w14:textId="77777777" w:rsidR="0081299F" w:rsidRPr="00C06BA9" w:rsidRDefault="00A445C7" w:rsidP="00C06BA9">
      <w:pPr>
        <w:spacing w:after="120" w:line="360" w:lineRule="auto"/>
        <w:ind w:left="720" w:hanging="720"/>
      </w:pPr>
      <w:r w:rsidRPr="00C06BA9">
        <w:t xml:space="preserve">Topol, E. (2019) </w:t>
      </w:r>
      <w:r w:rsidRPr="00C06BA9">
        <w:rPr>
          <w:i/>
          <w:iCs/>
        </w:rPr>
        <w:t>The Topol Review: preparing the healthcare workforce to deliver the digital future</w:t>
      </w:r>
      <w:r w:rsidRPr="00C06BA9">
        <w:t>. London: Health Education England.</w:t>
      </w:r>
    </w:p>
    <w:p w14:paraId="4C59E75B" w14:textId="77777777" w:rsidR="0081299F" w:rsidRPr="00C06BA9" w:rsidRDefault="00A445C7" w:rsidP="00C06BA9">
      <w:pPr>
        <w:spacing w:after="120" w:line="360" w:lineRule="auto"/>
        <w:ind w:left="720" w:hanging="720"/>
      </w:pPr>
      <w:r w:rsidRPr="00C06BA9">
        <w:t xml:space="preserve">Tudor Hart, J. (1971) ‘The inverse care law’, </w:t>
      </w:r>
      <w:r w:rsidRPr="00C06BA9">
        <w:rPr>
          <w:i/>
          <w:iCs/>
        </w:rPr>
        <w:t>The Lancet</w:t>
      </w:r>
      <w:r w:rsidRPr="00C06BA9">
        <w:t>, 297(7696), pp. 405–412.</w:t>
      </w:r>
    </w:p>
    <w:p w14:paraId="4C59E75C" w14:textId="77777777" w:rsidR="0081299F" w:rsidRPr="00C06BA9" w:rsidRDefault="00A445C7" w:rsidP="00C06BA9">
      <w:pPr>
        <w:spacing w:after="120" w:line="360" w:lineRule="auto"/>
        <w:ind w:left="720" w:hanging="720"/>
      </w:pPr>
      <w:r w:rsidRPr="00C06BA9">
        <w:lastRenderedPageBreak/>
        <w:t xml:space="preserve">Watts, G. (2020) ‘COVID-19 and the digital divide in the UK’, </w:t>
      </w:r>
      <w:r w:rsidRPr="00C06BA9">
        <w:rPr>
          <w:i/>
          <w:iCs/>
        </w:rPr>
        <w:t>The Lancet Digital Health</w:t>
      </w:r>
      <w:r w:rsidRPr="00C06BA9">
        <w:t>, 2(8), pp. e395–e396.</w:t>
      </w:r>
    </w:p>
    <w:p w14:paraId="4C59E75D" w14:textId="77777777" w:rsidR="0081299F" w:rsidRPr="00C06BA9" w:rsidRDefault="00A445C7" w:rsidP="00C06BA9">
      <w:pPr>
        <w:spacing w:after="120" w:line="360" w:lineRule="auto"/>
        <w:ind w:left="720" w:hanging="720"/>
      </w:pPr>
      <w:proofErr w:type="spellStart"/>
      <w:r w:rsidRPr="00C06BA9">
        <w:t>Wherton</w:t>
      </w:r>
      <w:proofErr w:type="spellEnd"/>
      <w:r w:rsidRPr="00C06BA9">
        <w:t xml:space="preserve">, J., </w:t>
      </w:r>
      <w:proofErr w:type="spellStart"/>
      <w:r w:rsidRPr="00C06BA9">
        <w:t>Sugarhood</w:t>
      </w:r>
      <w:proofErr w:type="spellEnd"/>
      <w:r w:rsidRPr="00C06BA9">
        <w:t xml:space="preserve">, P., Procter, R., Hinder, S. and Greenhalgh, T. (2015) ‘Co-production in practice: how people with assisted living needs can help design and evolve technologies and services’, </w:t>
      </w:r>
      <w:r w:rsidRPr="00C06BA9">
        <w:rPr>
          <w:i/>
          <w:iCs/>
        </w:rPr>
        <w:t>Implementation Science</w:t>
      </w:r>
      <w:r w:rsidRPr="00C06BA9">
        <w:t>, 10, article 75.</w:t>
      </w:r>
    </w:p>
    <w:p w14:paraId="4C59E75E" w14:textId="77777777" w:rsidR="0081299F" w:rsidRPr="00C06BA9" w:rsidRDefault="00A445C7" w:rsidP="00C06BA9">
      <w:pPr>
        <w:spacing w:after="120" w:line="360" w:lineRule="auto"/>
        <w:ind w:left="720" w:hanging="720"/>
      </w:pPr>
      <w:proofErr w:type="spellStart"/>
      <w:r w:rsidRPr="00C06BA9">
        <w:t>Wherton</w:t>
      </w:r>
      <w:proofErr w:type="spellEnd"/>
      <w:r w:rsidRPr="00C06BA9">
        <w:t xml:space="preserve">, J., Shaw, S., Papoutsi, C., Seuren, L. and Greenhalgh, T. (2020) ‘Guidance on the introduction and use of video consultations during COVID-19: important lessons from qualitative research’, </w:t>
      </w:r>
      <w:r w:rsidRPr="00C06BA9">
        <w:rPr>
          <w:i/>
          <w:iCs/>
        </w:rPr>
        <w:t>BMJ Leader</w:t>
      </w:r>
      <w:r w:rsidRPr="00C06BA9">
        <w:t>, 4(3), pp. 120–122.</w:t>
      </w:r>
    </w:p>
    <w:sectPr w:rsidR="0081299F" w:rsidRPr="00C06BA9">
      <w:footerReference w:type="default" r:id="rId7"/>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FA84C" w14:textId="77777777" w:rsidR="00A445C7" w:rsidRDefault="00A445C7">
      <w:r>
        <w:separator/>
      </w:r>
    </w:p>
  </w:endnote>
  <w:endnote w:type="continuationSeparator" w:id="0">
    <w:p w14:paraId="6C49D8E7" w14:textId="77777777" w:rsidR="00A445C7" w:rsidRDefault="00A445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677148"/>
      <w:docPartObj>
        <w:docPartGallery w:val="Page Numbers (Bottom of Page)"/>
        <w:docPartUnique/>
      </w:docPartObj>
    </w:sdtPr>
    <w:sdtContent>
      <w:p w14:paraId="7EAC17DC" w14:textId="7D4B34C6" w:rsidR="00DE30A1" w:rsidRDefault="00DE30A1">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4C59E75F" w14:textId="08D56C65" w:rsidR="0081299F" w:rsidRDefault="0081299F">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95472" w14:textId="77777777" w:rsidR="00A445C7" w:rsidRDefault="00A445C7">
      <w:r>
        <w:separator/>
      </w:r>
    </w:p>
  </w:footnote>
  <w:footnote w:type="continuationSeparator" w:id="0">
    <w:p w14:paraId="49C067E0" w14:textId="77777777" w:rsidR="00A445C7" w:rsidRDefault="00A445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072ACB"/>
    <w:multiLevelType w:val="hybridMultilevel"/>
    <w:tmpl w:val="6144E758"/>
    <w:lvl w:ilvl="0" w:tplc="AB3231B2">
      <w:start w:val="1"/>
      <w:numFmt w:val="bullet"/>
      <w:lvlText w:val="●"/>
      <w:lvlJc w:val="left"/>
      <w:pPr>
        <w:ind w:left="720" w:hanging="360"/>
      </w:pPr>
    </w:lvl>
    <w:lvl w:ilvl="1" w:tplc="CEFAE70E">
      <w:start w:val="1"/>
      <w:numFmt w:val="bullet"/>
      <w:lvlText w:val="○"/>
      <w:lvlJc w:val="left"/>
      <w:pPr>
        <w:ind w:left="1440" w:hanging="360"/>
      </w:pPr>
    </w:lvl>
    <w:lvl w:ilvl="2" w:tplc="912E0706">
      <w:start w:val="1"/>
      <w:numFmt w:val="bullet"/>
      <w:lvlText w:val="■"/>
      <w:lvlJc w:val="left"/>
      <w:pPr>
        <w:ind w:left="2160" w:hanging="360"/>
      </w:pPr>
    </w:lvl>
    <w:lvl w:ilvl="3" w:tplc="AF90C8B0">
      <w:start w:val="1"/>
      <w:numFmt w:val="bullet"/>
      <w:lvlText w:val="●"/>
      <w:lvlJc w:val="left"/>
      <w:pPr>
        <w:ind w:left="2880" w:hanging="360"/>
      </w:pPr>
    </w:lvl>
    <w:lvl w:ilvl="4" w:tplc="9F6EEA74">
      <w:start w:val="1"/>
      <w:numFmt w:val="bullet"/>
      <w:lvlText w:val="○"/>
      <w:lvlJc w:val="left"/>
      <w:pPr>
        <w:ind w:left="3600" w:hanging="360"/>
      </w:pPr>
    </w:lvl>
    <w:lvl w:ilvl="5" w:tplc="EDD0E826">
      <w:start w:val="1"/>
      <w:numFmt w:val="bullet"/>
      <w:lvlText w:val="■"/>
      <w:lvlJc w:val="left"/>
      <w:pPr>
        <w:ind w:left="4320" w:hanging="360"/>
      </w:pPr>
    </w:lvl>
    <w:lvl w:ilvl="6" w:tplc="93E8C270">
      <w:start w:val="1"/>
      <w:numFmt w:val="bullet"/>
      <w:lvlText w:val="●"/>
      <w:lvlJc w:val="left"/>
      <w:pPr>
        <w:ind w:left="5040" w:hanging="360"/>
      </w:pPr>
    </w:lvl>
    <w:lvl w:ilvl="7" w:tplc="D40EC7C8">
      <w:start w:val="1"/>
      <w:numFmt w:val="bullet"/>
      <w:lvlText w:val="●"/>
      <w:lvlJc w:val="left"/>
      <w:pPr>
        <w:ind w:left="5760" w:hanging="360"/>
      </w:pPr>
    </w:lvl>
    <w:lvl w:ilvl="8" w:tplc="EFB8E536">
      <w:start w:val="1"/>
      <w:numFmt w:val="bullet"/>
      <w:lvlText w:val="●"/>
      <w:lvlJc w:val="left"/>
      <w:pPr>
        <w:ind w:left="6480" w:hanging="360"/>
      </w:pPr>
    </w:lvl>
  </w:abstractNum>
  <w:num w:numId="1" w16cid:durableId="605734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99F"/>
    <w:rsid w:val="001853ED"/>
    <w:rsid w:val="001907A7"/>
    <w:rsid w:val="001B35FA"/>
    <w:rsid w:val="001C41B0"/>
    <w:rsid w:val="006769EE"/>
    <w:rsid w:val="0081299F"/>
    <w:rsid w:val="00A445C7"/>
    <w:rsid w:val="00BE0CAA"/>
    <w:rsid w:val="00C06BA9"/>
    <w:rsid w:val="00CD1FD0"/>
    <w:rsid w:val="00DE30A1"/>
    <w:rsid w:val="00E12977"/>
    <w:rsid w:val="00E42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9E733"/>
  <w15:docId w15:val="{20FAE260-DEC4-49CE-AD37-4E139E86C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sz w:val="24"/>
      <w:szCs w:val="2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E30A1"/>
    <w:pPr>
      <w:tabs>
        <w:tab w:val="center" w:pos="4513"/>
        <w:tab w:val="right" w:pos="9026"/>
      </w:tabs>
    </w:pPr>
  </w:style>
  <w:style w:type="character" w:customStyle="1" w:styleId="HeaderChar">
    <w:name w:val="Header Char"/>
    <w:basedOn w:val="DefaultParagraphFont"/>
    <w:link w:val="Header"/>
    <w:uiPriority w:val="99"/>
    <w:rsid w:val="00DE30A1"/>
  </w:style>
  <w:style w:type="paragraph" w:styleId="Footer">
    <w:name w:val="footer"/>
    <w:basedOn w:val="Normal"/>
    <w:link w:val="FooterChar"/>
    <w:uiPriority w:val="99"/>
    <w:unhideWhenUsed/>
    <w:rsid w:val="00DE30A1"/>
    <w:pPr>
      <w:tabs>
        <w:tab w:val="center" w:pos="4513"/>
        <w:tab w:val="right" w:pos="9026"/>
      </w:tabs>
    </w:pPr>
  </w:style>
  <w:style w:type="character" w:customStyle="1" w:styleId="FooterChar">
    <w:name w:val="Footer Char"/>
    <w:basedOn w:val="DefaultParagraphFont"/>
    <w:link w:val="Footer"/>
    <w:uiPriority w:val="99"/>
    <w:rsid w:val="00DE3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2398</Words>
  <Characters>13672</Characters>
  <Application>Microsoft Office Word</Application>
  <DocSecurity>0</DocSecurity>
  <Lines>113</Lines>
  <Paragraphs>32</Paragraphs>
  <ScaleCrop>false</ScaleCrop>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Salma Begum</cp:lastModifiedBy>
  <cp:revision>9</cp:revision>
  <dcterms:created xsi:type="dcterms:W3CDTF">2026-10-04T17:18:00Z</dcterms:created>
  <dcterms:modified xsi:type="dcterms:W3CDTF">2026-10-15T18:39:00Z</dcterms:modified>
</cp:coreProperties>
</file>