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61617" w14:textId="4EE8B3E1" w:rsidR="00DA63D1" w:rsidRDefault="00BB7BC4">
      <w:pPr>
        <w:spacing w:before="720" w:after="120"/>
      </w:pPr>
      <w:r>
        <w:rPr>
          <w:b/>
          <w:color w:val="2E4A3F"/>
          <w:sz w:val="48"/>
        </w:rPr>
        <w:t xml:space="preserve">PLAN: FRESHFUEL </w:t>
      </w:r>
      <w:proofErr w:type="gramStart"/>
      <w:r>
        <w:rPr>
          <w:b/>
          <w:color w:val="2E4A3F"/>
          <w:sz w:val="48"/>
        </w:rPr>
        <w:t xml:space="preserve">MOBILE </w:t>
      </w:r>
      <w:r w:rsidR="00223AFA">
        <w:rPr>
          <w:b/>
          <w:color w:val="2E4A3F"/>
          <w:sz w:val="48"/>
        </w:rPr>
        <w:t xml:space="preserve"> </w:t>
      </w:r>
      <w:r>
        <w:rPr>
          <w:b/>
          <w:color w:val="2E4A3F"/>
          <w:sz w:val="48"/>
        </w:rPr>
        <w:t>KITCHEN</w:t>
      </w:r>
      <w:proofErr w:type="gramEnd"/>
    </w:p>
    <w:p w14:paraId="0F4A2DA6" w14:textId="77777777" w:rsidR="00DA63D1" w:rsidRDefault="00BB7BC4">
      <w:pPr>
        <w:spacing w:after="960"/>
      </w:pPr>
      <w:r>
        <w:rPr>
          <w:i/>
          <w:color w:val="4A6B5D"/>
          <w:sz w:val="26"/>
        </w:rPr>
        <w:t>A Sustainable, Health-Focused Campus Catering Initiative</w:t>
      </w:r>
    </w:p>
    <w:p w14:paraId="2BC6031C" w14:textId="4AD3951B" w:rsidR="00DA63D1" w:rsidRPr="002625CB" w:rsidRDefault="00BB7BC4">
      <w:pPr>
        <w:spacing w:after="80" w:line="288" w:lineRule="auto"/>
      </w:pPr>
      <w:r>
        <w:rPr>
          <w:b/>
          <w:color w:val="2E4A3F"/>
        </w:rPr>
        <w:t xml:space="preserve">Program of Study:        </w:t>
      </w:r>
      <w:proofErr w:type="spellStart"/>
      <w:r w:rsidR="002625CB" w:rsidRPr="002625CB">
        <w:rPr>
          <w:color w:val="2E4A3F"/>
        </w:rPr>
        <w:t>CertHE</w:t>
      </w:r>
      <w:proofErr w:type="spellEnd"/>
      <w:r w:rsidR="002625CB" w:rsidRPr="002625CB">
        <w:rPr>
          <w:color w:val="2E4A3F"/>
        </w:rPr>
        <w:t xml:space="preserve"> Business Skills for the Workplace</w:t>
      </w:r>
    </w:p>
    <w:p w14:paraId="66721FC9" w14:textId="6A9F25C5" w:rsidR="00DA63D1" w:rsidRDefault="00BB7BC4">
      <w:pPr>
        <w:spacing w:after="80" w:line="288" w:lineRule="auto"/>
      </w:pPr>
      <w:r>
        <w:rPr>
          <w:b/>
          <w:color w:val="2E4A3F"/>
        </w:rPr>
        <w:t xml:space="preserve">Module Name and Code:    </w:t>
      </w:r>
      <w:r w:rsidR="00A9511A" w:rsidRPr="005B4CD2">
        <w:rPr>
          <w:bCs/>
          <w:color w:val="2E4A3F"/>
        </w:rPr>
        <w:t xml:space="preserve">Enterprise and </w:t>
      </w:r>
      <w:r w:rsidR="0003239B" w:rsidRPr="005B4CD2">
        <w:rPr>
          <w:bCs/>
          <w:color w:val="2E4A3F"/>
        </w:rPr>
        <w:t>Entrepreneurship</w:t>
      </w:r>
      <w:r w:rsidR="0003239B">
        <w:rPr>
          <w:b/>
          <w:color w:val="2E4A3F"/>
        </w:rPr>
        <w:t xml:space="preserve"> </w:t>
      </w:r>
    </w:p>
    <w:p w14:paraId="433A6153" w14:textId="7678D439" w:rsidR="00DA63D1" w:rsidRDefault="00BB7BC4">
      <w:pPr>
        <w:spacing w:after="80" w:line="288" w:lineRule="auto"/>
      </w:pPr>
      <w:r>
        <w:rPr>
          <w:b/>
          <w:color w:val="2E4A3F"/>
        </w:rPr>
        <w:t xml:space="preserve">Assignment Title:        </w:t>
      </w:r>
      <w:r>
        <w:t>Sustainable Business Plan</w:t>
      </w:r>
    </w:p>
    <w:p w14:paraId="31B477EF" w14:textId="5814C002" w:rsidR="00DA63D1" w:rsidRDefault="00BB7BC4">
      <w:pPr>
        <w:spacing w:after="80" w:line="288" w:lineRule="auto"/>
      </w:pPr>
      <w:r>
        <w:rPr>
          <w:b/>
          <w:color w:val="2E4A3F"/>
        </w:rPr>
        <w:t xml:space="preserve">Lecturer’s Name:         </w:t>
      </w:r>
      <w:r w:rsidR="003C550A">
        <w:t xml:space="preserve">Rebecca </w:t>
      </w:r>
      <w:r w:rsidR="009C18F9">
        <w:t>Stewart</w:t>
      </w:r>
    </w:p>
    <w:p w14:paraId="7369C9F0" w14:textId="77777777" w:rsidR="00DA63D1" w:rsidRDefault="00BB7BC4">
      <w:pPr>
        <w:spacing w:after="80" w:line="288" w:lineRule="auto"/>
      </w:pPr>
      <w:r>
        <w:rPr>
          <w:b/>
          <w:color w:val="2E4A3F"/>
        </w:rPr>
        <w:t xml:space="preserve">Lead Entrepreneur:       </w:t>
      </w:r>
      <w:r>
        <w:t>Marius Ciuculescu (Head Chef &amp; Founder)</w:t>
      </w:r>
    </w:p>
    <w:p w14:paraId="3C74EC48" w14:textId="77777777" w:rsidR="00DA63D1" w:rsidRDefault="00BB7BC4">
      <w:pPr>
        <w:spacing w:after="80" w:line="288" w:lineRule="auto"/>
      </w:pPr>
      <w:r>
        <w:rPr>
          <w:b/>
          <w:color w:val="2E4A3F"/>
        </w:rPr>
        <w:t xml:space="preserve">Academic Institution:    </w:t>
      </w:r>
      <w:r>
        <w:t>University of Wales Trinity Saint David (UWTSD)</w:t>
      </w:r>
    </w:p>
    <w:p w14:paraId="6C9955CD" w14:textId="77777777" w:rsidR="00DA63D1" w:rsidRDefault="00BB7BC4">
      <w:pPr>
        <w:spacing w:after="80" w:line="288" w:lineRule="auto"/>
      </w:pPr>
      <w:r>
        <w:rPr>
          <w:b/>
          <w:color w:val="2E4A3F"/>
        </w:rPr>
        <w:t xml:space="preserve">Campus Location:         </w:t>
      </w:r>
      <w:r>
        <w:t>Birmingham Quay Campus</w:t>
      </w:r>
    </w:p>
    <w:p w14:paraId="517D9CE5" w14:textId="77777777" w:rsidR="00DA63D1" w:rsidRDefault="00BB7BC4">
      <w:pPr>
        <w:spacing w:after="80" w:line="288" w:lineRule="auto"/>
      </w:pPr>
      <w:r>
        <w:rPr>
          <w:b/>
          <w:color w:val="2E4A3F"/>
        </w:rPr>
        <w:t xml:space="preserve">Date of Submission:      </w:t>
      </w:r>
      <w:r>
        <w:t>June 11, 2026</w:t>
      </w:r>
    </w:p>
    <w:p w14:paraId="5AF8EE1B" w14:textId="77777777" w:rsidR="00DA63D1" w:rsidRDefault="00BB7BC4">
      <w:r>
        <w:br w:type="page"/>
      </w:r>
    </w:p>
    <w:p w14:paraId="1AD377C0" w14:textId="77777777" w:rsidR="00DA63D1" w:rsidRDefault="00BB7BC4">
      <w:pPr>
        <w:pStyle w:val="Heading1"/>
        <w:spacing w:before="360" w:after="120"/>
      </w:pPr>
      <w:r>
        <w:rPr>
          <w:rFonts w:ascii="Arial" w:hAnsi="Arial"/>
          <w:color w:val="2E4A3F"/>
          <w:sz w:val="32"/>
        </w:rPr>
        <w:lastRenderedPageBreak/>
        <w:t>2. Executive Summary</w:t>
      </w:r>
    </w:p>
    <w:p w14:paraId="3C71560C" w14:textId="77777777" w:rsidR="00EC36EA" w:rsidRPr="00B97136" w:rsidRDefault="00EC36EA" w:rsidP="00EC36EA">
      <w:pPr>
        <w:pStyle w:val="Heading1"/>
        <w:spacing w:before="360" w:after="120"/>
        <w:rPr>
          <w:rFonts w:ascii="Arial" w:hAnsi="Arial" w:cs="Arial"/>
          <w:b w:val="0"/>
          <w:bCs w:val="0"/>
          <w:color w:val="000000" w:themeColor="text1"/>
          <w:sz w:val="20"/>
          <w:szCs w:val="20"/>
          <w:lang w:val="en-GB"/>
        </w:rPr>
      </w:pPr>
      <w:proofErr w:type="spellStart"/>
      <w:r w:rsidRPr="00B97136">
        <w:rPr>
          <w:rFonts w:ascii="Arial" w:hAnsi="Arial" w:cs="Arial"/>
          <w:b w:val="0"/>
          <w:bCs w:val="0"/>
          <w:color w:val="000000" w:themeColor="text1"/>
          <w:sz w:val="20"/>
          <w:szCs w:val="20"/>
          <w:lang w:val="en-GB"/>
        </w:rPr>
        <w:t>FreshFuel</w:t>
      </w:r>
      <w:proofErr w:type="spellEnd"/>
      <w:r w:rsidRPr="00B97136">
        <w:rPr>
          <w:rFonts w:ascii="Arial" w:hAnsi="Arial" w:cs="Arial"/>
          <w:b w:val="0"/>
          <w:bCs w:val="0"/>
          <w:color w:val="000000" w:themeColor="text1"/>
          <w:sz w:val="20"/>
          <w:szCs w:val="20"/>
          <w:lang w:val="en-GB"/>
        </w:rPr>
        <w:t xml:space="preserve"> Mobile Kitchen is a health-focused food truck permanently based at the University of Wales Trinity Saint David (UWTSD) Birmingham Quay Campus. Led by Head Chef Marius Ciuculescu, who brings over 10 years of culinary experience, the venture provides quick, nutritious, allergen-friendly, and sustainably sourced meals for students, staff, and health-conscious consumers.</w:t>
      </w:r>
    </w:p>
    <w:p w14:paraId="18650065" w14:textId="4F7456A5" w:rsidR="00DD5526" w:rsidRDefault="00DD5526">
      <w:pPr>
        <w:pStyle w:val="Heading1"/>
        <w:spacing w:before="360" w:after="120"/>
      </w:pPr>
      <w:r w:rsidRPr="00DD5526">
        <w:rPr>
          <w:rFonts w:ascii="Arial" w:hAnsi="Arial" w:cs="Arial"/>
          <w:b w:val="0"/>
          <w:bCs w:val="0"/>
          <w:color w:val="000000" w:themeColor="text1"/>
          <w:sz w:val="24"/>
          <w:szCs w:val="24"/>
        </w:rPr>
        <w:t xml:space="preserve">Seeking funding by UWTSD through a £75,000 grant as part of its campus wellness and sustainability program, </w:t>
      </w:r>
      <w:proofErr w:type="spellStart"/>
      <w:r w:rsidRPr="00DD5526">
        <w:rPr>
          <w:rFonts w:ascii="Arial" w:hAnsi="Arial" w:cs="Arial"/>
          <w:b w:val="0"/>
          <w:bCs w:val="0"/>
          <w:color w:val="000000" w:themeColor="text1"/>
          <w:sz w:val="24"/>
          <w:szCs w:val="24"/>
        </w:rPr>
        <w:t>FreshFuel</w:t>
      </w:r>
      <w:proofErr w:type="spellEnd"/>
      <w:r w:rsidRPr="00DD5526">
        <w:rPr>
          <w:rFonts w:ascii="Arial" w:hAnsi="Arial" w:cs="Arial"/>
          <w:b w:val="0"/>
          <w:bCs w:val="0"/>
          <w:color w:val="000000" w:themeColor="text1"/>
          <w:sz w:val="24"/>
          <w:szCs w:val="24"/>
        </w:rPr>
        <w:t xml:space="preserve"> aims to operate without commercial debt or private investment. Its sustainability strategy </w:t>
      </w:r>
      <w:proofErr w:type="spellStart"/>
      <w:r w:rsidRPr="00DD5526">
        <w:rPr>
          <w:rFonts w:ascii="Arial" w:hAnsi="Arial" w:cs="Arial"/>
          <w:b w:val="0"/>
          <w:bCs w:val="0"/>
          <w:color w:val="000000" w:themeColor="text1"/>
          <w:sz w:val="24"/>
          <w:szCs w:val="24"/>
        </w:rPr>
        <w:t>centre</w:t>
      </w:r>
      <w:r w:rsidR="005978A9">
        <w:rPr>
          <w:rFonts w:ascii="Arial" w:hAnsi="Arial" w:cs="Arial"/>
          <w:b w:val="0"/>
          <w:bCs w:val="0"/>
          <w:color w:val="000000" w:themeColor="text1"/>
          <w:sz w:val="24"/>
          <w:szCs w:val="24"/>
        </w:rPr>
        <w:t>s</w:t>
      </w:r>
      <w:proofErr w:type="spellEnd"/>
      <w:r w:rsidRPr="00DD5526">
        <w:rPr>
          <w:rFonts w:ascii="Arial" w:hAnsi="Arial" w:cs="Arial"/>
          <w:b w:val="0"/>
          <w:bCs w:val="0"/>
          <w:color w:val="000000" w:themeColor="text1"/>
          <w:sz w:val="24"/>
          <w:szCs w:val="24"/>
        </w:rPr>
        <w:t xml:space="preserve"> on eliminating single-use plastics and sourcing ingredients locally to reduce food miles and support regional producers. Designed as a self-sustaining campus asset, </w:t>
      </w:r>
      <w:proofErr w:type="spellStart"/>
      <w:r w:rsidRPr="00DD5526">
        <w:rPr>
          <w:rFonts w:ascii="Arial" w:hAnsi="Arial" w:cs="Arial"/>
          <w:b w:val="0"/>
          <w:bCs w:val="0"/>
          <w:color w:val="000000" w:themeColor="text1"/>
          <w:sz w:val="24"/>
          <w:szCs w:val="24"/>
        </w:rPr>
        <w:t>FreshFuel</w:t>
      </w:r>
      <w:proofErr w:type="spellEnd"/>
      <w:r w:rsidRPr="00DD5526">
        <w:rPr>
          <w:rFonts w:ascii="Arial" w:hAnsi="Arial" w:cs="Arial"/>
          <w:b w:val="0"/>
          <w:bCs w:val="0"/>
          <w:color w:val="000000" w:themeColor="text1"/>
          <w:sz w:val="24"/>
          <w:szCs w:val="24"/>
        </w:rPr>
        <w:t xml:space="preserve"> combines strong social impact with reliable demand</w:t>
      </w:r>
      <w:r>
        <w:t>.</w:t>
      </w:r>
    </w:p>
    <w:p w14:paraId="228331E2" w14:textId="55AC5637" w:rsidR="00DA63D1" w:rsidRDefault="00BB7BC4">
      <w:pPr>
        <w:pStyle w:val="Heading1"/>
        <w:spacing w:before="360" w:after="120"/>
      </w:pPr>
      <w:r>
        <w:rPr>
          <w:rFonts w:ascii="Arial" w:hAnsi="Arial"/>
          <w:color w:val="2E4A3F"/>
          <w:sz w:val="32"/>
        </w:rPr>
        <w:t>3. Table of Contents</w:t>
      </w:r>
    </w:p>
    <w:p w14:paraId="1E1D6699" w14:textId="77777777" w:rsidR="00DA63D1" w:rsidRDefault="00BB7BC4">
      <w:pPr>
        <w:spacing w:after="60"/>
      </w:pPr>
      <w:r>
        <w:rPr>
          <w:b/>
        </w:rPr>
        <w:t>1. Title Page &amp; Administration</w:t>
      </w:r>
    </w:p>
    <w:p w14:paraId="68F5B799" w14:textId="77777777" w:rsidR="00DA63D1" w:rsidRDefault="00BB7BC4">
      <w:pPr>
        <w:spacing w:after="60"/>
      </w:pPr>
      <w:r>
        <w:rPr>
          <w:b/>
        </w:rPr>
        <w:t>2. Executive Summary</w:t>
      </w:r>
    </w:p>
    <w:p w14:paraId="35915561" w14:textId="77777777" w:rsidR="00DA63D1" w:rsidRDefault="00BB7BC4">
      <w:pPr>
        <w:spacing w:after="60"/>
      </w:pPr>
      <w:r>
        <w:rPr>
          <w:b/>
        </w:rPr>
        <w:t>3. Table of Contents</w:t>
      </w:r>
    </w:p>
    <w:p w14:paraId="23853A30" w14:textId="77777777" w:rsidR="00DA63D1" w:rsidRDefault="00BB7BC4">
      <w:pPr>
        <w:spacing w:after="60"/>
      </w:pPr>
      <w:r>
        <w:rPr>
          <w:b/>
        </w:rPr>
        <w:t>4. Overview of the Business Idea</w:t>
      </w:r>
    </w:p>
    <w:p w14:paraId="49161602" w14:textId="77777777" w:rsidR="00DA63D1" w:rsidRDefault="00BB7BC4">
      <w:pPr>
        <w:spacing w:after="60"/>
      </w:pPr>
      <w:r>
        <w:rPr>
          <w:sz w:val="20"/>
        </w:rPr>
        <w:t xml:space="preserve">   4.1 Product and Service Offering</w:t>
      </w:r>
    </w:p>
    <w:p w14:paraId="6F572B02" w14:textId="77777777" w:rsidR="00DA63D1" w:rsidRDefault="00BB7BC4">
      <w:pPr>
        <w:spacing w:after="60"/>
      </w:pPr>
      <w:r>
        <w:rPr>
          <w:sz w:val="20"/>
        </w:rPr>
        <w:t xml:space="preserve">   4.2 Sustainability and Community Support Strategy</w:t>
      </w:r>
    </w:p>
    <w:p w14:paraId="7E19D539" w14:textId="77777777" w:rsidR="00DA63D1" w:rsidRDefault="00BB7BC4">
      <w:pPr>
        <w:spacing w:after="60"/>
      </w:pPr>
      <w:r>
        <w:rPr>
          <w:sz w:val="20"/>
        </w:rPr>
        <w:t xml:space="preserve">   4.3 Legal and Governance Format</w:t>
      </w:r>
    </w:p>
    <w:p w14:paraId="4015E252" w14:textId="77777777" w:rsidR="00DA63D1" w:rsidRDefault="00BB7BC4">
      <w:pPr>
        <w:spacing w:after="60"/>
      </w:pPr>
      <w:r>
        <w:rPr>
          <w:sz w:val="20"/>
        </w:rPr>
        <w:t xml:space="preserve">   4.4 Management Structure and Leadership Capability</w:t>
      </w:r>
    </w:p>
    <w:p w14:paraId="22982BF2" w14:textId="77777777" w:rsidR="00DA63D1" w:rsidRDefault="00BB7BC4">
      <w:pPr>
        <w:spacing w:after="60"/>
      </w:pPr>
      <w:r>
        <w:rPr>
          <w:b/>
        </w:rPr>
        <w:t>5. Market Research &amp; Environmental Analysis</w:t>
      </w:r>
    </w:p>
    <w:p w14:paraId="42DAB9AE" w14:textId="77777777" w:rsidR="00DA63D1" w:rsidRDefault="00BB7BC4">
      <w:pPr>
        <w:spacing w:after="60"/>
      </w:pPr>
      <w:r>
        <w:rPr>
          <w:sz w:val="20"/>
        </w:rPr>
        <w:t xml:space="preserve">   5.1 PESTEL Macro-Environmental Scanning</w:t>
      </w:r>
    </w:p>
    <w:p w14:paraId="5C122F16" w14:textId="77777777" w:rsidR="00DA63D1" w:rsidRDefault="00BB7BC4">
      <w:pPr>
        <w:spacing w:after="60"/>
      </w:pPr>
      <w:r>
        <w:rPr>
          <w:sz w:val="20"/>
        </w:rPr>
        <w:t xml:space="preserve">   5.2 Competitive Matrix Analysis</w:t>
      </w:r>
    </w:p>
    <w:p w14:paraId="40A547E4" w14:textId="77777777" w:rsidR="00DA63D1" w:rsidRDefault="00BB7BC4">
      <w:pPr>
        <w:spacing w:after="60"/>
      </w:pPr>
      <w:r>
        <w:rPr>
          <w:b/>
        </w:rPr>
        <w:t>6. Marketing Communications</w:t>
      </w:r>
    </w:p>
    <w:p w14:paraId="1FC3DB0F" w14:textId="77777777" w:rsidR="00DA63D1" w:rsidRDefault="00BB7BC4">
      <w:pPr>
        <w:spacing w:after="60"/>
      </w:pPr>
      <w:r>
        <w:rPr>
          <w:sz w:val="20"/>
        </w:rPr>
        <w:t xml:space="preserve">   6.1 Omnichannel Marketing Strategy</w:t>
      </w:r>
    </w:p>
    <w:p w14:paraId="37B79123" w14:textId="77777777" w:rsidR="00DA63D1" w:rsidRDefault="00BB7BC4">
      <w:pPr>
        <w:spacing w:after="60"/>
      </w:pPr>
      <w:r>
        <w:rPr>
          <w:sz w:val="20"/>
        </w:rPr>
        <w:t xml:space="preserve">   6.2 Community Engagement Tactics</w:t>
      </w:r>
    </w:p>
    <w:p w14:paraId="1847B885" w14:textId="77777777" w:rsidR="00DA63D1" w:rsidRDefault="00BB7BC4">
      <w:pPr>
        <w:spacing w:after="60"/>
      </w:pPr>
      <w:r>
        <w:rPr>
          <w:b/>
        </w:rPr>
        <w:t>7. Financial Plan &amp; Projections</w:t>
      </w:r>
    </w:p>
    <w:p w14:paraId="127E80C3" w14:textId="77777777" w:rsidR="00DA63D1" w:rsidRDefault="00BB7BC4">
      <w:pPr>
        <w:spacing w:after="60"/>
      </w:pPr>
      <w:r>
        <w:rPr>
          <w:sz w:val="20"/>
        </w:rPr>
        <w:t xml:space="preserve">   7.1 Institutional Funding Sponsorship and Justification</w:t>
      </w:r>
    </w:p>
    <w:p w14:paraId="1A1E8665" w14:textId="77777777" w:rsidR="00DA63D1" w:rsidRDefault="00BB7BC4">
      <w:pPr>
        <w:spacing w:after="60"/>
      </w:pPr>
      <w:r>
        <w:rPr>
          <w:sz w:val="20"/>
        </w:rPr>
        <w:t xml:space="preserve">   7.2 Expected First-Month Startup Capital Allocation</w:t>
      </w:r>
    </w:p>
    <w:p w14:paraId="20168418" w14:textId="77777777" w:rsidR="00DA63D1" w:rsidRDefault="00BB7BC4">
      <w:pPr>
        <w:spacing w:after="60"/>
      </w:pPr>
      <w:r>
        <w:rPr>
          <w:sz w:val="20"/>
        </w:rPr>
        <w:t xml:space="preserve">   7.3 Month-One Operating Capital &amp; Institutional Reinvestment Pathway</w:t>
      </w:r>
    </w:p>
    <w:p w14:paraId="1AD6576D" w14:textId="77777777" w:rsidR="00DA63D1" w:rsidRDefault="00BB7BC4">
      <w:pPr>
        <w:spacing w:after="60"/>
      </w:pPr>
      <w:r>
        <w:rPr>
          <w:b/>
        </w:rPr>
        <w:t>8. Reference List</w:t>
      </w:r>
    </w:p>
    <w:p w14:paraId="2BE4A7BF" w14:textId="2139E647" w:rsidR="00DA63D1" w:rsidRDefault="00DA63D1"/>
    <w:p w14:paraId="7E04183C" w14:textId="77777777" w:rsidR="00DA63D1" w:rsidRDefault="00BB7BC4">
      <w:pPr>
        <w:pStyle w:val="Heading1"/>
        <w:spacing w:before="360" w:after="120"/>
      </w:pPr>
      <w:r>
        <w:rPr>
          <w:rFonts w:ascii="Arial" w:hAnsi="Arial"/>
          <w:color w:val="2E4A3F"/>
          <w:sz w:val="32"/>
        </w:rPr>
        <w:lastRenderedPageBreak/>
        <w:t>4. Overview of the Business Idea</w:t>
      </w:r>
    </w:p>
    <w:p w14:paraId="7E22AB6E" w14:textId="77777777" w:rsidR="00DA63D1" w:rsidRDefault="00BB7BC4">
      <w:pPr>
        <w:pStyle w:val="Heading2"/>
        <w:spacing w:before="360" w:after="120"/>
      </w:pPr>
      <w:r>
        <w:rPr>
          <w:rFonts w:ascii="Arial" w:hAnsi="Arial"/>
          <w:color w:val="2E4A3F"/>
        </w:rPr>
        <w:t>4.1 Product and Service Offering</w:t>
      </w:r>
    </w:p>
    <w:p w14:paraId="1317A20F" w14:textId="77777777" w:rsidR="00DA63D1" w:rsidRDefault="00BB7BC4">
      <w:r>
        <w:t>FreshFuel Mobile Kitchen is a fast-casual, mobile gastronomic concept providing macro-balanced, functional whole foods. Moving away from the traditional, calorie-dense street foods that saturate the mobile catering environment, FreshFuel introduces a vibrant, seasonally rotating menu built upon cold-pressed nutrient bases, ancient grains, lean sustainably caught proteins, and fermented organic vegetables. The menu is structured to serve demanding dietary lifestyles including ketogenic, plant-based, gluten-free, and low-glycemic indexes. Each meal is served with full macronutrient disclosures accessible via a custom QR code on our compostable packaging.</w:t>
      </w:r>
    </w:p>
    <w:p w14:paraId="789250A9" w14:textId="77777777" w:rsidR="00DA63D1" w:rsidRDefault="00BB7BC4">
      <w:pPr>
        <w:pStyle w:val="Heading2"/>
        <w:spacing w:before="360" w:after="120"/>
      </w:pPr>
      <w:r>
        <w:rPr>
          <w:rFonts w:ascii="Arial" w:hAnsi="Arial"/>
          <w:color w:val="2E4A3F"/>
        </w:rPr>
        <w:t>4.2 Sustainability and Community Support Strategy</w:t>
      </w:r>
    </w:p>
    <w:p w14:paraId="4F4E2CB3" w14:textId="77777777" w:rsidR="00FD6324" w:rsidRPr="00DB173E" w:rsidRDefault="00FD6324" w:rsidP="00AE16D3">
      <w:pPr>
        <w:rPr>
          <w:lang w:val="en-GB"/>
        </w:rPr>
      </w:pPr>
      <w:r w:rsidRPr="00DB173E">
        <w:rPr>
          <w:lang w:val="en-GB"/>
        </w:rPr>
        <w:t xml:space="preserve">To support the university’s sustainability goals, </w:t>
      </w:r>
      <w:proofErr w:type="spellStart"/>
      <w:r w:rsidRPr="00DB173E">
        <w:rPr>
          <w:lang w:val="en-GB"/>
        </w:rPr>
        <w:t>FreshFuel</w:t>
      </w:r>
      <w:proofErr w:type="spellEnd"/>
      <w:r w:rsidRPr="00DB173E">
        <w:rPr>
          <w:lang w:val="en-GB"/>
        </w:rPr>
        <w:t xml:space="preserve"> builds environmental and social responsibility into its everyday operations. The food truck uses roof-mounted solar panels to reduce fuel use, and all packaging is made from plant-based, biodegradable materials.</w:t>
      </w:r>
    </w:p>
    <w:p w14:paraId="0515A38D" w14:textId="77777777" w:rsidR="00FD6324" w:rsidRPr="00DB173E" w:rsidRDefault="00FD6324" w:rsidP="00AE16D3">
      <w:pPr>
        <w:rPr>
          <w:lang w:val="en-GB"/>
        </w:rPr>
      </w:pPr>
      <w:proofErr w:type="spellStart"/>
      <w:r w:rsidRPr="00DB173E">
        <w:rPr>
          <w:lang w:val="en-GB"/>
        </w:rPr>
        <w:t>FreshFuel</w:t>
      </w:r>
      <w:proofErr w:type="spellEnd"/>
      <w:r w:rsidRPr="00DB173E">
        <w:rPr>
          <w:lang w:val="en-GB"/>
        </w:rPr>
        <w:t xml:space="preserve"> also works directly with local growers through its "Local Farmer Alliance" programme, buying 70% of its seasonal vegetables from community farms within 15 miles of the West Midlands. This cuts transport emissions, supports local farming projects, and ensures customers receive fresh produce, often harvested within 24 hours.</w:t>
      </w:r>
    </w:p>
    <w:p w14:paraId="05619837" w14:textId="77777777" w:rsidR="00DA63D1" w:rsidRDefault="00BB7BC4">
      <w:pPr>
        <w:pStyle w:val="Heading2"/>
        <w:spacing w:before="360" w:after="120"/>
      </w:pPr>
      <w:r>
        <w:rPr>
          <w:rFonts w:ascii="Arial" w:hAnsi="Arial"/>
          <w:color w:val="2E4A3F"/>
        </w:rPr>
        <w:t>4.3 Legal and Governance Format</w:t>
      </w:r>
    </w:p>
    <w:p w14:paraId="6F1D024E" w14:textId="43673AE2" w:rsidR="001D2729" w:rsidRPr="00AE16D3" w:rsidRDefault="001D2729" w:rsidP="00AE16D3">
      <w:pPr>
        <w:rPr>
          <w:lang w:val="en-GB"/>
        </w:rPr>
      </w:pPr>
      <w:proofErr w:type="spellStart"/>
      <w:r w:rsidRPr="00AE16D3">
        <w:rPr>
          <w:lang w:val="en-GB"/>
        </w:rPr>
        <w:t>FreshFuel</w:t>
      </w:r>
      <w:proofErr w:type="spellEnd"/>
      <w:r w:rsidRPr="00AE16D3">
        <w:rPr>
          <w:lang w:val="en-GB"/>
        </w:rPr>
        <w:t xml:space="preserve"> operates as a private limited company, providing healthy and sustainable food services </w:t>
      </w:r>
      <w:r w:rsidR="00800658">
        <w:rPr>
          <w:lang w:val="en-GB"/>
        </w:rPr>
        <w:t>for</w:t>
      </w:r>
      <w:r w:rsidRPr="00AE16D3">
        <w:rPr>
          <w:lang w:val="en-GB"/>
        </w:rPr>
        <w:t xml:space="preserve"> the University of Wales Trinity Saint David (UWTSD). The business operates under a service-level agreement (SLA) with the university, securing a permanent on-campus location at the Birmingham Quay Campus.</w:t>
      </w:r>
    </w:p>
    <w:p w14:paraId="46EE57A8" w14:textId="77777777" w:rsidR="001D2729" w:rsidRPr="00AE16D3" w:rsidRDefault="001D2729" w:rsidP="00AE16D3">
      <w:pPr>
        <w:rPr>
          <w:lang w:val="en-GB"/>
        </w:rPr>
      </w:pPr>
      <w:r w:rsidRPr="00AE16D3">
        <w:rPr>
          <w:lang w:val="en-GB"/>
        </w:rPr>
        <w:t xml:space="preserve">As an independent limited company, </w:t>
      </w:r>
      <w:proofErr w:type="spellStart"/>
      <w:r w:rsidRPr="00AE16D3">
        <w:rPr>
          <w:lang w:val="en-GB"/>
        </w:rPr>
        <w:t>FreshFuel</w:t>
      </w:r>
      <w:proofErr w:type="spellEnd"/>
      <w:r w:rsidRPr="00AE16D3">
        <w:rPr>
          <w:lang w:val="en-GB"/>
        </w:rPr>
        <w:t xml:space="preserve"> is responsible for meeting all relevant legal, financial, and regulatory requirements, including food safety, employment, and corporate compliance obligations. The partnership with UWTSD provides a stable operating environment with predictable customer demand while reducing many of the location and leasing risks typically associated with food truck businesses.</w:t>
      </w:r>
    </w:p>
    <w:p w14:paraId="3E270A5B" w14:textId="77777777" w:rsidR="00DA63D1" w:rsidRDefault="00BB7BC4">
      <w:pPr>
        <w:pStyle w:val="Heading2"/>
        <w:spacing w:before="360" w:after="120"/>
      </w:pPr>
      <w:r>
        <w:rPr>
          <w:rFonts w:ascii="Arial" w:hAnsi="Arial"/>
          <w:color w:val="2E4A3F"/>
        </w:rPr>
        <w:t>4.4 Management Structure and Leadership Capability</w:t>
      </w:r>
    </w:p>
    <w:p w14:paraId="7AC51321" w14:textId="77777777" w:rsidR="00DA63D1" w:rsidRDefault="00BB7BC4">
      <w:r>
        <w:t>The foundational strength of FreshFuel lies in its executive leadership. Founder and Head Chef Marius Ciuculescu brings over 10 years of professional culinary command within high-volume commercial kitchens, luxury hotels, and prestigious dining establishments. His extensive experience ensures advanced master-level expertise in kitchen logistics, precise inventory control, rigorous hazard analysis critical control point (HACCP) compliance, and high-margin menu engineering. Under his leadership, the corporate structure remains hyper-lean to maximize capital efficiency during the initial scale-up phase:</w:t>
      </w:r>
    </w:p>
    <w:tbl>
      <w:tblPr>
        <w:tblW w:w="0" w:type="auto"/>
        <w:jc w:val="center"/>
        <w:tblLayout w:type="fixed"/>
        <w:tblLook w:val="04A0" w:firstRow="1" w:lastRow="0" w:firstColumn="1" w:lastColumn="0" w:noHBand="0" w:noVBand="1"/>
      </w:tblPr>
      <w:tblGrid>
        <w:gridCol w:w="2592"/>
        <w:gridCol w:w="4608"/>
        <w:gridCol w:w="2160"/>
      </w:tblGrid>
      <w:tr w:rsidR="00DA63D1" w14:paraId="6816474C" w14:textId="77777777">
        <w:trPr>
          <w:jc w:val="center"/>
        </w:trPr>
        <w:tc>
          <w:tcPr>
            <w:tcW w:w="2592" w:type="dxa"/>
            <w:shd w:val="clear" w:color="auto" w:fill="4A6B5D"/>
            <w:tcMar>
              <w:top w:w="140" w:type="dxa"/>
              <w:left w:w="150" w:type="dxa"/>
              <w:bottom w:w="140" w:type="dxa"/>
              <w:right w:w="150" w:type="dxa"/>
            </w:tcMar>
          </w:tcPr>
          <w:p w14:paraId="757BE387" w14:textId="77777777" w:rsidR="00DA63D1" w:rsidRDefault="00BB7BC4">
            <w:r>
              <w:rPr>
                <w:b/>
                <w:color w:val="FFFFFF"/>
                <w:sz w:val="19"/>
              </w:rPr>
              <w:lastRenderedPageBreak/>
              <w:t>Executive Role</w:t>
            </w:r>
          </w:p>
        </w:tc>
        <w:tc>
          <w:tcPr>
            <w:tcW w:w="4608" w:type="dxa"/>
            <w:shd w:val="clear" w:color="auto" w:fill="4A6B5D"/>
            <w:tcMar>
              <w:top w:w="140" w:type="dxa"/>
              <w:left w:w="150" w:type="dxa"/>
              <w:bottom w:w="140" w:type="dxa"/>
              <w:right w:w="150" w:type="dxa"/>
            </w:tcMar>
          </w:tcPr>
          <w:p w14:paraId="2CD4ACB4" w14:textId="77777777" w:rsidR="00DA63D1" w:rsidRDefault="00BB7BC4">
            <w:r>
              <w:rPr>
                <w:b/>
                <w:color w:val="FFFFFF"/>
                <w:sz w:val="19"/>
              </w:rPr>
              <w:t>Primary Strategic Responsibilities</w:t>
            </w:r>
          </w:p>
        </w:tc>
        <w:tc>
          <w:tcPr>
            <w:tcW w:w="2160" w:type="dxa"/>
            <w:shd w:val="clear" w:color="auto" w:fill="4A6B5D"/>
            <w:tcMar>
              <w:top w:w="140" w:type="dxa"/>
              <w:left w:w="150" w:type="dxa"/>
              <w:bottom w:w="140" w:type="dxa"/>
              <w:right w:w="150" w:type="dxa"/>
            </w:tcMar>
          </w:tcPr>
          <w:p w14:paraId="75F23633" w14:textId="77777777" w:rsidR="00DA63D1" w:rsidRDefault="00BB7BC4">
            <w:r>
              <w:rPr>
                <w:b/>
                <w:color w:val="FFFFFF"/>
                <w:sz w:val="19"/>
              </w:rPr>
              <w:t>Key Competencies</w:t>
            </w:r>
          </w:p>
        </w:tc>
      </w:tr>
      <w:tr w:rsidR="00DA63D1" w14:paraId="608D57DF" w14:textId="77777777">
        <w:trPr>
          <w:jc w:val="center"/>
        </w:trPr>
        <w:tc>
          <w:tcPr>
            <w:tcW w:w="2592" w:type="dxa"/>
            <w:tcMar>
              <w:top w:w="140" w:type="dxa"/>
              <w:left w:w="150" w:type="dxa"/>
              <w:bottom w:w="140" w:type="dxa"/>
              <w:right w:w="150" w:type="dxa"/>
            </w:tcMar>
          </w:tcPr>
          <w:p w14:paraId="39BA29B8" w14:textId="77777777" w:rsidR="00DA63D1" w:rsidRDefault="00BB7BC4">
            <w:r>
              <w:rPr>
                <w:sz w:val="19"/>
              </w:rPr>
              <w:t>Marius Ciuculescu</w:t>
            </w:r>
            <w:r>
              <w:rPr>
                <w:sz w:val="19"/>
              </w:rPr>
              <w:br/>
              <w:t>(Founder &amp; Head Chef)</w:t>
            </w:r>
          </w:p>
        </w:tc>
        <w:tc>
          <w:tcPr>
            <w:tcW w:w="4608" w:type="dxa"/>
            <w:tcMar>
              <w:top w:w="140" w:type="dxa"/>
              <w:left w:w="150" w:type="dxa"/>
              <w:bottom w:w="140" w:type="dxa"/>
              <w:right w:w="150" w:type="dxa"/>
            </w:tcMar>
          </w:tcPr>
          <w:p w14:paraId="35DF3C08" w14:textId="77777777" w:rsidR="00DA63D1" w:rsidRDefault="00BB7BC4">
            <w:r>
              <w:rPr>
                <w:sz w:val="19"/>
              </w:rPr>
              <w:t>Culinary Innovation, Supply Chain Procurement, Financial Oversight, Quality Control, Vendor Relations.</w:t>
            </w:r>
          </w:p>
        </w:tc>
        <w:tc>
          <w:tcPr>
            <w:tcW w:w="2160" w:type="dxa"/>
            <w:tcMar>
              <w:top w:w="140" w:type="dxa"/>
              <w:left w:w="150" w:type="dxa"/>
              <w:bottom w:w="140" w:type="dxa"/>
              <w:right w:w="150" w:type="dxa"/>
            </w:tcMar>
          </w:tcPr>
          <w:p w14:paraId="500EBD9F" w14:textId="77777777" w:rsidR="00DA63D1" w:rsidRDefault="00BB7BC4">
            <w:r>
              <w:rPr>
                <w:sz w:val="19"/>
              </w:rPr>
              <w:t>10+ Years Kitchen Leadership, Margin Optimization, Advanced Menu Engineering, HACCP Mastery.</w:t>
            </w:r>
          </w:p>
        </w:tc>
      </w:tr>
      <w:tr w:rsidR="00DA63D1" w14:paraId="527E45C5" w14:textId="77777777">
        <w:trPr>
          <w:jc w:val="center"/>
        </w:trPr>
        <w:tc>
          <w:tcPr>
            <w:tcW w:w="2592" w:type="dxa"/>
            <w:shd w:val="clear" w:color="auto" w:fill="EFF2EF"/>
            <w:tcMar>
              <w:top w:w="140" w:type="dxa"/>
              <w:left w:w="150" w:type="dxa"/>
              <w:bottom w:w="140" w:type="dxa"/>
              <w:right w:w="150" w:type="dxa"/>
            </w:tcMar>
          </w:tcPr>
          <w:p w14:paraId="2971016C" w14:textId="77777777" w:rsidR="00DA63D1" w:rsidRDefault="00BB7BC4">
            <w:r>
              <w:rPr>
                <w:sz w:val="19"/>
              </w:rPr>
              <w:t>Operations &amp; Campus Site Coordinator (1 FTE)</w:t>
            </w:r>
          </w:p>
        </w:tc>
        <w:tc>
          <w:tcPr>
            <w:tcW w:w="4608" w:type="dxa"/>
            <w:shd w:val="clear" w:color="auto" w:fill="EFF2EF"/>
            <w:tcMar>
              <w:top w:w="140" w:type="dxa"/>
              <w:left w:w="150" w:type="dxa"/>
              <w:bottom w:w="140" w:type="dxa"/>
              <w:right w:w="150" w:type="dxa"/>
            </w:tcMar>
          </w:tcPr>
          <w:p w14:paraId="6F5045ED" w14:textId="77777777" w:rsidR="00DA63D1" w:rsidRDefault="00BB7BC4">
            <w:r>
              <w:rPr>
                <w:sz w:val="19"/>
              </w:rPr>
              <w:t>Campus Logistics, UWTSD Facilities Relations, Preventive Maintenance, POS Tech.</w:t>
            </w:r>
          </w:p>
        </w:tc>
        <w:tc>
          <w:tcPr>
            <w:tcW w:w="2160" w:type="dxa"/>
            <w:shd w:val="clear" w:color="auto" w:fill="EFF2EF"/>
            <w:tcMar>
              <w:top w:w="140" w:type="dxa"/>
              <w:left w:w="150" w:type="dxa"/>
              <w:bottom w:w="140" w:type="dxa"/>
              <w:right w:w="150" w:type="dxa"/>
            </w:tcMar>
          </w:tcPr>
          <w:p w14:paraId="7597900D" w14:textId="77777777" w:rsidR="00DA63D1" w:rsidRDefault="00BB7BC4">
            <w:r>
              <w:rPr>
                <w:sz w:val="19"/>
              </w:rPr>
              <w:t>Campus Operations, Regulatory Permitting, Inventory Control.</w:t>
            </w:r>
          </w:p>
        </w:tc>
      </w:tr>
      <w:tr w:rsidR="00DA63D1" w14:paraId="51A29569" w14:textId="77777777">
        <w:trPr>
          <w:jc w:val="center"/>
        </w:trPr>
        <w:tc>
          <w:tcPr>
            <w:tcW w:w="2592" w:type="dxa"/>
            <w:tcMar>
              <w:top w:w="140" w:type="dxa"/>
              <w:left w:w="150" w:type="dxa"/>
              <w:bottom w:w="140" w:type="dxa"/>
              <w:right w:w="150" w:type="dxa"/>
            </w:tcMar>
          </w:tcPr>
          <w:p w14:paraId="51478AEE" w14:textId="77777777" w:rsidR="00DA63D1" w:rsidRDefault="00BB7BC4">
            <w:r>
              <w:rPr>
                <w:sz w:val="19"/>
              </w:rPr>
              <w:t>Commis Chef / Front of House (2 Part-Time Tiers)</w:t>
            </w:r>
          </w:p>
        </w:tc>
        <w:tc>
          <w:tcPr>
            <w:tcW w:w="4608" w:type="dxa"/>
            <w:tcMar>
              <w:top w:w="140" w:type="dxa"/>
              <w:left w:w="150" w:type="dxa"/>
              <w:bottom w:w="140" w:type="dxa"/>
              <w:right w:w="150" w:type="dxa"/>
            </w:tcMar>
          </w:tcPr>
          <w:p w14:paraId="40A9A9AC" w14:textId="77777777" w:rsidR="00DA63D1" w:rsidRDefault="00BB7BC4">
            <w:r>
              <w:rPr>
                <w:sz w:val="19"/>
              </w:rPr>
              <w:t>Rapid Assembly line execution, Guest Relations, Order processing, Safety standard executions.</w:t>
            </w:r>
          </w:p>
        </w:tc>
        <w:tc>
          <w:tcPr>
            <w:tcW w:w="2160" w:type="dxa"/>
            <w:tcMar>
              <w:top w:w="140" w:type="dxa"/>
              <w:left w:w="150" w:type="dxa"/>
              <w:bottom w:w="140" w:type="dxa"/>
              <w:right w:w="150" w:type="dxa"/>
            </w:tcMar>
          </w:tcPr>
          <w:p w14:paraId="47DF03D3" w14:textId="77777777" w:rsidR="00DA63D1" w:rsidRDefault="00BB7BC4">
            <w:r>
              <w:rPr>
                <w:sz w:val="19"/>
              </w:rPr>
              <w:t>Customer Service Excellence, Speed-of-service processing.</w:t>
            </w:r>
          </w:p>
        </w:tc>
      </w:tr>
    </w:tbl>
    <w:p w14:paraId="654ABC3A" w14:textId="77777777" w:rsidR="00DA63D1" w:rsidRDefault="00BB7BC4">
      <w:pPr>
        <w:pStyle w:val="Heading1"/>
        <w:spacing w:before="360" w:after="120"/>
      </w:pPr>
      <w:r>
        <w:rPr>
          <w:rFonts w:ascii="Arial" w:hAnsi="Arial"/>
          <w:color w:val="2E4A3F"/>
          <w:sz w:val="32"/>
        </w:rPr>
        <w:t>5. Market Research &amp; Environmental Analysis</w:t>
      </w:r>
    </w:p>
    <w:p w14:paraId="7F23EA2A" w14:textId="77777777" w:rsidR="00DA63D1" w:rsidRDefault="00BB7BC4">
      <w:pPr>
        <w:pStyle w:val="Heading2"/>
        <w:spacing w:before="360" w:after="120"/>
      </w:pPr>
      <w:r>
        <w:rPr>
          <w:rFonts w:ascii="Arial" w:hAnsi="Arial"/>
          <w:color w:val="2E4A3F"/>
        </w:rPr>
        <w:t>5.1 PESTEL Macro-Environmental Scanning</w:t>
      </w:r>
    </w:p>
    <w:p w14:paraId="1FDB3915" w14:textId="77777777" w:rsidR="00DA63D1" w:rsidRDefault="00BB7BC4">
      <w:pPr>
        <w:spacing w:after="120"/>
        <w:ind w:left="288"/>
      </w:pPr>
      <w:r>
        <w:rPr>
          <w:b/>
          <w:color w:val="4A6B5D"/>
        </w:rPr>
        <w:t xml:space="preserve">•  Political: </w:t>
      </w:r>
      <w:r>
        <w:t>Urban local councils and university boards are aggressively enforcing clean air zones, green campus initiatives, and strict plastic reduction standards. Government policies promoting health wellness over obesity containment create systemic institutional backing for health-focused food concepts within educational ecosystems.</w:t>
      </w:r>
    </w:p>
    <w:p w14:paraId="38299CCB" w14:textId="77777777" w:rsidR="00DA63D1" w:rsidRDefault="00BB7BC4">
      <w:pPr>
        <w:spacing w:after="120"/>
        <w:ind w:left="288"/>
      </w:pPr>
      <w:r>
        <w:rPr>
          <w:b/>
          <w:color w:val="4A6B5D"/>
        </w:rPr>
        <w:t xml:space="preserve">•  Economic: </w:t>
      </w:r>
      <w:r>
        <w:t>While inflation affects standard consumer goods, premium clean-eating trends remain resilient. Students and staff are willing to pay an average 15-20% premium for fresh, health-optimizing options. The low overhead cost of a campus-stationed food truck completely sponsored by the university eliminates the extreme economic vulnerability of high commercial rent payments.</w:t>
      </w:r>
    </w:p>
    <w:p w14:paraId="2F70DA22" w14:textId="77777777" w:rsidR="00DA63D1" w:rsidRDefault="00BB7BC4">
      <w:pPr>
        <w:spacing w:after="120"/>
        <w:ind w:left="288"/>
      </w:pPr>
      <w:r>
        <w:rPr>
          <w:b/>
          <w:color w:val="4A6B5D"/>
        </w:rPr>
        <w:t xml:space="preserve">•  Social: </w:t>
      </w:r>
      <w:r>
        <w:t>Post-pandemic student and faculty demographics heavily prioritize personal preventative health, immunity metrics, and daily structural wellness. Demand for clean-label, low-sugar, high-protein food options among millennials and Gen-Z student groups has significantly outpaced traditional fast-food segments.</w:t>
      </w:r>
    </w:p>
    <w:p w14:paraId="176D21A5" w14:textId="77777777" w:rsidR="00DA63D1" w:rsidRDefault="00BB7BC4">
      <w:pPr>
        <w:spacing w:after="120"/>
        <w:ind w:left="288"/>
      </w:pPr>
      <w:r>
        <w:rPr>
          <w:b/>
          <w:color w:val="4A6B5D"/>
        </w:rPr>
        <w:t xml:space="preserve">•  Technological: </w:t>
      </w:r>
      <w:r>
        <w:t>Advances in mobile POS infrastructure enable integrated predictive inventory reordering. Mobile click-and-collect apps allow students to pre-order food between lectures, eliminating queues and streamlining high-volume campus operations during peak midday break windows.</w:t>
      </w:r>
    </w:p>
    <w:p w14:paraId="50B081DE" w14:textId="77777777" w:rsidR="00DA63D1" w:rsidRDefault="00BB7BC4">
      <w:pPr>
        <w:spacing w:after="120"/>
        <w:ind w:left="288"/>
      </w:pPr>
      <w:r>
        <w:rPr>
          <w:b/>
          <w:color w:val="4A6B5D"/>
        </w:rPr>
        <w:lastRenderedPageBreak/>
        <w:t xml:space="preserve">•  Environmental: </w:t>
      </w:r>
      <w:r>
        <w:t>Intensified student and institutional focus on climate action demands completely transparent supply chains. Campus food providers producing excessive food waste or plastic footprints face severe criticism from student unions and environmental boards.</w:t>
      </w:r>
    </w:p>
    <w:p w14:paraId="1E731411" w14:textId="77777777" w:rsidR="00DA63D1" w:rsidRDefault="00BB7BC4">
      <w:pPr>
        <w:spacing w:after="120"/>
        <w:ind w:left="288"/>
      </w:pPr>
      <w:r>
        <w:rPr>
          <w:b/>
          <w:color w:val="4A6B5D"/>
        </w:rPr>
        <w:t xml:space="preserve">•  Legal: </w:t>
      </w:r>
      <w:r>
        <w:t>Campus food truck operations require comprehensive Street Trading Consents, strictly regulated environmental health officer inspections, university service-level agreements (SLAs), and rigid compliance with allergen labelling statutes (Natasha’s Law).</w:t>
      </w:r>
    </w:p>
    <w:p w14:paraId="3FD591AA" w14:textId="77777777" w:rsidR="00DA63D1" w:rsidRDefault="00BB7BC4">
      <w:pPr>
        <w:pStyle w:val="Heading2"/>
        <w:spacing w:before="360" w:after="120"/>
      </w:pPr>
      <w:r>
        <w:rPr>
          <w:rFonts w:ascii="Arial" w:hAnsi="Arial"/>
          <w:color w:val="2E4A3F"/>
        </w:rPr>
        <w:t>5.2 Competitive Matrix Analysis</w:t>
      </w:r>
    </w:p>
    <w:p w14:paraId="7F41F727" w14:textId="77777777" w:rsidR="00DA63D1" w:rsidRDefault="00BB7BC4">
      <w:r>
        <w:t>FreshFuel enters a distinct niche space at UWTSD Birmingham Quay Campus, evaluated against on-campus vending/canteen services, local high street fast-food outlets, and nearby premium health food bars. The table below evaluates FreshFuel’s strategic positioning against these main forces:</w:t>
      </w:r>
    </w:p>
    <w:tbl>
      <w:tblPr>
        <w:tblW w:w="0" w:type="auto"/>
        <w:jc w:val="center"/>
        <w:tblLayout w:type="fixed"/>
        <w:tblLook w:val="04A0" w:firstRow="1" w:lastRow="0" w:firstColumn="1" w:lastColumn="0" w:noHBand="0" w:noVBand="1"/>
      </w:tblPr>
      <w:tblGrid>
        <w:gridCol w:w="2160"/>
        <w:gridCol w:w="2304"/>
        <w:gridCol w:w="2304"/>
        <w:gridCol w:w="2592"/>
      </w:tblGrid>
      <w:tr w:rsidR="00DA63D1" w14:paraId="448FF083" w14:textId="77777777">
        <w:trPr>
          <w:jc w:val="center"/>
        </w:trPr>
        <w:tc>
          <w:tcPr>
            <w:tcW w:w="2160" w:type="dxa"/>
            <w:shd w:val="clear" w:color="auto" w:fill="4A6B5D"/>
            <w:tcMar>
              <w:top w:w="140" w:type="dxa"/>
              <w:left w:w="150" w:type="dxa"/>
              <w:bottom w:w="140" w:type="dxa"/>
              <w:right w:w="150" w:type="dxa"/>
            </w:tcMar>
          </w:tcPr>
          <w:p w14:paraId="20B38F8D" w14:textId="77777777" w:rsidR="00DA63D1" w:rsidRDefault="00BB7BC4">
            <w:r>
              <w:rPr>
                <w:b/>
                <w:color w:val="FFFFFF"/>
                <w:sz w:val="19"/>
              </w:rPr>
              <w:t>Competitor Class</w:t>
            </w:r>
          </w:p>
        </w:tc>
        <w:tc>
          <w:tcPr>
            <w:tcW w:w="2304" w:type="dxa"/>
            <w:shd w:val="clear" w:color="auto" w:fill="4A6B5D"/>
            <w:tcMar>
              <w:top w:w="140" w:type="dxa"/>
              <w:left w:w="150" w:type="dxa"/>
              <w:bottom w:w="140" w:type="dxa"/>
              <w:right w:w="150" w:type="dxa"/>
            </w:tcMar>
          </w:tcPr>
          <w:p w14:paraId="2396DBC8" w14:textId="77777777" w:rsidR="00DA63D1" w:rsidRDefault="00BB7BC4">
            <w:r>
              <w:rPr>
                <w:b/>
                <w:color w:val="FFFFFF"/>
                <w:sz w:val="19"/>
              </w:rPr>
              <w:t>Core Strengths</w:t>
            </w:r>
          </w:p>
        </w:tc>
        <w:tc>
          <w:tcPr>
            <w:tcW w:w="2304" w:type="dxa"/>
            <w:shd w:val="clear" w:color="auto" w:fill="4A6B5D"/>
            <w:tcMar>
              <w:top w:w="140" w:type="dxa"/>
              <w:left w:w="150" w:type="dxa"/>
              <w:bottom w:w="140" w:type="dxa"/>
              <w:right w:w="150" w:type="dxa"/>
            </w:tcMar>
          </w:tcPr>
          <w:p w14:paraId="6D7A4D0A" w14:textId="77777777" w:rsidR="00DA63D1" w:rsidRDefault="00BB7BC4">
            <w:r>
              <w:rPr>
                <w:b/>
                <w:color w:val="FFFFFF"/>
                <w:sz w:val="19"/>
              </w:rPr>
              <w:t>Core Weaknesses</w:t>
            </w:r>
          </w:p>
        </w:tc>
        <w:tc>
          <w:tcPr>
            <w:tcW w:w="2592" w:type="dxa"/>
            <w:shd w:val="clear" w:color="auto" w:fill="4A6B5D"/>
            <w:tcMar>
              <w:top w:w="140" w:type="dxa"/>
              <w:left w:w="150" w:type="dxa"/>
              <w:bottom w:w="140" w:type="dxa"/>
              <w:right w:w="150" w:type="dxa"/>
            </w:tcMar>
          </w:tcPr>
          <w:p w14:paraId="07EA5A1E" w14:textId="77777777" w:rsidR="00DA63D1" w:rsidRDefault="00BB7BC4">
            <w:r>
              <w:rPr>
                <w:b/>
                <w:color w:val="FFFFFF"/>
                <w:sz w:val="19"/>
              </w:rPr>
              <w:t>The FreshFuel Advantage</w:t>
            </w:r>
          </w:p>
        </w:tc>
      </w:tr>
      <w:tr w:rsidR="00DA63D1" w14:paraId="6C44F876" w14:textId="77777777">
        <w:trPr>
          <w:jc w:val="center"/>
        </w:trPr>
        <w:tc>
          <w:tcPr>
            <w:tcW w:w="2160" w:type="dxa"/>
            <w:tcMar>
              <w:top w:w="140" w:type="dxa"/>
              <w:left w:w="150" w:type="dxa"/>
              <w:bottom w:w="140" w:type="dxa"/>
              <w:right w:w="150" w:type="dxa"/>
            </w:tcMar>
          </w:tcPr>
          <w:p w14:paraId="610AB398" w14:textId="77777777" w:rsidR="00DA63D1" w:rsidRDefault="00BB7BC4">
            <w:r>
              <w:rPr>
                <w:sz w:val="19"/>
              </w:rPr>
              <w:t>Standard Campus Canteens / Vending</w:t>
            </w:r>
          </w:p>
        </w:tc>
        <w:tc>
          <w:tcPr>
            <w:tcW w:w="2304" w:type="dxa"/>
            <w:tcMar>
              <w:top w:w="140" w:type="dxa"/>
              <w:left w:w="150" w:type="dxa"/>
              <w:bottom w:w="140" w:type="dxa"/>
              <w:right w:w="150" w:type="dxa"/>
            </w:tcMar>
          </w:tcPr>
          <w:p w14:paraId="7298BE89" w14:textId="77777777" w:rsidR="00DA63D1" w:rsidRDefault="00BB7BC4">
            <w:r>
              <w:rPr>
                <w:sz w:val="19"/>
              </w:rPr>
              <w:t>Immediate proximity, established student habits, low prices.</w:t>
            </w:r>
          </w:p>
        </w:tc>
        <w:tc>
          <w:tcPr>
            <w:tcW w:w="2304" w:type="dxa"/>
            <w:tcMar>
              <w:top w:w="140" w:type="dxa"/>
              <w:left w:w="150" w:type="dxa"/>
              <w:bottom w:w="140" w:type="dxa"/>
              <w:right w:w="150" w:type="dxa"/>
            </w:tcMar>
          </w:tcPr>
          <w:p w14:paraId="68D27252" w14:textId="77777777" w:rsidR="00DA63D1" w:rsidRDefault="00BB7BC4">
            <w:r>
              <w:rPr>
                <w:sz w:val="19"/>
              </w:rPr>
              <w:t>Highly processed options, low nutritional variety, weak eco-credentials.</w:t>
            </w:r>
          </w:p>
        </w:tc>
        <w:tc>
          <w:tcPr>
            <w:tcW w:w="2592" w:type="dxa"/>
            <w:tcMar>
              <w:top w:w="140" w:type="dxa"/>
              <w:left w:w="150" w:type="dxa"/>
              <w:bottom w:w="140" w:type="dxa"/>
              <w:right w:w="150" w:type="dxa"/>
            </w:tcMar>
          </w:tcPr>
          <w:p w14:paraId="6C78AAFF" w14:textId="77777777" w:rsidR="00DA63D1" w:rsidRDefault="00BB7BC4">
            <w:r>
              <w:rPr>
                <w:sz w:val="19"/>
              </w:rPr>
              <w:t>Nutrient-dense options catering directly to the wellness demographic. Premium chef-crafted menu backed by university funds.</w:t>
            </w:r>
          </w:p>
        </w:tc>
      </w:tr>
      <w:tr w:rsidR="00DA63D1" w14:paraId="1FAAA833" w14:textId="77777777">
        <w:trPr>
          <w:jc w:val="center"/>
        </w:trPr>
        <w:tc>
          <w:tcPr>
            <w:tcW w:w="2160" w:type="dxa"/>
            <w:shd w:val="clear" w:color="auto" w:fill="EFF2EF"/>
            <w:tcMar>
              <w:top w:w="140" w:type="dxa"/>
              <w:left w:w="150" w:type="dxa"/>
              <w:bottom w:w="140" w:type="dxa"/>
              <w:right w:w="150" w:type="dxa"/>
            </w:tcMar>
          </w:tcPr>
          <w:p w14:paraId="2CFCC293" w14:textId="77777777" w:rsidR="00DA63D1" w:rsidRDefault="00BB7BC4">
            <w:proofErr w:type="gramStart"/>
            <w:r>
              <w:rPr>
                <w:sz w:val="19"/>
              </w:rPr>
              <w:t>High Street Fast Food</w:t>
            </w:r>
            <w:proofErr w:type="gramEnd"/>
            <w:r>
              <w:rPr>
                <w:sz w:val="19"/>
              </w:rPr>
              <w:t xml:space="preserve"> Outlets</w:t>
            </w:r>
          </w:p>
        </w:tc>
        <w:tc>
          <w:tcPr>
            <w:tcW w:w="2304" w:type="dxa"/>
            <w:shd w:val="clear" w:color="auto" w:fill="EFF2EF"/>
            <w:tcMar>
              <w:top w:w="140" w:type="dxa"/>
              <w:left w:w="150" w:type="dxa"/>
              <w:bottom w:w="140" w:type="dxa"/>
              <w:right w:w="150" w:type="dxa"/>
            </w:tcMar>
          </w:tcPr>
          <w:p w14:paraId="77C1570B" w14:textId="77777777" w:rsidR="00DA63D1" w:rsidRDefault="00BB7BC4">
            <w:r>
              <w:rPr>
                <w:sz w:val="19"/>
              </w:rPr>
              <w:t>High brand recognition, hyper-low pricing structures, fast processing speeds.</w:t>
            </w:r>
          </w:p>
        </w:tc>
        <w:tc>
          <w:tcPr>
            <w:tcW w:w="2304" w:type="dxa"/>
            <w:shd w:val="clear" w:color="auto" w:fill="EFF2EF"/>
            <w:tcMar>
              <w:top w:w="140" w:type="dxa"/>
              <w:left w:w="150" w:type="dxa"/>
              <w:bottom w:w="140" w:type="dxa"/>
              <w:right w:w="150" w:type="dxa"/>
            </w:tcMar>
          </w:tcPr>
          <w:p w14:paraId="4F353270" w14:textId="77777777" w:rsidR="00DA63D1" w:rsidRDefault="00BB7BC4">
            <w:r>
              <w:rPr>
                <w:sz w:val="19"/>
              </w:rPr>
              <w:t>Requires students to walk off-campus, zero health-value, high carbon footprint.</w:t>
            </w:r>
          </w:p>
        </w:tc>
        <w:tc>
          <w:tcPr>
            <w:tcW w:w="2592" w:type="dxa"/>
            <w:shd w:val="clear" w:color="auto" w:fill="EFF2EF"/>
            <w:tcMar>
              <w:top w:w="140" w:type="dxa"/>
              <w:left w:w="150" w:type="dxa"/>
              <w:bottom w:w="140" w:type="dxa"/>
              <w:right w:w="150" w:type="dxa"/>
            </w:tcMar>
          </w:tcPr>
          <w:p w14:paraId="46DCCCD3" w14:textId="77777777" w:rsidR="00DA63D1" w:rsidRDefault="00BB7BC4">
            <w:r>
              <w:rPr>
                <w:sz w:val="19"/>
              </w:rPr>
              <w:t>On-site convenience right at the Quay Campus. Highly visible dedication to sustainable local sourcing.</w:t>
            </w:r>
          </w:p>
        </w:tc>
      </w:tr>
      <w:tr w:rsidR="00DA63D1" w14:paraId="4006B20C" w14:textId="77777777">
        <w:trPr>
          <w:jc w:val="center"/>
        </w:trPr>
        <w:tc>
          <w:tcPr>
            <w:tcW w:w="2160" w:type="dxa"/>
            <w:tcMar>
              <w:top w:w="140" w:type="dxa"/>
              <w:left w:w="150" w:type="dxa"/>
              <w:bottom w:w="140" w:type="dxa"/>
              <w:right w:w="150" w:type="dxa"/>
            </w:tcMar>
          </w:tcPr>
          <w:p w14:paraId="7103756E" w14:textId="77777777" w:rsidR="00DA63D1" w:rsidRDefault="00BB7BC4">
            <w:r>
              <w:rPr>
                <w:sz w:val="19"/>
              </w:rPr>
              <w:t>Off-Campus Gourmet Cafés</w:t>
            </w:r>
          </w:p>
        </w:tc>
        <w:tc>
          <w:tcPr>
            <w:tcW w:w="2304" w:type="dxa"/>
            <w:tcMar>
              <w:top w:w="140" w:type="dxa"/>
              <w:left w:w="150" w:type="dxa"/>
              <w:bottom w:w="140" w:type="dxa"/>
              <w:right w:w="150" w:type="dxa"/>
            </w:tcMar>
          </w:tcPr>
          <w:p w14:paraId="2CBCF30D" w14:textId="77777777" w:rsidR="00DA63D1" w:rsidRDefault="00BB7BC4">
            <w:r>
              <w:rPr>
                <w:sz w:val="19"/>
              </w:rPr>
              <w:t>High-quality artisanal profiles, strong aesthetic visual appeal.</w:t>
            </w:r>
          </w:p>
        </w:tc>
        <w:tc>
          <w:tcPr>
            <w:tcW w:w="2304" w:type="dxa"/>
            <w:tcMar>
              <w:top w:w="140" w:type="dxa"/>
              <w:left w:w="150" w:type="dxa"/>
              <w:bottom w:w="140" w:type="dxa"/>
              <w:right w:w="150" w:type="dxa"/>
            </w:tcMar>
          </w:tcPr>
          <w:p w14:paraId="67C4F763" w14:textId="77777777" w:rsidR="00DA63D1" w:rsidRDefault="00BB7BC4">
            <w:r>
              <w:rPr>
                <w:sz w:val="19"/>
              </w:rPr>
              <w:t>Immobile, premium pricing tiers, slow service speeds between tight class schedules.</w:t>
            </w:r>
          </w:p>
        </w:tc>
        <w:tc>
          <w:tcPr>
            <w:tcW w:w="2592" w:type="dxa"/>
            <w:tcMar>
              <w:top w:w="140" w:type="dxa"/>
              <w:left w:w="150" w:type="dxa"/>
              <w:bottom w:w="140" w:type="dxa"/>
              <w:right w:w="150" w:type="dxa"/>
            </w:tcMar>
          </w:tcPr>
          <w:p w14:paraId="0A537D9D" w14:textId="77777777" w:rsidR="00DA63D1" w:rsidRDefault="00BB7BC4">
            <w:r>
              <w:rPr>
                <w:sz w:val="19"/>
              </w:rPr>
              <w:t>Clear nutritional positioning. Predictable operational scheduling and fast, optimized assembly line kitchen systems.</w:t>
            </w:r>
          </w:p>
        </w:tc>
      </w:tr>
    </w:tbl>
    <w:p w14:paraId="5BE9512C" w14:textId="77777777" w:rsidR="00DA63D1" w:rsidRDefault="00BB7BC4">
      <w:pPr>
        <w:pStyle w:val="Heading1"/>
        <w:spacing w:before="360" w:after="120"/>
      </w:pPr>
      <w:r>
        <w:rPr>
          <w:rFonts w:ascii="Arial" w:hAnsi="Arial"/>
          <w:color w:val="2E4A3F"/>
          <w:sz w:val="32"/>
        </w:rPr>
        <w:t>6. Marketing Communications</w:t>
      </w:r>
    </w:p>
    <w:p w14:paraId="20DBE485" w14:textId="77777777" w:rsidR="00DA63D1" w:rsidRDefault="00BB7BC4">
      <w:pPr>
        <w:pStyle w:val="Heading2"/>
        <w:spacing w:before="360" w:after="120"/>
      </w:pPr>
      <w:r>
        <w:rPr>
          <w:rFonts w:ascii="Arial" w:hAnsi="Arial"/>
          <w:color w:val="2E4A3F"/>
        </w:rPr>
        <w:t>6.1 Omnichannel Marketing Strategy</w:t>
      </w:r>
    </w:p>
    <w:p w14:paraId="390C8116" w14:textId="77777777" w:rsidR="00BD6E20" w:rsidRPr="00CA5593" w:rsidRDefault="00BD6E20" w:rsidP="00CA5593">
      <w:pPr>
        <w:rPr>
          <w:lang w:val="en-GB"/>
        </w:rPr>
      </w:pPr>
      <w:proofErr w:type="spellStart"/>
      <w:r w:rsidRPr="00CA5593">
        <w:rPr>
          <w:lang w:val="en-GB"/>
        </w:rPr>
        <w:t>FreshFuel</w:t>
      </w:r>
      <w:proofErr w:type="spellEnd"/>
      <w:r w:rsidRPr="00CA5593">
        <w:rPr>
          <w:lang w:val="en-GB"/>
        </w:rPr>
        <w:t xml:space="preserve"> will use digital marketing and on-campus promotions to attract customers.</w:t>
      </w:r>
    </w:p>
    <w:p w14:paraId="2FC0F977" w14:textId="77777777" w:rsidR="00BD6E20" w:rsidRPr="00CA5593" w:rsidRDefault="00BD6E20" w:rsidP="00CA5593">
      <w:pPr>
        <w:rPr>
          <w:lang w:val="en-GB"/>
        </w:rPr>
      </w:pPr>
      <w:r w:rsidRPr="00CA5593">
        <w:rPr>
          <w:lang w:val="en-GB"/>
        </w:rPr>
        <w:t>It will run targeted Instagram and TikTok campaigns focused on students and staff at UWTSD Birmingham Quay Campus, especially during busy break times, to drive lunchtime visits.</w:t>
      </w:r>
    </w:p>
    <w:p w14:paraId="192F2738" w14:textId="77777777" w:rsidR="00BD6E20" w:rsidRPr="00CA5593" w:rsidRDefault="00BD6E20" w:rsidP="00CA5593">
      <w:pPr>
        <w:rPr>
          <w:lang w:val="en-GB"/>
        </w:rPr>
      </w:pPr>
      <w:r w:rsidRPr="00CA5593">
        <w:rPr>
          <w:lang w:val="en-GB"/>
        </w:rPr>
        <w:lastRenderedPageBreak/>
        <w:t>A simple pre-order web app will also allow customers to order ahead and track their environmental impact, including reduced food miles and plastic waste.</w:t>
      </w:r>
    </w:p>
    <w:p w14:paraId="6E1C0E00" w14:textId="77777777" w:rsidR="00DA63D1" w:rsidRDefault="00BB7BC4">
      <w:pPr>
        <w:pStyle w:val="Heading2"/>
        <w:spacing w:before="360" w:after="120"/>
      </w:pPr>
      <w:r>
        <w:rPr>
          <w:rFonts w:ascii="Arial" w:hAnsi="Arial"/>
          <w:color w:val="2E4A3F"/>
        </w:rPr>
        <w:t>6.2 Community Engagement Tactics</w:t>
      </w:r>
    </w:p>
    <w:p w14:paraId="45520F3C" w14:textId="77777777" w:rsidR="00DA63D1" w:rsidRDefault="00BB7BC4">
      <w:r>
        <w:t>To demonstrate a genuine commitment to the UWTSD student body, FreshFuel will establish a "Student Fuel Discount Initiative" during exam periods, making healthy eating highly affordable when students need it most. Furthermore, Chef Marius will run outdoor live cooking demonstrations on campus grounds during orientation weeks, educating students on low-cost, high-nutrition meal preparation and sustainable food management techniques, creating an unmatched bond with the campus community.</w:t>
      </w:r>
    </w:p>
    <w:p w14:paraId="781F46BD" w14:textId="77777777" w:rsidR="00DA63D1" w:rsidRDefault="00BB7BC4">
      <w:pPr>
        <w:pStyle w:val="Heading1"/>
        <w:spacing w:before="360" w:after="120"/>
      </w:pPr>
      <w:r>
        <w:rPr>
          <w:rFonts w:ascii="Arial" w:hAnsi="Arial"/>
          <w:color w:val="2E4A3F"/>
          <w:sz w:val="32"/>
        </w:rPr>
        <w:t>7. Financial Plan &amp; Projections</w:t>
      </w:r>
    </w:p>
    <w:p w14:paraId="62E9A79C" w14:textId="77777777" w:rsidR="00DA63D1" w:rsidRDefault="00BB7BC4">
      <w:pPr>
        <w:pStyle w:val="Heading2"/>
        <w:spacing w:before="360" w:after="120"/>
      </w:pPr>
      <w:r>
        <w:rPr>
          <w:rFonts w:ascii="Arial" w:hAnsi="Arial"/>
          <w:color w:val="2E4A3F"/>
        </w:rPr>
        <w:t>7.1 Institutional Funding Sponsorship and Justification</w:t>
      </w:r>
    </w:p>
    <w:p w14:paraId="4E98FF25" w14:textId="77777777" w:rsidR="00EF534D" w:rsidRPr="00EF534D" w:rsidRDefault="00EF534D" w:rsidP="00EF534D">
      <w:pPr>
        <w:rPr>
          <w:lang w:val="en-GB"/>
        </w:rPr>
      </w:pPr>
      <w:proofErr w:type="spellStart"/>
      <w:r w:rsidRPr="00EF534D">
        <w:rPr>
          <w:lang w:val="en-GB"/>
        </w:rPr>
        <w:t>FreshFuel</w:t>
      </w:r>
      <w:proofErr w:type="spellEnd"/>
      <w:r w:rsidRPr="00EF534D">
        <w:rPr>
          <w:lang w:val="en-GB"/>
        </w:rPr>
        <w:t xml:space="preserve"> Mobile Kitchen requires £75,000 in startup funding, which is fully provided by the University of Wales Trinity Saint David through a sustainability grant.</w:t>
      </w:r>
    </w:p>
    <w:p w14:paraId="5E810595" w14:textId="77777777" w:rsidR="00EF534D" w:rsidRPr="00EF534D" w:rsidRDefault="00EF534D" w:rsidP="00EF534D">
      <w:pPr>
        <w:rPr>
          <w:lang w:val="en-GB"/>
        </w:rPr>
      </w:pPr>
      <w:r w:rsidRPr="00EF534D">
        <w:rPr>
          <w:lang w:val="en-GB"/>
        </w:rPr>
        <w:t xml:space="preserve">This funding model eliminates the need for external investors, bank loans, or personal borrowing. The university’s support reflects </w:t>
      </w:r>
      <w:proofErr w:type="spellStart"/>
      <w:r w:rsidRPr="00EF534D">
        <w:rPr>
          <w:lang w:val="en-GB"/>
        </w:rPr>
        <w:t>FreshFuel’s</w:t>
      </w:r>
      <w:proofErr w:type="spellEnd"/>
      <w:r w:rsidRPr="00EF534D">
        <w:rPr>
          <w:lang w:val="en-GB"/>
        </w:rPr>
        <w:t xml:space="preserve"> role in promoting campus health, sustainability, and social responsibility initiatives.</w:t>
      </w:r>
    </w:p>
    <w:p w14:paraId="3AA8E75E" w14:textId="77777777" w:rsidR="00DA63D1" w:rsidRDefault="00BB7BC4">
      <w:pPr>
        <w:pStyle w:val="Heading2"/>
        <w:spacing w:before="360" w:after="120"/>
      </w:pPr>
      <w:r>
        <w:rPr>
          <w:rFonts w:ascii="Arial" w:hAnsi="Arial"/>
          <w:color w:val="2E4A3F"/>
        </w:rPr>
        <w:t>7.2 Expected First-Month Startup Capital Allocation</w:t>
      </w:r>
    </w:p>
    <w:p w14:paraId="7CC0CB2D" w14:textId="77777777" w:rsidR="00DA63D1" w:rsidRDefault="00BB7BC4">
      <w:r>
        <w:t>The following deployment table outlines the systematic use of the university-granted £75,000 capital during the initial acquisition, equipment installation, and pre-revenue operational setup phases:</w:t>
      </w:r>
    </w:p>
    <w:tbl>
      <w:tblPr>
        <w:tblW w:w="0" w:type="auto"/>
        <w:jc w:val="center"/>
        <w:tblLayout w:type="fixed"/>
        <w:tblLook w:val="04A0" w:firstRow="1" w:lastRow="0" w:firstColumn="1" w:lastColumn="0" w:noHBand="0" w:noVBand="1"/>
      </w:tblPr>
      <w:tblGrid>
        <w:gridCol w:w="3168"/>
        <w:gridCol w:w="4464"/>
        <w:gridCol w:w="1728"/>
      </w:tblGrid>
      <w:tr w:rsidR="00DA63D1" w14:paraId="1FB7C949" w14:textId="77777777">
        <w:trPr>
          <w:jc w:val="center"/>
        </w:trPr>
        <w:tc>
          <w:tcPr>
            <w:tcW w:w="3168" w:type="dxa"/>
            <w:shd w:val="clear" w:color="auto" w:fill="4A6B5D"/>
            <w:tcMar>
              <w:top w:w="140" w:type="dxa"/>
              <w:left w:w="150" w:type="dxa"/>
              <w:bottom w:w="140" w:type="dxa"/>
              <w:right w:w="150" w:type="dxa"/>
            </w:tcMar>
          </w:tcPr>
          <w:p w14:paraId="0B3F68E0" w14:textId="77777777" w:rsidR="00DA63D1" w:rsidRDefault="00BB7BC4">
            <w:r>
              <w:rPr>
                <w:b/>
                <w:color w:val="FFFFFF"/>
                <w:sz w:val="19"/>
              </w:rPr>
              <w:t>Capital Allocation Category</w:t>
            </w:r>
          </w:p>
        </w:tc>
        <w:tc>
          <w:tcPr>
            <w:tcW w:w="4464" w:type="dxa"/>
            <w:shd w:val="clear" w:color="auto" w:fill="4A6B5D"/>
            <w:tcMar>
              <w:top w:w="140" w:type="dxa"/>
              <w:left w:w="150" w:type="dxa"/>
              <w:bottom w:w="140" w:type="dxa"/>
              <w:right w:w="150" w:type="dxa"/>
            </w:tcMar>
          </w:tcPr>
          <w:p w14:paraId="1AA6FFAA" w14:textId="77777777" w:rsidR="00DA63D1" w:rsidRDefault="00BB7BC4">
            <w:r>
              <w:rPr>
                <w:b/>
                <w:color w:val="FFFFFF"/>
                <w:sz w:val="19"/>
              </w:rPr>
              <w:t>Granular Strategic Description</w:t>
            </w:r>
          </w:p>
        </w:tc>
        <w:tc>
          <w:tcPr>
            <w:tcW w:w="1728" w:type="dxa"/>
            <w:shd w:val="clear" w:color="auto" w:fill="4A6B5D"/>
            <w:tcMar>
              <w:top w:w="140" w:type="dxa"/>
              <w:left w:w="150" w:type="dxa"/>
              <w:bottom w:w="140" w:type="dxa"/>
              <w:right w:w="150" w:type="dxa"/>
            </w:tcMar>
          </w:tcPr>
          <w:p w14:paraId="13AAEFA2" w14:textId="77777777" w:rsidR="00DA63D1" w:rsidRDefault="00BB7BC4">
            <w:r>
              <w:rPr>
                <w:b/>
                <w:color w:val="FFFFFF"/>
                <w:sz w:val="19"/>
              </w:rPr>
              <w:t>Cost (£)</w:t>
            </w:r>
          </w:p>
        </w:tc>
      </w:tr>
      <w:tr w:rsidR="00DA63D1" w14:paraId="47924E5A" w14:textId="77777777">
        <w:trPr>
          <w:jc w:val="center"/>
        </w:trPr>
        <w:tc>
          <w:tcPr>
            <w:tcW w:w="3168" w:type="dxa"/>
            <w:tcMar>
              <w:top w:w="140" w:type="dxa"/>
              <w:left w:w="150" w:type="dxa"/>
              <w:bottom w:w="140" w:type="dxa"/>
              <w:right w:w="150" w:type="dxa"/>
            </w:tcMar>
          </w:tcPr>
          <w:p w14:paraId="68B1A82B" w14:textId="77777777" w:rsidR="00DA63D1" w:rsidRDefault="00BB7BC4">
            <w:r>
              <w:rPr>
                <w:sz w:val="19"/>
              </w:rPr>
              <w:t>Custom Food Truck Acquisition</w:t>
            </w:r>
          </w:p>
        </w:tc>
        <w:tc>
          <w:tcPr>
            <w:tcW w:w="4464" w:type="dxa"/>
            <w:tcMar>
              <w:top w:w="140" w:type="dxa"/>
              <w:left w:w="150" w:type="dxa"/>
              <w:bottom w:w="140" w:type="dxa"/>
              <w:right w:w="150" w:type="dxa"/>
            </w:tcMar>
          </w:tcPr>
          <w:p w14:paraId="028D71BC" w14:textId="77777777" w:rsidR="00DA63D1" w:rsidRDefault="00BB7BC4">
            <w:r>
              <w:rPr>
                <w:sz w:val="19"/>
              </w:rPr>
              <w:t>Purchase of a premium, fully customized static-site food truck suitable for long-term campus positioning.</w:t>
            </w:r>
          </w:p>
        </w:tc>
        <w:tc>
          <w:tcPr>
            <w:tcW w:w="1728" w:type="dxa"/>
            <w:tcMar>
              <w:top w:w="140" w:type="dxa"/>
              <w:left w:w="150" w:type="dxa"/>
              <w:bottom w:w="140" w:type="dxa"/>
              <w:right w:w="150" w:type="dxa"/>
            </w:tcMar>
          </w:tcPr>
          <w:p w14:paraId="0750F34C" w14:textId="77777777" w:rsidR="00DA63D1" w:rsidRDefault="00BB7BC4">
            <w:r>
              <w:rPr>
                <w:sz w:val="19"/>
              </w:rPr>
              <w:t>£32,000</w:t>
            </w:r>
          </w:p>
        </w:tc>
      </w:tr>
      <w:tr w:rsidR="00DA63D1" w14:paraId="5B3D89AF" w14:textId="77777777">
        <w:trPr>
          <w:jc w:val="center"/>
        </w:trPr>
        <w:tc>
          <w:tcPr>
            <w:tcW w:w="3168" w:type="dxa"/>
            <w:shd w:val="clear" w:color="auto" w:fill="EFF2EF"/>
            <w:tcMar>
              <w:top w:w="140" w:type="dxa"/>
              <w:left w:w="150" w:type="dxa"/>
              <w:bottom w:w="140" w:type="dxa"/>
              <w:right w:w="150" w:type="dxa"/>
            </w:tcMar>
          </w:tcPr>
          <w:p w14:paraId="52D4B5D1" w14:textId="77777777" w:rsidR="00DA63D1" w:rsidRDefault="00BB7BC4">
            <w:r>
              <w:rPr>
                <w:sz w:val="19"/>
              </w:rPr>
              <w:t>Commercial Kitchen Outfitting</w:t>
            </w:r>
          </w:p>
        </w:tc>
        <w:tc>
          <w:tcPr>
            <w:tcW w:w="4464" w:type="dxa"/>
            <w:shd w:val="clear" w:color="auto" w:fill="EFF2EF"/>
            <w:tcMar>
              <w:top w:w="140" w:type="dxa"/>
              <w:left w:w="150" w:type="dxa"/>
              <w:bottom w:w="140" w:type="dxa"/>
              <w:right w:w="150" w:type="dxa"/>
            </w:tcMar>
          </w:tcPr>
          <w:p w14:paraId="454FE965" w14:textId="77777777" w:rsidR="00DA63D1" w:rsidRDefault="00BB7BC4">
            <w:r>
              <w:rPr>
                <w:sz w:val="19"/>
              </w:rPr>
              <w:t>High-speed convection ovens, commercial induction ranges, eco-refrigeration, custom extractors.</w:t>
            </w:r>
          </w:p>
        </w:tc>
        <w:tc>
          <w:tcPr>
            <w:tcW w:w="1728" w:type="dxa"/>
            <w:shd w:val="clear" w:color="auto" w:fill="EFF2EF"/>
            <w:tcMar>
              <w:top w:w="140" w:type="dxa"/>
              <w:left w:w="150" w:type="dxa"/>
              <w:bottom w:w="140" w:type="dxa"/>
              <w:right w:w="150" w:type="dxa"/>
            </w:tcMar>
          </w:tcPr>
          <w:p w14:paraId="25B992B2" w14:textId="77777777" w:rsidR="00DA63D1" w:rsidRDefault="00BB7BC4">
            <w:r>
              <w:rPr>
                <w:sz w:val="19"/>
              </w:rPr>
              <w:t>£14,500</w:t>
            </w:r>
          </w:p>
        </w:tc>
      </w:tr>
      <w:tr w:rsidR="00DA63D1" w14:paraId="702EA06F" w14:textId="77777777">
        <w:trPr>
          <w:jc w:val="center"/>
        </w:trPr>
        <w:tc>
          <w:tcPr>
            <w:tcW w:w="3168" w:type="dxa"/>
            <w:tcMar>
              <w:top w:w="140" w:type="dxa"/>
              <w:left w:w="150" w:type="dxa"/>
              <w:bottom w:w="140" w:type="dxa"/>
              <w:right w:w="150" w:type="dxa"/>
            </w:tcMar>
          </w:tcPr>
          <w:p w14:paraId="62D7E24D" w14:textId="77777777" w:rsidR="00DA63D1" w:rsidRDefault="00BB7BC4">
            <w:r>
              <w:rPr>
                <w:sz w:val="19"/>
              </w:rPr>
              <w:t>Solar Array &amp; Green Tech Install</w:t>
            </w:r>
          </w:p>
        </w:tc>
        <w:tc>
          <w:tcPr>
            <w:tcW w:w="4464" w:type="dxa"/>
            <w:tcMar>
              <w:top w:w="140" w:type="dxa"/>
              <w:left w:w="150" w:type="dxa"/>
              <w:bottom w:w="140" w:type="dxa"/>
              <w:right w:w="150" w:type="dxa"/>
            </w:tcMar>
          </w:tcPr>
          <w:p w14:paraId="0F119B1D" w14:textId="77777777" w:rsidR="00DA63D1" w:rsidRDefault="00BB7BC4">
            <w:r>
              <w:rPr>
                <w:sz w:val="19"/>
              </w:rPr>
              <w:t>Photovoltaic roof panel cells, premium lithium-ion backup inverter batteries to eliminate noise and generator pollution on campus.</w:t>
            </w:r>
          </w:p>
        </w:tc>
        <w:tc>
          <w:tcPr>
            <w:tcW w:w="1728" w:type="dxa"/>
            <w:tcMar>
              <w:top w:w="140" w:type="dxa"/>
              <w:left w:w="150" w:type="dxa"/>
              <w:bottom w:w="140" w:type="dxa"/>
              <w:right w:w="150" w:type="dxa"/>
            </w:tcMar>
          </w:tcPr>
          <w:p w14:paraId="317853AB" w14:textId="77777777" w:rsidR="00DA63D1" w:rsidRDefault="00BB7BC4">
            <w:r>
              <w:rPr>
                <w:sz w:val="19"/>
              </w:rPr>
              <w:t>£4,000</w:t>
            </w:r>
          </w:p>
        </w:tc>
      </w:tr>
      <w:tr w:rsidR="00DA63D1" w14:paraId="62C937D7" w14:textId="77777777">
        <w:trPr>
          <w:jc w:val="center"/>
        </w:trPr>
        <w:tc>
          <w:tcPr>
            <w:tcW w:w="3168" w:type="dxa"/>
            <w:shd w:val="clear" w:color="auto" w:fill="EFF2EF"/>
            <w:tcMar>
              <w:top w:w="140" w:type="dxa"/>
              <w:left w:w="150" w:type="dxa"/>
              <w:bottom w:w="140" w:type="dxa"/>
              <w:right w:w="150" w:type="dxa"/>
            </w:tcMar>
          </w:tcPr>
          <w:p w14:paraId="47CDAFF2" w14:textId="77777777" w:rsidR="00DA63D1" w:rsidRDefault="00BB7BC4">
            <w:r>
              <w:rPr>
                <w:sz w:val="19"/>
              </w:rPr>
              <w:lastRenderedPageBreak/>
              <w:t>Regulatory Licensing &amp; Permits</w:t>
            </w:r>
          </w:p>
        </w:tc>
        <w:tc>
          <w:tcPr>
            <w:tcW w:w="4464" w:type="dxa"/>
            <w:shd w:val="clear" w:color="auto" w:fill="EFF2EF"/>
            <w:tcMar>
              <w:top w:w="140" w:type="dxa"/>
              <w:left w:w="150" w:type="dxa"/>
              <w:bottom w:w="140" w:type="dxa"/>
              <w:right w:w="150" w:type="dxa"/>
            </w:tcMar>
          </w:tcPr>
          <w:p w14:paraId="38E3A6DD" w14:textId="77777777" w:rsidR="00DA63D1" w:rsidRDefault="00BB7BC4">
            <w:r>
              <w:rPr>
                <w:sz w:val="19"/>
              </w:rPr>
              <w:t>UWTSD site placement approval, street trading consents, environmental health compliance audits.</w:t>
            </w:r>
          </w:p>
        </w:tc>
        <w:tc>
          <w:tcPr>
            <w:tcW w:w="1728" w:type="dxa"/>
            <w:shd w:val="clear" w:color="auto" w:fill="EFF2EF"/>
            <w:tcMar>
              <w:top w:w="140" w:type="dxa"/>
              <w:left w:w="150" w:type="dxa"/>
              <w:bottom w:w="140" w:type="dxa"/>
              <w:right w:w="150" w:type="dxa"/>
            </w:tcMar>
          </w:tcPr>
          <w:p w14:paraId="10853EDC" w14:textId="77777777" w:rsidR="00DA63D1" w:rsidRDefault="00BB7BC4">
            <w:r>
              <w:rPr>
                <w:sz w:val="19"/>
              </w:rPr>
              <w:t>£2,500</w:t>
            </w:r>
          </w:p>
        </w:tc>
      </w:tr>
      <w:tr w:rsidR="00DA63D1" w14:paraId="633E06B4" w14:textId="77777777">
        <w:trPr>
          <w:jc w:val="center"/>
        </w:trPr>
        <w:tc>
          <w:tcPr>
            <w:tcW w:w="3168" w:type="dxa"/>
            <w:tcMar>
              <w:top w:w="140" w:type="dxa"/>
              <w:left w:w="150" w:type="dxa"/>
              <w:bottom w:w="140" w:type="dxa"/>
              <w:right w:w="150" w:type="dxa"/>
            </w:tcMar>
          </w:tcPr>
          <w:p w14:paraId="5C701C9A" w14:textId="77777777" w:rsidR="00DA63D1" w:rsidRDefault="00BB7BC4">
            <w:r>
              <w:rPr>
                <w:sz w:val="19"/>
              </w:rPr>
              <w:t>Legal, Insurance &amp; Incorporation</w:t>
            </w:r>
          </w:p>
        </w:tc>
        <w:tc>
          <w:tcPr>
            <w:tcW w:w="4464" w:type="dxa"/>
            <w:tcMar>
              <w:top w:w="140" w:type="dxa"/>
              <w:left w:w="150" w:type="dxa"/>
              <w:bottom w:w="140" w:type="dxa"/>
              <w:right w:w="150" w:type="dxa"/>
            </w:tcMar>
          </w:tcPr>
          <w:p w14:paraId="5406368E" w14:textId="77777777" w:rsidR="00DA63D1" w:rsidRDefault="00BB7BC4">
            <w:r>
              <w:rPr>
                <w:sz w:val="19"/>
              </w:rPr>
              <w:t>Compliance setup costs, public liability insurance required by the university, legal contract drafting.</w:t>
            </w:r>
          </w:p>
        </w:tc>
        <w:tc>
          <w:tcPr>
            <w:tcW w:w="1728" w:type="dxa"/>
            <w:tcMar>
              <w:top w:w="140" w:type="dxa"/>
              <w:left w:w="150" w:type="dxa"/>
              <w:bottom w:w="140" w:type="dxa"/>
              <w:right w:w="150" w:type="dxa"/>
            </w:tcMar>
          </w:tcPr>
          <w:p w14:paraId="0D67D409" w14:textId="77777777" w:rsidR="00DA63D1" w:rsidRDefault="00BB7BC4">
            <w:r>
              <w:rPr>
                <w:sz w:val="19"/>
              </w:rPr>
              <w:t>£2,000</w:t>
            </w:r>
          </w:p>
        </w:tc>
      </w:tr>
      <w:tr w:rsidR="00DA63D1" w14:paraId="05EC1831" w14:textId="77777777">
        <w:trPr>
          <w:jc w:val="center"/>
        </w:trPr>
        <w:tc>
          <w:tcPr>
            <w:tcW w:w="3168" w:type="dxa"/>
            <w:shd w:val="clear" w:color="auto" w:fill="EFF2EF"/>
            <w:tcMar>
              <w:top w:w="140" w:type="dxa"/>
              <w:left w:w="150" w:type="dxa"/>
              <w:bottom w:w="140" w:type="dxa"/>
              <w:right w:w="150" w:type="dxa"/>
            </w:tcMar>
          </w:tcPr>
          <w:p w14:paraId="5D941263" w14:textId="77777777" w:rsidR="00DA63D1" w:rsidRDefault="00BB7BC4">
            <w:r>
              <w:rPr>
                <w:sz w:val="19"/>
              </w:rPr>
              <w:t>Initial Inventory Sourcing</w:t>
            </w:r>
          </w:p>
        </w:tc>
        <w:tc>
          <w:tcPr>
            <w:tcW w:w="4464" w:type="dxa"/>
            <w:shd w:val="clear" w:color="auto" w:fill="EFF2EF"/>
            <w:tcMar>
              <w:top w:w="140" w:type="dxa"/>
              <w:left w:w="150" w:type="dxa"/>
              <w:bottom w:w="140" w:type="dxa"/>
              <w:right w:w="150" w:type="dxa"/>
            </w:tcMar>
          </w:tcPr>
          <w:p w14:paraId="1492487E" w14:textId="77777777" w:rsidR="00DA63D1" w:rsidRDefault="00BB7BC4">
            <w:r>
              <w:rPr>
                <w:sz w:val="19"/>
              </w:rPr>
              <w:t>Premium grain bases, lean proteins, bulk organic cold-press menu ingredients from our local farm alliance.</w:t>
            </w:r>
          </w:p>
        </w:tc>
        <w:tc>
          <w:tcPr>
            <w:tcW w:w="1728" w:type="dxa"/>
            <w:shd w:val="clear" w:color="auto" w:fill="EFF2EF"/>
            <w:tcMar>
              <w:top w:w="140" w:type="dxa"/>
              <w:left w:w="150" w:type="dxa"/>
              <w:bottom w:w="140" w:type="dxa"/>
              <w:right w:w="150" w:type="dxa"/>
            </w:tcMar>
          </w:tcPr>
          <w:p w14:paraId="4AF3CC29" w14:textId="77777777" w:rsidR="00DA63D1" w:rsidRDefault="00BB7BC4">
            <w:r>
              <w:rPr>
                <w:sz w:val="19"/>
              </w:rPr>
              <w:t>£3,500</w:t>
            </w:r>
          </w:p>
        </w:tc>
      </w:tr>
      <w:tr w:rsidR="00DA63D1" w14:paraId="68FB2BA2" w14:textId="77777777">
        <w:trPr>
          <w:jc w:val="center"/>
        </w:trPr>
        <w:tc>
          <w:tcPr>
            <w:tcW w:w="3168" w:type="dxa"/>
            <w:tcMar>
              <w:top w:w="140" w:type="dxa"/>
              <w:left w:w="150" w:type="dxa"/>
              <w:bottom w:w="140" w:type="dxa"/>
              <w:right w:w="150" w:type="dxa"/>
            </w:tcMar>
          </w:tcPr>
          <w:p w14:paraId="4D68B45E" w14:textId="77777777" w:rsidR="00DA63D1" w:rsidRDefault="00BB7BC4">
            <w:r>
              <w:rPr>
                <w:sz w:val="19"/>
              </w:rPr>
              <w:t>Brand Architecture &amp; Campus Launch</w:t>
            </w:r>
          </w:p>
        </w:tc>
        <w:tc>
          <w:tcPr>
            <w:tcW w:w="4464" w:type="dxa"/>
            <w:tcMar>
              <w:top w:w="140" w:type="dxa"/>
              <w:left w:w="150" w:type="dxa"/>
              <w:bottom w:w="140" w:type="dxa"/>
              <w:right w:w="150" w:type="dxa"/>
            </w:tcMar>
          </w:tcPr>
          <w:p w14:paraId="44DC4633" w14:textId="77777777" w:rsidR="00DA63D1" w:rsidRDefault="00BB7BC4">
            <w:r>
              <w:rPr>
                <w:sz w:val="19"/>
              </w:rPr>
              <w:t>Vehicle vinyl wrap aesthetics, campus-wide banners, localized digital campaigns, student flyers.</w:t>
            </w:r>
          </w:p>
        </w:tc>
        <w:tc>
          <w:tcPr>
            <w:tcW w:w="1728" w:type="dxa"/>
            <w:tcMar>
              <w:top w:w="140" w:type="dxa"/>
              <w:left w:w="150" w:type="dxa"/>
              <w:bottom w:w="140" w:type="dxa"/>
              <w:right w:w="150" w:type="dxa"/>
            </w:tcMar>
          </w:tcPr>
          <w:p w14:paraId="517DFA61" w14:textId="77777777" w:rsidR="00DA63D1" w:rsidRDefault="00BB7BC4">
            <w:r>
              <w:rPr>
                <w:sz w:val="19"/>
              </w:rPr>
              <w:t>£3,500</w:t>
            </w:r>
          </w:p>
        </w:tc>
      </w:tr>
      <w:tr w:rsidR="00DA63D1" w14:paraId="311BAFAF" w14:textId="77777777">
        <w:trPr>
          <w:jc w:val="center"/>
        </w:trPr>
        <w:tc>
          <w:tcPr>
            <w:tcW w:w="3168" w:type="dxa"/>
            <w:shd w:val="clear" w:color="auto" w:fill="EFF2EF"/>
            <w:tcMar>
              <w:top w:w="140" w:type="dxa"/>
              <w:left w:w="150" w:type="dxa"/>
              <w:bottom w:w="140" w:type="dxa"/>
              <w:right w:w="150" w:type="dxa"/>
            </w:tcMar>
          </w:tcPr>
          <w:p w14:paraId="06C5E23D" w14:textId="77777777" w:rsidR="00DA63D1" w:rsidRDefault="00BB7BC4">
            <w:r>
              <w:rPr>
                <w:sz w:val="19"/>
              </w:rPr>
              <w:t>First-Month Cash Reserve Buffer</w:t>
            </w:r>
          </w:p>
        </w:tc>
        <w:tc>
          <w:tcPr>
            <w:tcW w:w="4464" w:type="dxa"/>
            <w:shd w:val="clear" w:color="auto" w:fill="EFF2EF"/>
            <w:tcMar>
              <w:top w:w="140" w:type="dxa"/>
              <w:left w:w="150" w:type="dxa"/>
              <w:bottom w:w="140" w:type="dxa"/>
              <w:right w:w="150" w:type="dxa"/>
            </w:tcMar>
          </w:tcPr>
          <w:p w14:paraId="7084DF5A" w14:textId="77777777" w:rsidR="00DA63D1" w:rsidRDefault="00BB7BC4">
            <w:r>
              <w:rPr>
                <w:sz w:val="19"/>
              </w:rPr>
              <w:t>Liquidity cushion held in the corporate bank account to absorb initial student-staff payroll, campus site fees, and utilities.</w:t>
            </w:r>
          </w:p>
        </w:tc>
        <w:tc>
          <w:tcPr>
            <w:tcW w:w="1728" w:type="dxa"/>
            <w:shd w:val="clear" w:color="auto" w:fill="EFF2EF"/>
            <w:tcMar>
              <w:top w:w="140" w:type="dxa"/>
              <w:left w:w="150" w:type="dxa"/>
              <w:bottom w:w="140" w:type="dxa"/>
              <w:right w:w="150" w:type="dxa"/>
            </w:tcMar>
          </w:tcPr>
          <w:p w14:paraId="34796B71" w14:textId="77777777" w:rsidR="00DA63D1" w:rsidRDefault="00BB7BC4">
            <w:r>
              <w:rPr>
                <w:sz w:val="19"/>
              </w:rPr>
              <w:t>£13,000</w:t>
            </w:r>
          </w:p>
        </w:tc>
      </w:tr>
      <w:tr w:rsidR="00DA63D1" w14:paraId="584C9A36" w14:textId="77777777">
        <w:trPr>
          <w:jc w:val="center"/>
        </w:trPr>
        <w:tc>
          <w:tcPr>
            <w:tcW w:w="3168" w:type="dxa"/>
            <w:shd w:val="clear" w:color="auto" w:fill="D2DED7"/>
            <w:tcMar>
              <w:top w:w="140" w:type="dxa"/>
              <w:left w:w="150" w:type="dxa"/>
              <w:bottom w:w="140" w:type="dxa"/>
              <w:right w:w="150" w:type="dxa"/>
            </w:tcMar>
          </w:tcPr>
          <w:p w14:paraId="0E2F9A0E" w14:textId="77777777" w:rsidR="00DA63D1" w:rsidRDefault="00BB7BC4">
            <w:r>
              <w:rPr>
                <w:b/>
                <w:sz w:val="19"/>
              </w:rPr>
              <w:t>TOTAL ARRANGED CAPITAL</w:t>
            </w:r>
          </w:p>
        </w:tc>
        <w:tc>
          <w:tcPr>
            <w:tcW w:w="4464" w:type="dxa"/>
            <w:shd w:val="clear" w:color="auto" w:fill="D2DED7"/>
            <w:tcMar>
              <w:top w:w="140" w:type="dxa"/>
              <w:left w:w="150" w:type="dxa"/>
              <w:bottom w:w="140" w:type="dxa"/>
              <w:right w:w="150" w:type="dxa"/>
            </w:tcMar>
          </w:tcPr>
          <w:p w14:paraId="5335B784" w14:textId="77777777" w:rsidR="00DA63D1" w:rsidRDefault="00BB7BC4">
            <w:r>
              <w:rPr>
                <w:b/>
                <w:sz w:val="19"/>
              </w:rPr>
              <w:t>Fully funded via UWTSD Green-Grant Institutional Endowment.</w:t>
            </w:r>
          </w:p>
        </w:tc>
        <w:tc>
          <w:tcPr>
            <w:tcW w:w="1728" w:type="dxa"/>
            <w:shd w:val="clear" w:color="auto" w:fill="D2DED7"/>
            <w:tcMar>
              <w:top w:w="140" w:type="dxa"/>
              <w:left w:w="150" w:type="dxa"/>
              <w:bottom w:w="140" w:type="dxa"/>
              <w:right w:w="150" w:type="dxa"/>
            </w:tcMar>
          </w:tcPr>
          <w:p w14:paraId="4ECE3824" w14:textId="77777777" w:rsidR="00DA63D1" w:rsidRDefault="00BB7BC4">
            <w:r>
              <w:rPr>
                <w:b/>
                <w:sz w:val="19"/>
              </w:rPr>
              <w:t>£75,000</w:t>
            </w:r>
          </w:p>
        </w:tc>
      </w:tr>
    </w:tbl>
    <w:p w14:paraId="0DC5015B" w14:textId="77777777" w:rsidR="00DA63D1" w:rsidRDefault="00BB7BC4">
      <w:pPr>
        <w:pStyle w:val="Heading2"/>
        <w:spacing w:before="360" w:after="120"/>
      </w:pPr>
      <w:r>
        <w:rPr>
          <w:rFonts w:ascii="Arial" w:hAnsi="Arial"/>
          <w:color w:val="2E4A3F"/>
        </w:rPr>
        <w:lastRenderedPageBreak/>
        <w:t>7.3 Month-One Operating Capital &amp; Institutional Reinvestment Pathway</w:t>
      </w:r>
    </w:p>
    <w:p w14:paraId="48F7CF52" w14:textId="3988AD63" w:rsidR="00BD11D4" w:rsidRDefault="00BD11D4" w:rsidP="00BD11D4">
      <w:pPr>
        <w:pStyle w:val="Heading1"/>
        <w:spacing w:before="360" w:after="120"/>
        <w:rPr>
          <w:rFonts w:ascii="Arial" w:hAnsi="Arial" w:cs="Arial"/>
          <w:b w:val="0"/>
          <w:bCs w:val="0"/>
          <w:color w:val="000000" w:themeColor="text1"/>
          <w:sz w:val="21"/>
          <w:szCs w:val="21"/>
          <w:lang w:val="en-GB"/>
        </w:rPr>
      </w:pPr>
      <w:r w:rsidRPr="00423E81">
        <w:rPr>
          <w:rFonts w:ascii="Arial" w:hAnsi="Arial" w:cs="Arial"/>
          <w:b w:val="0"/>
          <w:bCs w:val="0"/>
          <w:color w:val="000000" w:themeColor="text1"/>
          <w:sz w:val="21"/>
          <w:szCs w:val="21"/>
          <w:lang w:val="en-GB"/>
        </w:rPr>
        <w:t xml:space="preserve"> </w:t>
      </w:r>
      <w:r w:rsidR="00A619D5" w:rsidRPr="003E6542">
        <w:rPr>
          <w:rFonts w:ascii="Arial" w:hAnsi="Arial" w:cs="Arial"/>
          <w:b w:val="0"/>
          <w:bCs w:val="0"/>
          <w:color w:val="000000" w:themeColor="text1"/>
          <w:sz w:val="22"/>
          <w:szCs w:val="22"/>
        </w:rPr>
        <w:t xml:space="preserve">At a £7 price point, hitting </w:t>
      </w:r>
      <w:r w:rsidR="003E6542">
        <w:rPr>
          <w:rFonts w:ascii="Arial" w:hAnsi="Arial" w:cs="Arial"/>
          <w:b w:val="0"/>
          <w:bCs w:val="0"/>
          <w:color w:val="000000" w:themeColor="text1"/>
          <w:sz w:val="22"/>
          <w:szCs w:val="22"/>
        </w:rPr>
        <w:t>50</w:t>
      </w:r>
      <w:r w:rsidR="00A619D5" w:rsidRPr="003E6542">
        <w:rPr>
          <w:rFonts w:ascii="Arial" w:hAnsi="Arial" w:cs="Arial"/>
          <w:b w:val="0"/>
          <w:bCs w:val="0"/>
          <w:color w:val="000000" w:themeColor="text1"/>
          <w:sz w:val="22"/>
          <w:szCs w:val="22"/>
        </w:rPr>
        <w:t xml:space="preserve"> customers a day on a busy university campus is still highly achievable. However, pointing out that this volume represents a very small percentage of the total campus population is an excellent way to reassure the grant committee that the target is low-risk</w:t>
      </w:r>
      <w:r w:rsidR="00A619D5">
        <w:t>.</w:t>
      </w:r>
    </w:p>
    <w:tbl>
      <w:tblPr>
        <w:tblStyle w:val="TableGrid"/>
        <w:tblW w:w="0" w:type="auto"/>
        <w:tblLook w:val="04A0" w:firstRow="1" w:lastRow="0" w:firstColumn="1" w:lastColumn="0" w:noHBand="0" w:noVBand="1"/>
      </w:tblPr>
      <w:tblGrid>
        <w:gridCol w:w="2394"/>
        <w:gridCol w:w="2394"/>
        <w:gridCol w:w="2394"/>
        <w:gridCol w:w="2394"/>
      </w:tblGrid>
      <w:tr w:rsidR="00EF44E2" w14:paraId="1C8D64CC" w14:textId="77777777" w:rsidTr="00EF44E2">
        <w:tc>
          <w:tcPr>
            <w:tcW w:w="2394" w:type="dxa"/>
          </w:tcPr>
          <w:p w14:paraId="62CDCE1E" w14:textId="7396587C" w:rsidR="00EF44E2" w:rsidRPr="00054F83" w:rsidRDefault="002B5176">
            <w:pPr>
              <w:pStyle w:val="Heading1"/>
              <w:spacing w:before="360" w:after="120"/>
              <w:outlineLvl w:val="0"/>
              <w:rPr>
                <w:rFonts w:ascii="Arial" w:hAnsi="Arial"/>
                <w:color w:val="2E4A3F"/>
                <w:sz w:val="24"/>
                <w:szCs w:val="24"/>
              </w:rPr>
            </w:pPr>
            <w:r w:rsidRPr="00054F83">
              <w:rPr>
                <w:rFonts w:ascii="Arial" w:hAnsi="Arial"/>
                <w:color w:val="2E4A3F"/>
                <w:sz w:val="24"/>
                <w:szCs w:val="24"/>
              </w:rPr>
              <w:t>Financial Mo</w:t>
            </w:r>
            <w:r w:rsidR="00054F83" w:rsidRPr="00054F83">
              <w:rPr>
                <w:rFonts w:ascii="Arial" w:hAnsi="Arial"/>
                <w:color w:val="2E4A3F"/>
                <w:sz w:val="24"/>
                <w:szCs w:val="24"/>
              </w:rPr>
              <w:t>nths</w:t>
            </w:r>
          </w:p>
        </w:tc>
        <w:tc>
          <w:tcPr>
            <w:tcW w:w="2394" w:type="dxa"/>
          </w:tcPr>
          <w:p w14:paraId="0C693183" w14:textId="49B09DC0" w:rsidR="00EF44E2" w:rsidRPr="00054F83" w:rsidRDefault="00054F83" w:rsidP="00054F83">
            <w:pPr>
              <w:pStyle w:val="Heading1"/>
              <w:spacing w:before="360" w:after="120"/>
              <w:jc w:val="center"/>
              <w:outlineLvl w:val="0"/>
              <w:rPr>
                <w:rFonts w:ascii="Arial" w:hAnsi="Arial"/>
                <w:color w:val="2E4A3F"/>
                <w:sz w:val="24"/>
                <w:szCs w:val="24"/>
              </w:rPr>
            </w:pPr>
            <w:r>
              <w:rPr>
                <w:rFonts w:ascii="Arial" w:hAnsi="Arial"/>
                <w:color w:val="2E4A3F"/>
                <w:sz w:val="24"/>
                <w:szCs w:val="24"/>
              </w:rPr>
              <w:t>Month 1</w:t>
            </w:r>
          </w:p>
        </w:tc>
        <w:tc>
          <w:tcPr>
            <w:tcW w:w="2394" w:type="dxa"/>
          </w:tcPr>
          <w:p w14:paraId="3A9D358C" w14:textId="067F2184" w:rsidR="00EF44E2" w:rsidRPr="00054F83" w:rsidRDefault="00054F83" w:rsidP="00054F83">
            <w:pPr>
              <w:pStyle w:val="Heading1"/>
              <w:spacing w:before="360" w:after="120"/>
              <w:jc w:val="center"/>
              <w:outlineLvl w:val="0"/>
              <w:rPr>
                <w:rFonts w:ascii="Arial" w:hAnsi="Arial"/>
                <w:color w:val="2E4A3F"/>
                <w:sz w:val="24"/>
                <w:szCs w:val="24"/>
              </w:rPr>
            </w:pPr>
            <w:r>
              <w:rPr>
                <w:rFonts w:ascii="Arial" w:hAnsi="Arial"/>
                <w:color w:val="2E4A3F"/>
                <w:sz w:val="24"/>
                <w:szCs w:val="24"/>
              </w:rPr>
              <w:t>Month 2</w:t>
            </w:r>
          </w:p>
        </w:tc>
        <w:tc>
          <w:tcPr>
            <w:tcW w:w="2394" w:type="dxa"/>
          </w:tcPr>
          <w:p w14:paraId="3C1C1639" w14:textId="0EFE37D5" w:rsidR="00EF44E2" w:rsidRDefault="00054F83" w:rsidP="00054F83">
            <w:pPr>
              <w:pStyle w:val="Heading1"/>
              <w:spacing w:before="360" w:after="120"/>
              <w:jc w:val="center"/>
              <w:outlineLvl w:val="0"/>
              <w:rPr>
                <w:rFonts w:ascii="Arial" w:hAnsi="Arial"/>
                <w:color w:val="2E4A3F"/>
                <w:sz w:val="32"/>
              </w:rPr>
            </w:pPr>
            <w:r>
              <w:rPr>
                <w:rFonts w:ascii="Arial" w:hAnsi="Arial"/>
                <w:color w:val="2E4A3F"/>
                <w:sz w:val="24"/>
                <w:szCs w:val="24"/>
              </w:rPr>
              <w:t xml:space="preserve">Month </w:t>
            </w:r>
            <w:r>
              <w:rPr>
                <w:rFonts w:ascii="Arial" w:hAnsi="Arial"/>
                <w:color w:val="2E4A3F"/>
                <w:sz w:val="24"/>
                <w:szCs w:val="24"/>
              </w:rPr>
              <w:t>3</w:t>
            </w:r>
          </w:p>
        </w:tc>
      </w:tr>
      <w:tr w:rsidR="00EF44E2" w14:paraId="120941B3" w14:textId="77777777" w:rsidTr="00EF44E2">
        <w:tc>
          <w:tcPr>
            <w:tcW w:w="2394" w:type="dxa"/>
          </w:tcPr>
          <w:p w14:paraId="7760A2A6" w14:textId="28A066A0" w:rsidR="00EF44E2" w:rsidRPr="00CD5BC4" w:rsidRDefault="00736158">
            <w:pPr>
              <w:pStyle w:val="Heading1"/>
              <w:spacing w:before="360" w:after="120"/>
              <w:outlineLvl w:val="0"/>
              <w:rPr>
                <w:rFonts w:ascii="Arial" w:hAnsi="Arial"/>
                <w:color w:val="2E4A3F"/>
                <w:sz w:val="24"/>
                <w:szCs w:val="24"/>
              </w:rPr>
            </w:pPr>
            <w:r w:rsidRPr="00CD5BC4">
              <w:rPr>
                <w:rFonts w:ascii="Arial" w:hAnsi="Arial"/>
                <w:color w:val="2E4A3F"/>
                <w:sz w:val="24"/>
                <w:szCs w:val="24"/>
              </w:rPr>
              <w:t>Total sales</w:t>
            </w:r>
          </w:p>
        </w:tc>
        <w:tc>
          <w:tcPr>
            <w:tcW w:w="2394" w:type="dxa"/>
          </w:tcPr>
          <w:p w14:paraId="514CB184" w14:textId="61473872"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9D1162" w:rsidRPr="00682615">
              <w:rPr>
                <w:rFonts w:ascii="Arial" w:hAnsi="Arial"/>
                <w:color w:val="2E4A3F"/>
                <w:sz w:val="24"/>
                <w:szCs w:val="24"/>
              </w:rPr>
              <w:t>8750</w:t>
            </w:r>
          </w:p>
        </w:tc>
        <w:tc>
          <w:tcPr>
            <w:tcW w:w="2394" w:type="dxa"/>
          </w:tcPr>
          <w:p w14:paraId="0642EE7F" w14:textId="32C3285E"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9D1162" w:rsidRPr="00682615">
              <w:rPr>
                <w:rFonts w:ascii="Arial" w:hAnsi="Arial"/>
                <w:color w:val="2E4A3F"/>
                <w:sz w:val="24"/>
                <w:szCs w:val="24"/>
              </w:rPr>
              <w:t>10500</w:t>
            </w:r>
          </w:p>
        </w:tc>
        <w:tc>
          <w:tcPr>
            <w:tcW w:w="2394" w:type="dxa"/>
          </w:tcPr>
          <w:p w14:paraId="50C433EF" w14:textId="0EFEB920"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9D1162" w:rsidRPr="00682615">
              <w:rPr>
                <w:rFonts w:ascii="Arial" w:hAnsi="Arial"/>
                <w:color w:val="2E4A3F"/>
                <w:sz w:val="24"/>
                <w:szCs w:val="24"/>
              </w:rPr>
              <w:t>12250</w:t>
            </w:r>
          </w:p>
        </w:tc>
      </w:tr>
      <w:tr w:rsidR="00EF44E2" w14:paraId="415FB55E" w14:textId="77777777" w:rsidTr="00EF44E2">
        <w:tc>
          <w:tcPr>
            <w:tcW w:w="2394" w:type="dxa"/>
          </w:tcPr>
          <w:p w14:paraId="082A3CC2" w14:textId="1126CB32" w:rsidR="00EF44E2" w:rsidRPr="00CD5BC4" w:rsidRDefault="00947093">
            <w:pPr>
              <w:pStyle w:val="Heading1"/>
              <w:spacing w:before="360" w:after="120"/>
              <w:outlineLvl w:val="0"/>
              <w:rPr>
                <w:rFonts w:ascii="Arial" w:hAnsi="Arial"/>
                <w:color w:val="2E4A3F"/>
                <w:sz w:val="24"/>
                <w:szCs w:val="24"/>
              </w:rPr>
            </w:pPr>
            <w:r w:rsidRPr="00CD5BC4">
              <w:rPr>
                <w:rFonts w:ascii="Arial" w:hAnsi="Arial"/>
                <w:color w:val="2E4A3F"/>
                <w:sz w:val="24"/>
                <w:szCs w:val="24"/>
              </w:rPr>
              <w:t>COGS (28%)</w:t>
            </w:r>
          </w:p>
        </w:tc>
        <w:tc>
          <w:tcPr>
            <w:tcW w:w="2394" w:type="dxa"/>
          </w:tcPr>
          <w:p w14:paraId="576991F4" w14:textId="044D50EC"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9D1162" w:rsidRPr="00682615">
              <w:rPr>
                <w:rFonts w:ascii="Arial" w:hAnsi="Arial"/>
                <w:color w:val="2E4A3F"/>
                <w:sz w:val="24"/>
                <w:szCs w:val="24"/>
              </w:rPr>
              <w:t>2450</w:t>
            </w:r>
          </w:p>
        </w:tc>
        <w:tc>
          <w:tcPr>
            <w:tcW w:w="2394" w:type="dxa"/>
          </w:tcPr>
          <w:p w14:paraId="08110F51" w14:textId="03F05F1E"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9D1162" w:rsidRPr="00682615">
              <w:rPr>
                <w:rFonts w:ascii="Arial" w:hAnsi="Arial"/>
                <w:color w:val="2E4A3F"/>
                <w:sz w:val="24"/>
                <w:szCs w:val="24"/>
              </w:rPr>
              <w:t>2940</w:t>
            </w:r>
          </w:p>
        </w:tc>
        <w:tc>
          <w:tcPr>
            <w:tcW w:w="2394" w:type="dxa"/>
          </w:tcPr>
          <w:p w14:paraId="11854975" w14:textId="0CDCD5B2"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824EC3" w:rsidRPr="00682615">
              <w:rPr>
                <w:rFonts w:ascii="Arial" w:hAnsi="Arial"/>
                <w:color w:val="2E4A3F"/>
                <w:sz w:val="24"/>
                <w:szCs w:val="24"/>
              </w:rPr>
              <w:t>3430</w:t>
            </w:r>
          </w:p>
        </w:tc>
      </w:tr>
      <w:tr w:rsidR="00EF44E2" w14:paraId="446C4EC0" w14:textId="77777777" w:rsidTr="00EF44E2">
        <w:tc>
          <w:tcPr>
            <w:tcW w:w="2394" w:type="dxa"/>
          </w:tcPr>
          <w:p w14:paraId="0FBDA2E7" w14:textId="015890ED" w:rsidR="00EF44E2" w:rsidRPr="00CD5BC4" w:rsidRDefault="00947093">
            <w:pPr>
              <w:pStyle w:val="Heading1"/>
              <w:spacing w:before="360" w:after="120"/>
              <w:outlineLvl w:val="0"/>
              <w:rPr>
                <w:rFonts w:ascii="Arial" w:hAnsi="Arial"/>
                <w:color w:val="2E4A3F"/>
                <w:sz w:val="24"/>
                <w:szCs w:val="24"/>
              </w:rPr>
            </w:pPr>
            <w:r w:rsidRPr="00CD5BC4">
              <w:rPr>
                <w:rFonts w:ascii="Arial" w:hAnsi="Arial"/>
                <w:color w:val="2E4A3F"/>
                <w:sz w:val="24"/>
                <w:szCs w:val="24"/>
              </w:rPr>
              <w:t>Gross Margin</w:t>
            </w:r>
          </w:p>
        </w:tc>
        <w:tc>
          <w:tcPr>
            <w:tcW w:w="2394" w:type="dxa"/>
          </w:tcPr>
          <w:p w14:paraId="791F43E4" w14:textId="2526299B"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824EC3" w:rsidRPr="00682615">
              <w:rPr>
                <w:rFonts w:ascii="Arial" w:hAnsi="Arial"/>
                <w:color w:val="2E4A3F"/>
                <w:sz w:val="24"/>
                <w:szCs w:val="24"/>
              </w:rPr>
              <w:t>6300</w:t>
            </w:r>
          </w:p>
        </w:tc>
        <w:tc>
          <w:tcPr>
            <w:tcW w:w="2394" w:type="dxa"/>
          </w:tcPr>
          <w:p w14:paraId="3F7C8913" w14:textId="377DA185"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824EC3" w:rsidRPr="00682615">
              <w:rPr>
                <w:rFonts w:ascii="Arial" w:hAnsi="Arial"/>
                <w:color w:val="2E4A3F"/>
                <w:sz w:val="24"/>
                <w:szCs w:val="24"/>
              </w:rPr>
              <w:t>7560</w:t>
            </w:r>
          </w:p>
        </w:tc>
        <w:tc>
          <w:tcPr>
            <w:tcW w:w="2394" w:type="dxa"/>
          </w:tcPr>
          <w:p w14:paraId="27A37280" w14:textId="43541CAC"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£8820</w:t>
            </w:r>
          </w:p>
        </w:tc>
      </w:tr>
      <w:tr w:rsidR="00EF44E2" w14:paraId="521D8EFD" w14:textId="77777777" w:rsidTr="00EF44E2">
        <w:tc>
          <w:tcPr>
            <w:tcW w:w="2394" w:type="dxa"/>
          </w:tcPr>
          <w:p w14:paraId="0A15E2B6" w14:textId="23AFECA4" w:rsidR="00EF44E2" w:rsidRPr="00CD5BC4" w:rsidRDefault="00947093">
            <w:pPr>
              <w:pStyle w:val="Heading1"/>
              <w:spacing w:before="360" w:after="120"/>
              <w:outlineLvl w:val="0"/>
              <w:rPr>
                <w:rFonts w:ascii="Arial" w:hAnsi="Arial"/>
                <w:color w:val="2E4A3F"/>
                <w:sz w:val="24"/>
                <w:szCs w:val="24"/>
              </w:rPr>
            </w:pPr>
            <w:r w:rsidRPr="00CD5BC4">
              <w:rPr>
                <w:rFonts w:ascii="Arial" w:hAnsi="Arial"/>
                <w:color w:val="2E4A3F"/>
                <w:sz w:val="24"/>
                <w:szCs w:val="24"/>
              </w:rPr>
              <w:t>Fixe Costs</w:t>
            </w:r>
          </w:p>
        </w:tc>
        <w:tc>
          <w:tcPr>
            <w:tcW w:w="2394" w:type="dxa"/>
          </w:tcPr>
          <w:p w14:paraId="04A7141F" w14:textId="4416D7CE"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CD5BC4" w:rsidRPr="00682615">
              <w:rPr>
                <w:rFonts w:ascii="Arial" w:hAnsi="Arial"/>
                <w:color w:val="2E4A3F"/>
                <w:sz w:val="24"/>
                <w:szCs w:val="24"/>
              </w:rPr>
              <w:t>4200</w:t>
            </w:r>
          </w:p>
        </w:tc>
        <w:tc>
          <w:tcPr>
            <w:tcW w:w="2394" w:type="dxa"/>
          </w:tcPr>
          <w:p w14:paraId="18BB9EFD" w14:textId="69AA37D1"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CD5BC4" w:rsidRPr="00682615">
              <w:rPr>
                <w:rFonts w:ascii="Arial" w:hAnsi="Arial"/>
                <w:color w:val="2E4A3F"/>
                <w:sz w:val="24"/>
                <w:szCs w:val="24"/>
              </w:rPr>
              <w:t>4200</w:t>
            </w:r>
          </w:p>
        </w:tc>
        <w:tc>
          <w:tcPr>
            <w:tcW w:w="2394" w:type="dxa"/>
          </w:tcPr>
          <w:p w14:paraId="70CF0C73" w14:textId="0170114B"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w:t>
            </w:r>
            <w:r w:rsidR="00CD5BC4" w:rsidRPr="00682615">
              <w:rPr>
                <w:rFonts w:ascii="Arial" w:hAnsi="Arial"/>
                <w:color w:val="2E4A3F"/>
                <w:sz w:val="24"/>
                <w:szCs w:val="24"/>
              </w:rPr>
              <w:t>4200</w:t>
            </w:r>
          </w:p>
        </w:tc>
      </w:tr>
      <w:tr w:rsidR="00EF44E2" w14:paraId="3CA976F9" w14:textId="77777777" w:rsidTr="00EF44E2">
        <w:tc>
          <w:tcPr>
            <w:tcW w:w="2394" w:type="dxa"/>
          </w:tcPr>
          <w:p w14:paraId="53035973" w14:textId="121E89D9" w:rsidR="00EF44E2" w:rsidRPr="00CD5BC4" w:rsidRDefault="00CD5BC4">
            <w:pPr>
              <w:pStyle w:val="Heading1"/>
              <w:spacing w:before="360" w:after="120"/>
              <w:outlineLvl w:val="0"/>
              <w:rPr>
                <w:rFonts w:ascii="Arial" w:hAnsi="Arial"/>
                <w:color w:val="2E4A3F"/>
                <w:sz w:val="24"/>
                <w:szCs w:val="24"/>
              </w:rPr>
            </w:pPr>
            <w:r w:rsidRPr="00CD5BC4">
              <w:rPr>
                <w:rFonts w:ascii="Arial" w:hAnsi="Arial"/>
                <w:color w:val="2E4A3F"/>
                <w:sz w:val="24"/>
                <w:szCs w:val="24"/>
              </w:rPr>
              <w:t xml:space="preserve">Net Profit </w:t>
            </w:r>
          </w:p>
        </w:tc>
        <w:tc>
          <w:tcPr>
            <w:tcW w:w="2394" w:type="dxa"/>
          </w:tcPr>
          <w:p w14:paraId="428B6CF0" w14:textId="3B61D207"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£2100</w:t>
            </w:r>
          </w:p>
        </w:tc>
        <w:tc>
          <w:tcPr>
            <w:tcW w:w="2394" w:type="dxa"/>
          </w:tcPr>
          <w:p w14:paraId="79DF1D0F" w14:textId="422C3839"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£3360</w:t>
            </w:r>
          </w:p>
        </w:tc>
        <w:tc>
          <w:tcPr>
            <w:tcW w:w="2394" w:type="dxa"/>
          </w:tcPr>
          <w:p w14:paraId="7F6ABB89" w14:textId="3575C0BE" w:rsidR="00EF44E2" w:rsidRPr="00682615" w:rsidRDefault="00682615" w:rsidP="00682615">
            <w:pPr>
              <w:pStyle w:val="Heading1"/>
              <w:spacing w:before="360" w:after="120"/>
              <w:jc w:val="center"/>
              <w:outlineLvl w:val="0"/>
              <w:rPr>
                <w:rFonts w:ascii="Arial" w:hAnsi="Arial"/>
                <w:color w:val="2E4A3F"/>
                <w:sz w:val="24"/>
                <w:szCs w:val="24"/>
              </w:rPr>
            </w:pPr>
            <w:r w:rsidRPr="00682615">
              <w:rPr>
                <w:rFonts w:ascii="Arial" w:hAnsi="Arial"/>
                <w:color w:val="2E4A3F"/>
                <w:sz w:val="24"/>
                <w:szCs w:val="24"/>
              </w:rPr>
              <w:t>£4620</w:t>
            </w:r>
          </w:p>
        </w:tc>
      </w:tr>
    </w:tbl>
    <w:p w14:paraId="4DACED50" w14:textId="088C3921" w:rsidR="008B2BE6" w:rsidRDefault="008B2BE6" w:rsidP="008B2BE6">
      <w:pPr>
        <w:pStyle w:val="NormalWeb"/>
        <w:rPr>
          <w:rFonts w:ascii="Arial" w:hAnsi="Arial" w:cs="Arial"/>
          <w:sz w:val="22"/>
          <w:szCs w:val="22"/>
        </w:rPr>
      </w:pPr>
      <w:proofErr w:type="spellStart"/>
      <w:r w:rsidRPr="008B2BE6">
        <w:rPr>
          <w:rFonts w:ascii="Arial" w:hAnsi="Arial" w:cs="Arial"/>
          <w:sz w:val="22"/>
          <w:szCs w:val="22"/>
        </w:rPr>
        <w:t>FreshFuel's</w:t>
      </w:r>
      <w:proofErr w:type="spellEnd"/>
      <w:r w:rsidRPr="008B2BE6">
        <w:rPr>
          <w:rFonts w:ascii="Arial" w:hAnsi="Arial" w:cs="Arial"/>
          <w:sz w:val="22"/>
          <w:szCs w:val="22"/>
        </w:rPr>
        <w:t xml:space="preserve"> monthly fixed operating costs are optimized at a highly efficient </w:t>
      </w:r>
      <w:r w:rsidRPr="008B2BE6">
        <w:rPr>
          <w:rStyle w:val="Strong"/>
          <w:rFonts w:ascii="Arial" w:hAnsi="Arial" w:cs="Arial"/>
          <w:sz w:val="22"/>
          <w:szCs w:val="22"/>
        </w:rPr>
        <w:t>£4,200</w:t>
      </w:r>
      <w:r w:rsidRPr="008B2BE6">
        <w:rPr>
          <w:rFonts w:ascii="Arial" w:hAnsi="Arial" w:cs="Arial"/>
          <w:sz w:val="22"/>
          <w:szCs w:val="22"/>
        </w:rPr>
        <w:t>. This budget is driven primarily by staffing and labo</w:t>
      </w:r>
      <w:r w:rsidR="00B436D1">
        <w:rPr>
          <w:rFonts w:ascii="Arial" w:hAnsi="Arial" w:cs="Arial"/>
          <w:sz w:val="22"/>
          <w:szCs w:val="22"/>
        </w:rPr>
        <w:t>u</w:t>
      </w:r>
      <w:r w:rsidRPr="008B2BE6">
        <w:rPr>
          <w:rFonts w:ascii="Arial" w:hAnsi="Arial" w:cs="Arial"/>
          <w:sz w:val="22"/>
          <w:szCs w:val="22"/>
        </w:rPr>
        <w:t>r (</w:t>
      </w:r>
      <w:r w:rsidRPr="008B2BE6">
        <w:rPr>
          <w:rStyle w:val="Strong"/>
          <w:rFonts w:ascii="Arial" w:hAnsi="Arial" w:cs="Arial"/>
          <w:sz w:val="22"/>
          <w:szCs w:val="22"/>
        </w:rPr>
        <w:t>£2,</w:t>
      </w:r>
      <w:r w:rsidR="00DE79E3">
        <w:rPr>
          <w:rStyle w:val="Strong"/>
          <w:rFonts w:ascii="Arial" w:hAnsi="Arial" w:cs="Arial"/>
          <w:sz w:val="22"/>
          <w:szCs w:val="22"/>
        </w:rPr>
        <w:t>9</w:t>
      </w:r>
      <w:r w:rsidRPr="008B2BE6">
        <w:rPr>
          <w:rStyle w:val="Strong"/>
          <w:rFonts w:ascii="Arial" w:hAnsi="Arial" w:cs="Arial"/>
          <w:sz w:val="22"/>
          <w:szCs w:val="22"/>
        </w:rPr>
        <w:t>00</w:t>
      </w:r>
      <w:r w:rsidRPr="008B2BE6">
        <w:rPr>
          <w:rFonts w:ascii="Arial" w:hAnsi="Arial" w:cs="Arial"/>
          <w:sz w:val="22"/>
          <w:szCs w:val="22"/>
        </w:rPr>
        <w:t>).The remaining overhead is allocated to eco-friendly, plastic-free utilities and consumables (</w:t>
      </w:r>
      <w:r w:rsidRPr="008B2BE6">
        <w:rPr>
          <w:rStyle w:val="Strong"/>
          <w:rFonts w:ascii="Arial" w:hAnsi="Arial" w:cs="Arial"/>
          <w:sz w:val="22"/>
          <w:szCs w:val="22"/>
        </w:rPr>
        <w:t>£</w:t>
      </w:r>
      <w:r w:rsidR="00DE79E3">
        <w:rPr>
          <w:rStyle w:val="Strong"/>
          <w:rFonts w:ascii="Arial" w:hAnsi="Arial" w:cs="Arial"/>
          <w:sz w:val="22"/>
          <w:szCs w:val="22"/>
        </w:rPr>
        <w:t>2</w:t>
      </w:r>
      <w:r w:rsidRPr="008B2BE6">
        <w:rPr>
          <w:rStyle w:val="Strong"/>
          <w:rFonts w:ascii="Arial" w:hAnsi="Arial" w:cs="Arial"/>
          <w:sz w:val="22"/>
          <w:szCs w:val="22"/>
        </w:rPr>
        <w:t>50</w:t>
      </w:r>
      <w:r w:rsidRPr="008B2BE6">
        <w:rPr>
          <w:rFonts w:ascii="Arial" w:hAnsi="Arial" w:cs="Arial"/>
          <w:sz w:val="22"/>
          <w:szCs w:val="22"/>
        </w:rPr>
        <w:t>), health, safety, and commercial insurance compliance (</w:t>
      </w:r>
      <w:r w:rsidRPr="008B2BE6">
        <w:rPr>
          <w:rStyle w:val="Strong"/>
          <w:rFonts w:ascii="Arial" w:hAnsi="Arial" w:cs="Arial"/>
          <w:sz w:val="22"/>
          <w:szCs w:val="22"/>
        </w:rPr>
        <w:t>£250</w:t>
      </w:r>
      <w:r w:rsidRPr="008B2BE6">
        <w:rPr>
          <w:rFonts w:ascii="Arial" w:hAnsi="Arial" w:cs="Arial"/>
          <w:sz w:val="22"/>
          <w:szCs w:val="22"/>
        </w:rPr>
        <w:t>), targeted campus marketing and student engagement (</w:t>
      </w:r>
      <w:r w:rsidRPr="008B2BE6">
        <w:rPr>
          <w:rStyle w:val="Strong"/>
          <w:rFonts w:ascii="Arial" w:hAnsi="Arial" w:cs="Arial"/>
          <w:sz w:val="22"/>
          <w:szCs w:val="22"/>
        </w:rPr>
        <w:t>£300</w:t>
      </w:r>
      <w:r w:rsidRPr="008B2BE6">
        <w:rPr>
          <w:rFonts w:ascii="Arial" w:hAnsi="Arial" w:cs="Arial"/>
          <w:sz w:val="22"/>
          <w:szCs w:val="22"/>
        </w:rPr>
        <w:t>), and a dedicated monthly maintenance and emergency contingency buffer (</w:t>
      </w:r>
      <w:r w:rsidRPr="008B2BE6">
        <w:rPr>
          <w:rStyle w:val="Strong"/>
          <w:rFonts w:ascii="Arial" w:hAnsi="Arial" w:cs="Arial"/>
          <w:sz w:val="22"/>
          <w:szCs w:val="22"/>
        </w:rPr>
        <w:t>£500</w:t>
      </w:r>
      <w:r w:rsidRPr="008B2BE6">
        <w:rPr>
          <w:rFonts w:ascii="Arial" w:hAnsi="Arial" w:cs="Arial"/>
          <w:sz w:val="22"/>
          <w:szCs w:val="22"/>
        </w:rPr>
        <w:t>). Because traditional rent, pitch fees, and loan repayments are entirely eliminated, this lean cost structure ensures maximum financial resilience during quieter academic cycles.</w:t>
      </w:r>
    </w:p>
    <w:p w14:paraId="510511FE" w14:textId="77777777" w:rsidR="003C5744" w:rsidRDefault="003C5744" w:rsidP="003C5744">
      <w:pPr>
        <w:pStyle w:val="Heading1"/>
        <w:spacing w:before="360" w:after="120"/>
      </w:pPr>
      <w:r>
        <w:rPr>
          <w:rFonts w:ascii="Arial" w:hAnsi="Arial"/>
          <w:color w:val="2E4A3F"/>
          <w:sz w:val="32"/>
        </w:rPr>
        <w:t>8. Reference List</w:t>
      </w:r>
    </w:p>
    <w:p w14:paraId="4A902F50" w14:textId="77777777" w:rsidR="003C5744" w:rsidRPr="00D70AD0" w:rsidRDefault="003C5744" w:rsidP="003C5744">
      <w:pPr>
        <w:spacing w:after="80"/>
        <w:ind w:left="288"/>
        <w:rPr>
          <w:sz w:val="22"/>
        </w:rPr>
      </w:pPr>
      <w:r w:rsidRPr="00D70AD0">
        <w:rPr>
          <w:sz w:val="22"/>
        </w:rPr>
        <w:t>British Takeaway Campaign, 2024. The Economic Impact of the UK Street Food Sector. London: Economics Research Group.</w:t>
      </w:r>
    </w:p>
    <w:p w14:paraId="1873FB70" w14:textId="77777777" w:rsidR="003C5744" w:rsidRPr="00D70AD0" w:rsidRDefault="003C5744" w:rsidP="003C5744">
      <w:pPr>
        <w:spacing w:after="80"/>
        <w:ind w:left="288"/>
        <w:rPr>
          <w:sz w:val="22"/>
        </w:rPr>
      </w:pPr>
      <w:r w:rsidRPr="00D70AD0">
        <w:rPr>
          <w:sz w:val="22"/>
        </w:rPr>
        <w:t>Department for Environment, Food &amp; Rural Affairs (Defra), 2025. The National Strategy for Food Waste Reduction and Sustainable Localism. London: HMSO.</w:t>
      </w:r>
    </w:p>
    <w:p w14:paraId="3481B654" w14:textId="77777777" w:rsidR="003C5744" w:rsidRPr="00D70AD0" w:rsidRDefault="003C5744" w:rsidP="003C5744">
      <w:pPr>
        <w:spacing w:after="80"/>
        <w:ind w:left="288"/>
        <w:rPr>
          <w:sz w:val="22"/>
        </w:rPr>
      </w:pPr>
      <w:r w:rsidRPr="00D70AD0">
        <w:rPr>
          <w:sz w:val="22"/>
        </w:rPr>
        <w:t>Mintel Group, 2025. The Evolving Conscious Consumer: Health, Nutrition, and Ethical Sourcing Trends in the UK Fast Casual Market. London: Mintel Academic Market Intelligence.</w:t>
      </w:r>
    </w:p>
    <w:p w14:paraId="6F3C88A8" w14:textId="77777777" w:rsidR="003C5744" w:rsidRPr="00D70AD0" w:rsidRDefault="003C5744" w:rsidP="003C5744">
      <w:pPr>
        <w:spacing w:after="80"/>
        <w:ind w:left="288"/>
        <w:rPr>
          <w:sz w:val="22"/>
        </w:rPr>
      </w:pPr>
      <w:r w:rsidRPr="00D70AD0">
        <w:rPr>
          <w:sz w:val="22"/>
        </w:rPr>
        <w:t>National Street Food Association (NCASS), 2024. The Mobile Catering Safety and Regulatory Compliance Compendium. Birmingham: NCASS Publications.</w:t>
      </w:r>
    </w:p>
    <w:p w14:paraId="4514FB9A" w14:textId="77777777" w:rsidR="003C5744" w:rsidRPr="008B2BE6" w:rsidRDefault="003C5744" w:rsidP="008B2BE6">
      <w:pPr>
        <w:pStyle w:val="NormalWeb"/>
        <w:rPr>
          <w:rFonts w:ascii="Arial" w:hAnsi="Arial" w:cs="Arial"/>
          <w:sz w:val="22"/>
          <w:szCs w:val="22"/>
        </w:rPr>
      </w:pPr>
    </w:p>
    <w:p w14:paraId="2574EBC5" w14:textId="77777777" w:rsidR="00625701" w:rsidRDefault="00625701">
      <w:pPr>
        <w:pStyle w:val="Heading1"/>
        <w:spacing w:before="360" w:after="120"/>
        <w:rPr>
          <w:rFonts w:ascii="Arial" w:hAnsi="Arial"/>
          <w:color w:val="2E4A3F"/>
          <w:sz w:val="32"/>
        </w:rPr>
      </w:pPr>
    </w:p>
    <w:p w14:paraId="4E268428" w14:textId="77777777" w:rsidR="00625701" w:rsidRDefault="00625701">
      <w:pPr>
        <w:pStyle w:val="Heading1"/>
        <w:spacing w:before="360" w:after="120"/>
        <w:rPr>
          <w:rFonts w:ascii="Arial" w:hAnsi="Arial"/>
          <w:color w:val="2E4A3F"/>
          <w:sz w:val="32"/>
        </w:rPr>
      </w:pPr>
    </w:p>
    <w:p w14:paraId="34AAF946" w14:textId="77777777" w:rsidR="00EF44E2" w:rsidRDefault="00EF44E2">
      <w:pPr>
        <w:pStyle w:val="Heading1"/>
        <w:spacing w:before="360" w:after="120"/>
        <w:rPr>
          <w:rFonts w:ascii="Arial" w:hAnsi="Arial"/>
          <w:color w:val="2E4A3F"/>
          <w:sz w:val="32"/>
        </w:rPr>
      </w:pPr>
    </w:p>
    <w:p w14:paraId="42B11A35" w14:textId="77777777" w:rsidR="00EF44E2" w:rsidRDefault="00EF44E2">
      <w:pPr>
        <w:pStyle w:val="Heading1"/>
        <w:spacing w:before="360" w:after="120"/>
        <w:rPr>
          <w:rFonts w:ascii="Arial" w:hAnsi="Arial"/>
          <w:color w:val="2E4A3F"/>
          <w:sz w:val="32"/>
        </w:rPr>
      </w:pPr>
    </w:p>
    <w:sectPr w:rsidR="00EF44E2"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93D5FC" w14:textId="77777777" w:rsidR="00D85AE8" w:rsidRDefault="00D85AE8" w:rsidP="00262146">
      <w:pPr>
        <w:spacing w:after="0" w:line="240" w:lineRule="auto"/>
      </w:pPr>
      <w:r>
        <w:separator/>
      </w:r>
    </w:p>
  </w:endnote>
  <w:endnote w:type="continuationSeparator" w:id="0">
    <w:p w14:paraId="2EEEE454" w14:textId="77777777" w:rsidR="00D85AE8" w:rsidRDefault="00D85AE8" w:rsidP="00262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8389106"/>
      <w:docPartObj>
        <w:docPartGallery w:val="Page Numbers (Bottom of Page)"/>
        <w:docPartUnique/>
      </w:docPartObj>
    </w:sdtPr>
    <w:sdtEndPr>
      <w:rPr>
        <w:noProof/>
      </w:rPr>
    </w:sdtEndPr>
    <w:sdtContent>
      <w:p w14:paraId="0D97D86E" w14:textId="329D8A30" w:rsidR="00262146" w:rsidRDefault="0026214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0A1E63" w14:textId="77777777" w:rsidR="00262146" w:rsidRDefault="00262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53A691" w14:textId="77777777" w:rsidR="00D85AE8" w:rsidRDefault="00D85AE8" w:rsidP="00262146">
      <w:pPr>
        <w:spacing w:after="0" w:line="240" w:lineRule="auto"/>
      </w:pPr>
      <w:r>
        <w:separator/>
      </w:r>
    </w:p>
  </w:footnote>
  <w:footnote w:type="continuationSeparator" w:id="0">
    <w:p w14:paraId="7F8A409C" w14:textId="77777777" w:rsidR="00D85AE8" w:rsidRDefault="00D85AE8" w:rsidP="002621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239B"/>
    <w:rsid w:val="00034616"/>
    <w:rsid w:val="00054F83"/>
    <w:rsid w:val="0006063C"/>
    <w:rsid w:val="000A56EE"/>
    <w:rsid w:val="0015074B"/>
    <w:rsid w:val="001D2729"/>
    <w:rsid w:val="00223AFA"/>
    <w:rsid w:val="0024555D"/>
    <w:rsid w:val="00262146"/>
    <w:rsid w:val="002625CB"/>
    <w:rsid w:val="0029639D"/>
    <w:rsid w:val="002B5176"/>
    <w:rsid w:val="00326F90"/>
    <w:rsid w:val="00351104"/>
    <w:rsid w:val="003C550A"/>
    <w:rsid w:val="003C5744"/>
    <w:rsid w:val="003E6542"/>
    <w:rsid w:val="00423E81"/>
    <w:rsid w:val="004A4609"/>
    <w:rsid w:val="005978A9"/>
    <w:rsid w:val="005B4CD2"/>
    <w:rsid w:val="00625701"/>
    <w:rsid w:val="0064447B"/>
    <w:rsid w:val="00682615"/>
    <w:rsid w:val="0071537C"/>
    <w:rsid w:val="00736158"/>
    <w:rsid w:val="00760DEF"/>
    <w:rsid w:val="007D5829"/>
    <w:rsid w:val="007F5FBE"/>
    <w:rsid w:val="00800658"/>
    <w:rsid w:val="00824EC3"/>
    <w:rsid w:val="008B2BE6"/>
    <w:rsid w:val="008F2EB6"/>
    <w:rsid w:val="00947093"/>
    <w:rsid w:val="009C18F9"/>
    <w:rsid w:val="009D1162"/>
    <w:rsid w:val="00A47BED"/>
    <w:rsid w:val="00A619D5"/>
    <w:rsid w:val="00A9511A"/>
    <w:rsid w:val="00AA1D8D"/>
    <w:rsid w:val="00AE16D3"/>
    <w:rsid w:val="00B436D1"/>
    <w:rsid w:val="00B47730"/>
    <w:rsid w:val="00B97136"/>
    <w:rsid w:val="00BA1FEB"/>
    <w:rsid w:val="00BB7BC4"/>
    <w:rsid w:val="00BD11D4"/>
    <w:rsid w:val="00BD6E20"/>
    <w:rsid w:val="00CA5593"/>
    <w:rsid w:val="00CB0664"/>
    <w:rsid w:val="00CD5BC4"/>
    <w:rsid w:val="00D15C87"/>
    <w:rsid w:val="00D16959"/>
    <w:rsid w:val="00D70AD0"/>
    <w:rsid w:val="00D80AE8"/>
    <w:rsid w:val="00D85AE8"/>
    <w:rsid w:val="00DA63D1"/>
    <w:rsid w:val="00DB173E"/>
    <w:rsid w:val="00DD5526"/>
    <w:rsid w:val="00DE79E3"/>
    <w:rsid w:val="00E9210B"/>
    <w:rsid w:val="00EC36EA"/>
    <w:rsid w:val="00EF44E2"/>
    <w:rsid w:val="00EF534D"/>
    <w:rsid w:val="00F41E41"/>
    <w:rsid w:val="00FA751B"/>
    <w:rsid w:val="00FB12DE"/>
    <w:rsid w:val="00FC625A"/>
    <w:rsid w:val="00FC693F"/>
    <w:rsid w:val="00FD6324"/>
    <w:rsid w:val="00FE40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4C6FB9"/>
  <w14:defaultImageDpi w14:val="300"/>
  <w15:docId w15:val="{04A8F73E-0936-4255-9C04-3824E9AF2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2B332E"/>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C625A"/>
    <w:rPr>
      <w:color w:val="0000FF" w:themeColor="hyperlink"/>
      <w:u w:val="single"/>
    </w:rPr>
  </w:style>
  <w:style w:type="character" w:styleId="UnresolvedMention">
    <w:name w:val="Unresolved Mention"/>
    <w:basedOn w:val="DefaultParagraphFont"/>
    <w:uiPriority w:val="99"/>
    <w:semiHidden/>
    <w:unhideWhenUsed/>
    <w:rsid w:val="00FC625A"/>
    <w:rPr>
      <w:color w:val="605E5C"/>
      <w:shd w:val="clear" w:color="auto" w:fill="E1DFDD"/>
    </w:rPr>
  </w:style>
  <w:style w:type="paragraph" w:styleId="NormalWeb">
    <w:name w:val="Normal (Web)"/>
    <w:basedOn w:val="Normal"/>
    <w:uiPriority w:val="99"/>
    <w:semiHidden/>
    <w:unhideWhenUsed/>
    <w:rsid w:val="008B2BE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1578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Marius Ciuculescu</cp:lastModifiedBy>
  <cp:revision>55</cp:revision>
  <dcterms:created xsi:type="dcterms:W3CDTF">2026-06-11T15:35:00Z</dcterms:created>
  <dcterms:modified xsi:type="dcterms:W3CDTF">2026-06-20T08:38:00Z</dcterms:modified>
  <cp:category/>
</cp:coreProperties>
</file>