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62028424"/>
        <w:docPartObj>
          <w:docPartGallery w:val="Cover Pages"/>
          <w:docPartUnique/>
        </w:docPartObj>
      </w:sdtPr>
      <w:sdtEndPr>
        <w:rPr>
          <w:b/>
          <w:bCs/>
        </w:rPr>
      </w:sdtEndPr>
      <w:sdtContent>
        <w:p w14:paraId="4B5D1C36" w14:textId="0273EE24" w:rsidR="00C20D80" w:rsidRDefault="00C20D80">
          <w:r>
            <w:rPr>
              <w:noProof/>
            </w:rPr>
            <mc:AlternateContent>
              <mc:Choice Requires="wps">
                <w:drawing>
                  <wp:anchor distT="0" distB="0" distL="114300" distR="114300" simplePos="0" relativeHeight="251659264" behindDoc="1" locked="0" layoutInCell="1" allowOverlap="0" wp14:anchorId="4E101DD5" wp14:editId="5B554287">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C20D80" w14:paraId="6D327467" w14:textId="77777777">
                                  <w:trPr>
                                    <w:trHeight w:hRule="exact" w:val="9360"/>
                                  </w:trPr>
                                  <w:tc>
                                    <w:tcPr>
                                      <w:tcW w:w="5000" w:type="pct"/>
                                    </w:tcPr>
                                    <w:p w14:paraId="78018404" w14:textId="77777777" w:rsidR="00C20D80" w:rsidRDefault="00C20D80">
                                      <w:r>
                                        <w:rPr>
                                          <w:noProof/>
                                        </w:rPr>
                                        <w:drawing>
                                          <wp:inline distT="0" distB="0" distL="0" distR="0" wp14:anchorId="18A3718C" wp14:editId="5147D256">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20D80" w14:paraId="1D675F34" w14:textId="77777777">
                                  <w:trPr>
                                    <w:trHeight w:hRule="exact" w:val="4320"/>
                                  </w:trPr>
                                  <w:tc>
                                    <w:tcPr>
                                      <w:tcW w:w="5000" w:type="pct"/>
                                      <w:shd w:val="clear" w:color="auto" w:fill="4472C4" w:themeFill="accent1"/>
                                      <w:vAlign w:val="center"/>
                                    </w:tcPr>
                                    <w:p w14:paraId="43A88370" w14:textId="334DCB4F" w:rsidR="00C20D80" w:rsidRDefault="00C20D8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Assignment 2</w:t>
                                          </w:r>
                                        </w:sdtContent>
                                      </w:sdt>
                                    </w:p>
                                    <w:p w14:paraId="32C72872" w14:textId="773A1688" w:rsidR="00C20D80" w:rsidRDefault="00C20D80" w:rsidP="00C20D80">
                                      <w:pPr>
                                        <w:pStyle w:val="NoSpacing"/>
                                        <w:spacing w:before="240"/>
                                        <w:ind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 xml:space="preserve">     </w:t>
                                          </w:r>
                                        </w:sdtContent>
                                      </w:sdt>
                                      <w:r>
                                        <w:rPr>
                                          <w:color w:val="FFFFFF" w:themeColor="background1"/>
                                          <w:sz w:val="32"/>
                                          <w:szCs w:val="32"/>
                                        </w:rPr>
                                        <w:t xml:space="preserve"> </w:t>
                                      </w:r>
                                    </w:p>
                                  </w:tc>
                                </w:tr>
                                <w:tr w:rsidR="00C20D80" w14:paraId="07984BC2"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C20D80" w14:paraId="13B9C452"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21BC13CD" w14:textId="2B3CCDBD" w:rsidR="00C20D80" w:rsidRDefault="00C20D80">
                                                <w:pPr>
                                                  <w:pStyle w:val="NoSpacing"/>
                                                  <w:ind w:left="144" w:right="144"/>
                                                  <w:jc w:val="center"/>
                                                  <w:rPr>
                                                    <w:color w:val="FFFFFF" w:themeColor="background1"/>
                                                  </w:rPr>
                                                </w:pPr>
                                                <w:r>
                                                  <w:rPr>
                                                    <w:color w:val="FFFFFF" w:themeColor="background1"/>
                                                  </w:rPr>
                                                  <w:t>Kamila Pausz</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1-05-07T00:00:00Z">
                                                <w:dateFormat w:val="M/d/yy"/>
                                                <w:lid w:val="en-US"/>
                                                <w:storeMappedDataAs w:val="dateTime"/>
                                                <w:calendar w:val="gregorian"/>
                                              </w:date>
                                            </w:sdtPr>
                                            <w:sdtContent>
                                              <w:p w14:paraId="47506502" w14:textId="2168620A" w:rsidR="00C20D80" w:rsidRDefault="00C20D80">
                                                <w:pPr>
                                                  <w:pStyle w:val="NoSpacing"/>
                                                  <w:ind w:left="144" w:right="144"/>
                                                  <w:jc w:val="center"/>
                                                  <w:rPr>
                                                    <w:color w:val="FFFFFF" w:themeColor="background1"/>
                                                  </w:rPr>
                                                </w:pPr>
                                                <w:r>
                                                  <w:rPr>
                                                    <w:color w:val="FFFFFF" w:themeColor="background1"/>
                                                  </w:rPr>
                                                  <w:t>5/7/21</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23FC6C7" w14:textId="01449597" w:rsidR="00C20D80" w:rsidRDefault="00C20D80">
                                                <w:pPr>
                                                  <w:pStyle w:val="NoSpacing"/>
                                                  <w:ind w:left="144" w:right="720"/>
                                                  <w:jc w:val="right"/>
                                                  <w:rPr>
                                                    <w:color w:val="FFFFFF" w:themeColor="background1"/>
                                                  </w:rPr>
                                                </w:pPr>
                                                <w:r>
                                                  <w:rPr>
                                                    <w:color w:val="FFFFFF" w:themeColor="background1"/>
                                                  </w:rPr>
                                                  <w:t>Contract Law</w:t>
                                                </w:r>
                                              </w:p>
                                            </w:tc>
                                          </w:sdtContent>
                                        </w:sdt>
                                      </w:tr>
                                    </w:tbl>
                                    <w:p w14:paraId="58AD335D" w14:textId="77777777" w:rsidR="00C20D80" w:rsidRDefault="00C20D80"/>
                                  </w:tc>
                                </w:tr>
                              </w:tbl>
                              <w:p w14:paraId="789F0433" w14:textId="77777777" w:rsidR="00C20D80" w:rsidRDefault="00C20D8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E101DD5"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C20D80" w14:paraId="6D327467" w14:textId="77777777">
                            <w:trPr>
                              <w:trHeight w:hRule="exact" w:val="9360"/>
                            </w:trPr>
                            <w:tc>
                              <w:tcPr>
                                <w:tcW w:w="5000" w:type="pct"/>
                              </w:tcPr>
                              <w:p w14:paraId="78018404" w14:textId="77777777" w:rsidR="00C20D80" w:rsidRDefault="00C20D80">
                                <w:r>
                                  <w:rPr>
                                    <w:noProof/>
                                  </w:rPr>
                                  <w:drawing>
                                    <wp:inline distT="0" distB="0" distL="0" distR="0" wp14:anchorId="18A3718C" wp14:editId="5147D256">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20D80" w14:paraId="1D675F34" w14:textId="77777777">
                            <w:trPr>
                              <w:trHeight w:hRule="exact" w:val="4320"/>
                            </w:trPr>
                            <w:tc>
                              <w:tcPr>
                                <w:tcW w:w="5000" w:type="pct"/>
                                <w:shd w:val="clear" w:color="auto" w:fill="4472C4" w:themeFill="accent1"/>
                                <w:vAlign w:val="center"/>
                              </w:tcPr>
                              <w:p w14:paraId="43A88370" w14:textId="334DCB4F" w:rsidR="00C20D80" w:rsidRDefault="00C20D8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Assignment 2</w:t>
                                    </w:r>
                                  </w:sdtContent>
                                </w:sdt>
                              </w:p>
                              <w:p w14:paraId="32C72872" w14:textId="773A1688" w:rsidR="00C20D80" w:rsidRDefault="00C20D80" w:rsidP="00C20D80">
                                <w:pPr>
                                  <w:pStyle w:val="NoSpacing"/>
                                  <w:spacing w:before="240"/>
                                  <w:ind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 xml:space="preserve">     </w:t>
                                    </w:r>
                                  </w:sdtContent>
                                </w:sdt>
                                <w:r>
                                  <w:rPr>
                                    <w:color w:val="FFFFFF" w:themeColor="background1"/>
                                    <w:sz w:val="32"/>
                                    <w:szCs w:val="32"/>
                                  </w:rPr>
                                  <w:t xml:space="preserve"> </w:t>
                                </w:r>
                              </w:p>
                            </w:tc>
                          </w:tr>
                          <w:tr w:rsidR="00C20D80" w14:paraId="07984BC2"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C20D80" w14:paraId="13B9C452"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21BC13CD" w14:textId="2B3CCDBD" w:rsidR="00C20D80" w:rsidRDefault="00C20D80">
                                          <w:pPr>
                                            <w:pStyle w:val="NoSpacing"/>
                                            <w:ind w:left="144" w:right="144"/>
                                            <w:jc w:val="center"/>
                                            <w:rPr>
                                              <w:color w:val="FFFFFF" w:themeColor="background1"/>
                                            </w:rPr>
                                          </w:pPr>
                                          <w:r>
                                            <w:rPr>
                                              <w:color w:val="FFFFFF" w:themeColor="background1"/>
                                            </w:rPr>
                                            <w:t>Kamila Pausz</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1-05-07T00:00:00Z">
                                          <w:dateFormat w:val="M/d/yy"/>
                                          <w:lid w:val="en-US"/>
                                          <w:storeMappedDataAs w:val="dateTime"/>
                                          <w:calendar w:val="gregorian"/>
                                        </w:date>
                                      </w:sdtPr>
                                      <w:sdtContent>
                                        <w:p w14:paraId="47506502" w14:textId="2168620A" w:rsidR="00C20D80" w:rsidRDefault="00C20D80">
                                          <w:pPr>
                                            <w:pStyle w:val="NoSpacing"/>
                                            <w:ind w:left="144" w:right="144"/>
                                            <w:jc w:val="center"/>
                                            <w:rPr>
                                              <w:color w:val="FFFFFF" w:themeColor="background1"/>
                                            </w:rPr>
                                          </w:pPr>
                                          <w:r>
                                            <w:rPr>
                                              <w:color w:val="FFFFFF" w:themeColor="background1"/>
                                            </w:rPr>
                                            <w:t>5/7/21</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23FC6C7" w14:textId="01449597" w:rsidR="00C20D80" w:rsidRDefault="00C20D80">
                                          <w:pPr>
                                            <w:pStyle w:val="NoSpacing"/>
                                            <w:ind w:left="144" w:right="720"/>
                                            <w:jc w:val="right"/>
                                            <w:rPr>
                                              <w:color w:val="FFFFFF" w:themeColor="background1"/>
                                            </w:rPr>
                                          </w:pPr>
                                          <w:r>
                                            <w:rPr>
                                              <w:color w:val="FFFFFF" w:themeColor="background1"/>
                                            </w:rPr>
                                            <w:t>Contract Law</w:t>
                                          </w:r>
                                        </w:p>
                                      </w:tc>
                                    </w:sdtContent>
                                  </w:sdt>
                                </w:tr>
                              </w:tbl>
                              <w:p w14:paraId="58AD335D" w14:textId="77777777" w:rsidR="00C20D80" w:rsidRDefault="00C20D80"/>
                            </w:tc>
                          </w:tr>
                        </w:tbl>
                        <w:p w14:paraId="789F0433" w14:textId="77777777" w:rsidR="00C20D80" w:rsidRDefault="00C20D80"/>
                      </w:txbxContent>
                    </v:textbox>
                    <w10:wrap anchorx="page" anchory="page"/>
                  </v:shape>
                </w:pict>
              </mc:Fallback>
            </mc:AlternateContent>
          </w:r>
        </w:p>
        <w:p w14:paraId="13CE8BD7" w14:textId="22F8EA19" w:rsidR="00C20D80" w:rsidRDefault="00C20D80">
          <w:r>
            <w:rPr>
              <w:b/>
              <w:bCs/>
            </w:rPr>
            <w:br w:type="page"/>
          </w:r>
        </w:p>
      </w:sdtContent>
    </w:sdt>
    <w:p w14:paraId="7DE8697E" w14:textId="77777777" w:rsidR="00E9465F" w:rsidRDefault="00E9465F" w:rsidP="00377BCC">
      <w:pPr>
        <w:pStyle w:val="Title"/>
        <w:spacing w:line="276" w:lineRule="auto"/>
      </w:pPr>
    </w:p>
    <w:p w14:paraId="31F6FDFB" w14:textId="6B7A64D1" w:rsidR="00C20D80" w:rsidRDefault="00C20D80" w:rsidP="00C20D80"/>
    <w:p w14:paraId="517A8F93" w14:textId="65E2D8BC" w:rsidR="00C20D80" w:rsidRDefault="00C20D80" w:rsidP="00C20D80"/>
    <w:p w14:paraId="4AA1986F" w14:textId="3461C8FF" w:rsidR="00C20D80" w:rsidRDefault="00C20D80" w:rsidP="00C20D80"/>
    <w:p w14:paraId="26689CFB" w14:textId="165B0175" w:rsidR="00C20D80" w:rsidRDefault="00C20D80" w:rsidP="00C20D80"/>
    <w:p w14:paraId="3C53A8CA" w14:textId="707F2B91" w:rsidR="00C20D80" w:rsidRDefault="00C20D80" w:rsidP="00C20D80"/>
    <w:p w14:paraId="59B73FE0" w14:textId="661A6B49" w:rsidR="00C20D80" w:rsidRDefault="00C20D80" w:rsidP="00C20D80"/>
    <w:p w14:paraId="1E92B37A" w14:textId="7CFC0EA2" w:rsidR="00C20D80" w:rsidRDefault="00C20D80" w:rsidP="00C20D80"/>
    <w:p w14:paraId="6CCA4958" w14:textId="276CB5C6" w:rsidR="00C20D80" w:rsidRDefault="00C20D80" w:rsidP="00C20D80"/>
    <w:p w14:paraId="108629B3" w14:textId="05FA776C" w:rsidR="00C20D80" w:rsidRDefault="00C20D80" w:rsidP="00C20D80"/>
    <w:p w14:paraId="74C410F8" w14:textId="20CBF6C7" w:rsidR="00C20D80" w:rsidRDefault="00C20D80" w:rsidP="00C20D80"/>
    <w:p w14:paraId="4BC6ED5C" w14:textId="1FF43509" w:rsidR="00C20D80" w:rsidRPr="00C20D80" w:rsidRDefault="00C20D80" w:rsidP="00C20D80">
      <w:pPr>
        <w:rPr>
          <w:sz w:val="48"/>
          <w:szCs w:val="48"/>
        </w:rPr>
      </w:pPr>
      <w:r>
        <w:rPr>
          <w:sz w:val="48"/>
          <w:szCs w:val="48"/>
        </w:rPr>
        <w:t xml:space="preserve">   </w:t>
      </w:r>
      <w:r w:rsidRPr="00C20D80">
        <w:rPr>
          <w:sz w:val="48"/>
          <w:szCs w:val="48"/>
        </w:rPr>
        <w:t>University of Wales Trinity Saint David</w:t>
      </w:r>
    </w:p>
    <w:p w14:paraId="664F452B" w14:textId="77777777" w:rsidR="00C20D80" w:rsidRDefault="00C20D80" w:rsidP="00C20D80"/>
    <w:p w14:paraId="1755C58F" w14:textId="5088B067" w:rsidR="00C20D80" w:rsidRDefault="00C20D80" w:rsidP="00C20D80"/>
    <w:p w14:paraId="26E434C3" w14:textId="1BC8F269" w:rsidR="00C20D80" w:rsidRDefault="00C20D80" w:rsidP="00C20D80"/>
    <w:p w14:paraId="07086A42" w14:textId="68E11DB9" w:rsidR="00C20D80" w:rsidRDefault="00C20D80" w:rsidP="00C20D80"/>
    <w:p w14:paraId="1F3E2171" w14:textId="2D95C0B9" w:rsidR="00C20D80" w:rsidRDefault="00C20D80" w:rsidP="00C20D80"/>
    <w:p w14:paraId="650F366C" w14:textId="13A7B670" w:rsidR="00C20D80" w:rsidRDefault="00C20D80" w:rsidP="00C20D80"/>
    <w:p w14:paraId="240E9B10" w14:textId="5F5F8D60" w:rsidR="00C20D80" w:rsidRDefault="00C20D80" w:rsidP="00C20D80"/>
    <w:p w14:paraId="6FBF9089" w14:textId="2318D0DB" w:rsidR="00C20D80" w:rsidRDefault="00C20D80" w:rsidP="00C20D80"/>
    <w:p w14:paraId="0A11296B" w14:textId="4F6EA8C4" w:rsidR="00C20D80" w:rsidRDefault="00C20D80" w:rsidP="00C20D80"/>
    <w:p w14:paraId="634D3833" w14:textId="2471E3EE" w:rsidR="00C20D80" w:rsidRDefault="00C20D80" w:rsidP="00C20D80"/>
    <w:p w14:paraId="4041EE6A" w14:textId="3C6420E4" w:rsidR="00C20D80" w:rsidRDefault="00C20D80" w:rsidP="00C20D80"/>
    <w:p w14:paraId="684E9022" w14:textId="77777777" w:rsidR="00C20D80" w:rsidRPr="00C20D80" w:rsidRDefault="00C20D80" w:rsidP="00C20D80"/>
    <w:p w14:paraId="62A538DF" w14:textId="77777777" w:rsidR="00E9465F" w:rsidRPr="005B20FB" w:rsidRDefault="00E9465F" w:rsidP="00377BCC">
      <w:pPr>
        <w:pStyle w:val="Title"/>
        <w:spacing w:line="276" w:lineRule="auto"/>
      </w:pPr>
    </w:p>
    <w:p w14:paraId="10221D7D" w14:textId="77777777" w:rsidR="00E9465F" w:rsidRPr="005B20FB" w:rsidRDefault="00E9465F" w:rsidP="00377BCC">
      <w:pPr>
        <w:pStyle w:val="Title"/>
        <w:spacing w:line="276" w:lineRule="auto"/>
      </w:pPr>
    </w:p>
    <w:p w14:paraId="2038ED72" w14:textId="77777777" w:rsidR="00E9465F" w:rsidRPr="005B20FB" w:rsidRDefault="00E9465F" w:rsidP="00377BCC">
      <w:pPr>
        <w:pStyle w:val="Title"/>
        <w:spacing w:line="276" w:lineRule="auto"/>
      </w:pPr>
    </w:p>
    <w:p w14:paraId="094FE300" w14:textId="28FC693B" w:rsidR="00E9465F" w:rsidRDefault="00E9465F" w:rsidP="00377BCC">
      <w:pPr>
        <w:pStyle w:val="Title"/>
        <w:spacing w:line="276" w:lineRule="auto"/>
      </w:pPr>
    </w:p>
    <w:p w14:paraId="765DC017" w14:textId="059F3363" w:rsidR="00C20D80" w:rsidRDefault="00C20D80" w:rsidP="00C20D80"/>
    <w:p w14:paraId="47830859" w14:textId="08E41EB2" w:rsidR="00C20D80" w:rsidRDefault="00C20D80" w:rsidP="00C20D80"/>
    <w:p w14:paraId="327A3668" w14:textId="1585FFE9" w:rsidR="00C20D80" w:rsidRDefault="00C20D80" w:rsidP="00C20D80"/>
    <w:p w14:paraId="50B75619" w14:textId="246EEFB9" w:rsidR="00C20D80" w:rsidRDefault="00C20D80" w:rsidP="00C20D80"/>
    <w:p w14:paraId="4EEF6299" w14:textId="77777777" w:rsidR="00C20D80" w:rsidRPr="00C20D80" w:rsidRDefault="00C20D80" w:rsidP="00C20D80"/>
    <w:p w14:paraId="7A534855" w14:textId="77777777" w:rsidR="00E9465F" w:rsidRPr="005B20FB" w:rsidRDefault="00E9465F" w:rsidP="00377BCC">
      <w:pPr>
        <w:pStyle w:val="Title"/>
        <w:spacing w:line="276" w:lineRule="auto"/>
      </w:pPr>
    </w:p>
    <w:p w14:paraId="233DB29D" w14:textId="2AA0B9F5" w:rsidR="00961E38" w:rsidRPr="005B20FB" w:rsidRDefault="005A6A0C" w:rsidP="00377BCC">
      <w:pPr>
        <w:pStyle w:val="Title"/>
        <w:spacing w:line="276" w:lineRule="auto"/>
      </w:pPr>
      <w:r w:rsidRPr="005B20FB">
        <w:t>Evaluation of the extent to which the court upholds a contract entered into as a result of threat or pressure by one party over the other party</w:t>
      </w:r>
    </w:p>
    <w:p w14:paraId="730AB01C" w14:textId="7C1326A4" w:rsidR="00535E12" w:rsidRPr="005B20FB" w:rsidRDefault="005A6A0C" w:rsidP="00377BCC">
      <w:pPr>
        <w:spacing w:line="276" w:lineRule="auto"/>
      </w:pPr>
      <w:r w:rsidRPr="005B20FB">
        <w:br w:type="page"/>
      </w:r>
    </w:p>
    <w:sdt>
      <w:sdtPr>
        <w:rPr>
          <w:rFonts w:ascii="Times New Roman" w:eastAsiaTheme="minorHAnsi" w:hAnsi="Times New Roman" w:cstheme="minorBidi"/>
          <w:color w:val="auto"/>
          <w:sz w:val="24"/>
          <w:szCs w:val="22"/>
          <w:lang w:val="en-IN"/>
        </w:rPr>
        <w:id w:val="690505194"/>
        <w:docPartObj>
          <w:docPartGallery w:val="Table of Contents"/>
          <w:docPartUnique/>
        </w:docPartObj>
      </w:sdtPr>
      <w:sdtEndPr>
        <w:rPr>
          <w:b/>
          <w:bCs/>
          <w:noProof/>
        </w:rPr>
      </w:sdtEndPr>
      <w:sdtContent>
        <w:p w14:paraId="41DB6FBC" w14:textId="04323129" w:rsidR="005F5166" w:rsidRPr="005B20FB" w:rsidRDefault="005A6A0C">
          <w:pPr>
            <w:pStyle w:val="TOCHeading"/>
            <w:rPr>
              <w:rStyle w:val="Heading1Char"/>
              <w:color w:val="auto"/>
            </w:rPr>
          </w:pPr>
          <w:r w:rsidRPr="005B20FB">
            <w:rPr>
              <w:rStyle w:val="Heading1Char"/>
              <w:color w:val="auto"/>
            </w:rPr>
            <w:t>Table of Contents</w:t>
          </w:r>
        </w:p>
        <w:p w14:paraId="3B111C8E" w14:textId="4B7ED4DA" w:rsidR="00C20D80" w:rsidRDefault="005A6A0C">
          <w:pPr>
            <w:pStyle w:val="TOC1"/>
            <w:tabs>
              <w:tab w:val="right" w:leader="dot" w:pos="9016"/>
            </w:tabs>
            <w:rPr>
              <w:rFonts w:asciiTheme="minorHAnsi" w:eastAsiaTheme="minorEastAsia" w:hAnsiTheme="minorHAnsi"/>
              <w:noProof/>
              <w:sz w:val="22"/>
              <w:lang w:val="en-GB" w:eastAsia="en-GB"/>
            </w:rPr>
          </w:pPr>
          <w:r w:rsidRPr="005B20FB">
            <w:fldChar w:fldCharType="begin"/>
          </w:r>
          <w:r w:rsidRPr="005B20FB">
            <w:instrText xml:space="preserve"> TOC \o "1-3" \h \z \u </w:instrText>
          </w:r>
          <w:r w:rsidRPr="005B20FB">
            <w:fldChar w:fldCharType="separate"/>
          </w:r>
          <w:hyperlink w:anchor="_Toc71305296" w:history="1">
            <w:r w:rsidR="00C20D80" w:rsidRPr="00AC413E">
              <w:rPr>
                <w:rStyle w:val="Hyperlink"/>
                <w:noProof/>
              </w:rPr>
              <w:t>Introduction</w:t>
            </w:r>
            <w:r w:rsidR="00C20D80">
              <w:rPr>
                <w:noProof/>
                <w:webHidden/>
              </w:rPr>
              <w:tab/>
            </w:r>
            <w:r w:rsidR="00C20D80">
              <w:rPr>
                <w:noProof/>
                <w:webHidden/>
              </w:rPr>
              <w:fldChar w:fldCharType="begin"/>
            </w:r>
            <w:r w:rsidR="00C20D80">
              <w:rPr>
                <w:noProof/>
                <w:webHidden/>
              </w:rPr>
              <w:instrText xml:space="preserve"> PAGEREF _Toc71305296 \h </w:instrText>
            </w:r>
            <w:r w:rsidR="00C20D80">
              <w:rPr>
                <w:noProof/>
                <w:webHidden/>
              </w:rPr>
            </w:r>
            <w:r w:rsidR="00C20D80">
              <w:rPr>
                <w:noProof/>
                <w:webHidden/>
              </w:rPr>
              <w:fldChar w:fldCharType="separate"/>
            </w:r>
            <w:r w:rsidR="00C20D80">
              <w:rPr>
                <w:noProof/>
                <w:webHidden/>
              </w:rPr>
              <w:t>4</w:t>
            </w:r>
            <w:r w:rsidR="00C20D80">
              <w:rPr>
                <w:noProof/>
                <w:webHidden/>
              </w:rPr>
              <w:fldChar w:fldCharType="end"/>
            </w:r>
          </w:hyperlink>
        </w:p>
        <w:p w14:paraId="1A814D21" w14:textId="30BF7D86" w:rsidR="00C20D80" w:rsidRDefault="00C20D80">
          <w:pPr>
            <w:pStyle w:val="TOC1"/>
            <w:tabs>
              <w:tab w:val="right" w:leader="dot" w:pos="9016"/>
            </w:tabs>
            <w:rPr>
              <w:rFonts w:asciiTheme="minorHAnsi" w:eastAsiaTheme="minorEastAsia" w:hAnsiTheme="minorHAnsi"/>
              <w:noProof/>
              <w:sz w:val="22"/>
              <w:lang w:val="en-GB" w:eastAsia="en-GB"/>
            </w:rPr>
          </w:pPr>
          <w:hyperlink w:anchor="_Toc71305297" w:history="1">
            <w:r w:rsidRPr="00AC413E">
              <w:rPr>
                <w:rStyle w:val="Hyperlink"/>
                <w:noProof/>
              </w:rPr>
              <w:t>Duress: Meaning</w:t>
            </w:r>
            <w:r>
              <w:rPr>
                <w:noProof/>
                <w:webHidden/>
              </w:rPr>
              <w:tab/>
            </w:r>
            <w:r>
              <w:rPr>
                <w:noProof/>
                <w:webHidden/>
              </w:rPr>
              <w:fldChar w:fldCharType="begin"/>
            </w:r>
            <w:r>
              <w:rPr>
                <w:noProof/>
                <w:webHidden/>
              </w:rPr>
              <w:instrText xml:space="preserve"> PAGEREF _Toc71305297 \h </w:instrText>
            </w:r>
            <w:r>
              <w:rPr>
                <w:noProof/>
                <w:webHidden/>
              </w:rPr>
            </w:r>
            <w:r>
              <w:rPr>
                <w:noProof/>
                <w:webHidden/>
              </w:rPr>
              <w:fldChar w:fldCharType="separate"/>
            </w:r>
            <w:r>
              <w:rPr>
                <w:noProof/>
                <w:webHidden/>
              </w:rPr>
              <w:t>4</w:t>
            </w:r>
            <w:r>
              <w:rPr>
                <w:noProof/>
                <w:webHidden/>
              </w:rPr>
              <w:fldChar w:fldCharType="end"/>
            </w:r>
          </w:hyperlink>
        </w:p>
        <w:p w14:paraId="6D78A0C9" w14:textId="74B724DF" w:rsidR="00C20D80" w:rsidRDefault="00C20D80">
          <w:pPr>
            <w:pStyle w:val="TOC1"/>
            <w:tabs>
              <w:tab w:val="right" w:leader="dot" w:pos="9016"/>
            </w:tabs>
            <w:rPr>
              <w:rFonts w:asciiTheme="minorHAnsi" w:eastAsiaTheme="minorEastAsia" w:hAnsiTheme="minorHAnsi"/>
              <w:noProof/>
              <w:sz w:val="22"/>
              <w:lang w:val="en-GB" w:eastAsia="en-GB"/>
            </w:rPr>
          </w:pPr>
          <w:hyperlink w:anchor="_Toc71305298" w:history="1">
            <w:r w:rsidRPr="00AC413E">
              <w:rPr>
                <w:rStyle w:val="Hyperlink"/>
                <w:noProof/>
              </w:rPr>
              <w:t>Evolution of duress</w:t>
            </w:r>
            <w:r>
              <w:rPr>
                <w:noProof/>
                <w:webHidden/>
              </w:rPr>
              <w:tab/>
            </w:r>
            <w:r>
              <w:rPr>
                <w:noProof/>
                <w:webHidden/>
              </w:rPr>
              <w:fldChar w:fldCharType="begin"/>
            </w:r>
            <w:r>
              <w:rPr>
                <w:noProof/>
                <w:webHidden/>
              </w:rPr>
              <w:instrText xml:space="preserve"> PAGEREF _Toc71305298 \h </w:instrText>
            </w:r>
            <w:r>
              <w:rPr>
                <w:noProof/>
                <w:webHidden/>
              </w:rPr>
            </w:r>
            <w:r>
              <w:rPr>
                <w:noProof/>
                <w:webHidden/>
              </w:rPr>
              <w:fldChar w:fldCharType="separate"/>
            </w:r>
            <w:r>
              <w:rPr>
                <w:noProof/>
                <w:webHidden/>
              </w:rPr>
              <w:t>4</w:t>
            </w:r>
            <w:r>
              <w:rPr>
                <w:noProof/>
                <w:webHidden/>
              </w:rPr>
              <w:fldChar w:fldCharType="end"/>
            </w:r>
          </w:hyperlink>
        </w:p>
        <w:p w14:paraId="47BD28E5" w14:textId="59CCCCFA" w:rsidR="00C20D80" w:rsidRDefault="00C20D80">
          <w:pPr>
            <w:pStyle w:val="TOC1"/>
            <w:tabs>
              <w:tab w:val="right" w:leader="dot" w:pos="9016"/>
            </w:tabs>
            <w:rPr>
              <w:rFonts w:asciiTheme="minorHAnsi" w:eastAsiaTheme="minorEastAsia" w:hAnsiTheme="minorHAnsi"/>
              <w:noProof/>
              <w:sz w:val="22"/>
              <w:lang w:val="en-GB" w:eastAsia="en-GB"/>
            </w:rPr>
          </w:pPr>
          <w:hyperlink w:anchor="_Toc71305299" w:history="1">
            <w:r w:rsidRPr="00AC413E">
              <w:rPr>
                <w:rStyle w:val="Hyperlink"/>
                <w:noProof/>
              </w:rPr>
              <w:t>Duress for the seizure of goods</w:t>
            </w:r>
            <w:r>
              <w:rPr>
                <w:noProof/>
                <w:webHidden/>
              </w:rPr>
              <w:tab/>
            </w:r>
            <w:r>
              <w:rPr>
                <w:noProof/>
                <w:webHidden/>
              </w:rPr>
              <w:fldChar w:fldCharType="begin"/>
            </w:r>
            <w:r>
              <w:rPr>
                <w:noProof/>
                <w:webHidden/>
              </w:rPr>
              <w:instrText xml:space="preserve"> PAGEREF _Toc71305299 \h </w:instrText>
            </w:r>
            <w:r>
              <w:rPr>
                <w:noProof/>
                <w:webHidden/>
              </w:rPr>
            </w:r>
            <w:r>
              <w:rPr>
                <w:noProof/>
                <w:webHidden/>
              </w:rPr>
              <w:fldChar w:fldCharType="separate"/>
            </w:r>
            <w:r>
              <w:rPr>
                <w:noProof/>
                <w:webHidden/>
              </w:rPr>
              <w:t>5</w:t>
            </w:r>
            <w:r>
              <w:rPr>
                <w:noProof/>
                <w:webHidden/>
              </w:rPr>
              <w:fldChar w:fldCharType="end"/>
            </w:r>
          </w:hyperlink>
        </w:p>
        <w:p w14:paraId="3ED6A5FE" w14:textId="78F5B722" w:rsidR="00C20D80" w:rsidRDefault="00C20D80">
          <w:pPr>
            <w:pStyle w:val="TOC1"/>
            <w:tabs>
              <w:tab w:val="right" w:leader="dot" w:pos="9016"/>
            </w:tabs>
            <w:rPr>
              <w:rFonts w:asciiTheme="minorHAnsi" w:eastAsiaTheme="minorEastAsia" w:hAnsiTheme="minorHAnsi"/>
              <w:noProof/>
              <w:sz w:val="22"/>
              <w:lang w:val="en-GB" w:eastAsia="en-GB"/>
            </w:rPr>
          </w:pPr>
          <w:hyperlink w:anchor="_Toc71305300" w:history="1">
            <w:r w:rsidRPr="00AC413E">
              <w:rPr>
                <w:rStyle w:val="Hyperlink"/>
                <w:noProof/>
              </w:rPr>
              <w:t>Economic duress</w:t>
            </w:r>
            <w:r>
              <w:rPr>
                <w:noProof/>
                <w:webHidden/>
              </w:rPr>
              <w:tab/>
            </w:r>
            <w:r>
              <w:rPr>
                <w:noProof/>
                <w:webHidden/>
              </w:rPr>
              <w:fldChar w:fldCharType="begin"/>
            </w:r>
            <w:r>
              <w:rPr>
                <w:noProof/>
                <w:webHidden/>
              </w:rPr>
              <w:instrText xml:space="preserve"> PAGEREF _Toc71305300 \h </w:instrText>
            </w:r>
            <w:r>
              <w:rPr>
                <w:noProof/>
                <w:webHidden/>
              </w:rPr>
            </w:r>
            <w:r>
              <w:rPr>
                <w:noProof/>
                <w:webHidden/>
              </w:rPr>
              <w:fldChar w:fldCharType="separate"/>
            </w:r>
            <w:r>
              <w:rPr>
                <w:noProof/>
                <w:webHidden/>
              </w:rPr>
              <w:t>6</w:t>
            </w:r>
            <w:r>
              <w:rPr>
                <w:noProof/>
                <w:webHidden/>
              </w:rPr>
              <w:fldChar w:fldCharType="end"/>
            </w:r>
          </w:hyperlink>
        </w:p>
        <w:p w14:paraId="4BAAE215" w14:textId="56B89B6B" w:rsidR="00C20D80" w:rsidRDefault="00C20D80">
          <w:pPr>
            <w:pStyle w:val="TOC1"/>
            <w:tabs>
              <w:tab w:val="right" w:leader="dot" w:pos="9016"/>
            </w:tabs>
            <w:rPr>
              <w:rFonts w:asciiTheme="minorHAnsi" w:eastAsiaTheme="minorEastAsia" w:hAnsiTheme="minorHAnsi"/>
              <w:noProof/>
              <w:sz w:val="22"/>
              <w:lang w:val="en-GB" w:eastAsia="en-GB"/>
            </w:rPr>
          </w:pPr>
          <w:hyperlink w:anchor="_Toc71305301" w:history="1">
            <w:r w:rsidRPr="00AC413E">
              <w:rPr>
                <w:rStyle w:val="Hyperlink"/>
                <w:noProof/>
              </w:rPr>
              <w:t>Difference between commercial bargaining and illegitimate pressure</w:t>
            </w:r>
            <w:r>
              <w:rPr>
                <w:noProof/>
                <w:webHidden/>
              </w:rPr>
              <w:tab/>
            </w:r>
            <w:r>
              <w:rPr>
                <w:noProof/>
                <w:webHidden/>
              </w:rPr>
              <w:fldChar w:fldCharType="begin"/>
            </w:r>
            <w:r>
              <w:rPr>
                <w:noProof/>
                <w:webHidden/>
              </w:rPr>
              <w:instrText xml:space="preserve"> PAGEREF _Toc71305301 \h </w:instrText>
            </w:r>
            <w:r>
              <w:rPr>
                <w:noProof/>
                <w:webHidden/>
              </w:rPr>
            </w:r>
            <w:r>
              <w:rPr>
                <w:noProof/>
                <w:webHidden/>
              </w:rPr>
              <w:fldChar w:fldCharType="separate"/>
            </w:r>
            <w:r>
              <w:rPr>
                <w:noProof/>
                <w:webHidden/>
              </w:rPr>
              <w:t>7</w:t>
            </w:r>
            <w:r>
              <w:rPr>
                <w:noProof/>
                <w:webHidden/>
              </w:rPr>
              <w:fldChar w:fldCharType="end"/>
            </w:r>
          </w:hyperlink>
        </w:p>
        <w:p w14:paraId="75B00D2D" w14:textId="69504551" w:rsidR="00C20D80" w:rsidRDefault="00C20D80">
          <w:pPr>
            <w:pStyle w:val="TOC1"/>
            <w:tabs>
              <w:tab w:val="right" w:leader="dot" w:pos="9016"/>
            </w:tabs>
            <w:rPr>
              <w:rFonts w:asciiTheme="minorHAnsi" w:eastAsiaTheme="minorEastAsia" w:hAnsiTheme="minorHAnsi"/>
              <w:noProof/>
              <w:sz w:val="22"/>
              <w:lang w:val="en-GB" w:eastAsia="en-GB"/>
            </w:rPr>
          </w:pPr>
          <w:hyperlink w:anchor="_Toc71305302" w:history="1">
            <w:r w:rsidRPr="00AC413E">
              <w:rPr>
                <w:rStyle w:val="Hyperlink"/>
                <w:noProof/>
              </w:rPr>
              <w:t>Undue influence: Meaning and traditional classification</w:t>
            </w:r>
            <w:r>
              <w:rPr>
                <w:noProof/>
                <w:webHidden/>
              </w:rPr>
              <w:tab/>
            </w:r>
            <w:r>
              <w:rPr>
                <w:noProof/>
                <w:webHidden/>
              </w:rPr>
              <w:fldChar w:fldCharType="begin"/>
            </w:r>
            <w:r>
              <w:rPr>
                <w:noProof/>
                <w:webHidden/>
              </w:rPr>
              <w:instrText xml:space="preserve"> PAGEREF _Toc71305302 \h </w:instrText>
            </w:r>
            <w:r>
              <w:rPr>
                <w:noProof/>
                <w:webHidden/>
              </w:rPr>
            </w:r>
            <w:r>
              <w:rPr>
                <w:noProof/>
                <w:webHidden/>
              </w:rPr>
              <w:fldChar w:fldCharType="separate"/>
            </w:r>
            <w:r>
              <w:rPr>
                <w:noProof/>
                <w:webHidden/>
              </w:rPr>
              <w:t>7</w:t>
            </w:r>
            <w:r>
              <w:rPr>
                <w:noProof/>
                <w:webHidden/>
              </w:rPr>
              <w:fldChar w:fldCharType="end"/>
            </w:r>
          </w:hyperlink>
        </w:p>
        <w:p w14:paraId="7DF67779" w14:textId="1499B2EA" w:rsidR="00C20D80" w:rsidRDefault="00C20D80">
          <w:pPr>
            <w:pStyle w:val="TOC1"/>
            <w:tabs>
              <w:tab w:val="right" w:leader="dot" w:pos="9016"/>
            </w:tabs>
            <w:rPr>
              <w:rFonts w:asciiTheme="minorHAnsi" w:eastAsiaTheme="minorEastAsia" w:hAnsiTheme="minorHAnsi"/>
              <w:noProof/>
              <w:sz w:val="22"/>
              <w:lang w:val="en-GB" w:eastAsia="en-GB"/>
            </w:rPr>
          </w:pPr>
          <w:hyperlink w:anchor="_Toc71305303" w:history="1">
            <w:r w:rsidRPr="00AC413E">
              <w:rPr>
                <w:rStyle w:val="Hyperlink"/>
                <w:noProof/>
              </w:rPr>
              <w:t>The present classification of undue influence</w:t>
            </w:r>
            <w:r>
              <w:rPr>
                <w:noProof/>
                <w:webHidden/>
              </w:rPr>
              <w:tab/>
            </w:r>
            <w:r>
              <w:rPr>
                <w:noProof/>
                <w:webHidden/>
              </w:rPr>
              <w:fldChar w:fldCharType="begin"/>
            </w:r>
            <w:r>
              <w:rPr>
                <w:noProof/>
                <w:webHidden/>
              </w:rPr>
              <w:instrText xml:space="preserve"> PAGEREF _Toc71305303 \h </w:instrText>
            </w:r>
            <w:r>
              <w:rPr>
                <w:noProof/>
                <w:webHidden/>
              </w:rPr>
            </w:r>
            <w:r>
              <w:rPr>
                <w:noProof/>
                <w:webHidden/>
              </w:rPr>
              <w:fldChar w:fldCharType="separate"/>
            </w:r>
            <w:r>
              <w:rPr>
                <w:noProof/>
                <w:webHidden/>
              </w:rPr>
              <w:t>7</w:t>
            </w:r>
            <w:r>
              <w:rPr>
                <w:noProof/>
                <w:webHidden/>
              </w:rPr>
              <w:fldChar w:fldCharType="end"/>
            </w:r>
          </w:hyperlink>
        </w:p>
        <w:p w14:paraId="73524E2C" w14:textId="199D4A81" w:rsidR="00C20D80" w:rsidRDefault="00C20D80">
          <w:pPr>
            <w:pStyle w:val="TOC1"/>
            <w:tabs>
              <w:tab w:val="right" w:leader="dot" w:pos="9016"/>
            </w:tabs>
            <w:rPr>
              <w:rFonts w:asciiTheme="minorHAnsi" w:eastAsiaTheme="minorEastAsia" w:hAnsiTheme="minorHAnsi"/>
              <w:noProof/>
              <w:sz w:val="22"/>
              <w:lang w:val="en-GB" w:eastAsia="en-GB"/>
            </w:rPr>
          </w:pPr>
          <w:hyperlink w:anchor="_Toc71305304" w:history="1">
            <w:r w:rsidRPr="00AC413E">
              <w:rPr>
                <w:rStyle w:val="Hyperlink"/>
                <w:noProof/>
              </w:rPr>
              <w:t>Case of Etridge</w:t>
            </w:r>
            <w:r>
              <w:rPr>
                <w:noProof/>
                <w:webHidden/>
              </w:rPr>
              <w:tab/>
            </w:r>
            <w:r>
              <w:rPr>
                <w:noProof/>
                <w:webHidden/>
              </w:rPr>
              <w:fldChar w:fldCharType="begin"/>
            </w:r>
            <w:r>
              <w:rPr>
                <w:noProof/>
                <w:webHidden/>
              </w:rPr>
              <w:instrText xml:space="preserve"> PAGEREF _Toc71305304 \h </w:instrText>
            </w:r>
            <w:r>
              <w:rPr>
                <w:noProof/>
                <w:webHidden/>
              </w:rPr>
            </w:r>
            <w:r>
              <w:rPr>
                <w:noProof/>
                <w:webHidden/>
              </w:rPr>
              <w:fldChar w:fldCharType="separate"/>
            </w:r>
            <w:r>
              <w:rPr>
                <w:noProof/>
                <w:webHidden/>
              </w:rPr>
              <w:t>8</w:t>
            </w:r>
            <w:r>
              <w:rPr>
                <w:noProof/>
                <w:webHidden/>
              </w:rPr>
              <w:fldChar w:fldCharType="end"/>
            </w:r>
          </w:hyperlink>
        </w:p>
        <w:p w14:paraId="378DD982" w14:textId="09CEC65C" w:rsidR="00C20D80" w:rsidRDefault="00C20D80">
          <w:pPr>
            <w:pStyle w:val="TOC1"/>
            <w:tabs>
              <w:tab w:val="right" w:leader="dot" w:pos="9016"/>
            </w:tabs>
            <w:rPr>
              <w:rFonts w:asciiTheme="minorHAnsi" w:eastAsiaTheme="minorEastAsia" w:hAnsiTheme="minorHAnsi"/>
              <w:noProof/>
              <w:sz w:val="22"/>
              <w:lang w:val="en-GB" w:eastAsia="en-GB"/>
            </w:rPr>
          </w:pPr>
          <w:hyperlink w:anchor="_Toc71305305" w:history="1">
            <w:r w:rsidRPr="00AC413E">
              <w:rPr>
                <w:rStyle w:val="Hyperlink"/>
                <w:noProof/>
              </w:rPr>
              <w:t>Difference between duress and undue influence</w:t>
            </w:r>
            <w:r>
              <w:rPr>
                <w:noProof/>
                <w:webHidden/>
              </w:rPr>
              <w:tab/>
            </w:r>
            <w:r>
              <w:rPr>
                <w:noProof/>
                <w:webHidden/>
              </w:rPr>
              <w:fldChar w:fldCharType="begin"/>
            </w:r>
            <w:r>
              <w:rPr>
                <w:noProof/>
                <w:webHidden/>
              </w:rPr>
              <w:instrText xml:space="preserve"> PAGEREF _Toc71305305 \h </w:instrText>
            </w:r>
            <w:r>
              <w:rPr>
                <w:noProof/>
                <w:webHidden/>
              </w:rPr>
            </w:r>
            <w:r>
              <w:rPr>
                <w:noProof/>
                <w:webHidden/>
              </w:rPr>
              <w:fldChar w:fldCharType="separate"/>
            </w:r>
            <w:r>
              <w:rPr>
                <w:noProof/>
                <w:webHidden/>
              </w:rPr>
              <w:t>9</w:t>
            </w:r>
            <w:r>
              <w:rPr>
                <w:noProof/>
                <w:webHidden/>
              </w:rPr>
              <w:fldChar w:fldCharType="end"/>
            </w:r>
          </w:hyperlink>
        </w:p>
        <w:p w14:paraId="57DE1CE1" w14:textId="7E4BD141" w:rsidR="00C20D80" w:rsidRDefault="00C20D80">
          <w:pPr>
            <w:pStyle w:val="TOC1"/>
            <w:tabs>
              <w:tab w:val="right" w:leader="dot" w:pos="9016"/>
            </w:tabs>
            <w:rPr>
              <w:rFonts w:asciiTheme="minorHAnsi" w:eastAsiaTheme="minorEastAsia" w:hAnsiTheme="minorHAnsi"/>
              <w:noProof/>
              <w:sz w:val="22"/>
              <w:lang w:val="en-GB" w:eastAsia="en-GB"/>
            </w:rPr>
          </w:pPr>
          <w:hyperlink w:anchor="_Toc71305306" w:history="1">
            <w:r w:rsidRPr="00AC413E">
              <w:rPr>
                <w:rStyle w:val="Hyperlink"/>
                <w:noProof/>
              </w:rPr>
              <w:t>Conclusion</w:t>
            </w:r>
            <w:r>
              <w:rPr>
                <w:noProof/>
                <w:webHidden/>
              </w:rPr>
              <w:tab/>
            </w:r>
            <w:r>
              <w:rPr>
                <w:noProof/>
                <w:webHidden/>
              </w:rPr>
              <w:fldChar w:fldCharType="begin"/>
            </w:r>
            <w:r>
              <w:rPr>
                <w:noProof/>
                <w:webHidden/>
              </w:rPr>
              <w:instrText xml:space="preserve"> PAGEREF _Toc71305306 \h </w:instrText>
            </w:r>
            <w:r>
              <w:rPr>
                <w:noProof/>
                <w:webHidden/>
              </w:rPr>
            </w:r>
            <w:r>
              <w:rPr>
                <w:noProof/>
                <w:webHidden/>
              </w:rPr>
              <w:fldChar w:fldCharType="separate"/>
            </w:r>
            <w:r>
              <w:rPr>
                <w:noProof/>
                <w:webHidden/>
              </w:rPr>
              <w:t>9</w:t>
            </w:r>
            <w:r>
              <w:rPr>
                <w:noProof/>
                <w:webHidden/>
              </w:rPr>
              <w:fldChar w:fldCharType="end"/>
            </w:r>
          </w:hyperlink>
        </w:p>
        <w:p w14:paraId="7F06B69B" w14:textId="696226C9" w:rsidR="00C20D80" w:rsidRDefault="00C20D80">
          <w:pPr>
            <w:pStyle w:val="TOC1"/>
            <w:tabs>
              <w:tab w:val="right" w:leader="dot" w:pos="9016"/>
            </w:tabs>
            <w:rPr>
              <w:rFonts w:asciiTheme="minorHAnsi" w:eastAsiaTheme="minorEastAsia" w:hAnsiTheme="minorHAnsi"/>
              <w:noProof/>
              <w:sz w:val="22"/>
              <w:lang w:val="en-GB" w:eastAsia="en-GB"/>
            </w:rPr>
          </w:pPr>
          <w:hyperlink w:anchor="_Toc71305307" w:history="1">
            <w:r w:rsidRPr="00AC413E">
              <w:rPr>
                <w:rStyle w:val="Hyperlink"/>
                <w:noProof/>
              </w:rPr>
              <w:t>References</w:t>
            </w:r>
            <w:r>
              <w:rPr>
                <w:noProof/>
                <w:webHidden/>
              </w:rPr>
              <w:tab/>
            </w:r>
            <w:r>
              <w:rPr>
                <w:noProof/>
                <w:webHidden/>
              </w:rPr>
              <w:fldChar w:fldCharType="begin"/>
            </w:r>
            <w:r>
              <w:rPr>
                <w:noProof/>
                <w:webHidden/>
              </w:rPr>
              <w:instrText xml:space="preserve"> PAGEREF _Toc71305307 \h </w:instrText>
            </w:r>
            <w:r>
              <w:rPr>
                <w:noProof/>
                <w:webHidden/>
              </w:rPr>
            </w:r>
            <w:r>
              <w:rPr>
                <w:noProof/>
                <w:webHidden/>
              </w:rPr>
              <w:fldChar w:fldCharType="separate"/>
            </w:r>
            <w:r>
              <w:rPr>
                <w:noProof/>
                <w:webHidden/>
              </w:rPr>
              <w:t>10</w:t>
            </w:r>
            <w:r>
              <w:rPr>
                <w:noProof/>
                <w:webHidden/>
              </w:rPr>
              <w:fldChar w:fldCharType="end"/>
            </w:r>
          </w:hyperlink>
        </w:p>
        <w:p w14:paraId="1A5A61D5" w14:textId="3F985477" w:rsidR="005F5166" w:rsidRPr="005B20FB" w:rsidRDefault="005A6A0C">
          <w:r w:rsidRPr="005B20FB">
            <w:rPr>
              <w:b/>
              <w:bCs/>
              <w:noProof/>
            </w:rPr>
            <w:fldChar w:fldCharType="end"/>
          </w:r>
        </w:p>
      </w:sdtContent>
    </w:sdt>
    <w:p w14:paraId="05BE672E" w14:textId="74E4FACC" w:rsidR="00535E12" w:rsidRPr="005B20FB" w:rsidRDefault="00535E12" w:rsidP="00377BCC">
      <w:pPr>
        <w:spacing w:line="276" w:lineRule="auto"/>
      </w:pPr>
    </w:p>
    <w:p w14:paraId="7C4BD793" w14:textId="583FB3B0" w:rsidR="00535E12" w:rsidRPr="005B20FB" w:rsidRDefault="005A6A0C" w:rsidP="00377BCC">
      <w:pPr>
        <w:spacing w:line="276" w:lineRule="auto"/>
      </w:pPr>
      <w:r w:rsidRPr="005B20FB">
        <w:br w:type="page"/>
      </w:r>
    </w:p>
    <w:p w14:paraId="1EDD53D0" w14:textId="29261F5C" w:rsidR="00535E12" w:rsidRPr="005B20FB" w:rsidRDefault="005A6A0C" w:rsidP="00377BCC">
      <w:pPr>
        <w:pStyle w:val="Heading1"/>
        <w:spacing w:line="276" w:lineRule="auto"/>
      </w:pPr>
      <w:bookmarkStart w:id="0" w:name="_Toc71305296"/>
      <w:r w:rsidRPr="005B20FB">
        <w:t>Introduction</w:t>
      </w:r>
      <w:bookmarkEnd w:id="0"/>
    </w:p>
    <w:p w14:paraId="7E881994" w14:textId="23745DE9" w:rsidR="00535E12" w:rsidRPr="005B20FB" w:rsidRDefault="005A6A0C" w:rsidP="00377BCC">
      <w:pPr>
        <w:spacing w:line="276" w:lineRule="auto"/>
        <w:jc w:val="both"/>
      </w:pPr>
      <w:r w:rsidRPr="005B20FB">
        <w:t xml:space="preserve">The presented assignment is a written </w:t>
      </w:r>
      <w:r w:rsidR="00C20D80">
        <w:t xml:space="preserve">to </w:t>
      </w:r>
      <w:r w:rsidRPr="005B20FB">
        <w:t>evaluate</w:t>
      </w:r>
      <w:r w:rsidRPr="005B20FB">
        <w:t xml:space="preserve"> the two distinct concepts of duress and undue influence under contract law enforced in the United Kingdom. </w:t>
      </w:r>
      <w:r w:rsidR="00C415F0" w:rsidRPr="005B20FB">
        <w:t xml:space="preserve">Duress and undue influence are two distinct concepts under contract law which has evolved for a long period. </w:t>
      </w:r>
      <w:r w:rsidR="007F4F55" w:rsidRPr="005B20FB">
        <w:t>These concepts are though provided under the contract law but the evolution of these concepts in a strict sense has been done through judicial precedents where the courts have rendered judgments making the contract based on these concepts as</w:t>
      </w:r>
      <w:r w:rsidR="00304E1A" w:rsidRPr="005B20FB">
        <w:t xml:space="preserve"> </w:t>
      </w:r>
      <w:r w:rsidR="007F4F55" w:rsidRPr="005B20FB">
        <w:t xml:space="preserve">void. </w:t>
      </w:r>
      <w:r w:rsidR="00304E1A" w:rsidRPr="005B20FB">
        <w:t xml:space="preserve">The presented draft describes the two concepts duress and undue influence along with the history of the development </w:t>
      </w:r>
      <w:r w:rsidR="00DD0388" w:rsidRPr="005B20FB">
        <w:t>of</w:t>
      </w:r>
      <w:r w:rsidR="00304E1A" w:rsidRPr="005B20FB">
        <w:t xml:space="preserve"> these concepts with time. </w:t>
      </w:r>
      <w:r w:rsidR="00DD0388" w:rsidRPr="005B20FB">
        <w:t xml:space="preserve">Moreover, the presented draft also draws a line of difference between the two concepts and also analyses various case laws and judgments given in this respect. </w:t>
      </w:r>
      <w:r w:rsidR="00B93294" w:rsidRPr="005B20FB">
        <w:t xml:space="preserve">The draft also presents a critical evaluation of the court’s judgment in cases concerning these two concepts. </w:t>
      </w:r>
      <w:r w:rsidR="00CF65DA" w:rsidRPr="005B20FB">
        <w:t xml:space="preserve">These concepts are a result of case laws which have gained importance under the contract law fulfilling the claims of the people. </w:t>
      </w:r>
    </w:p>
    <w:p w14:paraId="67032A33" w14:textId="40E53CD9" w:rsidR="008B688B" w:rsidRPr="005B20FB" w:rsidRDefault="005A6A0C" w:rsidP="00377BCC">
      <w:pPr>
        <w:pStyle w:val="Heading1"/>
        <w:spacing w:line="276" w:lineRule="auto"/>
      </w:pPr>
      <w:bookmarkStart w:id="1" w:name="_Toc71305297"/>
      <w:r w:rsidRPr="005B20FB">
        <w:t>Duress: Meaning</w:t>
      </w:r>
      <w:bookmarkEnd w:id="1"/>
    </w:p>
    <w:p w14:paraId="355C26A0" w14:textId="6CB34F95" w:rsidR="008B688B" w:rsidRPr="005B20FB" w:rsidRDefault="005A6A0C" w:rsidP="00377BCC">
      <w:pPr>
        <w:spacing w:line="276" w:lineRule="auto"/>
        <w:jc w:val="both"/>
      </w:pPr>
      <w:r w:rsidRPr="005B20FB">
        <w:t>Duress is a situation where a person performs an act that results in violence over another person but it is not confined to the severity of violence. Duress also includes threats</w:t>
      </w:r>
      <w:r w:rsidRPr="005B20FB">
        <w:t xml:space="preserve"> and other pressure inflicted over another person.</w:t>
      </w:r>
      <w:r w:rsidR="0061135F" w:rsidRPr="005B20FB">
        <w:t xml:space="preserve"> In contract law, duress is referred to as the infliction of violation or threat or other pressure by one person over the other to make the other person enter into a contract. </w:t>
      </w:r>
      <w:r w:rsidR="008617E8" w:rsidRPr="005B20FB">
        <w:t>Discussing the definition of duress, the definition of Black’s Law Dictionary can be taken which provides the definition as-</w:t>
      </w:r>
    </w:p>
    <w:p w14:paraId="3600FA38" w14:textId="4F549F01" w:rsidR="008617E8" w:rsidRPr="005B20FB" w:rsidRDefault="005A6A0C" w:rsidP="00377BCC">
      <w:pPr>
        <w:spacing w:line="276" w:lineRule="auto"/>
        <w:ind w:left="720"/>
        <w:jc w:val="both"/>
        <w:rPr>
          <w:i/>
          <w:iCs/>
        </w:rPr>
      </w:pPr>
      <w:r w:rsidRPr="005B20FB">
        <w:rPr>
          <w:i/>
          <w:iCs/>
        </w:rPr>
        <w:t>“Duress is an unlawful</w:t>
      </w:r>
      <w:r w:rsidR="008B3D89" w:rsidRPr="005B20FB">
        <w:rPr>
          <w:i/>
          <w:iCs/>
        </w:rPr>
        <w:t xml:space="preserve"> threat or coercion that is induced by one person over another person to make him act or not act in a manner that the other person otherwise </w:t>
      </w:r>
      <w:r w:rsidR="005852BF" w:rsidRPr="005B20FB">
        <w:rPr>
          <w:i/>
          <w:iCs/>
        </w:rPr>
        <w:t>do</w:t>
      </w:r>
      <w:r w:rsidR="008B3D89" w:rsidRPr="005B20FB">
        <w:rPr>
          <w:i/>
          <w:iCs/>
        </w:rPr>
        <w:t>es or would not do."</w:t>
      </w:r>
    </w:p>
    <w:p w14:paraId="6CA937FF" w14:textId="327310C5" w:rsidR="008B3D89" w:rsidRPr="005B20FB" w:rsidRDefault="005A6A0C" w:rsidP="00377BCC">
      <w:pPr>
        <w:spacing w:line="276" w:lineRule="auto"/>
        <w:jc w:val="both"/>
      </w:pPr>
      <w:r w:rsidRPr="005B20FB">
        <w:t xml:space="preserve">Under the common law, duress is used as a weapon that protects the victim from improper pressure. </w:t>
      </w:r>
      <w:r w:rsidR="005852BF" w:rsidRPr="005B20FB">
        <w:t xml:space="preserve">The court intervenes in such cases where a party makes </w:t>
      </w:r>
      <w:r w:rsidR="00AA2D4A" w:rsidRPr="005B20FB">
        <w:t>another sign a contract as a result of pressure and such contract is unacceptable in the court</w:t>
      </w:r>
      <w:r w:rsidR="009F3E29" w:rsidRPr="005B20FB">
        <w:t xml:space="preserve"> (</w:t>
      </w:r>
      <w:r w:rsidR="009F3E29" w:rsidRPr="005B20FB">
        <w:rPr>
          <w:rFonts w:cs="Times New Roman"/>
          <w:szCs w:val="24"/>
          <w:shd w:val="clear" w:color="auto" w:fill="FFFFFF"/>
        </w:rPr>
        <w:t>Harrison, 2019).</w:t>
      </w:r>
      <w:r w:rsidR="00AA2D4A" w:rsidRPr="005B20FB">
        <w:t xml:space="preserve"> </w:t>
      </w:r>
      <w:r w:rsidR="000C2092" w:rsidRPr="005B20FB">
        <w:t xml:space="preserve">But it is noteworthy that there is a thin difference between acceptable pressure and unacceptable pressure which has been changing shifting over time. </w:t>
      </w:r>
      <w:r w:rsidR="009C0F74" w:rsidRPr="005B20FB">
        <w:t xml:space="preserve">The boundaries of unacceptable pressure </w:t>
      </w:r>
      <w:r w:rsidR="00C07B37" w:rsidRPr="005B20FB">
        <w:t>have</w:t>
      </w:r>
      <w:r w:rsidR="009C0F74" w:rsidRPr="005B20FB">
        <w:t xml:space="preserve"> been shifted more outward to include many more forms of pressure which also includes economic pressure. </w:t>
      </w:r>
      <w:r w:rsidR="00C81ECF" w:rsidRPr="005B20FB">
        <w:t xml:space="preserve">In cases relating to economic duress, the approach of some judges is already very restrictive which has made it almost impossible to get relief on this ground. </w:t>
      </w:r>
    </w:p>
    <w:p w14:paraId="405876E0" w14:textId="77777777" w:rsidR="00760D7C" w:rsidRPr="005B20FB" w:rsidRDefault="005A6A0C" w:rsidP="00377BCC">
      <w:pPr>
        <w:spacing w:line="276" w:lineRule="auto"/>
        <w:jc w:val="both"/>
      </w:pPr>
      <w:r w:rsidRPr="005B20FB">
        <w:t xml:space="preserve">The conceptual framework </w:t>
      </w:r>
      <w:r w:rsidR="00F842AF" w:rsidRPr="005B20FB">
        <w:t xml:space="preserve">for duress works from the notion that a person should not be forced to enter into a contract, instead, he should come for bargaining voluntarily without any pressure. </w:t>
      </w:r>
      <w:r w:rsidR="00993C75" w:rsidRPr="005B20FB">
        <w:t xml:space="preserve">Contracting freely and voluntarily is the basis for the formation of every contract and to be enforced in the court. </w:t>
      </w:r>
      <w:r w:rsidR="00480165" w:rsidRPr="005B20FB">
        <w:t xml:space="preserve">Under common law, if any contract is not entered voluntarily and is entered through any coercion or undue influence, the contract is considered void </w:t>
      </w:r>
      <w:r w:rsidR="00480165" w:rsidRPr="005B20FB">
        <w:rPr>
          <w:i/>
          <w:iCs/>
        </w:rPr>
        <w:t>ab initio.</w:t>
      </w:r>
      <w:r w:rsidRPr="005B20FB">
        <w:t xml:space="preserve"> </w:t>
      </w:r>
    </w:p>
    <w:p w14:paraId="358E62F8" w14:textId="77777777" w:rsidR="00760D7C" w:rsidRPr="005B20FB" w:rsidRDefault="005A6A0C" w:rsidP="00377BCC">
      <w:pPr>
        <w:pStyle w:val="Heading1"/>
        <w:spacing w:line="276" w:lineRule="auto"/>
      </w:pPr>
      <w:bookmarkStart w:id="2" w:name="_Toc71305298"/>
      <w:r w:rsidRPr="005B20FB">
        <w:t>Evolution of duress</w:t>
      </w:r>
      <w:bookmarkEnd w:id="2"/>
    </w:p>
    <w:p w14:paraId="7B73E7AF" w14:textId="60733B5A" w:rsidR="00C07B37" w:rsidRPr="005B20FB" w:rsidRDefault="005A6A0C" w:rsidP="00377BCC">
      <w:pPr>
        <w:spacing w:line="276" w:lineRule="auto"/>
        <w:jc w:val="both"/>
      </w:pPr>
      <w:r w:rsidRPr="005B20FB">
        <w:t xml:space="preserve">It is an accepted fact that contract </w:t>
      </w:r>
      <w:r w:rsidR="00FE0A66" w:rsidRPr="005B20FB">
        <w:t>is</w:t>
      </w:r>
      <w:r w:rsidRPr="005B20FB">
        <w:t xml:space="preserve"> been done by people daily and con</w:t>
      </w:r>
      <w:r w:rsidRPr="005B20FB">
        <w:t xml:space="preserve">tract are entered into by people under the </w:t>
      </w:r>
      <w:r w:rsidR="005E406B" w:rsidRPr="005B20FB">
        <w:t xml:space="preserve">pressure of one kind or other. </w:t>
      </w:r>
      <w:r w:rsidR="00FE0A66" w:rsidRPr="005B20FB">
        <w:t xml:space="preserve">It has been stated in the case of </w:t>
      </w:r>
      <w:r w:rsidR="00FE0A66" w:rsidRPr="005B20FB">
        <w:rPr>
          <w:b/>
          <w:bCs/>
          <w:i/>
          <w:iCs/>
        </w:rPr>
        <w:t>Barton v. Armstrong</w:t>
      </w:r>
      <w:r>
        <w:rPr>
          <w:rStyle w:val="FootnoteReference"/>
          <w:b/>
          <w:bCs/>
          <w:i/>
          <w:iCs/>
        </w:rPr>
        <w:footnoteReference w:id="1"/>
      </w:r>
      <w:r w:rsidR="00FE0A66" w:rsidRPr="005B20FB">
        <w:rPr>
          <w:b/>
          <w:bCs/>
          <w:i/>
          <w:iCs/>
        </w:rPr>
        <w:t xml:space="preserve"> </w:t>
      </w:r>
      <w:r w:rsidR="00FE0A66" w:rsidRPr="005B20FB">
        <w:t xml:space="preserve">by Lord Wilberforce that in life which also includes the life of finance and commerce, people enter into a contract under pressure so that the actor of the act had no choice but to act. </w:t>
      </w:r>
      <w:r w:rsidR="00F479E9" w:rsidRPr="005B20FB">
        <w:t xml:space="preserve">this means every contract which has been entered into under duress are liable to be questioned and hence, all the contracts and agreements are vulnerable to attacks in the courts on this ground. </w:t>
      </w:r>
      <w:r w:rsidR="0092652A" w:rsidRPr="005B20FB">
        <w:t>Thus, there was the need for the determination of law which shall outline the boundary of pressure which shall be considered as acceptable and unacceptable</w:t>
      </w:r>
      <w:r w:rsidR="0001379D" w:rsidRPr="005B20FB">
        <w:t xml:space="preserve"> (</w:t>
      </w:r>
      <w:r w:rsidR="0001379D" w:rsidRPr="005B20FB">
        <w:rPr>
          <w:rFonts w:cs="Times New Roman"/>
          <w:szCs w:val="24"/>
          <w:shd w:val="clear" w:color="auto" w:fill="FFFFFF"/>
        </w:rPr>
        <w:t>Moore, 2018).</w:t>
      </w:r>
    </w:p>
    <w:p w14:paraId="307A1201" w14:textId="0B6AE96F" w:rsidR="0098239D" w:rsidRPr="005B20FB" w:rsidRDefault="005A6A0C" w:rsidP="00377BCC">
      <w:pPr>
        <w:spacing w:line="276" w:lineRule="auto"/>
        <w:jc w:val="both"/>
      </w:pPr>
      <w:r w:rsidRPr="005B20FB">
        <w:t xml:space="preserve">There was soon the development of two requirements which were to be satisfied to get defence under the ground of duress and relief can be availed. </w:t>
      </w:r>
      <w:r w:rsidR="00C76670" w:rsidRPr="005B20FB">
        <w:t xml:space="preserve">It has been explained by Lord Scarman in the case of </w:t>
      </w:r>
      <w:r w:rsidR="00C76670" w:rsidRPr="005B20FB">
        <w:rPr>
          <w:b/>
          <w:bCs/>
          <w:i/>
          <w:iCs/>
        </w:rPr>
        <w:t>Universe Tankships Inc of Monrovia v. ITF</w:t>
      </w:r>
      <w:r>
        <w:rPr>
          <w:rStyle w:val="FootnoteReference"/>
          <w:b/>
          <w:bCs/>
          <w:i/>
          <w:iCs/>
        </w:rPr>
        <w:footnoteReference w:id="2"/>
      </w:r>
      <w:r w:rsidR="008C10A4" w:rsidRPr="005B20FB">
        <w:rPr>
          <w:b/>
          <w:bCs/>
          <w:i/>
          <w:iCs/>
        </w:rPr>
        <w:t xml:space="preserve"> </w:t>
      </w:r>
      <w:r w:rsidR="008C10A4" w:rsidRPr="005B20FB">
        <w:t xml:space="preserve">that to bring a contract under duress, it is important to note that there must be pressure which shall amount to the compulsion of the will of the aggrieved party and the pressure must be of such nature which the law must regard as illegitimate and unlawful. </w:t>
      </w:r>
      <w:r w:rsidR="00E74F3D" w:rsidRPr="005B20FB">
        <w:t>Hence, there have been two elements for wrongful duress which has been outlined in this case. They are:</w:t>
      </w:r>
    </w:p>
    <w:p w14:paraId="29CD8B35" w14:textId="26C4E1E2" w:rsidR="00E74F3D" w:rsidRPr="005B20FB" w:rsidRDefault="005A6A0C" w:rsidP="00377BCC">
      <w:pPr>
        <w:pStyle w:val="ListParagraph"/>
        <w:numPr>
          <w:ilvl w:val="0"/>
          <w:numId w:val="1"/>
        </w:numPr>
        <w:spacing w:line="276" w:lineRule="auto"/>
        <w:jc w:val="both"/>
      </w:pPr>
      <w:r w:rsidRPr="005B20FB">
        <w:t>The pressure which amounts to the compulsion of the will of the aggrieved person</w:t>
      </w:r>
    </w:p>
    <w:p w14:paraId="6A1A680D" w14:textId="03DB8B09" w:rsidR="00E74F3D" w:rsidRPr="005B20FB" w:rsidRDefault="005A6A0C" w:rsidP="00377BCC">
      <w:pPr>
        <w:pStyle w:val="ListParagraph"/>
        <w:numPr>
          <w:ilvl w:val="0"/>
          <w:numId w:val="1"/>
        </w:numPr>
        <w:spacing w:line="276" w:lineRule="auto"/>
        <w:jc w:val="both"/>
      </w:pPr>
      <w:r w:rsidRPr="005B20FB">
        <w:t>The illegitimacy of the pressure inflicted</w:t>
      </w:r>
    </w:p>
    <w:p w14:paraId="18718168" w14:textId="6C8B9EB2" w:rsidR="00E74F3D" w:rsidRPr="005B20FB" w:rsidRDefault="005A6A0C" w:rsidP="00377BCC">
      <w:pPr>
        <w:spacing w:line="276" w:lineRule="auto"/>
        <w:jc w:val="both"/>
      </w:pPr>
      <w:r w:rsidRPr="005B20FB">
        <w:t>The first stated element deals with t</w:t>
      </w:r>
      <w:r w:rsidRPr="005B20FB">
        <w:t>he free will and consent of the aggrieved person but it has also been analysed that only defective will shall not amount to duress. Apart from the defective will, the fulfilment of the second element is also necessary</w:t>
      </w:r>
      <w:r w:rsidR="00AD0572" w:rsidRPr="005B20FB">
        <w:t xml:space="preserve"> that is the court should regard the pressure as unlawful. </w:t>
      </w:r>
      <w:r w:rsidR="001B538E" w:rsidRPr="005B20FB">
        <w:t xml:space="preserve">Regarding the forms of duress, it has been observed that over time the forms of duress have also widened their scope as originally only </w:t>
      </w:r>
      <w:r w:rsidR="00484DC1" w:rsidRPr="005B20FB">
        <w:t xml:space="preserve">such duress was considered as unlawful which constituted a threat. </w:t>
      </w:r>
      <w:r w:rsidR="007B5414" w:rsidRPr="005B20FB">
        <w:t xml:space="preserve">But gradually, </w:t>
      </w:r>
      <w:r w:rsidR="001A2330" w:rsidRPr="005B20FB">
        <w:t xml:space="preserve">duress for the seizure of goods and </w:t>
      </w:r>
      <w:r w:rsidR="007B5414" w:rsidRPr="005B20FB">
        <w:t xml:space="preserve">economic duress </w:t>
      </w:r>
      <w:r w:rsidR="008C0CC6" w:rsidRPr="005B20FB">
        <w:t>ha</w:t>
      </w:r>
      <w:r w:rsidR="007B5414" w:rsidRPr="005B20FB">
        <w:t>s also been included in this concept which has further widened the scope of this concept</w:t>
      </w:r>
      <w:r w:rsidR="00751C2A" w:rsidRPr="005B20FB">
        <w:t xml:space="preserve"> (</w:t>
      </w:r>
      <w:r w:rsidR="00751C2A" w:rsidRPr="005B20FB">
        <w:rPr>
          <w:rFonts w:cs="Times New Roman"/>
          <w:szCs w:val="24"/>
          <w:shd w:val="clear" w:color="auto" w:fill="FFFFFF"/>
        </w:rPr>
        <w:t>Davies and Day, 2020).</w:t>
      </w:r>
    </w:p>
    <w:p w14:paraId="6BFB96F0" w14:textId="18A62410" w:rsidR="001D760E" w:rsidRPr="005B20FB" w:rsidRDefault="005A6A0C" w:rsidP="00377BCC">
      <w:pPr>
        <w:pStyle w:val="Heading1"/>
        <w:spacing w:line="276" w:lineRule="auto"/>
      </w:pPr>
      <w:bookmarkStart w:id="3" w:name="_Toc71305299"/>
      <w:r w:rsidRPr="005B20FB">
        <w:t>Duress for the seizure of goods</w:t>
      </w:r>
      <w:bookmarkEnd w:id="3"/>
    </w:p>
    <w:p w14:paraId="38C230BC" w14:textId="0E15DE26" w:rsidR="001D760E" w:rsidRPr="005B20FB" w:rsidRDefault="005A6A0C" w:rsidP="00377BCC">
      <w:pPr>
        <w:spacing w:line="276" w:lineRule="auto"/>
        <w:jc w:val="both"/>
      </w:pPr>
      <w:r w:rsidRPr="005B20FB">
        <w:t xml:space="preserve">Duress for the seizure of goods draws attention towards the famous case </w:t>
      </w:r>
      <w:r w:rsidRPr="005B20FB">
        <w:rPr>
          <w:b/>
          <w:bCs/>
          <w:i/>
          <w:iCs/>
        </w:rPr>
        <w:t>Ske</w:t>
      </w:r>
      <w:r w:rsidRPr="005B20FB">
        <w:rPr>
          <w:b/>
          <w:bCs/>
          <w:i/>
          <w:iCs/>
        </w:rPr>
        <w:t>ate v. Beale</w:t>
      </w:r>
      <w:r>
        <w:rPr>
          <w:rStyle w:val="FootnoteReference"/>
          <w:b/>
          <w:bCs/>
          <w:i/>
          <w:iCs/>
        </w:rPr>
        <w:footnoteReference w:id="3"/>
      </w:r>
      <w:r w:rsidRPr="005B20FB">
        <w:t xml:space="preserve"> in which the court failed to observe the concept of duress for goods and gave a problematic judgment. In this case, the landlord seized some goods of the tenant and threatened him to immediately sell the goods if he did not</w:t>
      </w:r>
      <w:r w:rsidR="00A95162" w:rsidRPr="005B20FB">
        <w:t xml:space="preserve"> agree on the clearance of due rent. The tenant entered into such a contract but later on claimed for setting aside the contract but the court gave judgment in favour of the landlord. </w:t>
      </w:r>
    </w:p>
    <w:p w14:paraId="77F809B4" w14:textId="256E8B53" w:rsidR="00A95162" w:rsidRPr="005B20FB" w:rsidRDefault="005A6A0C" w:rsidP="00377BCC">
      <w:pPr>
        <w:spacing w:line="276" w:lineRule="auto"/>
        <w:jc w:val="both"/>
      </w:pPr>
      <w:r w:rsidRPr="005B20FB">
        <w:t>But this judgment has been considered as a violation of the rights of the party and hence</w:t>
      </w:r>
      <w:r w:rsidRPr="005B20FB">
        <w:t xml:space="preserve">, over the years the courts moved away from this decision and gradually included economic duress within the ambit of duress in entering into contracts. </w:t>
      </w:r>
      <w:r w:rsidR="001C25E7" w:rsidRPr="005B20FB">
        <w:t xml:space="preserve">The justification for this shift has been provided by the courts of both the United States and the United Kingdom. </w:t>
      </w:r>
      <w:r w:rsidR="00EF79AE" w:rsidRPr="005B20FB">
        <w:t xml:space="preserve">The US court in the case of </w:t>
      </w:r>
      <w:r w:rsidR="00EF79AE" w:rsidRPr="005B20FB">
        <w:rPr>
          <w:b/>
          <w:bCs/>
          <w:i/>
          <w:iCs/>
        </w:rPr>
        <w:t>Hellenic Lines v. Louis Dreyfus Corp.</w:t>
      </w:r>
      <w:r>
        <w:rPr>
          <w:rStyle w:val="FootnoteReference"/>
          <w:b/>
          <w:bCs/>
          <w:i/>
          <w:iCs/>
        </w:rPr>
        <w:footnoteReference w:id="4"/>
      </w:r>
      <w:r w:rsidR="00EF79AE" w:rsidRPr="005B20FB">
        <w:rPr>
          <w:b/>
          <w:bCs/>
          <w:i/>
          <w:iCs/>
        </w:rPr>
        <w:t xml:space="preserve"> </w:t>
      </w:r>
      <w:r w:rsidR="00EF79AE" w:rsidRPr="005B20FB">
        <w:t>stated that in the case where the one-party seizes goods of the other party and makes the other party enter into a contract for transferring some benefit to the former, and the other party to save the goods, enters in such contract, the contract shall be avoidable</w:t>
      </w:r>
      <w:r w:rsidR="00A6574C" w:rsidRPr="005B20FB">
        <w:t xml:space="preserve"> (</w:t>
      </w:r>
      <w:r w:rsidR="00A6574C" w:rsidRPr="005B20FB">
        <w:rPr>
          <w:rFonts w:cs="Times New Roman"/>
          <w:szCs w:val="24"/>
          <w:shd w:val="clear" w:color="auto" w:fill="FFFFFF"/>
        </w:rPr>
        <w:t>Cook, 2019).</w:t>
      </w:r>
    </w:p>
    <w:p w14:paraId="47256A99" w14:textId="3D54864C" w:rsidR="00796620" w:rsidRPr="005B20FB" w:rsidRDefault="005A6A0C" w:rsidP="00377BCC">
      <w:pPr>
        <w:spacing w:line="276" w:lineRule="auto"/>
        <w:jc w:val="both"/>
      </w:pPr>
      <w:r w:rsidRPr="005B20FB">
        <w:t xml:space="preserve">Moreover, </w:t>
      </w:r>
      <w:r w:rsidR="00121B41" w:rsidRPr="005B20FB">
        <w:t xml:space="preserve">the UK court in the case of </w:t>
      </w:r>
      <w:r w:rsidR="00121B41" w:rsidRPr="005B20FB">
        <w:rPr>
          <w:b/>
          <w:bCs/>
          <w:i/>
          <w:iCs/>
        </w:rPr>
        <w:t>The Siboen and the Sibotre</w:t>
      </w:r>
      <w:r>
        <w:rPr>
          <w:rStyle w:val="FootnoteReference"/>
          <w:b/>
          <w:bCs/>
          <w:i/>
          <w:iCs/>
        </w:rPr>
        <w:footnoteReference w:id="5"/>
      </w:r>
      <w:r w:rsidR="00121B41" w:rsidRPr="005B20FB">
        <w:rPr>
          <w:b/>
          <w:bCs/>
          <w:i/>
          <w:iCs/>
        </w:rPr>
        <w:t xml:space="preserve"> </w:t>
      </w:r>
      <w:r w:rsidR="00121B41" w:rsidRPr="005B20FB">
        <w:t>held that the true question in the case of duress is that whe</w:t>
      </w:r>
      <w:r w:rsidR="00AA75CA" w:rsidRPr="005B20FB">
        <w:t>the</w:t>
      </w:r>
      <w:r w:rsidR="00121B41" w:rsidRPr="005B20FB">
        <w:t>r or not the contract was entered voluntarily.</w:t>
      </w:r>
      <w:r w:rsidR="000940FA" w:rsidRPr="005B20FB">
        <w:t xml:space="preserve"> The </w:t>
      </w:r>
      <w:r w:rsidR="00E63BAD" w:rsidRPr="005B20FB">
        <w:t>judge, in this case, explained through an example and stated that-</w:t>
      </w:r>
    </w:p>
    <w:p w14:paraId="1007A5D9" w14:textId="0C44739F" w:rsidR="00B94AAF" w:rsidRPr="005B20FB" w:rsidRDefault="005A6A0C" w:rsidP="00377BCC">
      <w:pPr>
        <w:spacing w:line="276" w:lineRule="auto"/>
        <w:ind w:left="720"/>
        <w:jc w:val="both"/>
        <w:rPr>
          <w:i/>
          <w:iCs/>
        </w:rPr>
      </w:pPr>
      <w:r w:rsidRPr="005B20FB">
        <w:rPr>
          <w:i/>
          <w:iCs/>
        </w:rPr>
        <w:t>“If I am made to sign a contract for a nominal consideration under a threat that non-signing would cause my house to be burnt down, though there would not be any physical duress or violence, I do not think the court shall entertain such con</w:t>
      </w:r>
      <w:r w:rsidRPr="005B20FB">
        <w:rPr>
          <w:i/>
          <w:iCs/>
        </w:rPr>
        <w:t>tract.”</w:t>
      </w:r>
    </w:p>
    <w:p w14:paraId="7A0AFFD3" w14:textId="7E596C62" w:rsidR="00B94AAF" w:rsidRPr="005B20FB" w:rsidRDefault="005A6A0C" w:rsidP="00377BCC">
      <w:pPr>
        <w:spacing w:line="276" w:lineRule="auto"/>
        <w:jc w:val="both"/>
      </w:pPr>
      <w:r w:rsidRPr="005B20FB">
        <w:t xml:space="preserve">Thus, the emergence of economic duress </w:t>
      </w:r>
      <w:r w:rsidR="00890549" w:rsidRPr="005B20FB">
        <w:t>had an initial change in the judgments related to the duress of goods where the area of duress was broadened.</w:t>
      </w:r>
    </w:p>
    <w:p w14:paraId="07832751" w14:textId="6D27196F" w:rsidR="008C0CC6" w:rsidRPr="005B20FB" w:rsidRDefault="005A6A0C" w:rsidP="00377BCC">
      <w:pPr>
        <w:pStyle w:val="Heading1"/>
        <w:spacing w:line="276" w:lineRule="auto"/>
      </w:pPr>
      <w:bookmarkStart w:id="4" w:name="_Toc71305300"/>
      <w:r w:rsidRPr="005B20FB">
        <w:t>Economic duress</w:t>
      </w:r>
      <w:bookmarkEnd w:id="4"/>
    </w:p>
    <w:p w14:paraId="1AB0BBC1" w14:textId="0C499BA8" w:rsidR="004006E6" w:rsidRPr="005B20FB" w:rsidRDefault="005A6A0C" w:rsidP="00377BCC">
      <w:pPr>
        <w:spacing w:line="276" w:lineRule="auto"/>
        <w:jc w:val="both"/>
      </w:pPr>
      <w:r w:rsidRPr="005B20FB">
        <w:t xml:space="preserve">The real question in cases of economic duress is whether the claimant had an </w:t>
      </w:r>
      <w:r w:rsidRPr="005B20FB">
        <w:t>appropriate alternative or option</w:t>
      </w:r>
      <w:r w:rsidR="007F2934" w:rsidRPr="005B20FB">
        <w:t>. But it is also to be noted that the alternative and option must be reasonable</w:t>
      </w:r>
      <w:r w:rsidR="00487BF7" w:rsidRPr="005B20FB">
        <w:t xml:space="preserve"> and practical in such a way that </w:t>
      </w:r>
      <w:r w:rsidR="004D7F80" w:rsidRPr="005B20FB">
        <w:t xml:space="preserve">it was appropriate for the claimant </w:t>
      </w:r>
      <w:r w:rsidR="002919FB" w:rsidRPr="005B20FB">
        <w:t xml:space="preserve">in those circumstances. </w:t>
      </w:r>
      <w:r w:rsidR="007A7614" w:rsidRPr="005B20FB">
        <w:t xml:space="preserve">For further understanding, the following example can be considered: </w:t>
      </w:r>
      <w:r w:rsidR="004478AB" w:rsidRPr="005B20FB">
        <w:t xml:space="preserve">For example, any person in case of threat to breach a contract, easily obtains the required goods </w:t>
      </w:r>
      <w:r w:rsidR="000D2A23" w:rsidRPr="005B20FB">
        <w:t xml:space="preserve">or services at an alternative source at a reasonable price, the court will consider this as a reasonable alternative </w:t>
      </w:r>
      <w:r w:rsidR="00DC6691" w:rsidRPr="005B20FB">
        <w:t xml:space="preserve">may regard that the person’s decision </w:t>
      </w:r>
      <w:r w:rsidR="00C747DA" w:rsidRPr="005B20FB">
        <w:t xml:space="preserve">to enter into the contract was not illegitimate pressure. </w:t>
      </w:r>
      <w:r w:rsidR="00CB3CD4" w:rsidRPr="005B20FB">
        <w:t xml:space="preserve">But the case shall be different if it becomes impossible for the person to find the same goods at a reasonable price </w:t>
      </w:r>
      <w:r w:rsidR="00932C0D" w:rsidRPr="005B20FB">
        <w:t>within a reasonable time.</w:t>
      </w:r>
    </w:p>
    <w:p w14:paraId="20F4C5D7" w14:textId="5D338F90" w:rsidR="005C45C9" w:rsidRPr="005B20FB" w:rsidRDefault="005A6A0C" w:rsidP="00377BCC">
      <w:pPr>
        <w:spacing w:line="276" w:lineRule="auto"/>
        <w:jc w:val="both"/>
      </w:pPr>
      <w:r w:rsidRPr="005B20FB">
        <w:t xml:space="preserve">The test for economic duress was laid down in the case of </w:t>
      </w:r>
      <w:r w:rsidRPr="005B20FB">
        <w:rPr>
          <w:b/>
          <w:bCs/>
          <w:i/>
          <w:iCs/>
        </w:rPr>
        <w:t>Pao On v. Lau Yiu Long</w:t>
      </w:r>
      <w:r>
        <w:rPr>
          <w:rStyle w:val="FootnoteReference"/>
          <w:b/>
          <w:bCs/>
          <w:i/>
          <w:iCs/>
        </w:rPr>
        <w:footnoteReference w:id="6"/>
      </w:r>
      <w:r w:rsidRPr="005B20FB">
        <w:rPr>
          <w:b/>
          <w:bCs/>
          <w:i/>
          <w:iCs/>
        </w:rPr>
        <w:t xml:space="preserve"> </w:t>
      </w:r>
      <w:r w:rsidR="005E1BCD" w:rsidRPr="005B20FB">
        <w:t xml:space="preserve">where certain elements for the determination of economic duress were held. As per the facts, the Pao family threatened that they shall not complete a deal of share swap which was aimed at the purchasing of their company’s building unless the Lau family agreed to amend the guarantee agreement which shall assure the Paos that they shall receive a rise in the swapped shares on repurchase. </w:t>
      </w:r>
      <w:r w:rsidR="00722CC4" w:rsidRPr="005B20FB">
        <w:t xml:space="preserve">But it was held by the Privy Council that the threat by the Pao family was merely a commercial threat and not an economic threat. </w:t>
      </w:r>
      <w:r w:rsidR="00DC536B" w:rsidRPr="005B20FB">
        <w:t xml:space="preserve">The test that </w:t>
      </w:r>
      <w:r w:rsidRPr="005B20FB">
        <w:t xml:space="preserve">was determined in this case was that it shall amount to duress only if duress </w:t>
      </w:r>
      <w:r w:rsidR="00125422" w:rsidRPr="005B20FB">
        <w:t xml:space="preserve">led the other party to sign the contract against his will. </w:t>
      </w:r>
      <w:r w:rsidR="0005293D" w:rsidRPr="005B20FB">
        <w:t>Moreover, there shall be the establishment of some factor which shall under law be regarded as coercion of will vitiating the contract</w:t>
      </w:r>
      <w:r w:rsidR="00D7495E" w:rsidRPr="005B20FB">
        <w:t xml:space="preserve"> (</w:t>
      </w:r>
      <w:r w:rsidR="00D7495E" w:rsidRPr="005B20FB">
        <w:rPr>
          <w:rFonts w:cs="Times New Roman"/>
          <w:szCs w:val="24"/>
          <w:shd w:val="clear" w:color="auto" w:fill="FFFFFF"/>
        </w:rPr>
        <w:t>Rizzi and Skead, 2020).</w:t>
      </w:r>
    </w:p>
    <w:p w14:paraId="27BAB8A1" w14:textId="452873F1" w:rsidR="001E7F2D" w:rsidRPr="005B20FB" w:rsidRDefault="005A6A0C" w:rsidP="00377BCC">
      <w:pPr>
        <w:spacing w:line="276" w:lineRule="auto"/>
        <w:jc w:val="both"/>
      </w:pPr>
      <w:r w:rsidRPr="005B20FB">
        <w:t xml:space="preserve">But this approach was not followed for a longer time. </w:t>
      </w:r>
      <w:r w:rsidR="00697CC4" w:rsidRPr="005B20FB">
        <w:t xml:space="preserve">Reference of the case </w:t>
      </w:r>
      <w:r w:rsidR="00697CC4" w:rsidRPr="005B20FB">
        <w:rPr>
          <w:b/>
          <w:bCs/>
          <w:i/>
          <w:iCs/>
        </w:rPr>
        <w:t>Universe Tank Ships of Monrovia v. International Transport Workers Federation</w:t>
      </w:r>
      <w:r>
        <w:rPr>
          <w:rStyle w:val="FootnoteReference"/>
          <w:b/>
          <w:bCs/>
          <w:i/>
          <w:iCs/>
        </w:rPr>
        <w:footnoteReference w:id="7"/>
      </w:r>
      <w:r w:rsidR="00257F79" w:rsidRPr="005B20FB">
        <w:rPr>
          <w:b/>
          <w:bCs/>
          <w:i/>
          <w:iCs/>
        </w:rPr>
        <w:t xml:space="preserve"> </w:t>
      </w:r>
      <w:r w:rsidR="00257F79" w:rsidRPr="005B20FB">
        <w:t xml:space="preserve">can be taken where the court held that </w:t>
      </w:r>
      <w:r w:rsidR="00682CB8" w:rsidRPr="005B20FB">
        <w:t xml:space="preserve">in cases of duress it is not important to submit the lack of will of the person rather it should be </w:t>
      </w:r>
      <w:r w:rsidR="00722783" w:rsidRPr="005B20FB">
        <w:t>established</w:t>
      </w:r>
      <w:r w:rsidR="00682CB8" w:rsidRPr="005B20FB">
        <w:t xml:space="preserve"> that the victim has consented after realising that there is no other alternative which he could avail. </w:t>
      </w:r>
    </w:p>
    <w:p w14:paraId="3BF4BF5D" w14:textId="591997BA" w:rsidR="001E7F2D" w:rsidRPr="005B20FB" w:rsidRDefault="005A6A0C" w:rsidP="00377BCC">
      <w:pPr>
        <w:pStyle w:val="Heading1"/>
        <w:spacing w:line="276" w:lineRule="auto"/>
      </w:pPr>
      <w:bookmarkStart w:id="5" w:name="_Toc71305301"/>
      <w:r w:rsidRPr="005B20FB">
        <w:t>Difference between commercial bargaining</w:t>
      </w:r>
      <w:r w:rsidRPr="005B20FB">
        <w:t xml:space="preserve"> and </w:t>
      </w:r>
      <w:r w:rsidR="00E74E0B" w:rsidRPr="005B20FB">
        <w:t>illegitimate pressure</w:t>
      </w:r>
      <w:bookmarkEnd w:id="5"/>
    </w:p>
    <w:p w14:paraId="45DEA7BE" w14:textId="4EFC70B5" w:rsidR="00E74E0B" w:rsidRPr="005B20FB" w:rsidRDefault="005A6A0C" w:rsidP="00377BCC">
      <w:pPr>
        <w:spacing w:line="276" w:lineRule="auto"/>
        <w:jc w:val="both"/>
      </w:pPr>
      <w:r w:rsidRPr="005B20FB">
        <w:t>The following table illustrates the difference between commercial bargaining and illegitimate pressure.</w:t>
      </w:r>
    </w:p>
    <w:tbl>
      <w:tblPr>
        <w:tblStyle w:val="TableGrid"/>
        <w:tblW w:w="0" w:type="auto"/>
        <w:tblLook w:val="04A0" w:firstRow="1" w:lastRow="0" w:firstColumn="1" w:lastColumn="0" w:noHBand="0" w:noVBand="1"/>
      </w:tblPr>
      <w:tblGrid>
        <w:gridCol w:w="3005"/>
        <w:gridCol w:w="3005"/>
        <w:gridCol w:w="3006"/>
      </w:tblGrid>
      <w:tr w:rsidR="005F72AE" w14:paraId="53941A28" w14:textId="77777777" w:rsidTr="007565C7">
        <w:tc>
          <w:tcPr>
            <w:tcW w:w="3005" w:type="dxa"/>
          </w:tcPr>
          <w:p w14:paraId="3D0C718D" w14:textId="77777777" w:rsidR="007565C7" w:rsidRPr="005B20FB" w:rsidRDefault="007565C7" w:rsidP="00377BCC">
            <w:pPr>
              <w:spacing w:line="276" w:lineRule="auto"/>
              <w:jc w:val="both"/>
            </w:pPr>
          </w:p>
        </w:tc>
        <w:tc>
          <w:tcPr>
            <w:tcW w:w="3005" w:type="dxa"/>
          </w:tcPr>
          <w:p w14:paraId="216D0A50" w14:textId="49E63B46" w:rsidR="007565C7" w:rsidRPr="005B20FB" w:rsidRDefault="005A6A0C" w:rsidP="00377BCC">
            <w:pPr>
              <w:spacing w:line="276" w:lineRule="auto"/>
              <w:jc w:val="center"/>
              <w:rPr>
                <w:b/>
                <w:bCs/>
              </w:rPr>
            </w:pPr>
            <w:r w:rsidRPr="005B20FB">
              <w:rPr>
                <w:b/>
                <w:bCs/>
              </w:rPr>
              <w:t>Commercial bargaining</w:t>
            </w:r>
          </w:p>
        </w:tc>
        <w:tc>
          <w:tcPr>
            <w:tcW w:w="3006" w:type="dxa"/>
          </w:tcPr>
          <w:p w14:paraId="6F315B9A" w14:textId="57E17C91" w:rsidR="007565C7" w:rsidRPr="005B20FB" w:rsidRDefault="005A6A0C" w:rsidP="00377BCC">
            <w:pPr>
              <w:spacing w:line="276" w:lineRule="auto"/>
              <w:jc w:val="center"/>
              <w:rPr>
                <w:b/>
                <w:bCs/>
              </w:rPr>
            </w:pPr>
            <w:r w:rsidRPr="005B20FB">
              <w:rPr>
                <w:b/>
                <w:bCs/>
              </w:rPr>
              <w:t>Illegitimate pressure</w:t>
            </w:r>
          </w:p>
        </w:tc>
      </w:tr>
      <w:tr w:rsidR="005F72AE" w14:paraId="66166662" w14:textId="77777777" w:rsidTr="007565C7">
        <w:tc>
          <w:tcPr>
            <w:tcW w:w="3005" w:type="dxa"/>
          </w:tcPr>
          <w:p w14:paraId="73BC4A11" w14:textId="60EE90BC" w:rsidR="007565C7" w:rsidRPr="005B20FB" w:rsidRDefault="005A6A0C" w:rsidP="00377BCC">
            <w:pPr>
              <w:spacing w:line="276" w:lineRule="auto"/>
              <w:jc w:val="both"/>
              <w:rPr>
                <w:i/>
                <w:iCs/>
              </w:rPr>
            </w:pPr>
            <w:r w:rsidRPr="005B20FB">
              <w:rPr>
                <w:i/>
                <w:iCs/>
              </w:rPr>
              <w:t xml:space="preserve">Meaning </w:t>
            </w:r>
          </w:p>
        </w:tc>
        <w:tc>
          <w:tcPr>
            <w:tcW w:w="3005" w:type="dxa"/>
          </w:tcPr>
          <w:p w14:paraId="197270B4" w14:textId="5EA9A0A0" w:rsidR="007565C7" w:rsidRPr="005B20FB" w:rsidRDefault="005A6A0C" w:rsidP="00377BCC">
            <w:pPr>
              <w:spacing w:line="276" w:lineRule="auto"/>
              <w:jc w:val="both"/>
            </w:pPr>
            <w:r w:rsidRPr="005B20FB">
              <w:t>This exists when one party is in a stronger bargaining position than t</w:t>
            </w:r>
            <w:r w:rsidRPr="005B20FB">
              <w:t>he other party.</w:t>
            </w:r>
          </w:p>
        </w:tc>
        <w:tc>
          <w:tcPr>
            <w:tcW w:w="3006" w:type="dxa"/>
          </w:tcPr>
          <w:p w14:paraId="565A6D0D" w14:textId="7BC38F8D" w:rsidR="007565C7" w:rsidRPr="005B20FB" w:rsidRDefault="005A6A0C" w:rsidP="00377BCC">
            <w:pPr>
              <w:spacing w:line="276" w:lineRule="auto"/>
              <w:jc w:val="both"/>
            </w:pPr>
            <w:r w:rsidRPr="005B20FB">
              <w:t xml:space="preserve">This arises when one party induces the other party causing disadvantage to the other and this gives rise to economic duress. </w:t>
            </w:r>
          </w:p>
        </w:tc>
      </w:tr>
      <w:tr w:rsidR="005F72AE" w14:paraId="3E636A52" w14:textId="77777777" w:rsidTr="007565C7">
        <w:tc>
          <w:tcPr>
            <w:tcW w:w="3005" w:type="dxa"/>
          </w:tcPr>
          <w:p w14:paraId="0462B591" w14:textId="48E58C70" w:rsidR="007565C7" w:rsidRPr="005B20FB" w:rsidRDefault="005A6A0C" w:rsidP="00377BCC">
            <w:pPr>
              <w:spacing w:line="276" w:lineRule="auto"/>
              <w:jc w:val="both"/>
              <w:rPr>
                <w:i/>
                <w:iCs/>
              </w:rPr>
            </w:pPr>
            <w:r w:rsidRPr="005B20FB">
              <w:rPr>
                <w:i/>
                <w:iCs/>
              </w:rPr>
              <w:t xml:space="preserve">Definition </w:t>
            </w:r>
          </w:p>
        </w:tc>
        <w:tc>
          <w:tcPr>
            <w:tcW w:w="3005" w:type="dxa"/>
          </w:tcPr>
          <w:p w14:paraId="59DC27BB" w14:textId="212DCE75" w:rsidR="007565C7" w:rsidRPr="005B20FB" w:rsidRDefault="005A6A0C" w:rsidP="00377BCC">
            <w:pPr>
              <w:spacing w:line="276" w:lineRule="auto"/>
              <w:jc w:val="both"/>
            </w:pPr>
            <w:r w:rsidRPr="005B20FB">
              <w:t>It is defined as a process of negotiating but with a stronger hold.</w:t>
            </w:r>
          </w:p>
        </w:tc>
        <w:tc>
          <w:tcPr>
            <w:tcW w:w="3006" w:type="dxa"/>
          </w:tcPr>
          <w:p w14:paraId="6DED29A4" w14:textId="2FA90188" w:rsidR="007565C7" w:rsidRPr="005B20FB" w:rsidRDefault="005A6A0C" w:rsidP="00377BCC">
            <w:pPr>
              <w:spacing w:line="276" w:lineRule="auto"/>
              <w:jc w:val="both"/>
            </w:pPr>
            <w:r w:rsidRPr="005B20FB">
              <w:t xml:space="preserve">It is defined as illegal </w:t>
            </w:r>
            <w:r w:rsidRPr="005B20FB">
              <w:t>inducement on a party to make him sign a contract.</w:t>
            </w:r>
          </w:p>
        </w:tc>
      </w:tr>
      <w:tr w:rsidR="005F72AE" w14:paraId="5978A42B" w14:textId="77777777" w:rsidTr="007565C7">
        <w:tc>
          <w:tcPr>
            <w:tcW w:w="3005" w:type="dxa"/>
          </w:tcPr>
          <w:p w14:paraId="06F29B71" w14:textId="44849725" w:rsidR="007565C7" w:rsidRPr="005B20FB" w:rsidRDefault="005A6A0C" w:rsidP="00377BCC">
            <w:pPr>
              <w:spacing w:line="276" w:lineRule="auto"/>
              <w:jc w:val="both"/>
              <w:rPr>
                <w:i/>
                <w:iCs/>
              </w:rPr>
            </w:pPr>
            <w:r w:rsidRPr="005B20FB">
              <w:rPr>
                <w:i/>
                <w:iCs/>
              </w:rPr>
              <w:t>Consequences</w:t>
            </w:r>
          </w:p>
        </w:tc>
        <w:tc>
          <w:tcPr>
            <w:tcW w:w="3005" w:type="dxa"/>
          </w:tcPr>
          <w:p w14:paraId="2441F4C0" w14:textId="3CD386B2" w:rsidR="007565C7" w:rsidRPr="005B20FB" w:rsidRDefault="005A6A0C" w:rsidP="00377BCC">
            <w:pPr>
              <w:spacing w:line="276" w:lineRule="auto"/>
              <w:jc w:val="both"/>
            </w:pPr>
            <w:r w:rsidRPr="005B20FB">
              <w:t xml:space="preserve">This does not attract penalty unless it is within the permitted tumble of negotiation. </w:t>
            </w:r>
          </w:p>
        </w:tc>
        <w:tc>
          <w:tcPr>
            <w:tcW w:w="3006" w:type="dxa"/>
          </w:tcPr>
          <w:p w14:paraId="11573428" w14:textId="58C1601B" w:rsidR="007565C7" w:rsidRPr="005B20FB" w:rsidRDefault="005A6A0C" w:rsidP="00377BCC">
            <w:pPr>
              <w:spacing w:line="276" w:lineRule="auto"/>
              <w:jc w:val="both"/>
            </w:pPr>
            <w:r w:rsidRPr="005B20FB">
              <w:t>It attracts penalty as it amounts to the illegitimate signing of contract leaving the party with no oth</w:t>
            </w:r>
            <w:r w:rsidRPr="005B20FB">
              <w:t>er option.</w:t>
            </w:r>
          </w:p>
        </w:tc>
      </w:tr>
    </w:tbl>
    <w:p w14:paraId="457CA266" w14:textId="77777777" w:rsidR="007565C7" w:rsidRPr="005B20FB" w:rsidRDefault="007565C7" w:rsidP="00377BCC">
      <w:pPr>
        <w:spacing w:line="276" w:lineRule="auto"/>
        <w:jc w:val="both"/>
      </w:pPr>
    </w:p>
    <w:p w14:paraId="3C86FE7F" w14:textId="285D8B6E" w:rsidR="00722783" w:rsidRPr="005B20FB" w:rsidRDefault="005A6A0C" w:rsidP="00377BCC">
      <w:pPr>
        <w:pStyle w:val="Heading1"/>
        <w:spacing w:line="276" w:lineRule="auto"/>
      </w:pPr>
      <w:bookmarkStart w:id="6" w:name="_Toc71305302"/>
      <w:r w:rsidRPr="005B20FB">
        <w:t xml:space="preserve">Undue influence: </w:t>
      </w:r>
      <w:r w:rsidR="00095765" w:rsidRPr="005B20FB">
        <w:t>Meaning and traditional classification</w:t>
      </w:r>
      <w:bookmarkEnd w:id="6"/>
    </w:p>
    <w:p w14:paraId="35ACD25E" w14:textId="2A5DB1C2" w:rsidR="00095765" w:rsidRPr="005B20FB" w:rsidRDefault="005A6A0C" w:rsidP="00377BCC">
      <w:pPr>
        <w:spacing w:line="276" w:lineRule="auto"/>
        <w:jc w:val="both"/>
      </w:pPr>
      <w:r w:rsidRPr="005B20FB">
        <w:t xml:space="preserve">Undue influence is afield of contract law as well as property law where the contract can be set aside if it was entered under influence by one person to another as such transaction lacks </w:t>
      </w:r>
      <w:r w:rsidRPr="005B20FB">
        <w:t xml:space="preserve">free will. </w:t>
      </w:r>
      <w:r w:rsidR="00CB58D0" w:rsidRPr="005B20FB">
        <w:t>As per the traditional classification of undue influence, it has been classified as-</w:t>
      </w:r>
    </w:p>
    <w:p w14:paraId="677926E2" w14:textId="69A63A49" w:rsidR="00CB58D0" w:rsidRPr="005B20FB" w:rsidRDefault="005A6A0C" w:rsidP="00377BCC">
      <w:pPr>
        <w:pStyle w:val="ListParagraph"/>
        <w:numPr>
          <w:ilvl w:val="0"/>
          <w:numId w:val="3"/>
        </w:numPr>
        <w:spacing w:line="276" w:lineRule="auto"/>
        <w:jc w:val="both"/>
      </w:pPr>
      <w:r w:rsidRPr="005B20FB">
        <w:t>Actual undue influence</w:t>
      </w:r>
    </w:p>
    <w:p w14:paraId="3B87156C" w14:textId="2D513179" w:rsidR="00CB58D0" w:rsidRPr="005B20FB" w:rsidRDefault="005A6A0C" w:rsidP="00377BCC">
      <w:pPr>
        <w:pStyle w:val="ListParagraph"/>
        <w:numPr>
          <w:ilvl w:val="0"/>
          <w:numId w:val="3"/>
        </w:numPr>
        <w:spacing w:line="276" w:lineRule="auto"/>
        <w:jc w:val="both"/>
      </w:pPr>
      <w:r w:rsidRPr="005B20FB">
        <w:t>Presumed undue influence</w:t>
      </w:r>
    </w:p>
    <w:p w14:paraId="49D7575D" w14:textId="0EE4EAD4" w:rsidR="00840AF6" w:rsidRPr="005B20FB" w:rsidRDefault="005A6A0C" w:rsidP="00377BCC">
      <w:pPr>
        <w:spacing w:line="276" w:lineRule="auto"/>
        <w:jc w:val="both"/>
      </w:pPr>
      <w:r w:rsidRPr="005B20FB">
        <w:t xml:space="preserve">This classification of actual and presumed undue influence was laid down in the case of </w:t>
      </w:r>
      <w:r w:rsidRPr="005B20FB">
        <w:rPr>
          <w:rFonts w:ascii="Arial" w:hAnsi="Arial" w:cs="Arial"/>
          <w:sz w:val="20"/>
          <w:szCs w:val="20"/>
          <w:shd w:val="clear" w:color="auto" w:fill="FFFFFF"/>
        </w:rPr>
        <w:t> </w:t>
      </w:r>
      <w:hyperlink r:id="rId10" w:tooltip="BCCI v Aboody" w:history="1">
        <w:r w:rsidRPr="005B20FB">
          <w:rPr>
            <w:b/>
            <w:bCs/>
            <w:i/>
            <w:iCs/>
          </w:rPr>
          <w:t>BCCI v. Aboody</w:t>
        </w:r>
      </w:hyperlink>
      <w:r>
        <w:rPr>
          <w:rStyle w:val="FootnoteReference"/>
          <w:b/>
          <w:bCs/>
          <w:i/>
          <w:iCs/>
        </w:rPr>
        <w:footnoteReference w:id="8"/>
      </w:r>
      <w:r w:rsidR="006D6D65" w:rsidRPr="005B20FB">
        <w:rPr>
          <w:b/>
          <w:bCs/>
          <w:i/>
          <w:iCs/>
        </w:rPr>
        <w:t xml:space="preserve"> </w:t>
      </w:r>
      <w:r w:rsidR="00CA7994" w:rsidRPr="005B20FB">
        <w:t xml:space="preserve">but after this case, there has been further subdivision done for this concept. </w:t>
      </w:r>
      <w:r w:rsidR="001C0EEE" w:rsidRPr="005B20FB">
        <w:t xml:space="preserve">Under this case, it was held by the court that </w:t>
      </w:r>
      <w:r w:rsidR="001C0EEE" w:rsidRPr="005B20FB">
        <w:rPr>
          <w:i/>
          <w:iCs/>
        </w:rPr>
        <w:t>‘manifest disadvantage’</w:t>
      </w:r>
      <w:r w:rsidR="001C0EEE" w:rsidRPr="005B20FB">
        <w:t xml:space="preserve"> needs to be established to constitute actual undue influence. </w:t>
      </w:r>
      <w:r w:rsidR="000878D5" w:rsidRPr="005B20FB">
        <w:t>under this established doctrine, it was important to prove before the court that the person aggrieved has suffered a disadvantage after the o</w:t>
      </w:r>
      <w:r w:rsidR="00DA5414" w:rsidRPr="005B20FB">
        <w:t>b</w:t>
      </w:r>
      <w:r w:rsidR="000878D5" w:rsidRPr="005B20FB">
        <w:t>jected transaction</w:t>
      </w:r>
      <w:r w:rsidR="003720BE" w:rsidRPr="005B20FB">
        <w:t xml:space="preserve"> (</w:t>
      </w:r>
      <w:r w:rsidR="003720BE" w:rsidRPr="005B20FB">
        <w:rPr>
          <w:rFonts w:cs="Times New Roman"/>
          <w:szCs w:val="24"/>
          <w:shd w:val="clear" w:color="auto" w:fill="FFFFFF"/>
        </w:rPr>
        <w:t>Pawlowski, 2018).</w:t>
      </w:r>
    </w:p>
    <w:p w14:paraId="5CC0B555" w14:textId="2F6A689C" w:rsidR="00A6049D" w:rsidRPr="005B20FB" w:rsidRDefault="005A6A0C" w:rsidP="00377BCC">
      <w:pPr>
        <w:pStyle w:val="Heading1"/>
        <w:spacing w:line="276" w:lineRule="auto"/>
      </w:pPr>
      <w:bookmarkStart w:id="7" w:name="_Toc71305303"/>
      <w:r w:rsidRPr="005B20FB">
        <w:t>The present classification</w:t>
      </w:r>
      <w:r w:rsidRPr="005B20FB">
        <w:t xml:space="preserve"> of undue influence</w:t>
      </w:r>
      <w:bookmarkEnd w:id="7"/>
    </w:p>
    <w:p w14:paraId="203C036A" w14:textId="2DBD478B" w:rsidR="00A6049D" w:rsidRPr="005B20FB" w:rsidRDefault="005A6A0C" w:rsidP="00377BCC">
      <w:pPr>
        <w:spacing w:line="276" w:lineRule="auto"/>
        <w:jc w:val="both"/>
      </w:pPr>
      <w:r w:rsidRPr="005B20FB">
        <w:t xml:space="preserve">As per the recent cases and judgments, the traditional classification of undue influence has been upheld but many judges have also made a subdivision of </w:t>
      </w:r>
      <w:r w:rsidR="00B4764F" w:rsidRPr="005B20FB">
        <w:t xml:space="preserve">this concept into three parts. </w:t>
      </w:r>
      <w:r w:rsidR="0012544B" w:rsidRPr="005B20FB">
        <w:t>The present classification is as follows:</w:t>
      </w:r>
    </w:p>
    <w:p w14:paraId="516E718B" w14:textId="1D3FE3BD" w:rsidR="0012544B" w:rsidRPr="005B20FB" w:rsidRDefault="005A6A0C" w:rsidP="00377BCC">
      <w:pPr>
        <w:pStyle w:val="ListParagraph"/>
        <w:numPr>
          <w:ilvl w:val="0"/>
          <w:numId w:val="4"/>
        </w:numPr>
        <w:spacing w:line="276" w:lineRule="auto"/>
        <w:jc w:val="both"/>
      </w:pPr>
      <w:r w:rsidRPr="005B20FB">
        <w:t>Actual undue influence</w:t>
      </w:r>
    </w:p>
    <w:p w14:paraId="3710866E" w14:textId="6A8E3BD1" w:rsidR="0012544B" w:rsidRPr="005B20FB" w:rsidRDefault="005A6A0C" w:rsidP="00377BCC">
      <w:pPr>
        <w:pStyle w:val="ListParagraph"/>
        <w:numPr>
          <w:ilvl w:val="0"/>
          <w:numId w:val="4"/>
        </w:numPr>
        <w:spacing w:line="276" w:lineRule="auto"/>
        <w:jc w:val="both"/>
      </w:pPr>
      <w:r w:rsidRPr="005B20FB">
        <w:t>Presumed undue influence</w:t>
      </w:r>
    </w:p>
    <w:p w14:paraId="6D99BE21" w14:textId="009493D6" w:rsidR="0012544B" w:rsidRPr="005B20FB" w:rsidRDefault="005A6A0C" w:rsidP="00377BCC">
      <w:pPr>
        <w:pStyle w:val="ListParagraph"/>
        <w:numPr>
          <w:ilvl w:val="1"/>
          <w:numId w:val="4"/>
        </w:numPr>
        <w:spacing w:line="276" w:lineRule="auto"/>
        <w:jc w:val="both"/>
      </w:pPr>
      <w:r w:rsidRPr="005B20FB">
        <w:t>Class 2A- Relationship of trust and confidence</w:t>
      </w:r>
    </w:p>
    <w:p w14:paraId="05F64B95" w14:textId="1B6CD629" w:rsidR="0012544B" w:rsidRPr="005B20FB" w:rsidRDefault="005A6A0C" w:rsidP="00377BCC">
      <w:pPr>
        <w:pStyle w:val="ListParagraph"/>
        <w:numPr>
          <w:ilvl w:val="1"/>
          <w:numId w:val="4"/>
        </w:numPr>
        <w:spacing w:line="276" w:lineRule="auto"/>
        <w:jc w:val="both"/>
      </w:pPr>
      <w:r w:rsidRPr="005B20FB">
        <w:t xml:space="preserve">Class 2B- No relationship of trust established but the contract was done </w:t>
      </w:r>
      <w:r w:rsidR="00C3765B" w:rsidRPr="005B20FB">
        <w:t>under a presumption of trust and confidence.</w:t>
      </w:r>
    </w:p>
    <w:p w14:paraId="5DCDC16B" w14:textId="749476B9" w:rsidR="00C3765B" w:rsidRPr="005B20FB" w:rsidRDefault="005A6A0C" w:rsidP="00377BCC">
      <w:pPr>
        <w:spacing w:line="276" w:lineRule="auto"/>
        <w:jc w:val="both"/>
      </w:pPr>
      <w:r w:rsidRPr="005B20FB">
        <w:t>For actual undue influence, reference of th</w:t>
      </w:r>
      <w:r w:rsidRPr="005B20FB">
        <w:t xml:space="preserve">e case </w:t>
      </w:r>
      <w:hyperlink r:id="rId11" w:tooltip="Bank of Montreal v Stuart" w:history="1">
        <w:r w:rsidRPr="005B20FB">
          <w:rPr>
            <w:b/>
            <w:bCs/>
            <w:i/>
            <w:iCs/>
          </w:rPr>
          <w:t>Bank of Montreal v. Stuart</w:t>
        </w:r>
      </w:hyperlink>
      <w:r>
        <w:rPr>
          <w:rStyle w:val="FootnoteReference"/>
          <w:b/>
          <w:bCs/>
          <w:i/>
          <w:iCs/>
        </w:rPr>
        <w:footnoteReference w:id="9"/>
      </w:r>
      <w:r w:rsidRPr="005B20FB">
        <w:t xml:space="preserve"> can be taken where it was held by the court that</w:t>
      </w:r>
      <w:r w:rsidR="00C33CDC" w:rsidRPr="005B20FB">
        <w:t xml:space="preserve">, for actual undue influence the party claiming relief must establish that there was the existence of the influence and the same was exercised and thus, as a result, there was no independent judgment regarding the transaction was taken. </w:t>
      </w:r>
      <w:r w:rsidR="0028072A" w:rsidRPr="005B20FB">
        <w:t xml:space="preserve">But the court also stated that the existence of manifest disadvantage was not required for actual undue influence and also held that there was no requirement of explanation in such cases. </w:t>
      </w:r>
    </w:p>
    <w:p w14:paraId="7E9B929C" w14:textId="344A9B9A" w:rsidR="00D16C1A" w:rsidRPr="005B20FB" w:rsidRDefault="005A6A0C" w:rsidP="00377BCC">
      <w:pPr>
        <w:spacing w:line="276" w:lineRule="auto"/>
        <w:jc w:val="both"/>
      </w:pPr>
      <w:r w:rsidRPr="005B20FB">
        <w:t xml:space="preserve">Moreover, the equity also provides relief in cases where the party </w:t>
      </w:r>
      <w:r w:rsidRPr="005B20FB">
        <w:t xml:space="preserve">is under a presumption of undue influence. </w:t>
      </w:r>
      <w:r w:rsidR="001E044D" w:rsidRPr="005B20FB">
        <w:t xml:space="preserve">a subdivision of this presumption has also been done by the judges for better consideration of these cases. </w:t>
      </w:r>
      <w:r w:rsidR="00706D1C" w:rsidRPr="005B20FB">
        <w:t xml:space="preserve">Under Class 2A of presumption, the courts have stated that there must be a relationship between the parties of trust and confidence. </w:t>
      </w:r>
      <w:r w:rsidR="005B4CBB" w:rsidRPr="005B20FB">
        <w:t>Examples of these relationships include-</w:t>
      </w:r>
    </w:p>
    <w:p w14:paraId="2D403D29" w14:textId="1CB6E66C" w:rsidR="005B4CBB" w:rsidRPr="005B20FB" w:rsidRDefault="005A6A0C" w:rsidP="00377BCC">
      <w:pPr>
        <w:pStyle w:val="ListParagraph"/>
        <w:numPr>
          <w:ilvl w:val="0"/>
          <w:numId w:val="5"/>
        </w:numPr>
        <w:spacing w:line="276" w:lineRule="auto"/>
        <w:jc w:val="both"/>
      </w:pPr>
      <w:r w:rsidRPr="005B20FB">
        <w:t>Children and parent</w:t>
      </w:r>
    </w:p>
    <w:p w14:paraId="2FB28431" w14:textId="5E65F3AB" w:rsidR="005B4CBB" w:rsidRPr="005B20FB" w:rsidRDefault="005A6A0C" w:rsidP="00377BCC">
      <w:pPr>
        <w:pStyle w:val="ListParagraph"/>
        <w:numPr>
          <w:ilvl w:val="0"/>
          <w:numId w:val="5"/>
        </w:numPr>
        <w:spacing w:line="276" w:lineRule="auto"/>
        <w:jc w:val="both"/>
      </w:pPr>
      <w:r w:rsidRPr="005B20FB">
        <w:t>Guardian and ward</w:t>
      </w:r>
    </w:p>
    <w:p w14:paraId="0841BD71" w14:textId="526F8DB4" w:rsidR="005B4CBB" w:rsidRPr="005B20FB" w:rsidRDefault="005A6A0C" w:rsidP="00377BCC">
      <w:pPr>
        <w:pStyle w:val="ListParagraph"/>
        <w:numPr>
          <w:ilvl w:val="0"/>
          <w:numId w:val="5"/>
        </w:numPr>
        <w:spacing w:line="276" w:lineRule="auto"/>
        <w:jc w:val="both"/>
      </w:pPr>
      <w:r w:rsidRPr="005B20FB">
        <w:t>Doctor and patients</w:t>
      </w:r>
    </w:p>
    <w:p w14:paraId="1C9C1D3E" w14:textId="52302287" w:rsidR="005B4CBB" w:rsidRPr="005B20FB" w:rsidRDefault="005A6A0C" w:rsidP="00377BCC">
      <w:pPr>
        <w:pStyle w:val="ListParagraph"/>
        <w:numPr>
          <w:ilvl w:val="0"/>
          <w:numId w:val="5"/>
        </w:numPr>
        <w:spacing w:line="276" w:lineRule="auto"/>
        <w:jc w:val="both"/>
      </w:pPr>
      <w:r w:rsidRPr="005B20FB">
        <w:t>Religious adviser and his disciples</w:t>
      </w:r>
    </w:p>
    <w:p w14:paraId="2D1D2563" w14:textId="2DABEB5C" w:rsidR="005B4CBB" w:rsidRPr="005B20FB" w:rsidRDefault="005A6A0C" w:rsidP="00377BCC">
      <w:pPr>
        <w:pStyle w:val="ListParagraph"/>
        <w:numPr>
          <w:ilvl w:val="0"/>
          <w:numId w:val="5"/>
        </w:numPr>
        <w:spacing w:line="276" w:lineRule="auto"/>
        <w:jc w:val="both"/>
      </w:pPr>
      <w:r w:rsidRPr="005B20FB">
        <w:t>Client and solicitor</w:t>
      </w:r>
    </w:p>
    <w:p w14:paraId="37710555" w14:textId="72D47271" w:rsidR="005B4CBB" w:rsidRPr="005B20FB" w:rsidRDefault="005A6A0C" w:rsidP="00377BCC">
      <w:pPr>
        <w:pStyle w:val="ListParagraph"/>
        <w:numPr>
          <w:ilvl w:val="0"/>
          <w:numId w:val="5"/>
        </w:numPr>
        <w:spacing w:line="276" w:lineRule="auto"/>
        <w:jc w:val="both"/>
      </w:pPr>
      <w:r w:rsidRPr="005B20FB">
        <w:t>Beneficiary and trustee</w:t>
      </w:r>
    </w:p>
    <w:p w14:paraId="5B37432F" w14:textId="109340B3" w:rsidR="005B4CBB" w:rsidRPr="005B20FB" w:rsidRDefault="005A6A0C" w:rsidP="00377BCC">
      <w:pPr>
        <w:spacing w:line="276" w:lineRule="auto"/>
        <w:jc w:val="both"/>
      </w:pPr>
      <w:r w:rsidRPr="005B20FB">
        <w:t>But in the case of Class 2B, the court stated th</w:t>
      </w:r>
      <w:r w:rsidRPr="005B20FB">
        <w:t xml:space="preserve">at there is a presumption of trust and confidence by the party. </w:t>
      </w:r>
      <w:r w:rsidR="001A44A9" w:rsidRPr="005B20FB">
        <w:t xml:space="preserve">Reference of the case </w:t>
      </w:r>
      <w:hyperlink r:id="rId12" w:tooltip="Tate v Williamson" w:history="1">
        <w:r w:rsidR="00595185" w:rsidRPr="005B20FB">
          <w:rPr>
            <w:b/>
            <w:bCs/>
            <w:i/>
            <w:iCs/>
          </w:rPr>
          <w:t>Tate v. Williamson</w:t>
        </w:r>
      </w:hyperlink>
      <w:r>
        <w:rPr>
          <w:rStyle w:val="FootnoteReference"/>
          <w:b/>
          <w:bCs/>
          <w:i/>
          <w:iCs/>
        </w:rPr>
        <w:footnoteReference w:id="10"/>
      </w:r>
      <w:r w:rsidR="00595185" w:rsidRPr="005B20FB">
        <w:rPr>
          <w:b/>
          <w:bCs/>
          <w:i/>
          <w:iCs/>
        </w:rPr>
        <w:t xml:space="preserve"> </w:t>
      </w:r>
      <w:r w:rsidR="00595185" w:rsidRPr="005B20FB">
        <w:t>can be taken where a student of Oxford University sold his estate at half price to his financial adviser and the court set aside the sale</w:t>
      </w:r>
      <w:r w:rsidR="009E175A" w:rsidRPr="005B20FB">
        <w:t>.</w:t>
      </w:r>
    </w:p>
    <w:p w14:paraId="487121BF" w14:textId="5606EE90" w:rsidR="00933FD7" w:rsidRPr="005B20FB" w:rsidRDefault="005A6A0C" w:rsidP="00377BCC">
      <w:pPr>
        <w:pStyle w:val="Heading1"/>
        <w:spacing w:line="276" w:lineRule="auto"/>
        <w:jc w:val="both"/>
      </w:pPr>
      <w:bookmarkStart w:id="8" w:name="_Toc71305304"/>
      <w:r w:rsidRPr="005B20FB">
        <w:t>Case of Etridge</w:t>
      </w:r>
      <w:bookmarkEnd w:id="8"/>
    </w:p>
    <w:p w14:paraId="62FADBC2" w14:textId="4FA1E98D" w:rsidR="00933FD7" w:rsidRPr="005B20FB" w:rsidRDefault="005A6A0C" w:rsidP="00377BCC">
      <w:pPr>
        <w:spacing w:line="276" w:lineRule="auto"/>
        <w:jc w:val="both"/>
      </w:pPr>
      <w:r w:rsidRPr="005B20FB">
        <w:t xml:space="preserve">The case of </w:t>
      </w:r>
      <w:r w:rsidRPr="005B20FB">
        <w:rPr>
          <w:b/>
          <w:bCs/>
          <w:i/>
          <w:iCs/>
        </w:rPr>
        <w:t>Royal Bank of Scotland plc v. Etridge (No 2)</w:t>
      </w:r>
      <w:r>
        <w:rPr>
          <w:rStyle w:val="FootnoteReference"/>
          <w:b/>
          <w:bCs/>
          <w:i/>
          <w:iCs/>
        </w:rPr>
        <w:footnoteReference w:id="11"/>
      </w:r>
      <w:r w:rsidRPr="005B20FB">
        <w:rPr>
          <w:b/>
          <w:bCs/>
          <w:i/>
          <w:iCs/>
        </w:rPr>
        <w:t xml:space="preserve"> </w:t>
      </w:r>
      <w:r w:rsidRPr="005B20FB">
        <w:t>is one of the leading case</w:t>
      </w:r>
      <w:r w:rsidR="008D2EAF" w:rsidRPr="005B20FB">
        <w:t>s and as per the facts of the case</w:t>
      </w:r>
      <w:r w:rsidR="00494A5C" w:rsidRPr="005B20FB">
        <w:t xml:space="preserve">, there was a mortgage done </w:t>
      </w:r>
      <w:r w:rsidR="0055511C" w:rsidRPr="005B20FB">
        <w:t xml:space="preserve">of residential property (houses) to secure a loan which was taken by their husbands to start a business. The business failed and the bank wanted to take possession of their home. The wives had no direct benefit from the business. </w:t>
      </w:r>
      <w:r w:rsidR="00527997" w:rsidRPr="005B20FB">
        <w:t xml:space="preserve">The court in this case held that the bank was in a position </w:t>
      </w:r>
      <w:r w:rsidR="006F2410" w:rsidRPr="005B20FB">
        <w:t>to watch for undue influence and misrepresentation in such cases</w:t>
      </w:r>
      <w:r w:rsidR="009E659A" w:rsidRPr="005B20FB">
        <w:t xml:space="preserve"> (</w:t>
      </w:r>
      <w:r w:rsidR="009E659A" w:rsidRPr="005B20FB">
        <w:rPr>
          <w:rFonts w:cs="Times New Roman"/>
          <w:szCs w:val="24"/>
          <w:shd w:val="clear" w:color="auto" w:fill="FFFFFF"/>
        </w:rPr>
        <w:t>Davies and Day, 2018).</w:t>
      </w:r>
      <w:r w:rsidR="006F2410" w:rsidRPr="005B20FB">
        <w:t xml:space="preserve"> </w:t>
      </w:r>
      <w:r w:rsidR="005228B7" w:rsidRPr="005B20FB">
        <w:t xml:space="preserve">The bank had to make sure that the consent of the wives was free </w:t>
      </w:r>
      <w:r w:rsidR="00AC3BDD" w:rsidRPr="005B20FB">
        <w:t xml:space="preserve">and there was an expression of free will. </w:t>
      </w:r>
      <w:r w:rsidR="00E50331" w:rsidRPr="005B20FB">
        <w:t>If the consent was free, the bank was entitle</w:t>
      </w:r>
      <w:r w:rsidR="002102EC" w:rsidRPr="005B20FB">
        <w:t>d</w:t>
      </w:r>
      <w:r w:rsidR="00E50331" w:rsidRPr="005B20FB">
        <w:t xml:space="preserve"> to the possession of the property. </w:t>
      </w:r>
      <w:r w:rsidR="00A418C0" w:rsidRPr="005B20FB">
        <w:t>The minimum requirements and guidelines were laid down in this case which was as follows:</w:t>
      </w:r>
    </w:p>
    <w:p w14:paraId="4EA33DE8" w14:textId="480DF3E7" w:rsidR="00A418C0" w:rsidRPr="005B20FB" w:rsidRDefault="005A6A0C" w:rsidP="00377BCC">
      <w:pPr>
        <w:pStyle w:val="ListParagraph"/>
        <w:numPr>
          <w:ilvl w:val="0"/>
          <w:numId w:val="6"/>
        </w:numPr>
        <w:spacing w:line="276" w:lineRule="auto"/>
        <w:jc w:val="both"/>
      </w:pPr>
      <w:r w:rsidRPr="005B20FB">
        <w:t>The bank should be sure regarding the free consent of the wive</w:t>
      </w:r>
      <w:r w:rsidR="00D90702" w:rsidRPr="005B20FB">
        <w:t>s or any other person in that position.</w:t>
      </w:r>
    </w:p>
    <w:p w14:paraId="5A52C80C" w14:textId="26A8B86D" w:rsidR="00D90702" w:rsidRPr="005B20FB" w:rsidRDefault="005A6A0C" w:rsidP="00377BCC">
      <w:pPr>
        <w:pStyle w:val="ListParagraph"/>
        <w:numPr>
          <w:ilvl w:val="0"/>
          <w:numId w:val="6"/>
        </w:numPr>
        <w:spacing w:line="276" w:lineRule="auto"/>
        <w:jc w:val="both"/>
      </w:pPr>
      <w:r w:rsidRPr="005B20FB">
        <w:t>The bank should be s</w:t>
      </w:r>
      <w:r w:rsidRPr="005B20FB">
        <w:t>ure that the wives are aware of the legal consequences of such a m</w:t>
      </w:r>
      <w:r w:rsidR="006B6B24" w:rsidRPr="005B20FB">
        <w:t>o</w:t>
      </w:r>
      <w:r w:rsidRPr="005B20FB">
        <w:t>rtgage.</w:t>
      </w:r>
    </w:p>
    <w:p w14:paraId="041A0B68" w14:textId="2C56C394" w:rsidR="00BD50C9" w:rsidRPr="005B20FB" w:rsidRDefault="005A6A0C" w:rsidP="00377BCC">
      <w:pPr>
        <w:pStyle w:val="ListParagraph"/>
        <w:numPr>
          <w:ilvl w:val="0"/>
          <w:numId w:val="6"/>
        </w:numPr>
        <w:spacing w:line="276" w:lineRule="auto"/>
        <w:jc w:val="both"/>
      </w:pPr>
      <w:r w:rsidRPr="005B20FB">
        <w:t>The solicitor should take care of conflict of interest.</w:t>
      </w:r>
    </w:p>
    <w:p w14:paraId="45F51F71" w14:textId="2D86A4F6" w:rsidR="00EB07D9" w:rsidRPr="005B20FB" w:rsidRDefault="005A6A0C" w:rsidP="00377BCC">
      <w:pPr>
        <w:pStyle w:val="ListParagraph"/>
        <w:numPr>
          <w:ilvl w:val="0"/>
          <w:numId w:val="6"/>
        </w:numPr>
        <w:spacing w:line="276" w:lineRule="auto"/>
        <w:jc w:val="both"/>
      </w:pPr>
      <w:r w:rsidRPr="005B20FB">
        <w:t>The bank is entitled to proceed if it is satisfied that the solicitor has given fair advice to the wives</w:t>
      </w:r>
      <w:r w:rsidR="00B9617A" w:rsidRPr="005B20FB">
        <w:t xml:space="preserve"> (</w:t>
      </w:r>
      <w:r w:rsidR="00B9617A" w:rsidRPr="005B20FB">
        <w:rPr>
          <w:rFonts w:cs="Times New Roman"/>
          <w:szCs w:val="24"/>
          <w:shd w:val="clear" w:color="auto" w:fill="FFFFFF"/>
        </w:rPr>
        <w:t>Fredericks, 2019).</w:t>
      </w:r>
    </w:p>
    <w:p w14:paraId="048D26BF" w14:textId="06BE50EB" w:rsidR="00933FD7" w:rsidRPr="005B20FB" w:rsidRDefault="005A6A0C" w:rsidP="00377BCC">
      <w:pPr>
        <w:pStyle w:val="Heading1"/>
        <w:spacing w:line="276" w:lineRule="auto"/>
      </w:pPr>
      <w:bookmarkStart w:id="9" w:name="_Toc71305305"/>
      <w:r w:rsidRPr="005B20FB">
        <w:t>Difference between duress and undue influence</w:t>
      </w:r>
      <w:bookmarkEnd w:id="9"/>
    </w:p>
    <w:p w14:paraId="4E32EBF0" w14:textId="150F7975" w:rsidR="00774266" w:rsidRPr="005B20FB" w:rsidRDefault="005A6A0C" w:rsidP="00377BCC">
      <w:pPr>
        <w:spacing w:line="276" w:lineRule="auto"/>
      </w:pPr>
      <w:r w:rsidRPr="005B20FB">
        <w:t>The following table illustrates the difference between the two:</w:t>
      </w:r>
    </w:p>
    <w:tbl>
      <w:tblPr>
        <w:tblStyle w:val="TableGrid"/>
        <w:tblW w:w="0" w:type="auto"/>
        <w:tblLook w:val="04A0" w:firstRow="1" w:lastRow="0" w:firstColumn="1" w:lastColumn="0" w:noHBand="0" w:noVBand="1"/>
      </w:tblPr>
      <w:tblGrid>
        <w:gridCol w:w="4508"/>
        <w:gridCol w:w="4508"/>
      </w:tblGrid>
      <w:tr w:rsidR="005F72AE" w14:paraId="4457D162" w14:textId="77777777" w:rsidTr="00E702CC">
        <w:tc>
          <w:tcPr>
            <w:tcW w:w="4508" w:type="dxa"/>
          </w:tcPr>
          <w:p w14:paraId="0DE6579F" w14:textId="0282CEDB" w:rsidR="00E702CC" w:rsidRPr="005B20FB" w:rsidRDefault="005A6A0C" w:rsidP="00377BCC">
            <w:pPr>
              <w:spacing w:line="276" w:lineRule="auto"/>
              <w:jc w:val="center"/>
              <w:rPr>
                <w:b/>
                <w:bCs/>
              </w:rPr>
            </w:pPr>
            <w:r w:rsidRPr="005B20FB">
              <w:rPr>
                <w:b/>
                <w:bCs/>
              </w:rPr>
              <w:t>Duress</w:t>
            </w:r>
          </w:p>
        </w:tc>
        <w:tc>
          <w:tcPr>
            <w:tcW w:w="4508" w:type="dxa"/>
          </w:tcPr>
          <w:p w14:paraId="58BC2156" w14:textId="4582FD83" w:rsidR="00E702CC" w:rsidRPr="005B20FB" w:rsidRDefault="005A6A0C" w:rsidP="00377BCC">
            <w:pPr>
              <w:spacing w:line="276" w:lineRule="auto"/>
              <w:jc w:val="center"/>
              <w:rPr>
                <w:b/>
                <w:bCs/>
              </w:rPr>
            </w:pPr>
            <w:r w:rsidRPr="005B20FB">
              <w:rPr>
                <w:b/>
                <w:bCs/>
              </w:rPr>
              <w:t>Undue influenc</w:t>
            </w:r>
            <w:r w:rsidRPr="005B20FB">
              <w:rPr>
                <w:b/>
                <w:bCs/>
              </w:rPr>
              <w:t>e</w:t>
            </w:r>
          </w:p>
        </w:tc>
      </w:tr>
      <w:tr w:rsidR="005F72AE" w14:paraId="1248B513" w14:textId="77777777" w:rsidTr="00E702CC">
        <w:tc>
          <w:tcPr>
            <w:tcW w:w="4508" w:type="dxa"/>
          </w:tcPr>
          <w:p w14:paraId="78088114" w14:textId="4C0BA78A" w:rsidR="00E702CC" w:rsidRPr="005B20FB" w:rsidRDefault="005A6A0C" w:rsidP="00377BCC">
            <w:pPr>
              <w:pStyle w:val="ListParagraph"/>
              <w:numPr>
                <w:ilvl w:val="0"/>
                <w:numId w:val="7"/>
              </w:numPr>
              <w:spacing w:line="276" w:lineRule="auto"/>
            </w:pPr>
            <w:r w:rsidRPr="005B20FB">
              <w:t>The consent under duress is given by using threat.</w:t>
            </w:r>
          </w:p>
        </w:tc>
        <w:tc>
          <w:tcPr>
            <w:tcW w:w="4508" w:type="dxa"/>
          </w:tcPr>
          <w:p w14:paraId="794CCC5B" w14:textId="3F4D4F29" w:rsidR="00E702CC" w:rsidRPr="005B20FB" w:rsidRDefault="005A6A0C" w:rsidP="00377BCC">
            <w:pPr>
              <w:pStyle w:val="ListParagraph"/>
              <w:numPr>
                <w:ilvl w:val="0"/>
                <w:numId w:val="7"/>
              </w:numPr>
              <w:spacing w:line="276" w:lineRule="auto"/>
            </w:pPr>
            <w:r w:rsidRPr="005B20FB">
              <w:t>The consent under this is given when one party is so situated with the other, that the former is in a relation of dominance over the other.</w:t>
            </w:r>
          </w:p>
        </w:tc>
      </w:tr>
      <w:tr w:rsidR="005F72AE" w14:paraId="7CFA1E38" w14:textId="77777777" w:rsidTr="00E702CC">
        <w:tc>
          <w:tcPr>
            <w:tcW w:w="4508" w:type="dxa"/>
          </w:tcPr>
          <w:p w14:paraId="0A5750AE" w14:textId="15D7D42A" w:rsidR="00E702CC" w:rsidRPr="005B20FB" w:rsidRDefault="005A6A0C" w:rsidP="00377BCC">
            <w:pPr>
              <w:pStyle w:val="ListParagraph"/>
              <w:numPr>
                <w:ilvl w:val="0"/>
                <w:numId w:val="7"/>
              </w:numPr>
              <w:spacing w:line="276" w:lineRule="auto"/>
            </w:pPr>
            <w:r w:rsidRPr="005B20FB">
              <w:t>Duress is mainly associated with a physical threat, though ot</w:t>
            </w:r>
            <w:r w:rsidRPr="005B20FB">
              <w:t xml:space="preserve">hers are also included in it. </w:t>
            </w:r>
          </w:p>
        </w:tc>
        <w:tc>
          <w:tcPr>
            <w:tcW w:w="4508" w:type="dxa"/>
          </w:tcPr>
          <w:p w14:paraId="52BECE38" w14:textId="732698CD" w:rsidR="00E702CC" w:rsidRPr="005B20FB" w:rsidRDefault="005A6A0C" w:rsidP="00377BCC">
            <w:pPr>
              <w:pStyle w:val="ListParagraph"/>
              <w:numPr>
                <w:ilvl w:val="0"/>
                <w:numId w:val="7"/>
              </w:numPr>
              <w:spacing w:line="276" w:lineRule="auto"/>
            </w:pPr>
            <w:r w:rsidRPr="005B20FB">
              <w:t>Undue influence possesses moral character.</w:t>
            </w:r>
          </w:p>
        </w:tc>
      </w:tr>
      <w:tr w:rsidR="005F72AE" w14:paraId="6A2D4936" w14:textId="77777777" w:rsidTr="00E702CC">
        <w:tc>
          <w:tcPr>
            <w:tcW w:w="4508" w:type="dxa"/>
          </w:tcPr>
          <w:p w14:paraId="083CC77C" w14:textId="5999E568" w:rsidR="00AB45C9" w:rsidRPr="005B20FB" w:rsidRDefault="005A6A0C" w:rsidP="00377BCC">
            <w:pPr>
              <w:pStyle w:val="ListParagraph"/>
              <w:numPr>
                <w:ilvl w:val="0"/>
                <w:numId w:val="7"/>
              </w:numPr>
              <w:spacing w:line="276" w:lineRule="auto"/>
            </w:pPr>
            <w:r w:rsidRPr="005B20FB">
              <w:t>It mainly involves a criminal</w:t>
            </w:r>
            <w:r w:rsidR="00C85CB7" w:rsidRPr="005B20FB">
              <w:t xml:space="preserve"> act (</w:t>
            </w:r>
            <w:r w:rsidR="00C85CB7" w:rsidRPr="005B20FB">
              <w:rPr>
                <w:rFonts w:cs="Times New Roman"/>
                <w:szCs w:val="24"/>
                <w:shd w:val="clear" w:color="auto" w:fill="FFFFFF"/>
              </w:rPr>
              <w:t>Mitchell, 2017).</w:t>
            </w:r>
          </w:p>
        </w:tc>
        <w:tc>
          <w:tcPr>
            <w:tcW w:w="4508" w:type="dxa"/>
          </w:tcPr>
          <w:p w14:paraId="1EBD95EC" w14:textId="6F3387F9" w:rsidR="00AB45C9" w:rsidRPr="005B20FB" w:rsidRDefault="005A6A0C" w:rsidP="00377BCC">
            <w:pPr>
              <w:pStyle w:val="ListParagraph"/>
              <w:numPr>
                <w:ilvl w:val="0"/>
                <w:numId w:val="7"/>
              </w:numPr>
              <w:spacing w:line="276" w:lineRule="auto"/>
            </w:pPr>
            <w:r w:rsidRPr="005B20FB">
              <w:t>There is no criminal act in undue influence.</w:t>
            </w:r>
          </w:p>
        </w:tc>
      </w:tr>
      <w:tr w:rsidR="005F72AE" w14:paraId="174E1564" w14:textId="77777777" w:rsidTr="00E702CC">
        <w:tc>
          <w:tcPr>
            <w:tcW w:w="4508" w:type="dxa"/>
          </w:tcPr>
          <w:p w14:paraId="71504501" w14:textId="6AC31002" w:rsidR="00AB45C9" w:rsidRPr="005B20FB" w:rsidRDefault="005A6A0C" w:rsidP="00377BCC">
            <w:pPr>
              <w:pStyle w:val="ListParagraph"/>
              <w:numPr>
                <w:ilvl w:val="0"/>
                <w:numId w:val="7"/>
              </w:numPr>
              <w:spacing w:line="276" w:lineRule="auto"/>
            </w:pPr>
            <w:r w:rsidRPr="005B20FB">
              <w:t xml:space="preserve">There is a presence of intention of making the other person sign the </w:t>
            </w:r>
            <w:r w:rsidRPr="005B20FB">
              <w:t>contract.</w:t>
            </w:r>
          </w:p>
        </w:tc>
        <w:tc>
          <w:tcPr>
            <w:tcW w:w="4508" w:type="dxa"/>
          </w:tcPr>
          <w:p w14:paraId="2F742F7A" w14:textId="090A587A" w:rsidR="00AB45C9" w:rsidRPr="005B20FB" w:rsidRDefault="005A6A0C" w:rsidP="00377BCC">
            <w:pPr>
              <w:pStyle w:val="ListParagraph"/>
              <w:numPr>
                <w:ilvl w:val="0"/>
                <w:numId w:val="7"/>
              </w:numPr>
              <w:spacing w:line="276" w:lineRule="auto"/>
            </w:pPr>
            <w:r w:rsidRPr="005B20FB">
              <w:t>It is used to take an unfair advantage over the other</w:t>
            </w:r>
            <w:r w:rsidR="00BE7A93" w:rsidRPr="005B20FB">
              <w:t xml:space="preserve"> (</w:t>
            </w:r>
            <w:r w:rsidR="00BE7A93" w:rsidRPr="005B20FB">
              <w:rPr>
                <w:rFonts w:cs="Times New Roman"/>
                <w:szCs w:val="24"/>
                <w:shd w:val="clear" w:color="auto" w:fill="FFFFFF"/>
              </w:rPr>
              <w:t>Pieterse, 2019).</w:t>
            </w:r>
          </w:p>
        </w:tc>
      </w:tr>
    </w:tbl>
    <w:p w14:paraId="0DB335EE" w14:textId="77777777" w:rsidR="00E702CC" w:rsidRPr="005B20FB" w:rsidRDefault="00E702CC" w:rsidP="00377BCC">
      <w:pPr>
        <w:spacing w:line="276" w:lineRule="auto"/>
      </w:pPr>
    </w:p>
    <w:p w14:paraId="334AE2B2" w14:textId="044FC0BB" w:rsidR="0092160A" w:rsidRPr="005B20FB" w:rsidRDefault="005A6A0C" w:rsidP="00377BCC">
      <w:pPr>
        <w:pStyle w:val="Heading1"/>
        <w:spacing w:line="276" w:lineRule="auto"/>
      </w:pPr>
      <w:bookmarkStart w:id="10" w:name="_Toc71305306"/>
      <w:r w:rsidRPr="005B20FB">
        <w:t>Conclusion</w:t>
      </w:r>
      <w:bookmarkEnd w:id="10"/>
    </w:p>
    <w:p w14:paraId="33D8BAA0" w14:textId="77777777" w:rsidR="00B843A5" w:rsidRPr="005B20FB" w:rsidRDefault="005A6A0C" w:rsidP="00377BCC">
      <w:pPr>
        <w:spacing w:line="276" w:lineRule="auto"/>
        <w:jc w:val="both"/>
      </w:pPr>
      <w:r w:rsidRPr="005B20FB">
        <w:t>Thus, to conclude, it has been settled that the two concept</w:t>
      </w:r>
      <w:r w:rsidR="00A37A67" w:rsidRPr="005B20FB">
        <w:t>s</w:t>
      </w:r>
      <w:r w:rsidRPr="005B20FB">
        <w:t xml:space="preserve"> of undue influence and duress are distinct concepts and their application in the courts depends fairly on the facts and circumstances of each case.</w:t>
      </w:r>
      <w:r w:rsidR="00A37A67" w:rsidRPr="005B20FB">
        <w:t xml:space="preserve"> The above discussion identifies the situations where the court shall uphold a contract entered under duress and undue influence. it has been analysed that </w:t>
      </w:r>
      <w:r w:rsidR="00D85347" w:rsidRPr="005B20FB">
        <w:t xml:space="preserve">there is little space for this concept to stand legal in the eyes of courts as these concepts render the contract to be void or voidable. </w:t>
      </w:r>
      <w:r w:rsidR="0071582E" w:rsidRPr="005B20FB">
        <w:t>Moreover, the above discussion also makes clear the minor line of difference between commercial bargaining and illegiti</w:t>
      </w:r>
      <w:r w:rsidR="0042527F" w:rsidRPr="005B20FB">
        <w:t>m</w:t>
      </w:r>
      <w:r w:rsidR="0071582E" w:rsidRPr="005B20FB">
        <w:t>ate influence in a business transaction.</w:t>
      </w:r>
      <w:r w:rsidR="00F812BD" w:rsidRPr="005B20FB">
        <w:t xml:space="preserve"> </w:t>
      </w:r>
    </w:p>
    <w:p w14:paraId="7DAD7CC3" w14:textId="7C084DF1" w:rsidR="0092160A" w:rsidRPr="005B20FB" w:rsidRDefault="005A6A0C" w:rsidP="00377BCC">
      <w:pPr>
        <w:spacing w:line="276" w:lineRule="auto"/>
      </w:pPr>
      <w:r w:rsidRPr="005B20FB">
        <w:br w:type="page"/>
      </w:r>
    </w:p>
    <w:p w14:paraId="44C568D7" w14:textId="28C2BC43" w:rsidR="0092160A" w:rsidRPr="005B20FB" w:rsidRDefault="005A6A0C" w:rsidP="00377BCC">
      <w:pPr>
        <w:pStyle w:val="Heading1"/>
        <w:spacing w:line="276" w:lineRule="auto"/>
      </w:pPr>
      <w:bookmarkStart w:id="11" w:name="_Toc71305307"/>
      <w:r w:rsidRPr="005B20FB">
        <w:t>References</w:t>
      </w:r>
      <w:bookmarkEnd w:id="11"/>
    </w:p>
    <w:p w14:paraId="413C2B64" w14:textId="77777777" w:rsidR="007167EC" w:rsidRPr="007167EC" w:rsidRDefault="005A6A0C" w:rsidP="007167EC">
      <w:pPr>
        <w:pStyle w:val="ListParagraph"/>
        <w:numPr>
          <w:ilvl w:val="0"/>
          <w:numId w:val="9"/>
        </w:numPr>
        <w:spacing w:line="276" w:lineRule="auto"/>
        <w:jc w:val="both"/>
        <w:rPr>
          <w:rFonts w:cs="Times New Roman"/>
          <w:szCs w:val="24"/>
        </w:rPr>
      </w:pPr>
      <w:hyperlink r:id="rId13" w:tooltip="Bank of Montreal v Stuart" w:history="1">
        <w:r w:rsidRPr="007167EC">
          <w:rPr>
            <w:rFonts w:cs="Times New Roman"/>
            <w:szCs w:val="24"/>
          </w:rPr>
          <w:t>Bank of Montreal v. Stuart</w:t>
        </w:r>
      </w:hyperlink>
      <w:r w:rsidRPr="007167EC">
        <w:rPr>
          <w:rFonts w:cs="Times New Roman"/>
          <w:szCs w:val="24"/>
        </w:rPr>
        <w:t xml:space="preserve"> [1911] AC 120</w:t>
      </w:r>
    </w:p>
    <w:p w14:paraId="3C596848"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rPr>
        <w:t>Barton</w:t>
      </w:r>
      <w:r w:rsidRPr="005B20FB">
        <w:rPr>
          <w:rFonts w:cs="Times New Roman"/>
          <w:szCs w:val="24"/>
        </w:rPr>
        <w:t xml:space="preserve"> v. Armstrong </w:t>
      </w:r>
      <w:r w:rsidRPr="005B20FB">
        <w:rPr>
          <w:rFonts w:cs="Times New Roman"/>
          <w:szCs w:val="24"/>
          <w:shd w:val="clear" w:color="auto" w:fill="FFFFFF"/>
        </w:rPr>
        <w:t>[1976] A.C. 104</w:t>
      </w:r>
    </w:p>
    <w:p w14:paraId="4D025A89" w14:textId="77777777" w:rsidR="007167EC" w:rsidRPr="005B20FB" w:rsidRDefault="005A6A0C" w:rsidP="00B645B4">
      <w:pPr>
        <w:pStyle w:val="ListParagraph"/>
        <w:numPr>
          <w:ilvl w:val="0"/>
          <w:numId w:val="8"/>
        </w:numPr>
        <w:spacing w:line="276" w:lineRule="auto"/>
        <w:jc w:val="both"/>
        <w:rPr>
          <w:rFonts w:cs="Times New Roman"/>
          <w:szCs w:val="24"/>
        </w:rPr>
      </w:pPr>
      <w:hyperlink r:id="rId14" w:tooltip="BCCI v Aboody" w:history="1">
        <w:r w:rsidRPr="005B20FB">
          <w:rPr>
            <w:rFonts w:cs="Times New Roman"/>
            <w:szCs w:val="24"/>
          </w:rPr>
          <w:t>BCCI v. Aboody</w:t>
        </w:r>
      </w:hyperlink>
      <w:r w:rsidRPr="005B20FB">
        <w:rPr>
          <w:rFonts w:cs="Times New Roman"/>
          <w:szCs w:val="24"/>
        </w:rPr>
        <w:t xml:space="preserve"> [1992] 4 All ER 955</w:t>
      </w:r>
    </w:p>
    <w:p w14:paraId="6E582570"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shd w:val="clear" w:color="auto" w:fill="FFFFFF"/>
        </w:rPr>
        <w:t>Cook, D.J., 2019. Walking the Divide: A Critical Examination of the Nature of Undue Influence and Unconscionable</w:t>
      </w:r>
      <w:r w:rsidRPr="005B20FB">
        <w:rPr>
          <w:rFonts w:cs="Times New Roman"/>
          <w:szCs w:val="24"/>
          <w:shd w:val="clear" w:color="auto" w:fill="FFFFFF"/>
        </w:rPr>
        <w:t xml:space="preserve"> Dealing. Available at SSRN 3486817.</w:t>
      </w:r>
    </w:p>
    <w:p w14:paraId="46A13A90"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shd w:val="clear" w:color="auto" w:fill="FFFFFF"/>
        </w:rPr>
        <w:t>Davies, P. and Day, W., 2020. " Lawful Act" Duress (Again). The Law Quarterly Review, 136, pp.7-12.</w:t>
      </w:r>
    </w:p>
    <w:p w14:paraId="32509056"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shd w:val="clear" w:color="auto" w:fill="FFFFFF"/>
        </w:rPr>
        <w:t>Davies, P.S. and Day, W., 2018. " Lawful act" duress. Law Quarterly Review, 134(1), pp.5-10.</w:t>
      </w:r>
    </w:p>
    <w:p w14:paraId="57BE0DE8"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shd w:val="clear" w:color="auto" w:fill="FFFFFF"/>
        </w:rPr>
        <w:t xml:space="preserve">Fredericks, E.A., 2019. A </w:t>
      </w:r>
      <w:r w:rsidRPr="005B20FB">
        <w:rPr>
          <w:rFonts w:cs="Times New Roman"/>
          <w:szCs w:val="24"/>
          <w:shd w:val="clear" w:color="auto" w:fill="FFFFFF"/>
        </w:rPr>
        <w:t>comparison of economic duress and economic disparity of contracting parties.</w:t>
      </w:r>
    </w:p>
    <w:p w14:paraId="31284EE1"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shd w:val="clear" w:color="auto" w:fill="FFFFFF"/>
        </w:rPr>
        <w:t>Harrison, J.L., 2019. Duress and Undue Influence in Contract Law as Cognitive Trespass. Neb. L. Rev., 98, p.970.</w:t>
      </w:r>
    </w:p>
    <w:p w14:paraId="7266E028"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rPr>
        <w:t>Hellenic Lines v. Louis Dreyfus Corp (1966) 249 F. Supp. 526, at 5</w:t>
      </w:r>
      <w:r w:rsidRPr="005B20FB">
        <w:rPr>
          <w:rFonts w:cs="Times New Roman"/>
          <w:szCs w:val="24"/>
        </w:rPr>
        <w:t>29 (SD.N.Y.)</w:t>
      </w:r>
    </w:p>
    <w:p w14:paraId="6FB2573D"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shd w:val="clear" w:color="auto" w:fill="FFFFFF"/>
        </w:rPr>
        <w:t>Mitchell, P., 2017. Shifting paradigms in duress. Restitution Law Review, 25, pp.197-207.</w:t>
      </w:r>
    </w:p>
    <w:p w14:paraId="27C9B0FA"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shd w:val="clear" w:color="auto" w:fill="FFFFFF"/>
        </w:rPr>
        <w:t xml:space="preserve">Moore, M., 2018. Why Does Lord Denning's Lead Balloon Intrigue Us Still? The Prospects of Finding a Unifying Principle for Duress, Undue </w:t>
      </w:r>
      <w:r w:rsidRPr="005B20FB">
        <w:rPr>
          <w:rFonts w:cs="Times New Roman"/>
          <w:szCs w:val="24"/>
          <w:shd w:val="clear" w:color="auto" w:fill="FFFFFF"/>
        </w:rPr>
        <w:t>Influence and Unconscionability. The Prospects of Finding a Unifying Principle for Duress, Undue Influence and Unconscionability (February 3, 2016), 134.</w:t>
      </w:r>
    </w:p>
    <w:p w14:paraId="7F973D5C"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rPr>
        <w:t xml:space="preserve">Pao On v. Lau Yiu Long </w:t>
      </w:r>
      <w:r w:rsidRPr="005B20FB">
        <w:rPr>
          <w:rFonts w:cs="Times New Roman"/>
          <w:szCs w:val="24"/>
          <w:shd w:val="clear" w:color="auto" w:fill="FFFFFF"/>
        </w:rPr>
        <w:t>1983] AC 336</w:t>
      </w:r>
    </w:p>
    <w:p w14:paraId="6819EAC1"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shd w:val="clear" w:color="auto" w:fill="FFFFFF"/>
        </w:rPr>
        <w:t>Pawlowski, M., 2018. Undue Influence: towards a Unifying Concept o</w:t>
      </w:r>
      <w:r w:rsidRPr="005B20FB">
        <w:rPr>
          <w:rFonts w:cs="Times New Roman"/>
          <w:szCs w:val="24"/>
          <w:shd w:val="clear" w:color="auto" w:fill="FFFFFF"/>
        </w:rPr>
        <w:t>f Unconscionability. Denning LJ, 30, p.117.</w:t>
      </w:r>
    </w:p>
    <w:p w14:paraId="454FE387"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shd w:val="clear" w:color="auto" w:fill="FFFFFF"/>
        </w:rPr>
        <w:t>Pieterse, R., 2019. A Comparison of Economic Duress and Economic Disparity of Contracting Parties. University of Johannesburg (South Africa).</w:t>
      </w:r>
    </w:p>
    <w:p w14:paraId="24D87DB9"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shd w:val="clear" w:color="auto" w:fill="FFFFFF"/>
        </w:rPr>
        <w:t>Rizzi, M. and Skead, N., 2020. Algorithmic Contracts and the Equitable</w:t>
      </w:r>
      <w:r w:rsidRPr="005B20FB">
        <w:rPr>
          <w:rFonts w:cs="Times New Roman"/>
          <w:szCs w:val="24"/>
          <w:shd w:val="clear" w:color="auto" w:fill="FFFFFF"/>
        </w:rPr>
        <w:t xml:space="preserve"> Doctrine of Undue Influence: Adapting Old Rules to a New Legal Landscape. Journal of Equity, 14(3).</w:t>
      </w:r>
    </w:p>
    <w:p w14:paraId="205BE738"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rPr>
        <w:t xml:space="preserve">Royal Bank of Scotland plc v. Etridge (No 2) </w:t>
      </w:r>
      <w:hyperlink r:id="rId15" w:history="1">
        <w:r w:rsidRPr="005B20FB">
          <w:rPr>
            <w:rStyle w:val="Hyperlink"/>
            <w:rFonts w:cs="Times New Roman"/>
            <w:color w:val="auto"/>
            <w:szCs w:val="24"/>
            <w:u w:val="none"/>
            <w:shd w:val="clear" w:color="auto" w:fill="FFFFFF"/>
          </w:rPr>
          <w:t>[2001] UKHL 44</w:t>
        </w:r>
      </w:hyperlink>
    </w:p>
    <w:p w14:paraId="00C20DFD"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rPr>
        <w:t xml:space="preserve">Skeate v. Beale </w:t>
      </w:r>
      <w:r w:rsidRPr="005B20FB">
        <w:rPr>
          <w:rStyle w:val="Strong"/>
          <w:rFonts w:cs="Times New Roman"/>
          <w:b w:val="0"/>
          <w:bCs w:val="0"/>
          <w:szCs w:val="24"/>
          <w:shd w:val="clear" w:color="auto" w:fill="FFFFFF"/>
        </w:rPr>
        <w:t xml:space="preserve">[1840] 11 Ad </w:t>
      </w:r>
      <w:r w:rsidRPr="005B20FB">
        <w:rPr>
          <w:rStyle w:val="Strong"/>
          <w:rFonts w:cs="Times New Roman"/>
          <w:b w:val="0"/>
          <w:bCs w:val="0"/>
          <w:szCs w:val="24"/>
          <w:shd w:val="clear" w:color="auto" w:fill="FFFFFF"/>
        </w:rPr>
        <w:t>&amp; El 983</w:t>
      </w:r>
    </w:p>
    <w:p w14:paraId="2F9F50B1" w14:textId="77777777" w:rsidR="007167EC" w:rsidRPr="005B20FB" w:rsidRDefault="005A6A0C" w:rsidP="00B645B4">
      <w:pPr>
        <w:pStyle w:val="ListParagraph"/>
        <w:numPr>
          <w:ilvl w:val="0"/>
          <w:numId w:val="8"/>
        </w:numPr>
        <w:spacing w:line="276" w:lineRule="auto"/>
        <w:jc w:val="both"/>
        <w:rPr>
          <w:rFonts w:cs="Times New Roman"/>
          <w:szCs w:val="24"/>
        </w:rPr>
      </w:pPr>
      <w:hyperlink r:id="rId16" w:tooltip="Tate v Williamson" w:history="1">
        <w:r w:rsidRPr="005B20FB">
          <w:rPr>
            <w:rFonts w:cs="Times New Roman"/>
            <w:szCs w:val="24"/>
          </w:rPr>
          <w:t>Tate v. Williamson</w:t>
        </w:r>
      </w:hyperlink>
      <w:r w:rsidRPr="005B20FB">
        <w:rPr>
          <w:rFonts w:cs="Times New Roman"/>
          <w:szCs w:val="24"/>
        </w:rPr>
        <w:t xml:space="preserve"> </w:t>
      </w:r>
      <w:r w:rsidRPr="005B20FB">
        <w:rPr>
          <w:rFonts w:cs="Times New Roman"/>
          <w:szCs w:val="24"/>
          <w:shd w:val="clear" w:color="auto" w:fill="FFFFFF"/>
        </w:rPr>
        <w:t>(1886) LR 2 Ch App 55</w:t>
      </w:r>
    </w:p>
    <w:p w14:paraId="0DE76F78"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rPr>
        <w:t>The Siboen and the Sibotre [1976] I Lloyd's Rep. 293</w:t>
      </w:r>
    </w:p>
    <w:p w14:paraId="02AC136B" w14:textId="77777777" w:rsidR="007167EC" w:rsidRPr="005B20FB" w:rsidRDefault="005A6A0C" w:rsidP="00B645B4">
      <w:pPr>
        <w:pStyle w:val="ListParagraph"/>
        <w:numPr>
          <w:ilvl w:val="0"/>
          <w:numId w:val="8"/>
        </w:numPr>
        <w:spacing w:line="276" w:lineRule="auto"/>
        <w:jc w:val="both"/>
        <w:rPr>
          <w:rFonts w:cs="Times New Roman"/>
          <w:szCs w:val="24"/>
        </w:rPr>
      </w:pPr>
      <w:r w:rsidRPr="005B20FB">
        <w:rPr>
          <w:rFonts w:cs="Times New Roman"/>
          <w:szCs w:val="24"/>
        </w:rPr>
        <w:t xml:space="preserve">Universe Tankships Inc of Monrovia v. ITF </w:t>
      </w:r>
      <w:r w:rsidRPr="005B20FB">
        <w:rPr>
          <w:rFonts w:cs="Times New Roman"/>
          <w:szCs w:val="24"/>
          <w:shd w:val="clear" w:color="auto" w:fill="FFFFFF"/>
        </w:rPr>
        <w:t>[1983] 1 A.C. 366</w:t>
      </w:r>
    </w:p>
    <w:sectPr w:rsidR="007167EC" w:rsidRPr="005B20FB" w:rsidSect="00C20D80">
      <w:footerReference w:type="default" r:id="rId17"/>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89020" w14:textId="77777777" w:rsidR="005A6A0C" w:rsidRDefault="005A6A0C">
      <w:pPr>
        <w:spacing w:after="0" w:line="240" w:lineRule="auto"/>
      </w:pPr>
      <w:r>
        <w:separator/>
      </w:r>
    </w:p>
  </w:endnote>
  <w:endnote w:type="continuationSeparator" w:id="0">
    <w:p w14:paraId="3867DEED" w14:textId="77777777" w:rsidR="005A6A0C" w:rsidRDefault="005A6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2753492"/>
      <w:docPartObj>
        <w:docPartGallery w:val="Page Numbers (Bottom of Page)"/>
        <w:docPartUnique/>
      </w:docPartObj>
    </w:sdtPr>
    <w:sdtEndPr>
      <w:rPr>
        <w:color w:val="7F7F7F" w:themeColor="background1" w:themeShade="7F"/>
        <w:spacing w:val="60"/>
      </w:rPr>
    </w:sdtEndPr>
    <w:sdtContent>
      <w:p w14:paraId="31F92060" w14:textId="0823AAAC" w:rsidR="00535E12" w:rsidRDefault="005A6A0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B1495DF" w14:textId="77777777" w:rsidR="00535E12" w:rsidRDefault="00535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C29CD" w14:textId="77777777" w:rsidR="005A6A0C" w:rsidRDefault="005A6A0C" w:rsidP="00535E12">
      <w:pPr>
        <w:spacing w:after="0" w:line="240" w:lineRule="auto"/>
      </w:pPr>
      <w:r>
        <w:separator/>
      </w:r>
    </w:p>
  </w:footnote>
  <w:footnote w:type="continuationSeparator" w:id="0">
    <w:p w14:paraId="4423DE2B" w14:textId="77777777" w:rsidR="005A6A0C" w:rsidRDefault="005A6A0C" w:rsidP="00535E12">
      <w:pPr>
        <w:spacing w:after="0" w:line="240" w:lineRule="auto"/>
      </w:pPr>
      <w:r>
        <w:continuationSeparator/>
      </w:r>
    </w:p>
  </w:footnote>
  <w:footnote w:id="1">
    <w:p w14:paraId="557B6979" w14:textId="01901AF9" w:rsidR="00FE0A66" w:rsidRPr="0000048B" w:rsidRDefault="005A6A0C">
      <w:pPr>
        <w:pStyle w:val="FootnoteText"/>
        <w:rPr>
          <w:rFonts w:cs="Times New Roman"/>
        </w:rPr>
      </w:pPr>
      <w:r w:rsidRPr="0000048B">
        <w:rPr>
          <w:rStyle w:val="FootnoteReference"/>
          <w:rFonts w:cs="Times New Roman"/>
        </w:rPr>
        <w:footnoteRef/>
      </w:r>
      <w:r w:rsidRPr="0000048B">
        <w:rPr>
          <w:rFonts w:cs="Times New Roman"/>
        </w:rPr>
        <w:t xml:space="preserve"> </w:t>
      </w:r>
      <w:r w:rsidRPr="0000048B">
        <w:rPr>
          <w:rFonts w:cs="Times New Roman"/>
          <w:shd w:val="clear" w:color="auto" w:fill="FFFFFF"/>
        </w:rPr>
        <w:t>[1976] A.C. 104</w:t>
      </w:r>
    </w:p>
  </w:footnote>
  <w:footnote w:id="2">
    <w:p w14:paraId="67FF241B" w14:textId="1067830C" w:rsidR="008C10A4" w:rsidRPr="0000048B" w:rsidRDefault="005A6A0C">
      <w:pPr>
        <w:pStyle w:val="FootnoteText"/>
        <w:rPr>
          <w:rFonts w:cs="Times New Roman"/>
        </w:rPr>
      </w:pPr>
      <w:r w:rsidRPr="0000048B">
        <w:rPr>
          <w:rStyle w:val="FootnoteReference"/>
          <w:rFonts w:cs="Times New Roman"/>
        </w:rPr>
        <w:footnoteRef/>
      </w:r>
      <w:r w:rsidRPr="0000048B">
        <w:rPr>
          <w:rFonts w:cs="Times New Roman"/>
        </w:rPr>
        <w:t xml:space="preserve"> </w:t>
      </w:r>
      <w:r w:rsidRPr="0000048B">
        <w:rPr>
          <w:rFonts w:cs="Times New Roman"/>
          <w:shd w:val="clear" w:color="auto" w:fill="FFFFFF"/>
        </w:rPr>
        <w:t>[1983] 1 A.C. 366</w:t>
      </w:r>
    </w:p>
  </w:footnote>
  <w:footnote w:id="3">
    <w:p w14:paraId="5F2F8A19" w14:textId="7692EB99" w:rsidR="001D760E" w:rsidRPr="0000048B" w:rsidRDefault="005A6A0C">
      <w:pPr>
        <w:pStyle w:val="FootnoteText"/>
        <w:rPr>
          <w:rFonts w:cs="Times New Roman"/>
          <w:b/>
          <w:bCs/>
        </w:rPr>
      </w:pPr>
      <w:r w:rsidRPr="0000048B">
        <w:rPr>
          <w:rStyle w:val="FootnoteReference"/>
          <w:rFonts w:cs="Times New Roman"/>
        </w:rPr>
        <w:footnoteRef/>
      </w:r>
      <w:r w:rsidRPr="0000048B">
        <w:rPr>
          <w:rFonts w:cs="Times New Roman"/>
        </w:rPr>
        <w:t xml:space="preserve"> </w:t>
      </w:r>
      <w:r w:rsidRPr="0000048B">
        <w:rPr>
          <w:rStyle w:val="Strong"/>
          <w:rFonts w:cs="Times New Roman"/>
          <w:b w:val="0"/>
          <w:bCs w:val="0"/>
          <w:shd w:val="clear" w:color="auto" w:fill="FFFFFF"/>
        </w:rPr>
        <w:t>[1840] 11 Ad &amp; El 983</w:t>
      </w:r>
    </w:p>
  </w:footnote>
  <w:footnote w:id="4">
    <w:p w14:paraId="0CF6ECF1" w14:textId="6E1B2CDD" w:rsidR="00EF79AE" w:rsidRPr="0000048B" w:rsidRDefault="005A6A0C">
      <w:pPr>
        <w:pStyle w:val="FootnoteText"/>
        <w:rPr>
          <w:rFonts w:cs="Times New Roman"/>
        </w:rPr>
      </w:pPr>
      <w:r w:rsidRPr="0000048B">
        <w:rPr>
          <w:rStyle w:val="FootnoteReference"/>
          <w:rFonts w:cs="Times New Roman"/>
        </w:rPr>
        <w:footnoteRef/>
      </w:r>
      <w:r w:rsidRPr="0000048B">
        <w:rPr>
          <w:rFonts w:cs="Times New Roman"/>
        </w:rPr>
        <w:t xml:space="preserve"> (1966) 249 F. Supp. 526, at 529 (SD.N.Y.)</w:t>
      </w:r>
    </w:p>
  </w:footnote>
  <w:footnote w:id="5">
    <w:p w14:paraId="22839BE5" w14:textId="5E5F1AB3" w:rsidR="00121B41" w:rsidRPr="0000048B" w:rsidRDefault="005A6A0C">
      <w:pPr>
        <w:pStyle w:val="FootnoteText"/>
        <w:rPr>
          <w:rFonts w:cs="Times New Roman"/>
        </w:rPr>
      </w:pPr>
      <w:r w:rsidRPr="0000048B">
        <w:rPr>
          <w:rStyle w:val="FootnoteReference"/>
          <w:rFonts w:cs="Times New Roman"/>
        </w:rPr>
        <w:footnoteRef/>
      </w:r>
      <w:r w:rsidRPr="0000048B">
        <w:rPr>
          <w:rFonts w:cs="Times New Roman"/>
        </w:rPr>
        <w:t xml:space="preserve"> [1976] I Lloyd's Rep. 293</w:t>
      </w:r>
    </w:p>
  </w:footnote>
  <w:footnote w:id="6">
    <w:p w14:paraId="1593CDE9" w14:textId="25B70E31" w:rsidR="00CF2D26" w:rsidRPr="0000048B" w:rsidRDefault="005A6A0C">
      <w:pPr>
        <w:pStyle w:val="FootnoteText"/>
        <w:rPr>
          <w:rFonts w:cs="Times New Roman"/>
          <w:lang w:val="en-US"/>
        </w:rPr>
      </w:pPr>
      <w:r w:rsidRPr="0000048B">
        <w:rPr>
          <w:rStyle w:val="FootnoteReference"/>
          <w:rFonts w:cs="Times New Roman"/>
        </w:rPr>
        <w:footnoteRef/>
      </w:r>
      <w:r w:rsidRPr="0000048B">
        <w:rPr>
          <w:rFonts w:cs="Times New Roman"/>
        </w:rPr>
        <w:t xml:space="preserve"> </w:t>
      </w:r>
      <w:r w:rsidRPr="0000048B">
        <w:rPr>
          <w:rFonts w:cs="Times New Roman"/>
          <w:lang w:val="en-US"/>
        </w:rPr>
        <w:t xml:space="preserve">[1979] UKPC 17 </w:t>
      </w:r>
    </w:p>
  </w:footnote>
  <w:footnote w:id="7">
    <w:p w14:paraId="5F8678A1" w14:textId="768C893C" w:rsidR="00257F79" w:rsidRPr="0000048B" w:rsidRDefault="005A6A0C">
      <w:pPr>
        <w:pStyle w:val="FootnoteText"/>
        <w:rPr>
          <w:rFonts w:cs="Times New Roman"/>
          <w:lang w:val="en-US"/>
        </w:rPr>
      </w:pPr>
      <w:r w:rsidRPr="0000048B">
        <w:rPr>
          <w:rStyle w:val="FootnoteReference"/>
          <w:rFonts w:cs="Times New Roman"/>
        </w:rPr>
        <w:footnoteRef/>
      </w:r>
      <w:r w:rsidRPr="0000048B">
        <w:rPr>
          <w:rFonts w:cs="Times New Roman"/>
        </w:rPr>
        <w:t xml:space="preserve"> </w:t>
      </w:r>
      <w:r w:rsidRPr="0000048B">
        <w:rPr>
          <w:rFonts w:cs="Times New Roman"/>
          <w:shd w:val="clear" w:color="auto" w:fill="FFFFFF"/>
        </w:rPr>
        <w:t>[1983] AC 336</w:t>
      </w:r>
    </w:p>
  </w:footnote>
  <w:footnote w:id="8">
    <w:p w14:paraId="404B3B30" w14:textId="20F6FABD" w:rsidR="00875CC6" w:rsidRPr="0000048B" w:rsidRDefault="005A6A0C">
      <w:pPr>
        <w:pStyle w:val="FootnoteText"/>
        <w:rPr>
          <w:rFonts w:cs="Times New Roman"/>
          <w:lang w:val="en-US"/>
        </w:rPr>
      </w:pPr>
      <w:r w:rsidRPr="0000048B">
        <w:rPr>
          <w:rStyle w:val="FootnoteReference"/>
          <w:rFonts w:cs="Times New Roman"/>
        </w:rPr>
        <w:footnoteRef/>
      </w:r>
      <w:r w:rsidRPr="0000048B">
        <w:rPr>
          <w:rFonts w:cs="Times New Roman"/>
        </w:rPr>
        <w:t xml:space="preserve"> [1992] 4 All ER 955</w:t>
      </w:r>
    </w:p>
  </w:footnote>
  <w:footnote w:id="9">
    <w:p w14:paraId="31FE4E7C" w14:textId="75EEF6A8" w:rsidR="00ED49C7" w:rsidRPr="0000048B" w:rsidRDefault="005A6A0C">
      <w:pPr>
        <w:pStyle w:val="FootnoteText"/>
        <w:rPr>
          <w:rFonts w:cs="Times New Roman"/>
        </w:rPr>
      </w:pPr>
      <w:r w:rsidRPr="0000048B">
        <w:rPr>
          <w:rStyle w:val="FootnoteReference"/>
          <w:rFonts w:cs="Times New Roman"/>
        </w:rPr>
        <w:footnoteRef/>
      </w:r>
      <w:r w:rsidRPr="0000048B">
        <w:rPr>
          <w:rFonts w:cs="Times New Roman"/>
        </w:rPr>
        <w:t xml:space="preserve"> </w:t>
      </w:r>
      <w:r w:rsidRPr="0000048B">
        <w:rPr>
          <w:rFonts w:cs="Times New Roman"/>
        </w:rPr>
        <w:t>[1911] AC 120</w:t>
      </w:r>
    </w:p>
  </w:footnote>
  <w:footnote w:id="10">
    <w:p w14:paraId="06F37D8E" w14:textId="64B7E5A3" w:rsidR="00595185" w:rsidRPr="0000048B" w:rsidRDefault="005A6A0C">
      <w:pPr>
        <w:pStyle w:val="FootnoteText"/>
        <w:rPr>
          <w:rFonts w:cs="Times New Roman"/>
        </w:rPr>
      </w:pPr>
      <w:r w:rsidRPr="0000048B">
        <w:rPr>
          <w:rStyle w:val="FootnoteReference"/>
          <w:rFonts w:cs="Times New Roman"/>
        </w:rPr>
        <w:footnoteRef/>
      </w:r>
      <w:r w:rsidRPr="0000048B">
        <w:rPr>
          <w:rFonts w:cs="Times New Roman"/>
        </w:rPr>
        <w:t xml:space="preserve"> </w:t>
      </w:r>
      <w:r w:rsidRPr="0000048B">
        <w:rPr>
          <w:rFonts w:cs="Times New Roman"/>
          <w:shd w:val="clear" w:color="auto" w:fill="FFFFFF"/>
        </w:rPr>
        <w:t>(1886) LR 2 Ch App 55</w:t>
      </w:r>
    </w:p>
  </w:footnote>
  <w:footnote w:id="11">
    <w:p w14:paraId="0EA122C9" w14:textId="114661A6" w:rsidR="007C2FE1" w:rsidRPr="0000048B" w:rsidRDefault="005A6A0C">
      <w:pPr>
        <w:pStyle w:val="FootnoteText"/>
        <w:rPr>
          <w:rFonts w:cs="Times New Roman"/>
        </w:rPr>
      </w:pPr>
      <w:r w:rsidRPr="0000048B">
        <w:rPr>
          <w:rStyle w:val="FootnoteReference"/>
          <w:rFonts w:cs="Times New Roman"/>
        </w:rPr>
        <w:footnoteRef/>
      </w:r>
      <w:r w:rsidRPr="0000048B">
        <w:rPr>
          <w:rFonts w:cs="Times New Roman"/>
        </w:rPr>
        <w:t xml:space="preserve"> </w:t>
      </w:r>
      <w:hyperlink r:id="rId1" w:history="1">
        <w:r w:rsidRPr="0000048B">
          <w:rPr>
            <w:rStyle w:val="Hyperlink"/>
            <w:rFonts w:cs="Times New Roman"/>
            <w:color w:val="auto"/>
            <w:u w:val="none"/>
            <w:shd w:val="clear" w:color="auto" w:fill="FFFFFF"/>
          </w:rPr>
          <w:t>[2001] UKHL 44</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6387B"/>
    <w:multiLevelType w:val="hybridMultilevel"/>
    <w:tmpl w:val="FC26C1FC"/>
    <w:lvl w:ilvl="0" w:tplc="A70E54DA">
      <w:start w:val="1"/>
      <w:numFmt w:val="bullet"/>
      <w:lvlText w:val=""/>
      <w:lvlJc w:val="left"/>
      <w:pPr>
        <w:ind w:left="720" w:hanging="360"/>
      </w:pPr>
      <w:rPr>
        <w:rFonts w:ascii="Symbol" w:hAnsi="Symbol" w:hint="default"/>
      </w:rPr>
    </w:lvl>
    <w:lvl w:ilvl="1" w:tplc="AFF28A48" w:tentative="1">
      <w:start w:val="1"/>
      <w:numFmt w:val="bullet"/>
      <w:lvlText w:val="o"/>
      <w:lvlJc w:val="left"/>
      <w:pPr>
        <w:ind w:left="1440" w:hanging="360"/>
      </w:pPr>
      <w:rPr>
        <w:rFonts w:ascii="Courier New" w:hAnsi="Courier New" w:cs="Courier New" w:hint="default"/>
      </w:rPr>
    </w:lvl>
    <w:lvl w:ilvl="2" w:tplc="680ACEFC" w:tentative="1">
      <w:start w:val="1"/>
      <w:numFmt w:val="bullet"/>
      <w:lvlText w:val=""/>
      <w:lvlJc w:val="left"/>
      <w:pPr>
        <w:ind w:left="2160" w:hanging="360"/>
      </w:pPr>
      <w:rPr>
        <w:rFonts w:ascii="Wingdings" w:hAnsi="Wingdings" w:hint="default"/>
      </w:rPr>
    </w:lvl>
    <w:lvl w:ilvl="3" w:tplc="182253A0" w:tentative="1">
      <w:start w:val="1"/>
      <w:numFmt w:val="bullet"/>
      <w:lvlText w:val=""/>
      <w:lvlJc w:val="left"/>
      <w:pPr>
        <w:ind w:left="2880" w:hanging="360"/>
      </w:pPr>
      <w:rPr>
        <w:rFonts w:ascii="Symbol" w:hAnsi="Symbol" w:hint="default"/>
      </w:rPr>
    </w:lvl>
    <w:lvl w:ilvl="4" w:tplc="84A8BD7A" w:tentative="1">
      <w:start w:val="1"/>
      <w:numFmt w:val="bullet"/>
      <w:lvlText w:val="o"/>
      <w:lvlJc w:val="left"/>
      <w:pPr>
        <w:ind w:left="3600" w:hanging="360"/>
      </w:pPr>
      <w:rPr>
        <w:rFonts w:ascii="Courier New" w:hAnsi="Courier New" w:cs="Courier New" w:hint="default"/>
      </w:rPr>
    </w:lvl>
    <w:lvl w:ilvl="5" w:tplc="6C4AF460" w:tentative="1">
      <w:start w:val="1"/>
      <w:numFmt w:val="bullet"/>
      <w:lvlText w:val=""/>
      <w:lvlJc w:val="left"/>
      <w:pPr>
        <w:ind w:left="4320" w:hanging="360"/>
      </w:pPr>
      <w:rPr>
        <w:rFonts w:ascii="Wingdings" w:hAnsi="Wingdings" w:hint="default"/>
      </w:rPr>
    </w:lvl>
    <w:lvl w:ilvl="6" w:tplc="B3C05232" w:tentative="1">
      <w:start w:val="1"/>
      <w:numFmt w:val="bullet"/>
      <w:lvlText w:val=""/>
      <w:lvlJc w:val="left"/>
      <w:pPr>
        <w:ind w:left="5040" w:hanging="360"/>
      </w:pPr>
      <w:rPr>
        <w:rFonts w:ascii="Symbol" w:hAnsi="Symbol" w:hint="default"/>
      </w:rPr>
    </w:lvl>
    <w:lvl w:ilvl="7" w:tplc="DFCC3B3E" w:tentative="1">
      <w:start w:val="1"/>
      <w:numFmt w:val="bullet"/>
      <w:lvlText w:val="o"/>
      <w:lvlJc w:val="left"/>
      <w:pPr>
        <w:ind w:left="5760" w:hanging="360"/>
      </w:pPr>
      <w:rPr>
        <w:rFonts w:ascii="Courier New" w:hAnsi="Courier New" w:cs="Courier New" w:hint="default"/>
      </w:rPr>
    </w:lvl>
    <w:lvl w:ilvl="8" w:tplc="20E2EC5E" w:tentative="1">
      <w:start w:val="1"/>
      <w:numFmt w:val="bullet"/>
      <w:lvlText w:val=""/>
      <w:lvlJc w:val="left"/>
      <w:pPr>
        <w:ind w:left="6480" w:hanging="360"/>
      </w:pPr>
      <w:rPr>
        <w:rFonts w:ascii="Wingdings" w:hAnsi="Wingdings" w:hint="default"/>
      </w:rPr>
    </w:lvl>
  </w:abstractNum>
  <w:abstractNum w:abstractNumId="1" w15:restartNumberingAfterBreak="0">
    <w:nsid w:val="27F4778E"/>
    <w:multiLevelType w:val="hybridMultilevel"/>
    <w:tmpl w:val="BE30C366"/>
    <w:lvl w:ilvl="0" w:tplc="305A386C">
      <w:start w:val="1"/>
      <w:numFmt w:val="bullet"/>
      <w:lvlText w:val=""/>
      <w:lvlJc w:val="left"/>
      <w:pPr>
        <w:ind w:left="720" w:hanging="360"/>
      </w:pPr>
      <w:rPr>
        <w:rFonts w:ascii="Symbol" w:hAnsi="Symbol" w:hint="default"/>
      </w:rPr>
    </w:lvl>
    <w:lvl w:ilvl="1" w:tplc="F7BC7CD6" w:tentative="1">
      <w:start w:val="1"/>
      <w:numFmt w:val="bullet"/>
      <w:lvlText w:val="o"/>
      <w:lvlJc w:val="left"/>
      <w:pPr>
        <w:ind w:left="1440" w:hanging="360"/>
      </w:pPr>
      <w:rPr>
        <w:rFonts w:ascii="Courier New" w:hAnsi="Courier New" w:cs="Courier New" w:hint="default"/>
      </w:rPr>
    </w:lvl>
    <w:lvl w:ilvl="2" w:tplc="8F5E79F6" w:tentative="1">
      <w:start w:val="1"/>
      <w:numFmt w:val="bullet"/>
      <w:lvlText w:val=""/>
      <w:lvlJc w:val="left"/>
      <w:pPr>
        <w:ind w:left="2160" w:hanging="360"/>
      </w:pPr>
      <w:rPr>
        <w:rFonts w:ascii="Wingdings" w:hAnsi="Wingdings" w:hint="default"/>
      </w:rPr>
    </w:lvl>
    <w:lvl w:ilvl="3" w:tplc="3CECA8F2" w:tentative="1">
      <w:start w:val="1"/>
      <w:numFmt w:val="bullet"/>
      <w:lvlText w:val=""/>
      <w:lvlJc w:val="left"/>
      <w:pPr>
        <w:ind w:left="2880" w:hanging="360"/>
      </w:pPr>
      <w:rPr>
        <w:rFonts w:ascii="Symbol" w:hAnsi="Symbol" w:hint="default"/>
      </w:rPr>
    </w:lvl>
    <w:lvl w:ilvl="4" w:tplc="D9226990" w:tentative="1">
      <w:start w:val="1"/>
      <w:numFmt w:val="bullet"/>
      <w:lvlText w:val="o"/>
      <w:lvlJc w:val="left"/>
      <w:pPr>
        <w:ind w:left="3600" w:hanging="360"/>
      </w:pPr>
      <w:rPr>
        <w:rFonts w:ascii="Courier New" w:hAnsi="Courier New" w:cs="Courier New" w:hint="default"/>
      </w:rPr>
    </w:lvl>
    <w:lvl w:ilvl="5" w:tplc="2608449A" w:tentative="1">
      <w:start w:val="1"/>
      <w:numFmt w:val="bullet"/>
      <w:lvlText w:val=""/>
      <w:lvlJc w:val="left"/>
      <w:pPr>
        <w:ind w:left="4320" w:hanging="360"/>
      </w:pPr>
      <w:rPr>
        <w:rFonts w:ascii="Wingdings" w:hAnsi="Wingdings" w:hint="default"/>
      </w:rPr>
    </w:lvl>
    <w:lvl w:ilvl="6" w:tplc="4114F892" w:tentative="1">
      <w:start w:val="1"/>
      <w:numFmt w:val="bullet"/>
      <w:lvlText w:val=""/>
      <w:lvlJc w:val="left"/>
      <w:pPr>
        <w:ind w:left="5040" w:hanging="360"/>
      </w:pPr>
      <w:rPr>
        <w:rFonts w:ascii="Symbol" w:hAnsi="Symbol" w:hint="default"/>
      </w:rPr>
    </w:lvl>
    <w:lvl w:ilvl="7" w:tplc="9F6A42CC" w:tentative="1">
      <w:start w:val="1"/>
      <w:numFmt w:val="bullet"/>
      <w:lvlText w:val="o"/>
      <w:lvlJc w:val="left"/>
      <w:pPr>
        <w:ind w:left="5760" w:hanging="360"/>
      </w:pPr>
      <w:rPr>
        <w:rFonts w:ascii="Courier New" w:hAnsi="Courier New" w:cs="Courier New" w:hint="default"/>
      </w:rPr>
    </w:lvl>
    <w:lvl w:ilvl="8" w:tplc="E99244CA" w:tentative="1">
      <w:start w:val="1"/>
      <w:numFmt w:val="bullet"/>
      <w:lvlText w:val=""/>
      <w:lvlJc w:val="left"/>
      <w:pPr>
        <w:ind w:left="6480" w:hanging="360"/>
      </w:pPr>
      <w:rPr>
        <w:rFonts w:ascii="Wingdings" w:hAnsi="Wingdings" w:hint="default"/>
      </w:rPr>
    </w:lvl>
  </w:abstractNum>
  <w:abstractNum w:abstractNumId="2" w15:restartNumberingAfterBreak="0">
    <w:nsid w:val="2DD57417"/>
    <w:multiLevelType w:val="hybridMultilevel"/>
    <w:tmpl w:val="DD7ED8D6"/>
    <w:lvl w:ilvl="0" w:tplc="DA36D524">
      <w:start w:val="1"/>
      <w:numFmt w:val="bullet"/>
      <w:lvlText w:val=""/>
      <w:lvlJc w:val="left"/>
      <w:pPr>
        <w:ind w:left="720" w:hanging="360"/>
      </w:pPr>
      <w:rPr>
        <w:rFonts w:ascii="Symbol" w:hAnsi="Symbol" w:hint="default"/>
      </w:rPr>
    </w:lvl>
    <w:lvl w:ilvl="1" w:tplc="793EE06E" w:tentative="1">
      <w:start w:val="1"/>
      <w:numFmt w:val="bullet"/>
      <w:lvlText w:val="o"/>
      <w:lvlJc w:val="left"/>
      <w:pPr>
        <w:ind w:left="1440" w:hanging="360"/>
      </w:pPr>
      <w:rPr>
        <w:rFonts w:ascii="Courier New" w:hAnsi="Courier New" w:cs="Courier New" w:hint="default"/>
      </w:rPr>
    </w:lvl>
    <w:lvl w:ilvl="2" w:tplc="5D062FAA" w:tentative="1">
      <w:start w:val="1"/>
      <w:numFmt w:val="bullet"/>
      <w:lvlText w:val=""/>
      <w:lvlJc w:val="left"/>
      <w:pPr>
        <w:ind w:left="2160" w:hanging="360"/>
      </w:pPr>
      <w:rPr>
        <w:rFonts w:ascii="Wingdings" w:hAnsi="Wingdings" w:hint="default"/>
      </w:rPr>
    </w:lvl>
    <w:lvl w:ilvl="3" w:tplc="D72A1F22" w:tentative="1">
      <w:start w:val="1"/>
      <w:numFmt w:val="bullet"/>
      <w:lvlText w:val=""/>
      <w:lvlJc w:val="left"/>
      <w:pPr>
        <w:ind w:left="2880" w:hanging="360"/>
      </w:pPr>
      <w:rPr>
        <w:rFonts w:ascii="Symbol" w:hAnsi="Symbol" w:hint="default"/>
      </w:rPr>
    </w:lvl>
    <w:lvl w:ilvl="4" w:tplc="9F948F2E" w:tentative="1">
      <w:start w:val="1"/>
      <w:numFmt w:val="bullet"/>
      <w:lvlText w:val="o"/>
      <w:lvlJc w:val="left"/>
      <w:pPr>
        <w:ind w:left="3600" w:hanging="360"/>
      </w:pPr>
      <w:rPr>
        <w:rFonts w:ascii="Courier New" w:hAnsi="Courier New" w:cs="Courier New" w:hint="default"/>
      </w:rPr>
    </w:lvl>
    <w:lvl w:ilvl="5" w:tplc="40F68152" w:tentative="1">
      <w:start w:val="1"/>
      <w:numFmt w:val="bullet"/>
      <w:lvlText w:val=""/>
      <w:lvlJc w:val="left"/>
      <w:pPr>
        <w:ind w:left="4320" w:hanging="360"/>
      </w:pPr>
      <w:rPr>
        <w:rFonts w:ascii="Wingdings" w:hAnsi="Wingdings" w:hint="default"/>
      </w:rPr>
    </w:lvl>
    <w:lvl w:ilvl="6" w:tplc="BC0466D8" w:tentative="1">
      <w:start w:val="1"/>
      <w:numFmt w:val="bullet"/>
      <w:lvlText w:val=""/>
      <w:lvlJc w:val="left"/>
      <w:pPr>
        <w:ind w:left="5040" w:hanging="360"/>
      </w:pPr>
      <w:rPr>
        <w:rFonts w:ascii="Symbol" w:hAnsi="Symbol" w:hint="default"/>
      </w:rPr>
    </w:lvl>
    <w:lvl w:ilvl="7" w:tplc="D848CD9C" w:tentative="1">
      <w:start w:val="1"/>
      <w:numFmt w:val="bullet"/>
      <w:lvlText w:val="o"/>
      <w:lvlJc w:val="left"/>
      <w:pPr>
        <w:ind w:left="5760" w:hanging="360"/>
      </w:pPr>
      <w:rPr>
        <w:rFonts w:ascii="Courier New" w:hAnsi="Courier New" w:cs="Courier New" w:hint="default"/>
      </w:rPr>
    </w:lvl>
    <w:lvl w:ilvl="8" w:tplc="941A2D32" w:tentative="1">
      <w:start w:val="1"/>
      <w:numFmt w:val="bullet"/>
      <w:lvlText w:val=""/>
      <w:lvlJc w:val="left"/>
      <w:pPr>
        <w:ind w:left="6480" w:hanging="360"/>
      </w:pPr>
      <w:rPr>
        <w:rFonts w:ascii="Wingdings" w:hAnsi="Wingdings" w:hint="default"/>
      </w:rPr>
    </w:lvl>
  </w:abstractNum>
  <w:abstractNum w:abstractNumId="3" w15:restartNumberingAfterBreak="0">
    <w:nsid w:val="34CC3EBD"/>
    <w:multiLevelType w:val="hybridMultilevel"/>
    <w:tmpl w:val="327C391C"/>
    <w:lvl w:ilvl="0" w:tplc="988CC5F8">
      <w:start w:val="1"/>
      <w:numFmt w:val="bullet"/>
      <w:lvlText w:val=""/>
      <w:lvlJc w:val="left"/>
      <w:pPr>
        <w:ind w:left="720" w:hanging="360"/>
      </w:pPr>
      <w:rPr>
        <w:rFonts w:ascii="Symbol" w:hAnsi="Symbol" w:hint="default"/>
      </w:rPr>
    </w:lvl>
    <w:lvl w:ilvl="1" w:tplc="5BE0F6B0" w:tentative="1">
      <w:start w:val="1"/>
      <w:numFmt w:val="bullet"/>
      <w:lvlText w:val="o"/>
      <w:lvlJc w:val="left"/>
      <w:pPr>
        <w:ind w:left="1440" w:hanging="360"/>
      </w:pPr>
      <w:rPr>
        <w:rFonts w:ascii="Courier New" w:hAnsi="Courier New" w:cs="Courier New" w:hint="default"/>
      </w:rPr>
    </w:lvl>
    <w:lvl w:ilvl="2" w:tplc="7450BCB2" w:tentative="1">
      <w:start w:val="1"/>
      <w:numFmt w:val="bullet"/>
      <w:lvlText w:val=""/>
      <w:lvlJc w:val="left"/>
      <w:pPr>
        <w:ind w:left="2160" w:hanging="360"/>
      </w:pPr>
      <w:rPr>
        <w:rFonts w:ascii="Wingdings" w:hAnsi="Wingdings" w:hint="default"/>
      </w:rPr>
    </w:lvl>
    <w:lvl w:ilvl="3" w:tplc="8BBE79C6" w:tentative="1">
      <w:start w:val="1"/>
      <w:numFmt w:val="bullet"/>
      <w:lvlText w:val=""/>
      <w:lvlJc w:val="left"/>
      <w:pPr>
        <w:ind w:left="2880" w:hanging="360"/>
      </w:pPr>
      <w:rPr>
        <w:rFonts w:ascii="Symbol" w:hAnsi="Symbol" w:hint="default"/>
      </w:rPr>
    </w:lvl>
    <w:lvl w:ilvl="4" w:tplc="21201C24" w:tentative="1">
      <w:start w:val="1"/>
      <w:numFmt w:val="bullet"/>
      <w:lvlText w:val="o"/>
      <w:lvlJc w:val="left"/>
      <w:pPr>
        <w:ind w:left="3600" w:hanging="360"/>
      </w:pPr>
      <w:rPr>
        <w:rFonts w:ascii="Courier New" w:hAnsi="Courier New" w:cs="Courier New" w:hint="default"/>
      </w:rPr>
    </w:lvl>
    <w:lvl w:ilvl="5" w:tplc="EC808C12" w:tentative="1">
      <w:start w:val="1"/>
      <w:numFmt w:val="bullet"/>
      <w:lvlText w:val=""/>
      <w:lvlJc w:val="left"/>
      <w:pPr>
        <w:ind w:left="4320" w:hanging="360"/>
      </w:pPr>
      <w:rPr>
        <w:rFonts w:ascii="Wingdings" w:hAnsi="Wingdings" w:hint="default"/>
      </w:rPr>
    </w:lvl>
    <w:lvl w:ilvl="6" w:tplc="FD74E478" w:tentative="1">
      <w:start w:val="1"/>
      <w:numFmt w:val="bullet"/>
      <w:lvlText w:val=""/>
      <w:lvlJc w:val="left"/>
      <w:pPr>
        <w:ind w:left="5040" w:hanging="360"/>
      </w:pPr>
      <w:rPr>
        <w:rFonts w:ascii="Symbol" w:hAnsi="Symbol" w:hint="default"/>
      </w:rPr>
    </w:lvl>
    <w:lvl w:ilvl="7" w:tplc="61321C74" w:tentative="1">
      <w:start w:val="1"/>
      <w:numFmt w:val="bullet"/>
      <w:lvlText w:val="o"/>
      <w:lvlJc w:val="left"/>
      <w:pPr>
        <w:ind w:left="5760" w:hanging="360"/>
      </w:pPr>
      <w:rPr>
        <w:rFonts w:ascii="Courier New" w:hAnsi="Courier New" w:cs="Courier New" w:hint="default"/>
      </w:rPr>
    </w:lvl>
    <w:lvl w:ilvl="8" w:tplc="006C8864" w:tentative="1">
      <w:start w:val="1"/>
      <w:numFmt w:val="bullet"/>
      <w:lvlText w:val=""/>
      <w:lvlJc w:val="left"/>
      <w:pPr>
        <w:ind w:left="6480" w:hanging="360"/>
      </w:pPr>
      <w:rPr>
        <w:rFonts w:ascii="Wingdings" w:hAnsi="Wingdings" w:hint="default"/>
      </w:rPr>
    </w:lvl>
  </w:abstractNum>
  <w:abstractNum w:abstractNumId="4" w15:restartNumberingAfterBreak="0">
    <w:nsid w:val="37F745DC"/>
    <w:multiLevelType w:val="hybridMultilevel"/>
    <w:tmpl w:val="80F01C7E"/>
    <w:lvl w:ilvl="0" w:tplc="B054F4AE">
      <w:start w:val="1"/>
      <w:numFmt w:val="bullet"/>
      <w:lvlText w:val=""/>
      <w:lvlJc w:val="left"/>
      <w:pPr>
        <w:ind w:left="720" w:hanging="360"/>
      </w:pPr>
      <w:rPr>
        <w:rFonts w:ascii="Symbol" w:hAnsi="Symbol" w:hint="default"/>
      </w:rPr>
    </w:lvl>
    <w:lvl w:ilvl="1" w:tplc="73863FE8" w:tentative="1">
      <w:start w:val="1"/>
      <w:numFmt w:val="bullet"/>
      <w:lvlText w:val="o"/>
      <w:lvlJc w:val="left"/>
      <w:pPr>
        <w:ind w:left="1440" w:hanging="360"/>
      </w:pPr>
      <w:rPr>
        <w:rFonts w:ascii="Courier New" w:hAnsi="Courier New" w:cs="Courier New" w:hint="default"/>
      </w:rPr>
    </w:lvl>
    <w:lvl w:ilvl="2" w:tplc="2FFA0AFC" w:tentative="1">
      <w:start w:val="1"/>
      <w:numFmt w:val="bullet"/>
      <w:lvlText w:val=""/>
      <w:lvlJc w:val="left"/>
      <w:pPr>
        <w:ind w:left="2160" w:hanging="360"/>
      </w:pPr>
      <w:rPr>
        <w:rFonts w:ascii="Wingdings" w:hAnsi="Wingdings" w:hint="default"/>
      </w:rPr>
    </w:lvl>
    <w:lvl w:ilvl="3" w:tplc="DB12C9F6" w:tentative="1">
      <w:start w:val="1"/>
      <w:numFmt w:val="bullet"/>
      <w:lvlText w:val=""/>
      <w:lvlJc w:val="left"/>
      <w:pPr>
        <w:ind w:left="2880" w:hanging="360"/>
      </w:pPr>
      <w:rPr>
        <w:rFonts w:ascii="Symbol" w:hAnsi="Symbol" w:hint="default"/>
      </w:rPr>
    </w:lvl>
    <w:lvl w:ilvl="4" w:tplc="65A4CC56" w:tentative="1">
      <w:start w:val="1"/>
      <w:numFmt w:val="bullet"/>
      <w:lvlText w:val="o"/>
      <w:lvlJc w:val="left"/>
      <w:pPr>
        <w:ind w:left="3600" w:hanging="360"/>
      </w:pPr>
      <w:rPr>
        <w:rFonts w:ascii="Courier New" w:hAnsi="Courier New" w:cs="Courier New" w:hint="default"/>
      </w:rPr>
    </w:lvl>
    <w:lvl w:ilvl="5" w:tplc="79F0760A" w:tentative="1">
      <w:start w:val="1"/>
      <w:numFmt w:val="bullet"/>
      <w:lvlText w:val=""/>
      <w:lvlJc w:val="left"/>
      <w:pPr>
        <w:ind w:left="4320" w:hanging="360"/>
      </w:pPr>
      <w:rPr>
        <w:rFonts w:ascii="Wingdings" w:hAnsi="Wingdings" w:hint="default"/>
      </w:rPr>
    </w:lvl>
    <w:lvl w:ilvl="6" w:tplc="CC7EAA1A" w:tentative="1">
      <w:start w:val="1"/>
      <w:numFmt w:val="bullet"/>
      <w:lvlText w:val=""/>
      <w:lvlJc w:val="left"/>
      <w:pPr>
        <w:ind w:left="5040" w:hanging="360"/>
      </w:pPr>
      <w:rPr>
        <w:rFonts w:ascii="Symbol" w:hAnsi="Symbol" w:hint="default"/>
      </w:rPr>
    </w:lvl>
    <w:lvl w:ilvl="7" w:tplc="581479A4" w:tentative="1">
      <w:start w:val="1"/>
      <w:numFmt w:val="bullet"/>
      <w:lvlText w:val="o"/>
      <w:lvlJc w:val="left"/>
      <w:pPr>
        <w:ind w:left="5760" w:hanging="360"/>
      </w:pPr>
      <w:rPr>
        <w:rFonts w:ascii="Courier New" w:hAnsi="Courier New" w:cs="Courier New" w:hint="default"/>
      </w:rPr>
    </w:lvl>
    <w:lvl w:ilvl="8" w:tplc="15DE260C" w:tentative="1">
      <w:start w:val="1"/>
      <w:numFmt w:val="bullet"/>
      <w:lvlText w:val=""/>
      <w:lvlJc w:val="left"/>
      <w:pPr>
        <w:ind w:left="6480" w:hanging="360"/>
      </w:pPr>
      <w:rPr>
        <w:rFonts w:ascii="Wingdings" w:hAnsi="Wingdings" w:hint="default"/>
      </w:rPr>
    </w:lvl>
  </w:abstractNum>
  <w:abstractNum w:abstractNumId="5" w15:restartNumberingAfterBreak="0">
    <w:nsid w:val="46A57374"/>
    <w:multiLevelType w:val="hybridMultilevel"/>
    <w:tmpl w:val="B748DDFE"/>
    <w:lvl w:ilvl="0" w:tplc="91F60056">
      <w:start w:val="1"/>
      <w:numFmt w:val="decimal"/>
      <w:lvlText w:val="%1."/>
      <w:lvlJc w:val="left"/>
      <w:pPr>
        <w:ind w:left="720" w:hanging="360"/>
      </w:pPr>
      <w:rPr>
        <w:rFonts w:hint="default"/>
      </w:rPr>
    </w:lvl>
    <w:lvl w:ilvl="1" w:tplc="592EA2D4">
      <w:start w:val="1"/>
      <w:numFmt w:val="lowerLetter"/>
      <w:lvlText w:val="%2."/>
      <w:lvlJc w:val="left"/>
      <w:pPr>
        <w:ind w:left="1440" w:hanging="360"/>
      </w:pPr>
    </w:lvl>
    <w:lvl w:ilvl="2" w:tplc="46D83176" w:tentative="1">
      <w:start w:val="1"/>
      <w:numFmt w:val="lowerRoman"/>
      <w:lvlText w:val="%3."/>
      <w:lvlJc w:val="right"/>
      <w:pPr>
        <w:ind w:left="2160" w:hanging="180"/>
      </w:pPr>
    </w:lvl>
    <w:lvl w:ilvl="3" w:tplc="07D499DE" w:tentative="1">
      <w:start w:val="1"/>
      <w:numFmt w:val="decimal"/>
      <w:lvlText w:val="%4."/>
      <w:lvlJc w:val="left"/>
      <w:pPr>
        <w:ind w:left="2880" w:hanging="360"/>
      </w:pPr>
    </w:lvl>
    <w:lvl w:ilvl="4" w:tplc="6484A97E" w:tentative="1">
      <w:start w:val="1"/>
      <w:numFmt w:val="lowerLetter"/>
      <w:lvlText w:val="%5."/>
      <w:lvlJc w:val="left"/>
      <w:pPr>
        <w:ind w:left="3600" w:hanging="360"/>
      </w:pPr>
    </w:lvl>
    <w:lvl w:ilvl="5" w:tplc="C76AB7B8" w:tentative="1">
      <w:start w:val="1"/>
      <w:numFmt w:val="lowerRoman"/>
      <w:lvlText w:val="%6."/>
      <w:lvlJc w:val="right"/>
      <w:pPr>
        <w:ind w:left="4320" w:hanging="180"/>
      </w:pPr>
    </w:lvl>
    <w:lvl w:ilvl="6" w:tplc="9A3434BA" w:tentative="1">
      <w:start w:val="1"/>
      <w:numFmt w:val="decimal"/>
      <w:lvlText w:val="%7."/>
      <w:lvlJc w:val="left"/>
      <w:pPr>
        <w:ind w:left="5040" w:hanging="360"/>
      </w:pPr>
    </w:lvl>
    <w:lvl w:ilvl="7" w:tplc="104A4970" w:tentative="1">
      <w:start w:val="1"/>
      <w:numFmt w:val="lowerLetter"/>
      <w:lvlText w:val="%8."/>
      <w:lvlJc w:val="left"/>
      <w:pPr>
        <w:ind w:left="5760" w:hanging="360"/>
      </w:pPr>
    </w:lvl>
    <w:lvl w:ilvl="8" w:tplc="A8B6006A" w:tentative="1">
      <w:start w:val="1"/>
      <w:numFmt w:val="lowerRoman"/>
      <w:lvlText w:val="%9."/>
      <w:lvlJc w:val="right"/>
      <w:pPr>
        <w:ind w:left="6480" w:hanging="180"/>
      </w:pPr>
    </w:lvl>
  </w:abstractNum>
  <w:abstractNum w:abstractNumId="6" w15:restartNumberingAfterBreak="0">
    <w:nsid w:val="484721F5"/>
    <w:multiLevelType w:val="hybridMultilevel"/>
    <w:tmpl w:val="EC1A6718"/>
    <w:lvl w:ilvl="0" w:tplc="BA26F0EA">
      <w:start w:val="1"/>
      <w:numFmt w:val="bullet"/>
      <w:lvlText w:val=""/>
      <w:lvlJc w:val="left"/>
      <w:pPr>
        <w:ind w:left="720" w:hanging="360"/>
      </w:pPr>
      <w:rPr>
        <w:rFonts w:ascii="Symbol" w:hAnsi="Symbol" w:hint="default"/>
      </w:rPr>
    </w:lvl>
    <w:lvl w:ilvl="1" w:tplc="DDC4287A" w:tentative="1">
      <w:start w:val="1"/>
      <w:numFmt w:val="bullet"/>
      <w:lvlText w:val="o"/>
      <w:lvlJc w:val="left"/>
      <w:pPr>
        <w:ind w:left="1440" w:hanging="360"/>
      </w:pPr>
      <w:rPr>
        <w:rFonts w:ascii="Courier New" w:hAnsi="Courier New" w:cs="Courier New" w:hint="default"/>
      </w:rPr>
    </w:lvl>
    <w:lvl w:ilvl="2" w:tplc="3F400F1C" w:tentative="1">
      <w:start w:val="1"/>
      <w:numFmt w:val="bullet"/>
      <w:lvlText w:val=""/>
      <w:lvlJc w:val="left"/>
      <w:pPr>
        <w:ind w:left="2160" w:hanging="360"/>
      </w:pPr>
      <w:rPr>
        <w:rFonts w:ascii="Wingdings" w:hAnsi="Wingdings" w:hint="default"/>
      </w:rPr>
    </w:lvl>
    <w:lvl w:ilvl="3" w:tplc="08A29488" w:tentative="1">
      <w:start w:val="1"/>
      <w:numFmt w:val="bullet"/>
      <w:lvlText w:val=""/>
      <w:lvlJc w:val="left"/>
      <w:pPr>
        <w:ind w:left="2880" w:hanging="360"/>
      </w:pPr>
      <w:rPr>
        <w:rFonts w:ascii="Symbol" w:hAnsi="Symbol" w:hint="default"/>
      </w:rPr>
    </w:lvl>
    <w:lvl w:ilvl="4" w:tplc="B4C6C602" w:tentative="1">
      <w:start w:val="1"/>
      <w:numFmt w:val="bullet"/>
      <w:lvlText w:val="o"/>
      <w:lvlJc w:val="left"/>
      <w:pPr>
        <w:ind w:left="3600" w:hanging="360"/>
      </w:pPr>
      <w:rPr>
        <w:rFonts w:ascii="Courier New" w:hAnsi="Courier New" w:cs="Courier New" w:hint="default"/>
      </w:rPr>
    </w:lvl>
    <w:lvl w:ilvl="5" w:tplc="BE6A8EDA" w:tentative="1">
      <w:start w:val="1"/>
      <w:numFmt w:val="bullet"/>
      <w:lvlText w:val=""/>
      <w:lvlJc w:val="left"/>
      <w:pPr>
        <w:ind w:left="4320" w:hanging="360"/>
      </w:pPr>
      <w:rPr>
        <w:rFonts w:ascii="Wingdings" w:hAnsi="Wingdings" w:hint="default"/>
      </w:rPr>
    </w:lvl>
    <w:lvl w:ilvl="6" w:tplc="E8B4EF50" w:tentative="1">
      <w:start w:val="1"/>
      <w:numFmt w:val="bullet"/>
      <w:lvlText w:val=""/>
      <w:lvlJc w:val="left"/>
      <w:pPr>
        <w:ind w:left="5040" w:hanging="360"/>
      </w:pPr>
      <w:rPr>
        <w:rFonts w:ascii="Symbol" w:hAnsi="Symbol" w:hint="default"/>
      </w:rPr>
    </w:lvl>
    <w:lvl w:ilvl="7" w:tplc="6F360350" w:tentative="1">
      <w:start w:val="1"/>
      <w:numFmt w:val="bullet"/>
      <w:lvlText w:val="o"/>
      <w:lvlJc w:val="left"/>
      <w:pPr>
        <w:ind w:left="5760" w:hanging="360"/>
      </w:pPr>
      <w:rPr>
        <w:rFonts w:ascii="Courier New" w:hAnsi="Courier New" w:cs="Courier New" w:hint="default"/>
      </w:rPr>
    </w:lvl>
    <w:lvl w:ilvl="8" w:tplc="569AE9A2" w:tentative="1">
      <w:start w:val="1"/>
      <w:numFmt w:val="bullet"/>
      <w:lvlText w:val=""/>
      <w:lvlJc w:val="left"/>
      <w:pPr>
        <w:ind w:left="6480" w:hanging="360"/>
      </w:pPr>
      <w:rPr>
        <w:rFonts w:ascii="Wingdings" w:hAnsi="Wingdings" w:hint="default"/>
      </w:rPr>
    </w:lvl>
  </w:abstractNum>
  <w:abstractNum w:abstractNumId="7" w15:restartNumberingAfterBreak="0">
    <w:nsid w:val="4B437C57"/>
    <w:multiLevelType w:val="hybridMultilevel"/>
    <w:tmpl w:val="D7F45CCE"/>
    <w:lvl w:ilvl="0" w:tplc="08669DD2">
      <w:start w:val="1"/>
      <w:numFmt w:val="bullet"/>
      <w:lvlText w:val=""/>
      <w:lvlJc w:val="left"/>
      <w:pPr>
        <w:ind w:left="720" w:hanging="360"/>
      </w:pPr>
      <w:rPr>
        <w:rFonts w:ascii="Symbol" w:hAnsi="Symbol" w:hint="default"/>
      </w:rPr>
    </w:lvl>
    <w:lvl w:ilvl="1" w:tplc="F3D6EBF4" w:tentative="1">
      <w:start w:val="1"/>
      <w:numFmt w:val="bullet"/>
      <w:lvlText w:val="o"/>
      <w:lvlJc w:val="left"/>
      <w:pPr>
        <w:ind w:left="1440" w:hanging="360"/>
      </w:pPr>
      <w:rPr>
        <w:rFonts w:ascii="Courier New" w:hAnsi="Courier New" w:cs="Courier New" w:hint="default"/>
      </w:rPr>
    </w:lvl>
    <w:lvl w:ilvl="2" w:tplc="B5006882" w:tentative="1">
      <w:start w:val="1"/>
      <w:numFmt w:val="bullet"/>
      <w:lvlText w:val=""/>
      <w:lvlJc w:val="left"/>
      <w:pPr>
        <w:ind w:left="2160" w:hanging="360"/>
      </w:pPr>
      <w:rPr>
        <w:rFonts w:ascii="Wingdings" w:hAnsi="Wingdings" w:hint="default"/>
      </w:rPr>
    </w:lvl>
    <w:lvl w:ilvl="3" w:tplc="9E9AE7C2" w:tentative="1">
      <w:start w:val="1"/>
      <w:numFmt w:val="bullet"/>
      <w:lvlText w:val=""/>
      <w:lvlJc w:val="left"/>
      <w:pPr>
        <w:ind w:left="2880" w:hanging="360"/>
      </w:pPr>
      <w:rPr>
        <w:rFonts w:ascii="Symbol" w:hAnsi="Symbol" w:hint="default"/>
      </w:rPr>
    </w:lvl>
    <w:lvl w:ilvl="4" w:tplc="BAAA7B80" w:tentative="1">
      <w:start w:val="1"/>
      <w:numFmt w:val="bullet"/>
      <w:lvlText w:val="o"/>
      <w:lvlJc w:val="left"/>
      <w:pPr>
        <w:ind w:left="3600" w:hanging="360"/>
      </w:pPr>
      <w:rPr>
        <w:rFonts w:ascii="Courier New" w:hAnsi="Courier New" w:cs="Courier New" w:hint="default"/>
      </w:rPr>
    </w:lvl>
    <w:lvl w:ilvl="5" w:tplc="60CA808A" w:tentative="1">
      <w:start w:val="1"/>
      <w:numFmt w:val="bullet"/>
      <w:lvlText w:val=""/>
      <w:lvlJc w:val="left"/>
      <w:pPr>
        <w:ind w:left="4320" w:hanging="360"/>
      </w:pPr>
      <w:rPr>
        <w:rFonts w:ascii="Wingdings" w:hAnsi="Wingdings" w:hint="default"/>
      </w:rPr>
    </w:lvl>
    <w:lvl w:ilvl="6" w:tplc="9000D178" w:tentative="1">
      <w:start w:val="1"/>
      <w:numFmt w:val="bullet"/>
      <w:lvlText w:val=""/>
      <w:lvlJc w:val="left"/>
      <w:pPr>
        <w:ind w:left="5040" w:hanging="360"/>
      </w:pPr>
      <w:rPr>
        <w:rFonts w:ascii="Symbol" w:hAnsi="Symbol" w:hint="default"/>
      </w:rPr>
    </w:lvl>
    <w:lvl w:ilvl="7" w:tplc="7FDCB0EE" w:tentative="1">
      <w:start w:val="1"/>
      <w:numFmt w:val="bullet"/>
      <w:lvlText w:val="o"/>
      <w:lvlJc w:val="left"/>
      <w:pPr>
        <w:ind w:left="5760" w:hanging="360"/>
      </w:pPr>
      <w:rPr>
        <w:rFonts w:ascii="Courier New" w:hAnsi="Courier New" w:cs="Courier New" w:hint="default"/>
      </w:rPr>
    </w:lvl>
    <w:lvl w:ilvl="8" w:tplc="3A2AED04" w:tentative="1">
      <w:start w:val="1"/>
      <w:numFmt w:val="bullet"/>
      <w:lvlText w:val=""/>
      <w:lvlJc w:val="left"/>
      <w:pPr>
        <w:ind w:left="6480" w:hanging="360"/>
      </w:pPr>
      <w:rPr>
        <w:rFonts w:ascii="Wingdings" w:hAnsi="Wingdings" w:hint="default"/>
      </w:rPr>
    </w:lvl>
  </w:abstractNum>
  <w:abstractNum w:abstractNumId="8" w15:restartNumberingAfterBreak="0">
    <w:nsid w:val="5D6F253E"/>
    <w:multiLevelType w:val="hybridMultilevel"/>
    <w:tmpl w:val="012C53F4"/>
    <w:lvl w:ilvl="0" w:tplc="BD2CE9E2">
      <w:start w:val="1"/>
      <w:numFmt w:val="bullet"/>
      <w:lvlText w:val=""/>
      <w:lvlJc w:val="left"/>
      <w:pPr>
        <w:ind w:left="720" w:hanging="360"/>
      </w:pPr>
      <w:rPr>
        <w:rFonts w:ascii="Symbol" w:hAnsi="Symbol" w:hint="default"/>
      </w:rPr>
    </w:lvl>
    <w:lvl w:ilvl="1" w:tplc="1540BC5E" w:tentative="1">
      <w:start w:val="1"/>
      <w:numFmt w:val="bullet"/>
      <w:lvlText w:val="o"/>
      <w:lvlJc w:val="left"/>
      <w:pPr>
        <w:ind w:left="1440" w:hanging="360"/>
      </w:pPr>
      <w:rPr>
        <w:rFonts w:ascii="Courier New" w:hAnsi="Courier New" w:cs="Courier New" w:hint="default"/>
      </w:rPr>
    </w:lvl>
    <w:lvl w:ilvl="2" w:tplc="E9420BE4" w:tentative="1">
      <w:start w:val="1"/>
      <w:numFmt w:val="bullet"/>
      <w:lvlText w:val=""/>
      <w:lvlJc w:val="left"/>
      <w:pPr>
        <w:ind w:left="2160" w:hanging="360"/>
      </w:pPr>
      <w:rPr>
        <w:rFonts w:ascii="Wingdings" w:hAnsi="Wingdings" w:hint="default"/>
      </w:rPr>
    </w:lvl>
    <w:lvl w:ilvl="3" w:tplc="92E61610" w:tentative="1">
      <w:start w:val="1"/>
      <w:numFmt w:val="bullet"/>
      <w:lvlText w:val=""/>
      <w:lvlJc w:val="left"/>
      <w:pPr>
        <w:ind w:left="2880" w:hanging="360"/>
      </w:pPr>
      <w:rPr>
        <w:rFonts w:ascii="Symbol" w:hAnsi="Symbol" w:hint="default"/>
      </w:rPr>
    </w:lvl>
    <w:lvl w:ilvl="4" w:tplc="B46E6002" w:tentative="1">
      <w:start w:val="1"/>
      <w:numFmt w:val="bullet"/>
      <w:lvlText w:val="o"/>
      <w:lvlJc w:val="left"/>
      <w:pPr>
        <w:ind w:left="3600" w:hanging="360"/>
      </w:pPr>
      <w:rPr>
        <w:rFonts w:ascii="Courier New" w:hAnsi="Courier New" w:cs="Courier New" w:hint="default"/>
      </w:rPr>
    </w:lvl>
    <w:lvl w:ilvl="5" w:tplc="A9801E2A" w:tentative="1">
      <w:start w:val="1"/>
      <w:numFmt w:val="bullet"/>
      <w:lvlText w:val=""/>
      <w:lvlJc w:val="left"/>
      <w:pPr>
        <w:ind w:left="4320" w:hanging="360"/>
      </w:pPr>
      <w:rPr>
        <w:rFonts w:ascii="Wingdings" w:hAnsi="Wingdings" w:hint="default"/>
      </w:rPr>
    </w:lvl>
    <w:lvl w:ilvl="6" w:tplc="BC4644E8" w:tentative="1">
      <w:start w:val="1"/>
      <w:numFmt w:val="bullet"/>
      <w:lvlText w:val=""/>
      <w:lvlJc w:val="left"/>
      <w:pPr>
        <w:ind w:left="5040" w:hanging="360"/>
      </w:pPr>
      <w:rPr>
        <w:rFonts w:ascii="Symbol" w:hAnsi="Symbol" w:hint="default"/>
      </w:rPr>
    </w:lvl>
    <w:lvl w:ilvl="7" w:tplc="E4C63698" w:tentative="1">
      <w:start w:val="1"/>
      <w:numFmt w:val="bullet"/>
      <w:lvlText w:val="o"/>
      <w:lvlJc w:val="left"/>
      <w:pPr>
        <w:ind w:left="5760" w:hanging="360"/>
      </w:pPr>
      <w:rPr>
        <w:rFonts w:ascii="Courier New" w:hAnsi="Courier New" w:cs="Courier New" w:hint="default"/>
      </w:rPr>
    </w:lvl>
    <w:lvl w:ilvl="8" w:tplc="C8AE6380"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0"/>
  </w:num>
  <w:num w:numId="6">
    <w:abstractNumId w:val="6"/>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F66"/>
    <w:rsid w:val="0000048B"/>
    <w:rsid w:val="0001379D"/>
    <w:rsid w:val="000150E6"/>
    <w:rsid w:val="0005293D"/>
    <w:rsid w:val="000878D5"/>
    <w:rsid w:val="000940FA"/>
    <w:rsid w:val="00095765"/>
    <w:rsid w:val="000C2092"/>
    <w:rsid w:val="000D2A23"/>
    <w:rsid w:val="000E6D5B"/>
    <w:rsid w:val="001008D9"/>
    <w:rsid w:val="00121B41"/>
    <w:rsid w:val="00125422"/>
    <w:rsid w:val="0012544B"/>
    <w:rsid w:val="00157C64"/>
    <w:rsid w:val="00167C0D"/>
    <w:rsid w:val="001A2330"/>
    <w:rsid w:val="001A44A9"/>
    <w:rsid w:val="001B316C"/>
    <w:rsid w:val="001B538E"/>
    <w:rsid w:val="001C0EEE"/>
    <w:rsid w:val="001C25E7"/>
    <w:rsid w:val="001C6FD1"/>
    <w:rsid w:val="001D760E"/>
    <w:rsid w:val="001E044D"/>
    <w:rsid w:val="001E7F2D"/>
    <w:rsid w:val="002102EC"/>
    <w:rsid w:val="00257F79"/>
    <w:rsid w:val="0028072A"/>
    <w:rsid w:val="002919FB"/>
    <w:rsid w:val="00293670"/>
    <w:rsid w:val="002D506E"/>
    <w:rsid w:val="002E5161"/>
    <w:rsid w:val="00304E1A"/>
    <w:rsid w:val="00356BA4"/>
    <w:rsid w:val="00365E26"/>
    <w:rsid w:val="003720BE"/>
    <w:rsid w:val="00377BCC"/>
    <w:rsid w:val="004006E6"/>
    <w:rsid w:val="0042527F"/>
    <w:rsid w:val="0043068C"/>
    <w:rsid w:val="004478AB"/>
    <w:rsid w:val="00480165"/>
    <w:rsid w:val="00484DC1"/>
    <w:rsid w:val="0048549F"/>
    <w:rsid w:val="00487BF7"/>
    <w:rsid w:val="00494A5C"/>
    <w:rsid w:val="004B6506"/>
    <w:rsid w:val="004D7F80"/>
    <w:rsid w:val="004F7841"/>
    <w:rsid w:val="005228B7"/>
    <w:rsid w:val="00527997"/>
    <w:rsid w:val="00535E12"/>
    <w:rsid w:val="0055511C"/>
    <w:rsid w:val="00575427"/>
    <w:rsid w:val="005852BF"/>
    <w:rsid w:val="0059235E"/>
    <w:rsid w:val="00595185"/>
    <w:rsid w:val="005A4A16"/>
    <w:rsid w:val="005A6A0C"/>
    <w:rsid w:val="005B20FB"/>
    <w:rsid w:val="005B4CBB"/>
    <w:rsid w:val="005C45C9"/>
    <w:rsid w:val="005D2232"/>
    <w:rsid w:val="005E1BCD"/>
    <w:rsid w:val="005E406B"/>
    <w:rsid w:val="005F5166"/>
    <w:rsid w:val="005F72AE"/>
    <w:rsid w:val="0061135F"/>
    <w:rsid w:val="00682CB8"/>
    <w:rsid w:val="006921F2"/>
    <w:rsid w:val="00697CC4"/>
    <w:rsid w:val="006B5604"/>
    <w:rsid w:val="006B6B24"/>
    <w:rsid w:val="006D6D65"/>
    <w:rsid w:val="006F2410"/>
    <w:rsid w:val="00706D1C"/>
    <w:rsid w:val="0071582E"/>
    <w:rsid w:val="007167EC"/>
    <w:rsid w:val="00722783"/>
    <w:rsid w:val="00722CC4"/>
    <w:rsid w:val="00751C2A"/>
    <w:rsid w:val="007565C7"/>
    <w:rsid w:val="00760D7C"/>
    <w:rsid w:val="00774266"/>
    <w:rsid w:val="00796620"/>
    <w:rsid w:val="007A3C2F"/>
    <w:rsid w:val="007A7614"/>
    <w:rsid w:val="007B5414"/>
    <w:rsid w:val="007C2FE1"/>
    <w:rsid w:val="007F2934"/>
    <w:rsid w:val="007F4F55"/>
    <w:rsid w:val="00840AF6"/>
    <w:rsid w:val="00853944"/>
    <w:rsid w:val="008617E8"/>
    <w:rsid w:val="00871132"/>
    <w:rsid w:val="00875CC6"/>
    <w:rsid w:val="00890549"/>
    <w:rsid w:val="008B3D89"/>
    <w:rsid w:val="008B688B"/>
    <w:rsid w:val="008C0CC6"/>
    <w:rsid w:val="008C10A4"/>
    <w:rsid w:val="008D2EAF"/>
    <w:rsid w:val="00904F97"/>
    <w:rsid w:val="0092160A"/>
    <w:rsid w:val="0092652A"/>
    <w:rsid w:val="00931009"/>
    <w:rsid w:val="00932C0D"/>
    <w:rsid w:val="00933370"/>
    <w:rsid w:val="00933FD7"/>
    <w:rsid w:val="00961E38"/>
    <w:rsid w:val="0096243C"/>
    <w:rsid w:val="00966608"/>
    <w:rsid w:val="0098239D"/>
    <w:rsid w:val="00993C75"/>
    <w:rsid w:val="00996F34"/>
    <w:rsid w:val="009C0F74"/>
    <w:rsid w:val="009E175A"/>
    <w:rsid w:val="009E659A"/>
    <w:rsid w:val="009F3E29"/>
    <w:rsid w:val="009F5957"/>
    <w:rsid w:val="00A32E22"/>
    <w:rsid w:val="00A37A67"/>
    <w:rsid w:val="00A418C0"/>
    <w:rsid w:val="00A578E2"/>
    <w:rsid w:val="00A6049D"/>
    <w:rsid w:val="00A6574C"/>
    <w:rsid w:val="00A84116"/>
    <w:rsid w:val="00A95162"/>
    <w:rsid w:val="00AA2D4A"/>
    <w:rsid w:val="00AA75CA"/>
    <w:rsid w:val="00AB45C9"/>
    <w:rsid w:val="00AC33E9"/>
    <w:rsid w:val="00AC3BDD"/>
    <w:rsid w:val="00AD0572"/>
    <w:rsid w:val="00B42380"/>
    <w:rsid w:val="00B4764F"/>
    <w:rsid w:val="00B636D0"/>
    <w:rsid w:val="00B645B4"/>
    <w:rsid w:val="00B843A5"/>
    <w:rsid w:val="00B93294"/>
    <w:rsid w:val="00B94AAF"/>
    <w:rsid w:val="00B9617A"/>
    <w:rsid w:val="00BC75B9"/>
    <w:rsid w:val="00BD50C9"/>
    <w:rsid w:val="00BE7A93"/>
    <w:rsid w:val="00C004AB"/>
    <w:rsid w:val="00C07B37"/>
    <w:rsid w:val="00C20D80"/>
    <w:rsid w:val="00C33CDC"/>
    <w:rsid w:val="00C3765B"/>
    <w:rsid w:val="00C415F0"/>
    <w:rsid w:val="00C729FB"/>
    <w:rsid w:val="00C747DA"/>
    <w:rsid w:val="00C76670"/>
    <w:rsid w:val="00C81ECF"/>
    <w:rsid w:val="00C85CB7"/>
    <w:rsid w:val="00CA7994"/>
    <w:rsid w:val="00CB3CD4"/>
    <w:rsid w:val="00CB58D0"/>
    <w:rsid w:val="00CE4D53"/>
    <w:rsid w:val="00CE59E8"/>
    <w:rsid w:val="00CF2D26"/>
    <w:rsid w:val="00CF65DA"/>
    <w:rsid w:val="00D16C1A"/>
    <w:rsid w:val="00D669FA"/>
    <w:rsid w:val="00D7495E"/>
    <w:rsid w:val="00D85347"/>
    <w:rsid w:val="00D90702"/>
    <w:rsid w:val="00DA5414"/>
    <w:rsid w:val="00DB6AEC"/>
    <w:rsid w:val="00DC536B"/>
    <w:rsid w:val="00DC6691"/>
    <w:rsid w:val="00DD0388"/>
    <w:rsid w:val="00DD38A7"/>
    <w:rsid w:val="00E2285B"/>
    <w:rsid w:val="00E50331"/>
    <w:rsid w:val="00E63BAD"/>
    <w:rsid w:val="00E702CC"/>
    <w:rsid w:val="00E74E0B"/>
    <w:rsid w:val="00E74ED2"/>
    <w:rsid w:val="00E74F3D"/>
    <w:rsid w:val="00E802CE"/>
    <w:rsid w:val="00E9465F"/>
    <w:rsid w:val="00EB07D9"/>
    <w:rsid w:val="00ED49C7"/>
    <w:rsid w:val="00EF7957"/>
    <w:rsid w:val="00EF79AE"/>
    <w:rsid w:val="00F35C09"/>
    <w:rsid w:val="00F479E9"/>
    <w:rsid w:val="00F751C6"/>
    <w:rsid w:val="00F812BD"/>
    <w:rsid w:val="00F842AF"/>
    <w:rsid w:val="00F95F66"/>
    <w:rsid w:val="00FD0C65"/>
    <w:rsid w:val="00FE0A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8F2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6608"/>
    <w:rPr>
      <w:rFonts w:ascii="Times New Roman" w:hAnsi="Times New Roman"/>
      <w:sz w:val="24"/>
    </w:rPr>
  </w:style>
  <w:style w:type="paragraph" w:styleId="Heading1">
    <w:name w:val="heading 1"/>
    <w:basedOn w:val="Normal"/>
    <w:next w:val="Normal"/>
    <w:link w:val="Heading1Char"/>
    <w:uiPriority w:val="9"/>
    <w:qFormat/>
    <w:rsid w:val="00B636D0"/>
    <w:pPr>
      <w:keepNext/>
      <w:keepLines/>
      <w:spacing w:before="240" w:after="0"/>
      <w:outlineLvl w:val="0"/>
    </w:pPr>
    <w:rPr>
      <w:rFonts w:eastAsiaTheme="majorEastAsia"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9465F"/>
    <w:pPr>
      <w:pBdr>
        <w:bottom w:val="single" w:sz="4" w:space="1" w:color="auto"/>
      </w:pBdr>
      <w:spacing w:after="0" w:line="240" w:lineRule="auto"/>
      <w:contextualSpacing/>
      <w:jc w:val="center"/>
    </w:pPr>
    <w:rPr>
      <w:rFonts w:eastAsiaTheme="majorEastAsia" w:cs="Times New Roman"/>
      <w:b/>
      <w:bCs/>
      <w:spacing w:val="-10"/>
      <w:kern w:val="28"/>
      <w:sz w:val="32"/>
      <w:szCs w:val="32"/>
    </w:rPr>
  </w:style>
  <w:style w:type="character" w:customStyle="1" w:styleId="TitleChar">
    <w:name w:val="Title Char"/>
    <w:basedOn w:val="DefaultParagraphFont"/>
    <w:link w:val="Title"/>
    <w:uiPriority w:val="10"/>
    <w:rsid w:val="00E9465F"/>
    <w:rPr>
      <w:rFonts w:ascii="Times New Roman" w:eastAsiaTheme="majorEastAsia" w:hAnsi="Times New Roman" w:cs="Times New Roman"/>
      <w:b/>
      <w:bCs/>
      <w:spacing w:val="-10"/>
      <w:kern w:val="28"/>
      <w:sz w:val="32"/>
      <w:szCs w:val="32"/>
    </w:rPr>
  </w:style>
  <w:style w:type="paragraph" w:styleId="Header">
    <w:name w:val="header"/>
    <w:basedOn w:val="Normal"/>
    <w:link w:val="HeaderChar"/>
    <w:uiPriority w:val="99"/>
    <w:unhideWhenUsed/>
    <w:rsid w:val="00535E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E12"/>
    <w:rPr>
      <w:rFonts w:ascii="Times New Roman" w:hAnsi="Times New Roman"/>
      <w:sz w:val="24"/>
    </w:rPr>
  </w:style>
  <w:style w:type="paragraph" w:styleId="Footer">
    <w:name w:val="footer"/>
    <w:basedOn w:val="Normal"/>
    <w:link w:val="FooterChar"/>
    <w:uiPriority w:val="99"/>
    <w:unhideWhenUsed/>
    <w:rsid w:val="00535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E12"/>
    <w:rPr>
      <w:rFonts w:ascii="Times New Roman" w:hAnsi="Times New Roman"/>
      <w:sz w:val="24"/>
    </w:rPr>
  </w:style>
  <w:style w:type="character" w:customStyle="1" w:styleId="Heading1Char">
    <w:name w:val="Heading 1 Char"/>
    <w:basedOn w:val="DefaultParagraphFont"/>
    <w:link w:val="Heading1"/>
    <w:uiPriority w:val="9"/>
    <w:rsid w:val="00B636D0"/>
    <w:rPr>
      <w:rFonts w:ascii="Times New Roman" w:eastAsiaTheme="majorEastAsia" w:hAnsi="Times New Roman" w:cs="Times New Roman"/>
      <w:b/>
      <w:bCs/>
      <w:sz w:val="28"/>
      <w:szCs w:val="28"/>
    </w:rPr>
  </w:style>
  <w:style w:type="character" w:styleId="Emphasis">
    <w:name w:val="Emphasis"/>
    <w:basedOn w:val="DefaultParagraphFont"/>
    <w:uiPriority w:val="20"/>
    <w:qFormat/>
    <w:rsid w:val="00FE0A66"/>
    <w:rPr>
      <w:i/>
      <w:iCs/>
    </w:rPr>
  </w:style>
  <w:style w:type="paragraph" w:styleId="FootnoteText">
    <w:name w:val="footnote text"/>
    <w:basedOn w:val="Normal"/>
    <w:link w:val="FootnoteTextChar"/>
    <w:uiPriority w:val="99"/>
    <w:semiHidden/>
    <w:unhideWhenUsed/>
    <w:rsid w:val="00FE0A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0A66"/>
    <w:rPr>
      <w:rFonts w:ascii="Times New Roman" w:hAnsi="Times New Roman"/>
      <w:sz w:val="20"/>
      <w:szCs w:val="20"/>
    </w:rPr>
  </w:style>
  <w:style w:type="character" w:styleId="FootnoteReference">
    <w:name w:val="footnote reference"/>
    <w:basedOn w:val="DefaultParagraphFont"/>
    <w:uiPriority w:val="99"/>
    <w:semiHidden/>
    <w:unhideWhenUsed/>
    <w:rsid w:val="00FE0A66"/>
    <w:rPr>
      <w:vertAlign w:val="superscript"/>
    </w:rPr>
  </w:style>
  <w:style w:type="paragraph" w:styleId="ListParagraph">
    <w:name w:val="List Paragraph"/>
    <w:basedOn w:val="Normal"/>
    <w:uiPriority w:val="34"/>
    <w:qFormat/>
    <w:rsid w:val="00E74F3D"/>
    <w:pPr>
      <w:ind w:left="720"/>
      <w:contextualSpacing/>
    </w:pPr>
  </w:style>
  <w:style w:type="character" w:styleId="Strong">
    <w:name w:val="Strong"/>
    <w:basedOn w:val="DefaultParagraphFont"/>
    <w:uiPriority w:val="22"/>
    <w:qFormat/>
    <w:rsid w:val="001D760E"/>
    <w:rPr>
      <w:b/>
      <w:bCs/>
    </w:rPr>
  </w:style>
  <w:style w:type="character" w:styleId="Hyperlink">
    <w:name w:val="Hyperlink"/>
    <w:basedOn w:val="DefaultParagraphFont"/>
    <w:uiPriority w:val="99"/>
    <w:unhideWhenUsed/>
    <w:rsid w:val="00875CC6"/>
    <w:rPr>
      <w:color w:val="0000FF"/>
      <w:u w:val="single"/>
    </w:rPr>
  </w:style>
  <w:style w:type="table" w:styleId="TableGrid">
    <w:name w:val="Table Grid"/>
    <w:basedOn w:val="TableNormal"/>
    <w:uiPriority w:val="39"/>
    <w:rsid w:val="007565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F5166"/>
    <w:pPr>
      <w:outlineLvl w:val="9"/>
    </w:pPr>
    <w:rPr>
      <w:rFonts w:asciiTheme="majorHAnsi"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5F5166"/>
    <w:pPr>
      <w:spacing w:after="100"/>
    </w:pPr>
  </w:style>
  <w:style w:type="paragraph" w:styleId="NoSpacing">
    <w:name w:val="No Spacing"/>
    <w:uiPriority w:val="1"/>
    <w:qFormat/>
    <w:rsid w:val="00C20D80"/>
    <w:pPr>
      <w:spacing w:after="0" w:line="240" w:lineRule="auto"/>
    </w:pPr>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Bank_of_Montreal_v_Stuart"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en.wikipedia.org/wiki/Tate_v_Williamso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n.wikipedia.org/wiki/Tate_v_Williams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Bank_of_Montreal_v_Stuart" TargetMode="External"/><Relationship Id="rId5" Type="http://schemas.openxmlformats.org/officeDocument/2006/relationships/settings" Target="settings.xml"/><Relationship Id="rId15" Type="http://schemas.openxmlformats.org/officeDocument/2006/relationships/hyperlink" Target="https://www.bailii.org/uk/cases/UKHL/2001/44.html" TargetMode="External"/><Relationship Id="rId10" Type="http://schemas.openxmlformats.org/officeDocument/2006/relationships/hyperlink" Target="https://en.wikipedia.org/wiki/BCCI_v_Aboody"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en.wikipedia.org/wiki/BCCI_v_Aboody"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bailii.org/uk/cases/UKHL/2001/4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2021-05-07T00:00:00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159C68-31FB-4C0A-B2D3-F1003AB24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2868</Words>
  <Characters>16353</Characters>
  <Application>Microsoft Office Word</Application>
  <DocSecurity>0</DocSecurity>
  <Lines>136</Lines>
  <Paragraphs>38</Paragraphs>
  <ScaleCrop>false</ScaleCrop>
  <Company/>
  <LinksUpToDate>false</LinksUpToDate>
  <CharactersWithSpaces>19183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creator/>
  <cp:lastModifiedBy/>
  <cp:revision>1</cp:revision>
  <dcterms:created xsi:type="dcterms:W3CDTF">2021-05-04T19:36:00Z</dcterms:created>
  <dcterms:modified xsi:type="dcterms:W3CDTF">2021-05-07T17:42:00Z</dcterms:modified>
  <cp:category>Contract Law</cp:category>
</cp:coreProperties>
</file>