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E8ED04" w14:textId="77777777" w:rsidR="001402C3" w:rsidRPr="00694632" w:rsidRDefault="001402C3" w:rsidP="001402C3">
      <w:pPr>
        <w:jc w:val="center"/>
        <w:rPr>
          <w:rFonts w:ascii="Aptos" w:hAnsi="Aptos"/>
          <w:sz w:val="22"/>
          <w:szCs w:val="22"/>
        </w:rPr>
      </w:pPr>
      <w:r w:rsidRPr="00694632">
        <w:rPr>
          <w:rFonts w:ascii="Aptos" w:hAnsi="Aptos"/>
          <w:sz w:val="22"/>
          <w:szCs w:val="22"/>
        </w:rPr>
        <w:t>Name: Sharon Cuthbert</w:t>
      </w:r>
    </w:p>
    <w:p w14:paraId="5BD97609" w14:textId="77777777" w:rsidR="001402C3" w:rsidRPr="00694632" w:rsidRDefault="001402C3" w:rsidP="001402C3">
      <w:pPr>
        <w:jc w:val="center"/>
        <w:rPr>
          <w:rFonts w:ascii="Aptos" w:hAnsi="Aptos"/>
          <w:sz w:val="22"/>
          <w:szCs w:val="22"/>
        </w:rPr>
      </w:pPr>
      <w:r w:rsidRPr="00694632">
        <w:rPr>
          <w:rFonts w:ascii="Aptos" w:hAnsi="Aptos"/>
          <w:sz w:val="22"/>
          <w:szCs w:val="22"/>
        </w:rPr>
        <w:t>Student No: 2409782</w:t>
      </w:r>
    </w:p>
    <w:p w14:paraId="40923154" w14:textId="49AF08A4" w:rsidR="001402C3" w:rsidRPr="00694632" w:rsidRDefault="001402C3" w:rsidP="001402C3">
      <w:pPr>
        <w:jc w:val="center"/>
        <w:rPr>
          <w:rFonts w:ascii="Aptos" w:hAnsi="Aptos"/>
          <w:color w:val="EE0000"/>
          <w:sz w:val="22"/>
          <w:szCs w:val="22"/>
        </w:rPr>
      </w:pPr>
      <w:r w:rsidRPr="00694632">
        <w:rPr>
          <w:rFonts w:ascii="Aptos" w:hAnsi="Aptos"/>
          <w:sz w:val="22"/>
          <w:szCs w:val="22"/>
        </w:rPr>
        <w:t xml:space="preserve">Word Count:  </w:t>
      </w:r>
      <w:r w:rsidR="00C8002E" w:rsidRPr="00694632">
        <w:rPr>
          <w:rFonts w:ascii="Aptos" w:hAnsi="Aptos"/>
          <w:sz w:val="22"/>
          <w:szCs w:val="22"/>
        </w:rPr>
        <w:t>4,0</w:t>
      </w:r>
      <w:r w:rsidR="003C4983">
        <w:rPr>
          <w:rFonts w:ascii="Aptos" w:hAnsi="Aptos"/>
          <w:sz w:val="22"/>
          <w:szCs w:val="22"/>
        </w:rPr>
        <w:t>82</w:t>
      </w:r>
      <w:r w:rsidRPr="00694632">
        <w:rPr>
          <w:rFonts w:ascii="Aptos" w:hAnsi="Aptos"/>
          <w:sz w:val="22"/>
          <w:szCs w:val="22"/>
        </w:rPr>
        <w:t xml:space="preserve"> </w:t>
      </w:r>
    </w:p>
    <w:p w14:paraId="437B393C" w14:textId="09F6EEAE" w:rsidR="001402C3" w:rsidRPr="00694632" w:rsidRDefault="001402C3" w:rsidP="001402C3">
      <w:pPr>
        <w:jc w:val="center"/>
        <w:rPr>
          <w:rFonts w:ascii="Aptos" w:hAnsi="Aptos"/>
          <w:sz w:val="22"/>
          <w:szCs w:val="22"/>
        </w:rPr>
      </w:pPr>
      <w:r w:rsidRPr="00694632">
        <w:rPr>
          <w:rFonts w:ascii="Aptos" w:hAnsi="Aptos"/>
          <w:sz w:val="22"/>
          <w:szCs w:val="22"/>
        </w:rPr>
        <w:t>CIPD 5HR0</w:t>
      </w:r>
      <w:r w:rsidR="00136C3C" w:rsidRPr="00694632">
        <w:rPr>
          <w:rFonts w:ascii="Aptos" w:hAnsi="Aptos"/>
          <w:sz w:val="22"/>
          <w:szCs w:val="22"/>
        </w:rPr>
        <w:t>3</w:t>
      </w:r>
    </w:p>
    <w:p w14:paraId="79CB627A" w14:textId="4FEFDDAD" w:rsidR="00766F26" w:rsidRPr="00694632" w:rsidRDefault="00136C3C" w:rsidP="007D122A">
      <w:pPr>
        <w:jc w:val="center"/>
        <w:rPr>
          <w:rFonts w:ascii="Aptos" w:hAnsi="Aptos"/>
          <w:sz w:val="22"/>
          <w:szCs w:val="22"/>
        </w:rPr>
      </w:pPr>
      <w:r w:rsidRPr="00694632">
        <w:rPr>
          <w:rFonts w:ascii="Aptos" w:hAnsi="Aptos"/>
          <w:sz w:val="22"/>
          <w:szCs w:val="22"/>
        </w:rPr>
        <w:t>Reward for performance and contribution</w:t>
      </w:r>
    </w:p>
    <w:p w14:paraId="24017FF7" w14:textId="77777777" w:rsidR="00E23431" w:rsidRPr="00694632" w:rsidRDefault="00E23431" w:rsidP="00E23431">
      <w:pPr>
        <w:rPr>
          <w:rFonts w:ascii="Aptos" w:hAnsi="Aptos"/>
          <w:b/>
          <w:bCs/>
          <w:sz w:val="22"/>
          <w:szCs w:val="22"/>
          <w:u w:color="004147"/>
        </w:rPr>
      </w:pPr>
    </w:p>
    <w:p w14:paraId="788ABF75" w14:textId="1FAB95A9" w:rsidR="008B0026" w:rsidRPr="00FE009D" w:rsidRDefault="00065780" w:rsidP="004E3131">
      <w:pPr>
        <w:rPr>
          <w:rFonts w:ascii="Aptos" w:hAnsi="Aptos"/>
          <w:b/>
          <w:bCs/>
          <w:sz w:val="22"/>
          <w:szCs w:val="22"/>
          <w:u w:color="004147"/>
        </w:rPr>
      </w:pPr>
      <w:r w:rsidRPr="00FE009D">
        <w:rPr>
          <w:rFonts w:ascii="Aptos" w:hAnsi="Aptos"/>
          <w:b/>
          <w:bCs/>
          <w:sz w:val="22"/>
          <w:szCs w:val="22"/>
          <w:u w:color="004147"/>
        </w:rPr>
        <w:t>(</w:t>
      </w:r>
      <w:r w:rsidR="00E90025" w:rsidRPr="00FE009D">
        <w:rPr>
          <w:rFonts w:ascii="Aptos" w:hAnsi="Aptos"/>
          <w:b/>
          <w:bCs/>
          <w:sz w:val="22"/>
          <w:szCs w:val="22"/>
          <w:u w:color="004147"/>
        </w:rPr>
        <w:t>AC 1.1</w:t>
      </w:r>
      <w:r w:rsidRPr="00FE009D">
        <w:rPr>
          <w:rFonts w:ascii="Aptos" w:hAnsi="Aptos"/>
          <w:b/>
          <w:bCs/>
          <w:sz w:val="22"/>
          <w:szCs w:val="22"/>
          <w:u w:color="004147"/>
        </w:rPr>
        <w:t>)</w:t>
      </w:r>
      <w:r w:rsidR="00E90025" w:rsidRPr="00FE009D">
        <w:rPr>
          <w:rFonts w:ascii="Aptos" w:hAnsi="Aptos"/>
          <w:b/>
          <w:bCs/>
          <w:sz w:val="22"/>
          <w:szCs w:val="22"/>
          <w:u w:color="004147"/>
        </w:rPr>
        <w:t xml:space="preserve"> </w:t>
      </w:r>
    </w:p>
    <w:p w14:paraId="0E6BF93D" w14:textId="77777777" w:rsidR="00BD38C7" w:rsidRPr="00FE009D" w:rsidRDefault="00BD38C7" w:rsidP="00BD38C7">
      <w:pPr>
        <w:rPr>
          <w:rFonts w:ascii="Aptos" w:hAnsi="Aptos"/>
          <w:sz w:val="22"/>
          <w:szCs w:val="22"/>
          <w:u w:color="004147"/>
        </w:rPr>
      </w:pPr>
      <w:r w:rsidRPr="00FE009D">
        <w:rPr>
          <w:rFonts w:ascii="Aptos" w:hAnsi="Aptos"/>
          <w:sz w:val="22"/>
          <w:szCs w:val="22"/>
          <w:u w:color="004147"/>
        </w:rPr>
        <w:t>This report has been prepared for Green Friendly Eco’s senior management team to explain key reward principles and their importance in shaping organisational culture and supporting performance. It aims to address high turnover and improve morale through more effective reward practices.</w:t>
      </w:r>
    </w:p>
    <w:p w14:paraId="5F454404" w14:textId="53BE5226" w:rsidR="00BD38C7" w:rsidRPr="00FE009D" w:rsidRDefault="00BD38C7" w:rsidP="00BD38C7">
      <w:pPr>
        <w:rPr>
          <w:rFonts w:ascii="Aptos" w:hAnsi="Aptos"/>
          <w:color w:val="EE0000"/>
          <w:sz w:val="22"/>
          <w:szCs w:val="22"/>
          <w:u w:color="004147"/>
        </w:rPr>
      </w:pPr>
      <w:r w:rsidRPr="00FE009D">
        <w:rPr>
          <w:rFonts w:ascii="Aptos" w:hAnsi="Aptos"/>
          <w:strike/>
          <w:sz w:val="22"/>
          <w:szCs w:val="22"/>
          <w:u w:color="004147"/>
        </w:rPr>
        <w:t>Reward refers to the financial and non-financial returns employees receive in exchange for their contribution</w:t>
      </w:r>
      <w:r w:rsidRPr="00FE009D">
        <w:rPr>
          <w:rFonts w:ascii="Aptos" w:hAnsi="Aptos"/>
          <w:color w:val="EE0000"/>
          <w:sz w:val="22"/>
          <w:szCs w:val="22"/>
          <w:u w:color="004147"/>
        </w:rPr>
        <w:t>.</w:t>
      </w:r>
      <w:r w:rsidR="00671065" w:rsidRPr="00FE009D">
        <w:rPr>
          <w:rFonts w:ascii="Aptos" w:hAnsi="Aptos"/>
          <w:color w:val="EE0000"/>
          <w:sz w:val="22"/>
          <w:szCs w:val="22"/>
        </w:rPr>
        <w:t xml:space="preserve"> </w:t>
      </w:r>
      <w:r w:rsidR="00671065" w:rsidRPr="00FE009D">
        <w:rPr>
          <w:rFonts w:ascii="Aptos" w:hAnsi="Aptos"/>
          <w:color w:val="EE0000"/>
          <w:sz w:val="22"/>
          <w:szCs w:val="22"/>
          <w:u w:color="004147"/>
        </w:rPr>
        <w:t>Reward includes financial and non-financial returns for employee contribution.</w:t>
      </w:r>
      <w:r w:rsidRPr="00FE009D">
        <w:rPr>
          <w:rFonts w:ascii="Aptos" w:hAnsi="Aptos"/>
          <w:color w:val="EE0000"/>
          <w:sz w:val="22"/>
          <w:szCs w:val="22"/>
          <w:u w:color="004147"/>
        </w:rPr>
        <w:t xml:space="preserve"> </w:t>
      </w:r>
      <w:r w:rsidRPr="00FE009D">
        <w:rPr>
          <w:rFonts w:ascii="Aptos" w:hAnsi="Aptos"/>
          <w:sz w:val="22"/>
          <w:szCs w:val="22"/>
          <w:u w:color="004147"/>
        </w:rPr>
        <w:t>The</w:t>
      </w:r>
      <w:r w:rsidRPr="00FE009D">
        <w:rPr>
          <w:rFonts w:ascii="Aptos" w:hAnsi="Aptos"/>
          <w:strike/>
          <w:sz w:val="22"/>
          <w:szCs w:val="22"/>
          <w:u w:color="004147"/>
        </w:rPr>
        <w:t xml:space="preserve"> </w:t>
      </w:r>
      <w:r w:rsidRPr="00FE009D">
        <w:rPr>
          <w:rFonts w:ascii="Aptos" w:hAnsi="Aptos"/>
          <w:sz w:val="22"/>
          <w:szCs w:val="22"/>
          <w:u w:color="004147"/>
        </w:rPr>
        <w:t xml:space="preserve">CIPD (2025) explains that reward influences employee behaviour by supporting attraction, retention and sustained engagement. </w:t>
      </w:r>
      <w:r w:rsidRPr="00FE009D">
        <w:rPr>
          <w:rFonts w:ascii="Aptos" w:hAnsi="Aptos"/>
          <w:strike/>
          <w:sz w:val="22"/>
          <w:szCs w:val="22"/>
          <w:u w:color="004147"/>
        </w:rPr>
        <w:t>Effective reward systems communicate what an organisation values and align employee behaviour with business objectives.</w:t>
      </w:r>
      <w:r w:rsidR="00277AFE" w:rsidRPr="00FE009D">
        <w:rPr>
          <w:rFonts w:ascii="Aptos" w:hAnsi="Aptos"/>
          <w:sz w:val="22"/>
          <w:szCs w:val="22"/>
        </w:rPr>
        <w:t xml:space="preserve"> </w:t>
      </w:r>
      <w:r w:rsidR="00277AFE" w:rsidRPr="00FE009D">
        <w:rPr>
          <w:rFonts w:ascii="Aptos" w:hAnsi="Aptos"/>
          <w:color w:val="EE0000"/>
          <w:sz w:val="22"/>
          <w:szCs w:val="22"/>
          <w:u w:color="004147"/>
        </w:rPr>
        <w:t>Effective reward systems align behaviour with business objectives.</w:t>
      </w:r>
    </w:p>
    <w:p w14:paraId="7F4F49C1" w14:textId="3C8C7660" w:rsidR="00BD38C7" w:rsidRPr="00FE009D" w:rsidRDefault="00BD38C7" w:rsidP="00BD38C7">
      <w:pPr>
        <w:rPr>
          <w:rFonts w:ascii="Aptos" w:hAnsi="Aptos"/>
          <w:sz w:val="22"/>
          <w:szCs w:val="22"/>
          <w:u w:color="004147"/>
        </w:rPr>
      </w:pPr>
      <w:r w:rsidRPr="00FE009D">
        <w:rPr>
          <w:rFonts w:ascii="Aptos" w:hAnsi="Aptos"/>
          <w:strike/>
          <w:sz w:val="22"/>
          <w:szCs w:val="22"/>
          <w:u w:color="004147"/>
        </w:rPr>
        <w:t>For Green Friendly Eco, where no incentive or recognition schemes currently exist and turnover is increasing, the lack of a structured reward framework is likely contributing to low morale and negative culture.</w:t>
      </w:r>
      <w:r w:rsidRPr="00FE009D">
        <w:rPr>
          <w:rFonts w:ascii="Aptos" w:hAnsi="Aptos"/>
          <w:sz w:val="22"/>
          <w:szCs w:val="22"/>
          <w:u w:color="004147"/>
        </w:rPr>
        <w:t xml:space="preserve"> </w:t>
      </w:r>
      <w:r w:rsidR="0032613A" w:rsidRPr="00FE009D">
        <w:rPr>
          <w:rFonts w:ascii="Aptos" w:hAnsi="Aptos"/>
          <w:color w:val="EE0000"/>
          <w:sz w:val="22"/>
          <w:szCs w:val="22"/>
          <w:u w:color="004147"/>
        </w:rPr>
        <w:t xml:space="preserve">For Green Friendly Eco, the lack of structured reward frameworks likely contributes to low </w:t>
      </w:r>
      <w:r w:rsidR="00A03AE0" w:rsidRPr="00FE009D">
        <w:rPr>
          <w:rFonts w:ascii="Aptos" w:hAnsi="Aptos"/>
          <w:color w:val="EE0000"/>
          <w:sz w:val="22"/>
          <w:szCs w:val="22"/>
          <w:u w:color="004147"/>
        </w:rPr>
        <w:t>morale.</w:t>
      </w:r>
      <w:r w:rsidR="00A03AE0" w:rsidRPr="00FE009D">
        <w:rPr>
          <w:rFonts w:ascii="Aptos" w:hAnsi="Aptos"/>
          <w:sz w:val="22"/>
          <w:szCs w:val="22"/>
          <w:u w:color="004147"/>
        </w:rPr>
        <w:t xml:space="preserve"> This</w:t>
      </w:r>
      <w:r w:rsidRPr="00FE009D">
        <w:rPr>
          <w:rFonts w:ascii="Aptos" w:hAnsi="Aptos"/>
          <w:sz w:val="22"/>
          <w:szCs w:val="22"/>
          <w:u w:color="004147"/>
        </w:rPr>
        <w:t xml:space="preserve"> highlights the need to review reward principles to strengthen performance management and improve commitment.</w:t>
      </w:r>
    </w:p>
    <w:p w14:paraId="1FCD7E6E" w14:textId="77777777" w:rsidR="00BD38C7" w:rsidRPr="00FE009D" w:rsidRDefault="00BD38C7" w:rsidP="00BD38C7">
      <w:pPr>
        <w:rPr>
          <w:rFonts w:ascii="Aptos" w:hAnsi="Aptos"/>
          <w:sz w:val="22"/>
          <w:szCs w:val="22"/>
          <w:u w:color="004147"/>
        </w:rPr>
      </w:pPr>
      <w:r w:rsidRPr="00FE009D">
        <w:rPr>
          <w:rFonts w:ascii="Aptos" w:hAnsi="Aptos"/>
          <w:sz w:val="22"/>
          <w:szCs w:val="22"/>
          <w:u w:color="004147"/>
        </w:rPr>
        <w:t>A key principle of effective reward is the total reward approach, recognising that employees are motivated by more than pay alone. Total reward combines extrinsic rewards (pay, bonuses, benefits) with intrinsic rewards (recognition, development opportunities, autonomy and meaningful work) (CIPD, 2025). This is relevant for Green Friendly Eco, where measured day work dominates, as it allows motivation to be enhanced without relying solely on pay increases.</w:t>
      </w:r>
    </w:p>
    <w:p w14:paraId="29780B9E" w14:textId="69E7FC93" w:rsidR="00BD38C7" w:rsidRPr="00FE009D" w:rsidRDefault="00BD38C7" w:rsidP="00BD38C7">
      <w:pPr>
        <w:rPr>
          <w:rFonts w:ascii="Aptos" w:hAnsi="Aptos"/>
          <w:sz w:val="22"/>
          <w:szCs w:val="22"/>
          <w:u w:color="004147"/>
        </w:rPr>
      </w:pPr>
      <w:r w:rsidRPr="00FE009D">
        <w:rPr>
          <w:rFonts w:ascii="Aptos" w:hAnsi="Aptos"/>
          <w:sz w:val="22"/>
          <w:szCs w:val="22"/>
          <w:u w:color="004147"/>
        </w:rPr>
        <w:t>Reward also shapes culture and performance management by reinforcing desired behaviours and outcomes</w:t>
      </w:r>
      <w:r w:rsidRPr="00FE009D">
        <w:rPr>
          <w:rFonts w:ascii="Aptos" w:hAnsi="Aptos"/>
          <w:strike/>
          <w:sz w:val="22"/>
          <w:szCs w:val="22"/>
          <w:u w:color="004147"/>
        </w:rPr>
        <w:t>. Recognition and development opportunities can foster a positive, high-trust culture, which is important given the Managing Director’s concerns about negative attitudes (CIPD, 2025</w:t>
      </w:r>
      <w:r w:rsidRPr="00FE009D">
        <w:rPr>
          <w:rFonts w:ascii="Aptos" w:hAnsi="Aptos"/>
          <w:sz w:val="22"/>
          <w:szCs w:val="22"/>
          <w:u w:color="004147"/>
        </w:rPr>
        <w:t>).</w:t>
      </w:r>
      <w:r w:rsidR="00882DD6" w:rsidRPr="00FE009D">
        <w:rPr>
          <w:rFonts w:ascii="Aptos" w:hAnsi="Aptos"/>
          <w:sz w:val="22"/>
          <w:szCs w:val="22"/>
        </w:rPr>
        <w:t xml:space="preserve"> </w:t>
      </w:r>
      <w:r w:rsidR="00882DD6" w:rsidRPr="00FE009D">
        <w:rPr>
          <w:rFonts w:ascii="Aptos" w:hAnsi="Aptos"/>
          <w:color w:val="EE0000"/>
          <w:sz w:val="22"/>
          <w:szCs w:val="22"/>
          <w:u w:color="004147"/>
        </w:rPr>
        <w:t>Recognition and development opportunities can foster a positive, high-trust culture (CIPD, 2025).</w:t>
      </w:r>
    </w:p>
    <w:p w14:paraId="7D627513" w14:textId="77777777" w:rsidR="00BD38C7" w:rsidRPr="00FE009D" w:rsidRDefault="00BD38C7" w:rsidP="00BD38C7">
      <w:pPr>
        <w:rPr>
          <w:rFonts w:ascii="Aptos" w:hAnsi="Aptos"/>
          <w:sz w:val="22"/>
          <w:szCs w:val="22"/>
          <w:u w:color="004147"/>
        </w:rPr>
      </w:pPr>
      <w:r w:rsidRPr="00FE009D">
        <w:rPr>
          <w:rFonts w:ascii="Aptos" w:hAnsi="Aptos"/>
          <w:sz w:val="22"/>
          <w:szCs w:val="22"/>
          <w:u w:color="004147"/>
        </w:rPr>
        <w:t xml:space="preserve">Employee engagement is </w:t>
      </w:r>
      <w:r w:rsidRPr="00FE009D">
        <w:rPr>
          <w:rFonts w:ascii="Aptos" w:hAnsi="Aptos"/>
          <w:strike/>
          <w:sz w:val="22"/>
          <w:szCs w:val="22"/>
          <w:u w:color="004147"/>
        </w:rPr>
        <w:t>strongly</w:t>
      </w:r>
      <w:r w:rsidRPr="00FE009D">
        <w:rPr>
          <w:rFonts w:ascii="Aptos" w:hAnsi="Aptos"/>
          <w:sz w:val="22"/>
          <w:szCs w:val="22"/>
          <w:u w:color="004147"/>
        </w:rPr>
        <w:t xml:space="preserve"> influenced by reward practices (Waite et al., 2021). The CIPD (2025) links engagement to higher motivation, commitment and discretionary effort, contributing to performance. For example, organisations like the John Lewis Partnership show how profit-sharing and recognition can reinforce values and support sustained performance.</w:t>
      </w:r>
    </w:p>
    <w:p w14:paraId="45326173" w14:textId="77777777" w:rsidR="00BD38C7" w:rsidRPr="00FE009D" w:rsidRDefault="00BD38C7" w:rsidP="00BD38C7">
      <w:pPr>
        <w:rPr>
          <w:rFonts w:ascii="Aptos" w:hAnsi="Aptos"/>
          <w:sz w:val="22"/>
          <w:szCs w:val="22"/>
          <w:u w:color="004147"/>
        </w:rPr>
      </w:pPr>
      <w:r w:rsidRPr="00FE009D">
        <w:rPr>
          <w:rFonts w:ascii="Aptos" w:hAnsi="Aptos"/>
          <w:sz w:val="22"/>
          <w:szCs w:val="22"/>
          <w:u w:color="004147"/>
        </w:rPr>
        <w:t>Fairness, consistency and transparency are fundamental. Reward must comply with legislation, including equal pay and national minimum wage requirements, to be ethical and lawful (ACAS, 2023). For Green Friendly Eco, balancing internal fairness with market competitiveness is essential to rebuild trust and reduce turnover.</w:t>
      </w:r>
    </w:p>
    <w:p w14:paraId="38D142E2" w14:textId="012CDBB9" w:rsidR="00BD38C7" w:rsidRPr="00FE009D" w:rsidRDefault="00BD38C7" w:rsidP="00BD38C7">
      <w:pPr>
        <w:rPr>
          <w:rFonts w:ascii="Aptos" w:hAnsi="Aptos"/>
          <w:sz w:val="22"/>
          <w:szCs w:val="22"/>
          <w:u w:color="004147"/>
        </w:rPr>
      </w:pPr>
      <w:r w:rsidRPr="00FE009D">
        <w:rPr>
          <w:rFonts w:ascii="Aptos" w:hAnsi="Aptos"/>
          <w:sz w:val="22"/>
          <w:szCs w:val="22"/>
          <w:u w:color="004147"/>
        </w:rPr>
        <w:t>Overall, adopting a fair, transparent and total reward approach would help improve engagement, reduce turnover and reinforce desired performance behaviours.</w:t>
      </w:r>
      <w:r w:rsidR="007F0E97" w:rsidRPr="00FE009D">
        <w:rPr>
          <w:rFonts w:ascii="Aptos" w:hAnsi="Aptos"/>
          <w:sz w:val="22"/>
          <w:szCs w:val="22"/>
          <w:u w:color="004147"/>
        </w:rPr>
        <w:t xml:space="preserve"> </w:t>
      </w:r>
    </w:p>
    <w:p w14:paraId="6EE44D22" w14:textId="37420CBB" w:rsidR="00E611B6" w:rsidRPr="00FE009D" w:rsidRDefault="00C709DD" w:rsidP="00BA2E4F">
      <w:pPr>
        <w:rPr>
          <w:rFonts w:ascii="Aptos" w:hAnsi="Aptos"/>
          <w:b/>
          <w:bCs/>
          <w:sz w:val="22"/>
          <w:szCs w:val="22"/>
          <w:u w:color="004147"/>
        </w:rPr>
      </w:pPr>
      <w:r w:rsidRPr="00FE009D">
        <w:rPr>
          <w:rFonts w:ascii="Aptos" w:hAnsi="Aptos"/>
          <w:b/>
          <w:bCs/>
          <w:sz w:val="22"/>
          <w:szCs w:val="22"/>
          <w:u w:color="004147"/>
        </w:rPr>
        <w:t>(</w:t>
      </w:r>
      <w:r w:rsidR="0079311D" w:rsidRPr="00FE009D">
        <w:rPr>
          <w:rFonts w:ascii="Aptos" w:hAnsi="Aptos"/>
          <w:b/>
          <w:bCs/>
          <w:sz w:val="22"/>
          <w:szCs w:val="22"/>
          <w:u w:color="004147"/>
        </w:rPr>
        <w:t>AC 1.2</w:t>
      </w:r>
      <w:r w:rsidRPr="00FE009D">
        <w:rPr>
          <w:rFonts w:ascii="Aptos" w:hAnsi="Aptos"/>
          <w:b/>
          <w:bCs/>
          <w:sz w:val="22"/>
          <w:szCs w:val="22"/>
          <w:u w:color="004147"/>
        </w:rPr>
        <w:t>)</w:t>
      </w:r>
      <w:r w:rsidR="00EB1DFF" w:rsidRPr="00FE009D">
        <w:rPr>
          <w:rFonts w:ascii="Aptos" w:hAnsi="Aptos"/>
          <w:b/>
          <w:bCs/>
          <w:sz w:val="22"/>
          <w:szCs w:val="22"/>
          <w:u w:color="004147"/>
        </w:rPr>
        <w:t xml:space="preserve"> </w:t>
      </w:r>
    </w:p>
    <w:p w14:paraId="04D789B6" w14:textId="035CC077" w:rsidR="00A603F4" w:rsidRPr="00FE009D" w:rsidRDefault="00386929" w:rsidP="004567F1">
      <w:pPr>
        <w:rPr>
          <w:rFonts w:ascii="Aptos" w:hAnsi="Aptos"/>
          <w:sz w:val="22"/>
          <w:szCs w:val="22"/>
          <w:u w:color="004147"/>
        </w:rPr>
      </w:pPr>
      <w:r w:rsidRPr="00FE009D">
        <w:rPr>
          <w:rFonts w:ascii="Aptos" w:hAnsi="Aptos"/>
          <w:sz w:val="22"/>
          <w:szCs w:val="22"/>
          <w:u w:color="004147"/>
        </w:rPr>
        <w:t>Maslow’s hierarchy provides a useful framework for understanding how extrinsic and intrinsic rewards influence motivation. Extrinsic rewards, such as pay and job security, satisfy physiological and safety needs. When these needs are unmet, employees may experience stress or anxiety, reducing contribution and short-term performance (Maslow, 1943). For Green Friendly Eco, the lack of incentives and rising turnover suggests basic needs may not be fully met, meaning extrinsic rewards should be improved first to stabilise performance and reduce turnover.</w:t>
      </w:r>
      <w:r w:rsidRPr="00FE009D">
        <w:rPr>
          <w:rFonts w:ascii="Aptos" w:hAnsi="Aptos"/>
          <w:sz w:val="22"/>
          <w:szCs w:val="22"/>
          <w:u w:color="004147"/>
        </w:rPr>
        <w:br/>
        <w:t>Intrinsic rewards, including recognition, autonomy, development, and meaningful work, support higher-level needs like esteem and self-actualisation, enhancing engagement, creativity, and discretionary effort for sustained organisational performance (Waite et al., 2021, pp.168–169). Therefore, once hygiene factors are addressed, intrinsic rewards are required to rebuild motivation and sustain performance.</w:t>
      </w:r>
      <w:r w:rsidRPr="00FE009D">
        <w:rPr>
          <w:rFonts w:ascii="Aptos" w:hAnsi="Aptos"/>
          <w:sz w:val="22"/>
          <w:szCs w:val="22"/>
          <w:u w:color="004147"/>
        </w:rPr>
        <w:br/>
        <w:t>Figure 1 (below) shows Maslow’s Hierarchy of Needs as a supporting model.</w:t>
      </w:r>
    </w:p>
    <w:p w14:paraId="2B8FAF32" w14:textId="66A28BBC" w:rsidR="00B92230" w:rsidRPr="00FE009D" w:rsidRDefault="00B92230" w:rsidP="004567F1">
      <w:pPr>
        <w:rPr>
          <w:rFonts w:ascii="Aptos" w:hAnsi="Aptos"/>
          <w:sz w:val="22"/>
          <w:szCs w:val="22"/>
          <w:u w:color="004147"/>
        </w:rPr>
      </w:pPr>
      <w:r w:rsidRPr="00FE009D">
        <w:rPr>
          <w:rFonts w:ascii="Aptos" w:hAnsi="Aptos"/>
          <w:b/>
          <w:bCs/>
          <w:i/>
          <w:iCs/>
          <w:sz w:val="22"/>
          <w:szCs w:val="22"/>
          <w:u w:color="004147"/>
        </w:rPr>
        <w:t>Figure 1</w:t>
      </w:r>
      <w:r w:rsidRPr="00FE009D">
        <w:rPr>
          <w:rFonts w:ascii="Aptos" w:hAnsi="Aptos"/>
          <w:i/>
          <w:iCs/>
          <w:sz w:val="22"/>
          <w:szCs w:val="22"/>
          <w:u w:color="004147"/>
        </w:rPr>
        <w:t>: Maslow’s Hierarchy of Needs (Maslow, 1943)</w:t>
      </w:r>
    </w:p>
    <w:p w14:paraId="27C4B1AB" w14:textId="27CB3BD7" w:rsidR="009050C1" w:rsidRPr="00FE009D" w:rsidRDefault="009050C1" w:rsidP="002436BD">
      <w:pPr>
        <w:rPr>
          <w:rFonts w:ascii="Aptos" w:hAnsi="Aptos"/>
          <w:sz w:val="22"/>
          <w:szCs w:val="22"/>
          <w:u w:color="004147"/>
        </w:rPr>
      </w:pPr>
      <w:r w:rsidRPr="00FE009D">
        <w:rPr>
          <w:rFonts w:ascii="Aptos" w:hAnsi="Aptos"/>
          <w:noProof/>
          <w:sz w:val="22"/>
          <w:szCs w:val="22"/>
          <w:u w:color="004147"/>
        </w:rPr>
        <w:drawing>
          <wp:inline distT="0" distB="0" distL="0" distR="0" wp14:anchorId="03D00232" wp14:editId="1C7AE807">
            <wp:extent cx="2511777" cy="2425148"/>
            <wp:effectExtent l="0" t="0" r="3175" b="0"/>
            <wp:docPr id="1783202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202433" name=""/>
                    <pic:cNvPicPr/>
                  </pic:nvPicPr>
                  <pic:blipFill>
                    <a:blip r:embed="rId5"/>
                    <a:stretch>
                      <a:fillRect/>
                    </a:stretch>
                  </pic:blipFill>
                  <pic:spPr>
                    <a:xfrm>
                      <a:off x="0" y="0"/>
                      <a:ext cx="2524377" cy="2437313"/>
                    </a:xfrm>
                    <a:prstGeom prst="rect">
                      <a:avLst/>
                    </a:prstGeom>
                  </pic:spPr>
                </pic:pic>
              </a:graphicData>
            </a:graphic>
          </wp:inline>
        </w:drawing>
      </w:r>
    </w:p>
    <w:p w14:paraId="2C6B4CF2" w14:textId="77777777" w:rsidR="00C058B3" w:rsidRPr="00FE009D" w:rsidRDefault="00C058B3" w:rsidP="009050C1">
      <w:pPr>
        <w:jc w:val="center"/>
        <w:rPr>
          <w:rFonts w:ascii="Aptos" w:hAnsi="Aptos"/>
          <w:sz w:val="22"/>
          <w:szCs w:val="22"/>
          <w:u w:color="004147"/>
        </w:rPr>
      </w:pPr>
    </w:p>
    <w:p w14:paraId="76CA998E" w14:textId="77777777" w:rsidR="00A74ACF" w:rsidRPr="00FE009D" w:rsidRDefault="00A74ACF" w:rsidP="00A74ACF">
      <w:pPr>
        <w:numPr>
          <w:ilvl w:val="0"/>
          <w:numId w:val="45"/>
        </w:numPr>
        <w:rPr>
          <w:rFonts w:ascii="Aptos" w:hAnsi="Aptos"/>
          <w:strike/>
          <w:sz w:val="22"/>
          <w:szCs w:val="22"/>
          <w:u w:color="004147"/>
        </w:rPr>
      </w:pPr>
      <w:r w:rsidRPr="00FE009D">
        <w:rPr>
          <w:rFonts w:ascii="Aptos" w:hAnsi="Aptos"/>
          <w:strike/>
          <w:sz w:val="22"/>
          <w:szCs w:val="22"/>
          <w:u w:color="004147"/>
        </w:rPr>
        <w:t>Self-actualisation needs – fulfilment of potential, pursuing passions.</w:t>
      </w:r>
    </w:p>
    <w:p w14:paraId="5571CFE6" w14:textId="77777777" w:rsidR="00A74ACF" w:rsidRPr="00FE009D" w:rsidRDefault="00A74ACF" w:rsidP="00A74ACF">
      <w:pPr>
        <w:numPr>
          <w:ilvl w:val="0"/>
          <w:numId w:val="45"/>
        </w:numPr>
        <w:rPr>
          <w:rFonts w:ascii="Aptos" w:hAnsi="Aptos"/>
          <w:strike/>
          <w:sz w:val="22"/>
          <w:szCs w:val="22"/>
          <w:u w:color="004147"/>
        </w:rPr>
      </w:pPr>
      <w:r w:rsidRPr="00FE009D">
        <w:rPr>
          <w:rFonts w:ascii="Aptos" w:hAnsi="Aptos"/>
          <w:strike/>
          <w:sz w:val="22"/>
          <w:szCs w:val="22"/>
          <w:u w:color="004147"/>
        </w:rPr>
        <w:t>Esteem needs – recognition, status, respect from others.</w:t>
      </w:r>
    </w:p>
    <w:p w14:paraId="0A419961" w14:textId="77777777" w:rsidR="00A74ACF" w:rsidRPr="00FE009D" w:rsidRDefault="00A74ACF" w:rsidP="00A74ACF">
      <w:pPr>
        <w:numPr>
          <w:ilvl w:val="0"/>
          <w:numId w:val="45"/>
        </w:numPr>
        <w:rPr>
          <w:rFonts w:ascii="Aptos" w:hAnsi="Aptos"/>
          <w:strike/>
          <w:sz w:val="22"/>
          <w:szCs w:val="22"/>
          <w:u w:color="004147"/>
        </w:rPr>
      </w:pPr>
      <w:r w:rsidRPr="00FE009D">
        <w:rPr>
          <w:rFonts w:ascii="Aptos" w:hAnsi="Aptos"/>
          <w:strike/>
          <w:sz w:val="22"/>
          <w:szCs w:val="22"/>
          <w:u w:color="004147"/>
        </w:rPr>
        <w:t>Love/belonging needs – friendships, community, connection.</w:t>
      </w:r>
    </w:p>
    <w:p w14:paraId="11A5C428" w14:textId="77777777" w:rsidR="00A74ACF" w:rsidRPr="00FE009D" w:rsidRDefault="00A74ACF" w:rsidP="00A74ACF">
      <w:pPr>
        <w:numPr>
          <w:ilvl w:val="0"/>
          <w:numId w:val="45"/>
        </w:numPr>
        <w:rPr>
          <w:rFonts w:ascii="Aptos" w:hAnsi="Aptos"/>
          <w:strike/>
          <w:sz w:val="22"/>
          <w:szCs w:val="22"/>
          <w:u w:color="004147"/>
        </w:rPr>
      </w:pPr>
      <w:r w:rsidRPr="00FE009D">
        <w:rPr>
          <w:rFonts w:ascii="Aptos" w:hAnsi="Aptos"/>
          <w:strike/>
          <w:sz w:val="22"/>
          <w:szCs w:val="22"/>
          <w:u w:color="004147"/>
        </w:rPr>
        <w:t>Safety needs – security, safe working environment, financial stability.</w:t>
      </w:r>
    </w:p>
    <w:p w14:paraId="1F62E290" w14:textId="77777777" w:rsidR="00A74ACF" w:rsidRPr="00FE009D" w:rsidRDefault="00A74ACF" w:rsidP="00A74ACF">
      <w:pPr>
        <w:numPr>
          <w:ilvl w:val="0"/>
          <w:numId w:val="45"/>
        </w:numPr>
        <w:rPr>
          <w:rFonts w:ascii="Aptos" w:hAnsi="Aptos"/>
          <w:strike/>
          <w:sz w:val="22"/>
          <w:szCs w:val="22"/>
          <w:u w:color="004147"/>
        </w:rPr>
      </w:pPr>
      <w:r w:rsidRPr="00FE009D">
        <w:rPr>
          <w:rFonts w:ascii="Aptos" w:hAnsi="Aptos"/>
          <w:strike/>
          <w:sz w:val="22"/>
          <w:szCs w:val="22"/>
          <w:u w:color="004147"/>
        </w:rPr>
        <w:t>Physiological needs – basic survival needs such as food, water, and rest (Maslow, 1943).</w:t>
      </w:r>
    </w:p>
    <w:p w14:paraId="474B2EB6" w14:textId="7A2EE5BA" w:rsidR="00030C50" w:rsidRPr="00FE009D" w:rsidRDefault="00484DBB" w:rsidP="00030C50">
      <w:pPr>
        <w:rPr>
          <w:rFonts w:ascii="Aptos" w:hAnsi="Aptos"/>
          <w:color w:val="EE0000"/>
          <w:sz w:val="22"/>
          <w:szCs w:val="22"/>
          <w:u w:color="004147"/>
        </w:rPr>
      </w:pPr>
      <w:r w:rsidRPr="00FE009D">
        <w:rPr>
          <w:rFonts w:ascii="Aptos" w:hAnsi="Aptos"/>
          <w:color w:val="EE0000"/>
          <w:sz w:val="22"/>
          <w:szCs w:val="22"/>
          <w:u w:color="004147"/>
        </w:rPr>
        <w:t>Maslow’s hierarchy of needs (Maslow, 1943) shows that employees are motivated by basic needs (physiological and safety) first, and once these are met, higher-level needs (belonging, esteem, self-actualisation) influence engagement and performance.</w:t>
      </w:r>
    </w:p>
    <w:p w14:paraId="1EB64C88" w14:textId="429F10ED" w:rsidR="007D4DA2" w:rsidRPr="00FE009D" w:rsidRDefault="007D4DA2" w:rsidP="007D4DA2">
      <w:pPr>
        <w:rPr>
          <w:rFonts w:ascii="Aptos" w:hAnsi="Aptos"/>
          <w:color w:val="EE0000"/>
          <w:sz w:val="22"/>
          <w:szCs w:val="22"/>
          <w:u w:color="004147"/>
        </w:rPr>
      </w:pPr>
      <w:r w:rsidRPr="00FE009D">
        <w:rPr>
          <w:rFonts w:ascii="Aptos" w:hAnsi="Aptos"/>
          <w:b/>
          <w:bCs/>
          <w:sz w:val="22"/>
          <w:szCs w:val="22"/>
          <w:u w:color="004147"/>
        </w:rPr>
        <w:t>Herzberg’s Motivation–Hygiene Theory</w:t>
      </w:r>
      <w:r w:rsidRPr="00FE009D">
        <w:rPr>
          <w:rFonts w:ascii="Aptos" w:hAnsi="Aptos"/>
          <w:sz w:val="22"/>
          <w:szCs w:val="22"/>
          <w:u w:color="004147"/>
        </w:rPr>
        <w:br/>
        <w:t xml:space="preserve">Herzberg distinguishes between factors that prevent dissatisfaction and those that drive motivation. </w:t>
      </w:r>
      <w:r w:rsidRPr="00FE009D">
        <w:rPr>
          <w:rFonts w:ascii="Aptos" w:hAnsi="Aptos"/>
          <w:strike/>
          <w:sz w:val="22"/>
          <w:szCs w:val="22"/>
          <w:u w:color="004147"/>
        </w:rPr>
        <w:t>Hygiene factors (salary, job security, working conditions) prevent dissatisfaction but do not create long-term motivation. Motivators (recognition, achievement, career development) drive engagement and discretionary effort (Waite et al., 2021, p.169).</w:t>
      </w:r>
      <w:r w:rsidR="00A55F75" w:rsidRPr="00FE009D">
        <w:rPr>
          <w:rFonts w:ascii="Aptos" w:hAnsi="Aptos"/>
          <w:strike/>
          <w:sz w:val="22"/>
          <w:szCs w:val="22"/>
          <w:u w:color="004147"/>
        </w:rPr>
        <w:t xml:space="preserve"> </w:t>
      </w:r>
      <w:r w:rsidR="00A55F75" w:rsidRPr="00FE009D">
        <w:rPr>
          <w:rFonts w:ascii="Aptos" w:hAnsi="Aptos"/>
          <w:color w:val="EE0000"/>
          <w:sz w:val="22"/>
          <w:szCs w:val="22"/>
          <w:u w:color="004147"/>
        </w:rPr>
        <w:t>Hygiene factors prevent dissatisfaction, while motivators drive engagement and discretionary effort (Waite et al., 2021, p.169).</w:t>
      </w:r>
    </w:p>
    <w:p w14:paraId="52A2B8E6" w14:textId="77777777" w:rsidR="007D4DA2" w:rsidRPr="00FE009D" w:rsidRDefault="007D4DA2" w:rsidP="007D4DA2">
      <w:pPr>
        <w:rPr>
          <w:rFonts w:ascii="Aptos" w:hAnsi="Aptos"/>
          <w:sz w:val="22"/>
          <w:szCs w:val="22"/>
          <w:u w:color="004147"/>
        </w:rPr>
      </w:pPr>
      <w:r w:rsidRPr="00FE009D">
        <w:rPr>
          <w:rFonts w:ascii="Aptos" w:hAnsi="Aptos"/>
          <w:sz w:val="22"/>
          <w:szCs w:val="22"/>
          <w:u w:color="004147"/>
        </w:rPr>
        <w:t>At Green Friendly Eco, the absence of incentives suggests hygiene factors are not fully addressed, contributing to high turnover and negative culture. To rebuild engagement, the organisation should ensure fair pay and job security, then strengthen motivators such as recognition and development opportunities.</w:t>
      </w:r>
    </w:p>
    <w:p w14:paraId="479C31EF" w14:textId="07F69808" w:rsidR="007D4DA2" w:rsidRPr="00FE009D" w:rsidRDefault="007D4DA2" w:rsidP="007D4DA2">
      <w:pPr>
        <w:rPr>
          <w:rFonts w:ascii="Aptos" w:hAnsi="Aptos"/>
          <w:sz w:val="22"/>
          <w:szCs w:val="22"/>
          <w:u w:color="004147"/>
        </w:rPr>
      </w:pPr>
      <w:r w:rsidRPr="00FE009D">
        <w:rPr>
          <w:rFonts w:ascii="Aptos" w:hAnsi="Aptos"/>
          <w:b/>
          <w:bCs/>
          <w:sz w:val="22"/>
          <w:szCs w:val="22"/>
          <w:u w:color="004147"/>
        </w:rPr>
        <w:t>Pay Structure and Management Support</w:t>
      </w:r>
      <w:r w:rsidRPr="00FE009D">
        <w:rPr>
          <w:rFonts w:ascii="Aptos" w:hAnsi="Aptos"/>
          <w:sz w:val="22"/>
          <w:szCs w:val="22"/>
          <w:u w:color="004147"/>
        </w:rPr>
        <w:br/>
        <w:t xml:space="preserve">A pay structure, comprising grades or bands, links jobs in a hierarchy and provides a framework to implement reward strategies (UWTSD, 2025). Well-designed structures align rewards with organisational objectives, ensure fairness, and communicate progression opportunities. Pay band span determines progression potential, while differentials reward additional responsibility, motivating staff and reinforcing desired behaviours. </w:t>
      </w:r>
      <w:r w:rsidRPr="00FE009D">
        <w:rPr>
          <w:rFonts w:ascii="Aptos" w:hAnsi="Aptos"/>
          <w:strike/>
          <w:sz w:val="22"/>
          <w:szCs w:val="22"/>
          <w:u w:color="004147"/>
        </w:rPr>
        <w:t>Managers who are trusted and skilled in communication can positively influence behaviour, whereas coercive approaches, such as threatening to withhold a bonus, reduce discretionary effort (Taylor &amp; Woodham, 2022, p.162).</w:t>
      </w:r>
      <w:r w:rsidRPr="00FE009D">
        <w:rPr>
          <w:rFonts w:ascii="Aptos" w:hAnsi="Aptos"/>
          <w:sz w:val="22"/>
          <w:szCs w:val="22"/>
          <w:u w:color="004147"/>
        </w:rPr>
        <w:t xml:space="preserve"> </w:t>
      </w:r>
      <w:r w:rsidR="00F55559" w:rsidRPr="00FE009D">
        <w:rPr>
          <w:rFonts w:ascii="Aptos" w:hAnsi="Aptos"/>
          <w:color w:val="EE0000"/>
          <w:sz w:val="22"/>
          <w:szCs w:val="22"/>
          <w:u w:color="004147"/>
        </w:rPr>
        <w:t>Trusted managers influence behaviour positively, while coercive approaches reduce discretionary effort (Taylor &amp; Woodham, 2022, p.162</w:t>
      </w:r>
      <w:r w:rsidR="00F55559" w:rsidRPr="00FE009D">
        <w:rPr>
          <w:rFonts w:ascii="Aptos" w:hAnsi="Aptos"/>
          <w:color w:val="EE0000"/>
          <w:sz w:val="22"/>
          <w:szCs w:val="22"/>
          <w:u w:color="004147"/>
        </w:rPr>
        <w:t>).</w:t>
      </w:r>
      <w:r w:rsidR="00F55559" w:rsidRPr="00FE009D">
        <w:rPr>
          <w:rFonts w:ascii="Aptos" w:hAnsi="Aptos"/>
          <w:sz w:val="22"/>
          <w:szCs w:val="22"/>
          <w:u w:color="004147"/>
        </w:rPr>
        <w:t xml:space="preserve"> Fair</w:t>
      </w:r>
      <w:r w:rsidRPr="00FE009D">
        <w:rPr>
          <w:rFonts w:ascii="Aptos" w:hAnsi="Aptos"/>
          <w:sz w:val="22"/>
          <w:szCs w:val="22"/>
          <w:u w:color="004147"/>
        </w:rPr>
        <w:t xml:space="preserve"> and transparent reward allocation supports trust and engagement (CIPD, 2025; Taylor &amp; Woodham, 2022, p.162).</w:t>
      </w:r>
    </w:p>
    <w:p w14:paraId="4E348A9F" w14:textId="479E460B" w:rsidR="007D4DA2" w:rsidRPr="00FE009D" w:rsidRDefault="007D4DA2" w:rsidP="007D4DA2">
      <w:pPr>
        <w:rPr>
          <w:rFonts w:ascii="Aptos" w:hAnsi="Aptos"/>
          <w:sz w:val="22"/>
          <w:szCs w:val="22"/>
          <w:u w:color="004147"/>
        </w:rPr>
      </w:pPr>
      <w:r w:rsidRPr="00FE009D">
        <w:rPr>
          <w:rFonts w:ascii="Aptos" w:hAnsi="Aptos"/>
          <w:b/>
          <w:bCs/>
          <w:sz w:val="22"/>
          <w:szCs w:val="22"/>
          <w:u w:color="004147"/>
        </w:rPr>
        <w:t>Conclusion</w:t>
      </w:r>
      <w:r w:rsidRPr="00FE009D">
        <w:rPr>
          <w:rFonts w:ascii="Aptos" w:hAnsi="Aptos"/>
          <w:sz w:val="22"/>
          <w:szCs w:val="22"/>
          <w:u w:color="004147"/>
        </w:rPr>
        <w:br/>
        <w:t>Extrinsic rewards like pay and job security prevent dissatisfaction but do not drive long-term motivation. Intrinsic rewards such as recognition and development foster engagement and discretionary effort. For Green Friendly Eco, hygiene factors must be addressed first, but motivators are needed to improve contribution. A balanced strategy combining fair pay with recognition and development is most likely to sustain performance.</w:t>
      </w:r>
    </w:p>
    <w:p w14:paraId="26CCAA7F" w14:textId="01D9936B" w:rsidR="00AF6117" w:rsidRPr="00FE009D" w:rsidRDefault="00C709DD" w:rsidP="00C709DD">
      <w:pPr>
        <w:rPr>
          <w:rFonts w:ascii="Aptos" w:hAnsi="Aptos"/>
          <w:b/>
          <w:bCs/>
          <w:sz w:val="22"/>
          <w:szCs w:val="22"/>
          <w:u w:color="004147"/>
        </w:rPr>
      </w:pPr>
      <w:r w:rsidRPr="00FE009D">
        <w:rPr>
          <w:rFonts w:ascii="Aptos" w:hAnsi="Aptos"/>
          <w:b/>
          <w:bCs/>
          <w:sz w:val="22"/>
          <w:szCs w:val="22"/>
          <w:u w:color="004147"/>
        </w:rPr>
        <w:t>(</w:t>
      </w:r>
      <w:r w:rsidR="001B50BE" w:rsidRPr="00FE009D">
        <w:rPr>
          <w:rFonts w:ascii="Aptos" w:hAnsi="Aptos"/>
          <w:b/>
          <w:bCs/>
          <w:sz w:val="22"/>
          <w:szCs w:val="22"/>
          <w:u w:color="004147"/>
        </w:rPr>
        <w:t>AC 2.1</w:t>
      </w:r>
      <w:r w:rsidRPr="00FE009D">
        <w:rPr>
          <w:rFonts w:ascii="Aptos" w:hAnsi="Aptos"/>
          <w:b/>
          <w:bCs/>
          <w:sz w:val="22"/>
          <w:szCs w:val="22"/>
          <w:u w:color="004147"/>
        </w:rPr>
        <w:t>)</w:t>
      </w:r>
      <w:r w:rsidR="00AF6117" w:rsidRPr="00FE009D">
        <w:rPr>
          <w:rFonts w:ascii="Aptos" w:hAnsi="Aptos"/>
          <w:b/>
          <w:bCs/>
          <w:color w:val="000000" w:themeColor="text1"/>
          <w:sz w:val="22"/>
          <w:szCs w:val="22"/>
        </w:rPr>
        <w:t xml:space="preserve"> </w:t>
      </w:r>
    </w:p>
    <w:p w14:paraId="58DB2913" w14:textId="05B055BF" w:rsidR="00831DD8" w:rsidRPr="00FE009D" w:rsidRDefault="00831DD8" w:rsidP="00831DD8">
      <w:pPr>
        <w:rPr>
          <w:rFonts w:ascii="Aptos" w:hAnsi="Aptos"/>
          <w:sz w:val="22"/>
          <w:szCs w:val="22"/>
          <w:u w:color="004147"/>
        </w:rPr>
      </w:pPr>
      <w:r w:rsidRPr="00FE009D">
        <w:rPr>
          <w:rFonts w:ascii="Aptos" w:hAnsi="Aptos"/>
          <w:strike/>
          <w:sz w:val="22"/>
          <w:szCs w:val="22"/>
          <w:u w:color="004147"/>
        </w:rPr>
        <w:t>According to the CIPD (2025), a pay structure is a framework of grades, levels or bands that links related jobs within a hierarchy and supports the implementation of reward strategies and policies. Pay structures provide a framework for wage progression, which describes how employees can receive pay increases either within the structure or through promotion. They encourage appropriate behaviours and performance by linking pay to role expectations and progression criteria.</w:t>
      </w:r>
      <w:r w:rsidRPr="00FE009D">
        <w:rPr>
          <w:rFonts w:ascii="Aptos" w:hAnsi="Aptos"/>
          <w:sz w:val="22"/>
          <w:szCs w:val="22"/>
          <w:u w:color="004147"/>
        </w:rPr>
        <w:t xml:space="preserve"> </w:t>
      </w:r>
      <w:r w:rsidR="00310190" w:rsidRPr="00FE009D">
        <w:rPr>
          <w:rFonts w:ascii="Aptos" w:hAnsi="Aptos"/>
          <w:color w:val="EE0000"/>
          <w:sz w:val="22"/>
          <w:szCs w:val="22"/>
          <w:u w:color="004147"/>
        </w:rPr>
        <w:t xml:space="preserve">A pay structure is a framework of grades or bands linking jobs within a hierarchy and supporting reward strategies (CIPD, 2025). It provides wage progression, showing how employees can receive pay increases within the structure or through promotion, and encourages appropriate behaviours by linking pay to role </w:t>
      </w:r>
      <w:r w:rsidR="00310190" w:rsidRPr="00FE009D">
        <w:rPr>
          <w:rFonts w:ascii="Aptos" w:hAnsi="Aptos"/>
          <w:color w:val="EE0000"/>
          <w:sz w:val="22"/>
          <w:szCs w:val="22"/>
          <w:u w:color="004147"/>
        </w:rPr>
        <w:t>expectations.</w:t>
      </w:r>
      <w:r w:rsidR="00310190" w:rsidRPr="00FE009D">
        <w:rPr>
          <w:rFonts w:ascii="Aptos" w:hAnsi="Aptos"/>
          <w:sz w:val="22"/>
          <w:szCs w:val="22"/>
          <w:u w:color="004147"/>
        </w:rPr>
        <w:t xml:space="preserve"> </w:t>
      </w:r>
      <w:r w:rsidR="00310190" w:rsidRPr="00FE009D">
        <w:rPr>
          <w:rFonts w:ascii="Aptos" w:hAnsi="Aptos"/>
          <w:strike/>
          <w:sz w:val="22"/>
          <w:szCs w:val="22"/>
          <w:u w:color="004147"/>
        </w:rPr>
        <w:t>Pay</w:t>
      </w:r>
      <w:r w:rsidRPr="00FE009D">
        <w:rPr>
          <w:rFonts w:ascii="Aptos" w:hAnsi="Aptos"/>
          <w:strike/>
          <w:sz w:val="22"/>
          <w:szCs w:val="22"/>
          <w:u w:color="004147"/>
        </w:rPr>
        <w:t xml:space="preserve"> structures align reward systems with an organisation’s mission, culture and business strategy, providing clarity in managing progression and career development. They also help ensure fairness and compliance (for example by preventing pay discrimination) and communicate how pay is determined and what employees must do to progress.</w:t>
      </w:r>
      <w:r w:rsidRPr="00FE009D">
        <w:rPr>
          <w:rFonts w:ascii="Aptos" w:hAnsi="Aptos"/>
          <w:sz w:val="22"/>
          <w:szCs w:val="22"/>
          <w:u w:color="004147"/>
        </w:rPr>
        <w:t xml:space="preserve"> </w:t>
      </w:r>
      <w:r w:rsidR="008D5F31" w:rsidRPr="00FE009D">
        <w:rPr>
          <w:rFonts w:ascii="Aptos" w:hAnsi="Aptos"/>
          <w:color w:val="EE0000"/>
          <w:sz w:val="22"/>
          <w:szCs w:val="22"/>
          <w:u w:color="004147"/>
        </w:rPr>
        <w:t xml:space="preserve">Pay structures align rewards with the organisation’s mission, culture and strategy, providing clarity in progression and career development. They also support fairness and compliance (e.g., preventing pay discrimination) and communicate how pay is </w:t>
      </w:r>
      <w:r w:rsidR="008D5F31" w:rsidRPr="00FE009D">
        <w:rPr>
          <w:rFonts w:ascii="Aptos" w:hAnsi="Aptos"/>
          <w:color w:val="EE0000"/>
          <w:sz w:val="22"/>
          <w:szCs w:val="22"/>
          <w:u w:color="004147"/>
        </w:rPr>
        <w:t>determined</w:t>
      </w:r>
      <w:r w:rsidR="008D5F31" w:rsidRPr="00FE009D">
        <w:rPr>
          <w:rFonts w:ascii="Aptos" w:hAnsi="Aptos"/>
          <w:sz w:val="22"/>
          <w:szCs w:val="22"/>
          <w:u w:color="004147"/>
        </w:rPr>
        <w:t>. The</w:t>
      </w:r>
      <w:r w:rsidRPr="00FE009D">
        <w:rPr>
          <w:rFonts w:ascii="Aptos" w:hAnsi="Aptos"/>
          <w:sz w:val="22"/>
          <w:szCs w:val="22"/>
          <w:u w:color="004147"/>
        </w:rPr>
        <w:t xml:space="preserve"> CIPD’s 201</w:t>
      </w:r>
      <w:r w:rsidR="00446F26" w:rsidRPr="00FE009D">
        <w:rPr>
          <w:rFonts w:ascii="Aptos" w:hAnsi="Aptos"/>
          <w:sz w:val="22"/>
          <w:szCs w:val="22"/>
          <w:u w:color="004147"/>
        </w:rPr>
        <w:t>8</w:t>
      </w:r>
      <w:r w:rsidRPr="00FE009D">
        <w:rPr>
          <w:rFonts w:ascii="Aptos" w:hAnsi="Aptos"/>
          <w:sz w:val="22"/>
          <w:szCs w:val="22"/>
          <w:u w:color="004147"/>
        </w:rPr>
        <w:t xml:space="preserve"> Reward Management survey found that 67% of employers use a pay structure, particularly larger organisations and public sector employers. Pay structures typically include pay band span, the percentage difference between minimum and maximum salary, and differentials, the percentage differences between midpoints of adjacent grades. For Green Friendly Eco, a clear pay structure and transparent progression routes could help reduce turnover by improving fairness and motivation (CIPD, 2025).</w:t>
      </w:r>
    </w:p>
    <w:p w14:paraId="6AC39E8F" w14:textId="77777777" w:rsidR="00831DD8" w:rsidRPr="00FE009D" w:rsidRDefault="00831DD8" w:rsidP="00831DD8">
      <w:pPr>
        <w:rPr>
          <w:rFonts w:ascii="Aptos" w:hAnsi="Aptos"/>
          <w:b/>
          <w:bCs/>
          <w:sz w:val="22"/>
          <w:szCs w:val="22"/>
          <w:u w:color="004147"/>
        </w:rPr>
      </w:pPr>
      <w:r w:rsidRPr="00FE009D">
        <w:rPr>
          <w:rFonts w:ascii="Aptos" w:hAnsi="Aptos"/>
          <w:b/>
          <w:bCs/>
          <w:sz w:val="22"/>
          <w:szCs w:val="22"/>
          <w:u w:color="004147"/>
        </w:rPr>
        <w:t>Formal pay structures</w:t>
      </w:r>
    </w:p>
    <w:p w14:paraId="6DA6B9ED" w14:textId="77777777" w:rsidR="00831DD8" w:rsidRPr="00FE009D" w:rsidRDefault="00831DD8" w:rsidP="00831DD8">
      <w:pPr>
        <w:rPr>
          <w:rFonts w:ascii="Aptos" w:hAnsi="Aptos"/>
          <w:sz w:val="22"/>
          <w:szCs w:val="22"/>
          <w:u w:color="004147"/>
        </w:rPr>
      </w:pPr>
      <w:r w:rsidRPr="00FE009D">
        <w:rPr>
          <w:rFonts w:ascii="Aptos" w:hAnsi="Aptos"/>
          <w:sz w:val="22"/>
          <w:szCs w:val="22"/>
          <w:u w:color="004147"/>
        </w:rPr>
        <w:t>Formal pay structures consist of defined grades or bands and support career progression, fairness and clarity. Multi-graded structures use many narrow grades linked to specific job levels and responsibilities, creating a clear hierarchical system (Waite et al., 2021, p.189). Narrow-graded structures include more grades with smaller salary ranges, giving frequent progression steps. Broad-graded structures use fewer grades with wider salary ranges, offering more flexibility but less clarity. Broad-banded structures combine several grades into one band, allowing greater flexibility and supporting wider responsibilities and job enrichment (Waite et al., 2021, p.189). Job families group similar roles into functions, such as IT or engineering. Each family has its own pay structure with defined levels and required skills, allowing different pay frameworks where market rates vary between functions (Waite et al., 2021, p.189).</w:t>
      </w:r>
    </w:p>
    <w:p w14:paraId="30379B1B" w14:textId="77777777" w:rsidR="00831DD8" w:rsidRPr="00FE009D" w:rsidRDefault="00831DD8" w:rsidP="00831DD8">
      <w:pPr>
        <w:rPr>
          <w:rFonts w:ascii="Aptos" w:hAnsi="Aptos"/>
          <w:b/>
          <w:bCs/>
          <w:sz w:val="22"/>
          <w:szCs w:val="22"/>
          <w:u w:color="004147"/>
        </w:rPr>
      </w:pPr>
      <w:r w:rsidRPr="00FE009D">
        <w:rPr>
          <w:rFonts w:ascii="Aptos" w:hAnsi="Aptos"/>
          <w:b/>
          <w:bCs/>
          <w:sz w:val="22"/>
          <w:szCs w:val="22"/>
          <w:u w:color="004147"/>
        </w:rPr>
        <w:t>Informal pay structures</w:t>
      </w:r>
    </w:p>
    <w:p w14:paraId="604624C3" w14:textId="77777777" w:rsidR="00831DD8" w:rsidRPr="00FE009D" w:rsidRDefault="00831DD8" w:rsidP="00831DD8">
      <w:pPr>
        <w:rPr>
          <w:rFonts w:ascii="Aptos" w:hAnsi="Aptos"/>
          <w:sz w:val="22"/>
          <w:szCs w:val="22"/>
          <w:u w:color="004147"/>
        </w:rPr>
      </w:pPr>
      <w:r w:rsidRPr="00FE009D">
        <w:rPr>
          <w:rFonts w:ascii="Aptos" w:hAnsi="Aptos"/>
          <w:sz w:val="22"/>
          <w:szCs w:val="22"/>
          <w:u w:color="004147"/>
        </w:rPr>
        <w:t>Informal pay structures are less structured and often used where roles are unique or where flexibility is prioritised. Spot rates are fixed pay rates set for a specific job, regardless of the individual employee. This method is transparent and ensures consistency for employees in the same role. CIPD (2019) notes that spot rates are a common method for setting base pay. Individual job grades assign pay rates to specific jobs rather than grouped grades, offering flexibility but risking inconsistency and reduced transparency.</w:t>
      </w:r>
    </w:p>
    <w:p w14:paraId="7DFD3164" w14:textId="77777777" w:rsidR="00831DD8" w:rsidRPr="00FE009D" w:rsidRDefault="00831DD8" w:rsidP="00831DD8">
      <w:pPr>
        <w:rPr>
          <w:rFonts w:ascii="Aptos" w:hAnsi="Aptos"/>
          <w:b/>
          <w:bCs/>
          <w:sz w:val="22"/>
          <w:szCs w:val="22"/>
          <w:u w:color="004147"/>
        </w:rPr>
      </w:pPr>
      <w:r w:rsidRPr="00FE009D">
        <w:rPr>
          <w:rFonts w:ascii="Aptos" w:hAnsi="Aptos"/>
          <w:b/>
          <w:bCs/>
          <w:sz w:val="22"/>
          <w:szCs w:val="22"/>
          <w:u w:color="004147"/>
        </w:rPr>
        <w:t>Comparison</w:t>
      </w:r>
    </w:p>
    <w:p w14:paraId="254447A8" w14:textId="51672AD8" w:rsidR="00735677" w:rsidRPr="00FE009D" w:rsidRDefault="00831DD8" w:rsidP="0046390B">
      <w:pPr>
        <w:rPr>
          <w:rFonts w:ascii="Aptos" w:hAnsi="Aptos"/>
          <w:sz w:val="22"/>
          <w:szCs w:val="22"/>
          <w:u w:color="004147"/>
        </w:rPr>
      </w:pPr>
      <w:r w:rsidRPr="00FE009D">
        <w:rPr>
          <w:rFonts w:ascii="Aptos" w:hAnsi="Aptos"/>
          <w:sz w:val="22"/>
          <w:szCs w:val="22"/>
          <w:u w:color="004147"/>
        </w:rPr>
        <w:t>Formal structures provide consistency, clear progression and fairness, improving motivation and retention. Informal structures offer flexibility and are easier to implement but can reduce transparency and create pay inconsistency. For Green Friendly Eco, a formal pay structure would likely improve fairness and reduce turnover, while spot rates could be used selectively for specialist roles (CIPD, 2019; Waite et al., 2021, p.189)</w:t>
      </w:r>
    </w:p>
    <w:p w14:paraId="629AD7EE" w14:textId="4BEB83D1" w:rsidR="00AE54F1" w:rsidRPr="00FE009D" w:rsidRDefault="00AE54F1" w:rsidP="0046390B">
      <w:pPr>
        <w:rPr>
          <w:rFonts w:ascii="Aptos" w:hAnsi="Aptos"/>
          <w:sz w:val="22"/>
          <w:szCs w:val="22"/>
          <w:u w:color="004147"/>
        </w:rPr>
      </w:pPr>
      <w:r w:rsidRPr="00FE009D">
        <w:rPr>
          <w:rFonts w:ascii="Aptos" w:hAnsi="Aptos"/>
          <w:b/>
          <w:bCs/>
          <w:color w:val="000000" w:themeColor="text1"/>
          <w:sz w:val="22"/>
          <w:szCs w:val="22"/>
        </w:rPr>
        <w:t>(AC 2.2)</w:t>
      </w:r>
    </w:p>
    <w:p w14:paraId="20B2A00F" w14:textId="77777777" w:rsidR="00CD1899" w:rsidRPr="00FE009D" w:rsidRDefault="00CD1899" w:rsidP="00CD1899">
      <w:pPr>
        <w:rPr>
          <w:rFonts w:ascii="Aptos" w:hAnsi="Aptos"/>
          <w:sz w:val="22"/>
          <w:szCs w:val="22"/>
        </w:rPr>
      </w:pPr>
      <w:r w:rsidRPr="00FE009D">
        <w:rPr>
          <w:rFonts w:ascii="Aptos" w:hAnsi="Aptos"/>
          <w:sz w:val="22"/>
          <w:szCs w:val="22"/>
        </w:rPr>
        <w:t>Contingent rewards are payments or incentives given only when specific performance criteria are met. They motivate employees by linking pay to outcomes or behaviours (CIPD, 2025). At Green Friendly Eco, there is currently no incentive scheme, yet employees are expected to meet standard times and measured day work. Introducing contingent rewards could improve motivation, engagement, and reduce turnover.</w:t>
      </w:r>
    </w:p>
    <w:p w14:paraId="7FB315D8" w14:textId="1BDA3034" w:rsidR="00CD1899" w:rsidRPr="00FE009D" w:rsidRDefault="00CD1899" w:rsidP="00CD1899">
      <w:pPr>
        <w:rPr>
          <w:rFonts w:ascii="Aptos" w:hAnsi="Aptos"/>
          <w:strike/>
          <w:sz w:val="22"/>
          <w:szCs w:val="22"/>
        </w:rPr>
      </w:pPr>
      <w:r w:rsidRPr="00FE009D">
        <w:rPr>
          <w:rFonts w:ascii="Aptos" w:hAnsi="Aptos"/>
          <w:b/>
          <w:bCs/>
          <w:sz w:val="22"/>
          <w:szCs w:val="22"/>
        </w:rPr>
        <w:t>Individual level</w:t>
      </w:r>
      <w:r w:rsidRPr="00FE009D">
        <w:rPr>
          <w:rFonts w:ascii="Aptos" w:hAnsi="Aptos"/>
          <w:sz w:val="22"/>
          <w:szCs w:val="22"/>
        </w:rPr>
        <w:br/>
        <w:t xml:space="preserve">Performance-related pay (PRP) links pay directly to performance outcomes. Research shows that performance-contingent rewards can improve individual performance by increasing motivation and effort. </w:t>
      </w:r>
      <w:r w:rsidRPr="00FE009D">
        <w:rPr>
          <w:rFonts w:ascii="Aptos" w:hAnsi="Aptos"/>
          <w:strike/>
          <w:sz w:val="22"/>
          <w:szCs w:val="22"/>
        </w:rPr>
        <w:t>Liegel et al. (2024) found participants responded faster when expecting a reward, suggesting performance-based rewards enhance focus</w:t>
      </w:r>
      <w:r w:rsidRPr="00FE009D">
        <w:rPr>
          <w:rFonts w:ascii="Aptos" w:hAnsi="Aptos"/>
          <w:sz w:val="22"/>
          <w:szCs w:val="22"/>
        </w:rPr>
        <w:t>. For Green Friendly Eco, PRP could encourage employees to meet or exceed standard times, improving productivity and reducing turnover (Liegel et al., 2024). The CIPD (2025) notes PRP can motivate employees when supported by fair performance measures and clear objectives.</w:t>
      </w:r>
      <w:r w:rsidR="00567AA5" w:rsidRPr="00FE009D">
        <w:rPr>
          <w:rFonts w:ascii="Aptos" w:hAnsi="Aptos"/>
          <w:sz w:val="22"/>
          <w:szCs w:val="22"/>
        </w:rPr>
        <w:t xml:space="preserve"> </w:t>
      </w:r>
      <w:r w:rsidR="00567AA5" w:rsidRPr="00FE009D">
        <w:rPr>
          <w:rFonts w:ascii="Aptos" w:hAnsi="Aptos"/>
          <w:strike/>
          <w:sz w:val="22"/>
          <w:szCs w:val="22"/>
        </w:rPr>
        <w:t>However, PRP can also create competition, stress and short-termism if targets are unrealistic or poorly designed, which may reduce cooperation and lead to quality issues if employees focus only on measurable outcomes (CIPD, 2025</w:t>
      </w:r>
      <w:r w:rsidR="00567AA5" w:rsidRPr="00FE009D">
        <w:rPr>
          <w:rFonts w:ascii="Aptos" w:hAnsi="Aptos"/>
          <w:sz w:val="22"/>
          <w:szCs w:val="22"/>
        </w:rPr>
        <w:t>).</w:t>
      </w:r>
      <w:r w:rsidR="006E15D0" w:rsidRPr="00FE009D">
        <w:rPr>
          <w:rFonts w:ascii="Aptos" w:hAnsi="Aptos"/>
          <w:sz w:val="22"/>
          <w:szCs w:val="22"/>
        </w:rPr>
        <w:t xml:space="preserve"> </w:t>
      </w:r>
      <w:r w:rsidR="006E15D0" w:rsidRPr="00FE009D">
        <w:rPr>
          <w:rFonts w:ascii="Aptos" w:hAnsi="Aptos"/>
          <w:color w:val="EE0000"/>
          <w:sz w:val="22"/>
          <w:szCs w:val="22"/>
        </w:rPr>
        <w:t>However, poorly designed PRP can create stress and short-term focus, reducing cooperation and quality (CIPD, 2025).</w:t>
      </w:r>
    </w:p>
    <w:p w14:paraId="1459FABB" w14:textId="77777777" w:rsidR="00CD1899" w:rsidRPr="00FE009D" w:rsidRDefault="00CD1899" w:rsidP="00CD1899">
      <w:pPr>
        <w:rPr>
          <w:rFonts w:ascii="Aptos" w:hAnsi="Aptos"/>
          <w:sz w:val="22"/>
          <w:szCs w:val="22"/>
        </w:rPr>
      </w:pPr>
      <w:r w:rsidRPr="00FE009D">
        <w:rPr>
          <w:rFonts w:ascii="Aptos" w:hAnsi="Aptos"/>
          <w:sz w:val="22"/>
          <w:szCs w:val="22"/>
        </w:rPr>
        <w:t>Competency-related pay rewards employees for developing skills and behaviours needed for effective performance (CIPD, 2025). Contribution-related pay rewards employees for exceeding normal job requirements, such as suggesting improvements or showing initiative, which could help Green Friendly Eco improve production processes. Skill-based pay rewards employees for acquiring additional skills, increasing workforce flexibility. Service-related pay increases pay based on length of service; while this may improve loyalty, it has limited impact on performance because rewards are not linked to outcomes (CIPD, 2025).</w:t>
      </w:r>
    </w:p>
    <w:p w14:paraId="57BC60F1" w14:textId="1ED89B9F" w:rsidR="00BA380A" w:rsidRPr="00FE009D" w:rsidRDefault="00CD1899" w:rsidP="00CD1899">
      <w:pPr>
        <w:rPr>
          <w:rFonts w:ascii="Aptos" w:hAnsi="Aptos"/>
          <w:b/>
          <w:bCs/>
          <w:sz w:val="22"/>
          <w:szCs w:val="22"/>
        </w:rPr>
      </w:pPr>
      <w:r w:rsidRPr="00FE009D">
        <w:rPr>
          <w:rFonts w:ascii="Aptos" w:hAnsi="Aptos"/>
          <w:b/>
          <w:bCs/>
          <w:sz w:val="22"/>
          <w:szCs w:val="22"/>
        </w:rPr>
        <w:t>Team level</w:t>
      </w:r>
    </w:p>
    <w:p w14:paraId="5AF483C4" w14:textId="0F38E770" w:rsidR="00CD1899" w:rsidRPr="00FE009D" w:rsidRDefault="00BA380A" w:rsidP="00CD1899">
      <w:pPr>
        <w:rPr>
          <w:rFonts w:ascii="Aptos" w:hAnsi="Aptos"/>
          <w:sz w:val="22"/>
          <w:szCs w:val="22"/>
        </w:rPr>
      </w:pPr>
      <w:r w:rsidRPr="00FE009D">
        <w:rPr>
          <w:rFonts w:ascii="Aptos" w:hAnsi="Aptos"/>
          <w:sz w:val="22"/>
          <w:szCs w:val="22"/>
        </w:rPr>
        <w:t xml:space="preserve">PRP can improve team performance when goals are clear and measurable. </w:t>
      </w:r>
      <w:r w:rsidRPr="00FE009D">
        <w:rPr>
          <w:rFonts w:ascii="Aptos" w:hAnsi="Aptos"/>
          <w:strike/>
          <w:sz w:val="22"/>
          <w:szCs w:val="22"/>
        </w:rPr>
        <w:t xml:space="preserve">Liegel et al. (2024) found reward effects were stronger when tasks were specific, suggesting clear team targets could improve coordination at Green Friendly Eco. </w:t>
      </w:r>
      <w:r w:rsidRPr="00FE009D">
        <w:rPr>
          <w:rFonts w:ascii="Aptos" w:hAnsi="Aptos"/>
          <w:sz w:val="22"/>
          <w:szCs w:val="22"/>
        </w:rPr>
        <w:t>Competency- and skill-based pay support teams by ensuring members have a broader range of skills, allowing teams to cover absences and reduce production delays. Contribution-related pay encourages team members to share ideas and support each other. Service-related pay increases team stability but may not encourage innovation (CIPD, 2025). Potential risks: Contingent rewards can also create conflict within teams if members feel targets are unfair or if individuals free-ride on others’ efforts, reducing collaboration and trust (CIPD, 2025).</w:t>
      </w:r>
    </w:p>
    <w:p w14:paraId="716FDA01" w14:textId="4A5FD6DC" w:rsidR="00CD1899" w:rsidRPr="00FE009D" w:rsidRDefault="00CD1899" w:rsidP="00CD1899">
      <w:pPr>
        <w:rPr>
          <w:rFonts w:ascii="Aptos" w:hAnsi="Aptos"/>
          <w:sz w:val="22"/>
          <w:szCs w:val="22"/>
        </w:rPr>
      </w:pPr>
      <w:r w:rsidRPr="00FE009D">
        <w:rPr>
          <w:rFonts w:ascii="Aptos" w:hAnsi="Aptos"/>
          <w:b/>
          <w:bCs/>
          <w:sz w:val="22"/>
          <w:szCs w:val="22"/>
        </w:rPr>
        <w:t>Organisational level</w:t>
      </w:r>
      <w:r w:rsidRPr="00FE009D">
        <w:rPr>
          <w:rFonts w:ascii="Aptos" w:hAnsi="Aptos"/>
          <w:sz w:val="22"/>
          <w:szCs w:val="22"/>
        </w:rPr>
        <w:br/>
        <w:t xml:space="preserve">PRP can improve productivity by aligning employee behaviour with business objectives. </w:t>
      </w:r>
      <w:r w:rsidRPr="00FE009D">
        <w:rPr>
          <w:rFonts w:ascii="Aptos" w:hAnsi="Aptos"/>
          <w:strike/>
          <w:sz w:val="22"/>
          <w:szCs w:val="22"/>
        </w:rPr>
        <w:t>Liegel et al. (2024) showed performance-contingent rewards increase attention and preparation, leading to improved outcomes.</w:t>
      </w:r>
      <w:r w:rsidRPr="00FE009D">
        <w:rPr>
          <w:rFonts w:ascii="Aptos" w:hAnsi="Aptos"/>
          <w:sz w:val="22"/>
          <w:szCs w:val="22"/>
        </w:rPr>
        <w:t xml:space="preserve"> </w:t>
      </w:r>
      <w:r w:rsidR="00BE79FB" w:rsidRPr="00FE009D">
        <w:rPr>
          <w:rFonts w:ascii="Aptos" w:hAnsi="Aptos"/>
          <w:color w:val="EE0000"/>
          <w:sz w:val="22"/>
          <w:szCs w:val="22"/>
        </w:rPr>
        <w:t xml:space="preserve">Research suggests performance-contingent rewards can improve organisational </w:t>
      </w:r>
      <w:r w:rsidR="00BE79FB" w:rsidRPr="00FE009D">
        <w:rPr>
          <w:rFonts w:ascii="Aptos" w:hAnsi="Aptos"/>
          <w:color w:val="EE0000"/>
          <w:sz w:val="22"/>
          <w:szCs w:val="22"/>
        </w:rPr>
        <w:t xml:space="preserve">outcomes. </w:t>
      </w:r>
      <w:r w:rsidR="00BE79FB" w:rsidRPr="00FE009D">
        <w:rPr>
          <w:rFonts w:ascii="Aptos" w:hAnsi="Aptos"/>
          <w:sz w:val="22"/>
          <w:szCs w:val="22"/>
        </w:rPr>
        <w:t>For</w:t>
      </w:r>
      <w:r w:rsidRPr="00FE009D">
        <w:rPr>
          <w:rFonts w:ascii="Aptos" w:hAnsi="Aptos"/>
          <w:sz w:val="22"/>
          <w:szCs w:val="22"/>
        </w:rPr>
        <w:t xml:space="preserve"> Green Friendly Eco, PRP could help address negative culture by reinforcing performance expectations. Skill-, competency- and contribution-based rewards support long-term performance by building capability, flexibility and engagement, while service-related pay supports retention but should not be relied on alone (CIPD, 2025).</w:t>
      </w:r>
    </w:p>
    <w:p w14:paraId="5AC01045" w14:textId="6887C99F" w:rsidR="007A7133" w:rsidRPr="00FE009D" w:rsidRDefault="00CD1899" w:rsidP="00D115FB">
      <w:pPr>
        <w:rPr>
          <w:rFonts w:ascii="Aptos" w:hAnsi="Aptos"/>
          <w:sz w:val="22"/>
          <w:szCs w:val="22"/>
        </w:rPr>
      </w:pPr>
      <w:r w:rsidRPr="00FE009D">
        <w:rPr>
          <w:rFonts w:ascii="Aptos" w:hAnsi="Aptos"/>
          <w:strike/>
          <w:sz w:val="22"/>
          <w:szCs w:val="22"/>
        </w:rPr>
        <w:t>Overall, contingent pay systems can significantly influence individual, team and organisational performance. Introducing PRP and other contingent rewards could reduce turnover, improve motivation, and create a more positive performance-focused culture (Liegel et al., 2024; CIPD, 2025).</w:t>
      </w:r>
    </w:p>
    <w:p w14:paraId="64DD8B8E" w14:textId="4B437E8E" w:rsidR="00292F07" w:rsidRPr="00FE009D" w:rsidRDefault="00292F07" w:rsidP="00D115FB">
      <w:pPr>
        <w:rPr>
          <w:rFonts w:ascii="Aptos" w:hAnsi="Aptos"/>
          <w:color w:val="EE0000"/>
          <w:sz w:val="22"/>
          <w:szCs w:val="22"/>
        </w:rPr>
      </w:pPr>
      <w:r w:rsidRPr="00FE009D">
        <w:rPr>
          <w:rFonts w:ascii="Aptos" w:hAnsi="Aptos"/>
          <w:color w:val="EE0000"/>
          <w:sz w:val="22"/>
          <w:szCs w:val="22"/>
        </w:rPr>
        <w:t>Overall, contingent pay can influence performance at all levels and could help reduce turnover and strengthen culture (CIPD, 2025).</w:t>
      </w:r>
    </w:p>
    <w:p w14:paraId="4BB928E2" w14:textId="576D87AF" w:rsidR="000D30CC" w:rsidRPr="00FE009D" w:rsidRDefault="00BB514A" w:rsidP="000D30CC">
      <w:pPr>
        <w:pStyle w:val="Nornal"/>
        <w:pBdr>
          <w:top w:val="none" w:sz="0" w:space="0" w:color="auto"/>
          <w:left w:val="none" w:sz="0" w:space="0" w:color="auto"/>
          <w:bottom w:val="none" w:sz="0" w:space="0" w:color="auto"/>
          <w:right w:val="none" w:sz="0" w:space="0" w:color="auto"/>
          <w:between w:val="none" w:sz="0" w:space="0" w:color="auto"/>
          <w:bar w:val="none" w:sz="0" w:color="auto"/>
        </w:pBdr>
        <w:spacing w:after="0" w:line="240" w:lineRule="auto"/>
        <w:rPr>
          <w:rFonts w:ascii="Aptos" w:hAnsi="Aptos"/>
          <w:b/>
          <w:bCs/>
        </w:rPr>
      </w:pPr>
      <w:r w:rsidRPr="00FE009D">
        <w:rPr>
          <w:rFonts w:ascii="Aptos" w:hAnsi="Aptos"/>
          <w:b/>
          <w:bCs/>
        </w:rPr>
        <w:t>(AC 2.3)</w:t>
      </w:r>
      <w:r w:rsidR="000D30CC" w:rsidRPr="00FE009D">
        <w:rPr>
          <w:rFonts w:ascii="Aptos" w:hAnsi="Aptos"/>
          <w:b/>
          <w:bCs/>
        </w:rPr>
        <w:t xml:space="preserve"> </w:t>
      </w:r>
    </w:p>
    <w:p w14:paraId="3DCD8CF6" w14:textId="77777777" w:rsidR="004A0C63" w:rsidRPr="00FE009D" w:rsidRDefault="004A0C63" w:rsidP="00D479A1">
      <w:pPr>
        <w:pStyle w:val="Nornal"/>
        <w:pBdr>
          <w:top w:val="none" w:sz="0" w:space="0" w:color="auto"/>
          <w:left w:val="none" w:sz="0" w:space="0" w:color="auto"/>
          <w:bottom w:val="none" w:sz="0" w:space="0" w:color="auto"/>
          <w:right w:val="none" w:sz="0" w:space="0" w:color="auto"/>
          <w:between w:val="none" w:sz="0" w:space="0" w:color="auto"/>
          <w:bar w:val="none" w:sz="0" w:color="auto"/>
        </w:pBdr>
        <w:spacing w:after="0" w:line="240" w:lineRule="auto"/>
        <w:rPr>
          <w:rFonts w:ascii="Aptos" w:hAnsi="Aptos"/>
        </w:rPr>
      </w:pPr>
    </w:p>
    <w:p w14:paraId="735F6DA3" w14:textId="4294EB04" w:rsidR="00695754" w:rsidRPr="00FE009D" w:rsidRDefault="00695754" w:rsidP="00695754">
      <w:pPr>
        <w:pStyle w:val="Nornal"/>
        <w:spacing w:after="0"/>
        <w:rPr>
          <w:rFonts w:ascii="Aptos" w:hAnsi="Aptos"/>
          <w:color w:val="EE0000"/>
          <w:lang w:val="en-GB"/>
        </w:rPr>
      </w:pPr>
      <w:r w:rsidRPr="00FE009D">
        <w:rPr>
          <w:rFonts w:ascii="Aptos" w:hAnsi="Aptos"/>
          <w:strike/>
          <w:lang w:val="en-GB"/>
        </w:rPr>
        <w:t>Employee benefits are non-pay rewards provided in addition to basic salary. They play an important role in attracting, retaining and engaging employees, while also supporting wellbeing and organisational commitment (CIPD, 2025). For Green Friendly Eco, which is experiencing high turnover and a negative culture, a well-designed benefits package could help address these challenges without relying solely on pay increases.</w:t>
      </w:r>
      <w:r w:rsidR="00C00349" w:rsidRPr="00FE009D">
        <w:rPr>
          <w:rFonts w:ascii="Aptos" w:eastAsiaTheme="minorHAnsi" w:hAnsi="Aptos" w:cstheme="minorBidi"/>
          <w:color w:val="auto"/>
          <w:kern w:val="2"/>
          <w:bdr w:val="none" w:sz="0" w:space="0" w:color="auto"/>
          <w:lang w:val="en-GB" w:eastAsia="en-US"/>
          <w14:ligatures w14:val="standardContextual"/>
        </w:rPr>
        <w:t xml:space="preserve"> </w:t>
      </w:r>
      <w:r w:rsidR="00C00349" w:rsidRPr="00FE009D">
        <w:rPr>
          <w:rFonts w:ascii="Aptos" w:hAnsi="Aptos"/>
          <w:color w:val="EE0000"/>
          <w:lang w:val="en-GB"/>
        </w:rPr>
        <w:t>Employee benefits are non-pay rewards in addition to salary. They support attraction, retention, engagement, wellbeing and organisational commitment (CIPD, 2025). For Green Friendly Eco, a well-designed package could help reduce turnover and improve culture without relying on pay increases.</w:t>
      </w:r>
    </w:p>
    <w:p w14:paraId="067CC4FA" w14:textId="77777777" w:rsidR="00695754" w:rsidRPr="00FE009D" w:rsidRDefault="00695754" w:rsidP="00695754">
      <w:pPr>
        <w:pStyle w:val="Nornal"/>
        <w:spacing w:after="0"/>
        <w:rPr>
          <w:rFonts w:ascii="Aptos" w:hAnsi="Aptos"/>
          <w:lang w:val="en-GB"/>
        </w:rPr>
      </w:pPr>
    </w:p>
    <w:p w14:paraId="2EFDFC27" w14:textId="12D5DB4B" w:rsidR="00695754" w:rsidRPr="00FE009D" w:rsidRDefault="00695754" w:rsidP="00695754">
      <w:pPr>
        <w:pStyle w:val="Nornal"/>
        <w:spacing w:after="0"/>
        <w:rPr>
          <w:rFonts w:ascii="Aptos" w:hAnsi="Aptos"/>
          <w:color w:val="EE0000"/>
          <w:lang w:val="en-GB"/>
        </w:rPr>
      </w:pPr>
      <w:r w:rsidRPr="00FE009D">
        <w:rPr>
          <w:rFonts w:ascii="Aptos" w:hAnsi="Aptos"/>
          <w:b/>
          <w:bCs/>
          <w:lang w:val="en-GB"/>
        </w:rPr>
        <w:t>Retention:</w:t>
      </w:r>
      <w:r w:rsidRPr="00FE009D">
        <w:rPr>
          <w:rFonts w:ascii="Aptos" w:hAnsi="Aptos"/>
          <w:lang w:val="en-GB"/>
        </w:rPr>
        <w:t xml:space="preserve"> </w:t>
      </w:r>
      <w:r w:rsidRPr="00FE009D">
        <w:rPr>
          <w:rFonts w:ascii="Aptos" w:hAnsi="Aptos"/>
          <w:strike/>
          <w:lang w:val="en-GB"/>
        </w:rPr>
        <w:t>Pensions provide long-term financial security, encouraging employees to stay with the organisation. The CIPD (2025) notes that pension schemes are particularly valued by employees seeking stability, making them effective in reducing turnover. For Green Friendly Eco, pensions could help retain experienced staff and reduce recruitment and training costs. Taylor and Woodham (2022, p.101) explain that retention initiatives and career development opportunities are important in maintaining employee commitment. Benefits such as pensions, combined with development opportunities and supportive management, can strengthen loyalty and reduce turnover.</w:t>
      </w:r>
      <w:r w:rsidR="00336D73" w:rsidRPr="00FE009D">
        <w:rPr>
          <w:rFonts w:ascii="Aptos" w:eastAsiaTheme="minorHAnsi" w:hAnsi="Aptos" w:cstheme="minorBidi"/>
          <w:color w:val="auto"/>
          <w:kern w:val="2"/>
          <w:bdr w:val="none" w:sz="0" w:space="0" w:color="auto"/>
          <w:lang w:val="en-GB" w:eastAsia="en-US"/>
          <w14:ligatures w14:val="standardContextual"/>
        </w:rPr>
        <w:t xml:space="preserve"> </w:t>
      </w:r>
      <w:r w:rsidR="00336D73" w:rsidRPr="00FE009D">
        <w:rPr>
          <w:rFonts w:ascii="Aptos" w:hAnsi="Aptos"/>
          <w:color w:val="EE0000"/>
          <w:lang w:val="en-GB"/>
        </w:rPr>
        <w:t>Pensions provide financial security, encouraging retention (CIPD, 2025). For Green Friendly Eco, pensions could help retain experienced staff and reduce recruitment costs. Retention initiatives and development opportunities also strengthen loyalty (Taylor &amp; Woodham, 2022, p.101).</w:t>
      </w:r>
    </w:p>
    <w:p w14:paraId="5FE3D385" w14:textId="77777777" w:rsidR="00695754" w:rsidRPr="00FE009D" w:rsidRDefault="00695754" w:rsidP="00695754">
      <w:pPr>
        <w:pStyle w:val="Nornal"/>
        <w:spacing w:after="0"/>
        <w:rPr>
          <w:rFonts w:ascii="Aptos" w:hAnsi="Aptos"/>
          <w:lang w:val="en-GB"/>
        </w:rPr>
      </w:pPr>
    </w:p>
    <w:p w14:paraId="60BF3A69" w14:textId="3963CFB4" w:rsidR="00695754" w:rsidRPr="00FE009D" w:rsidRDefault="00695754" w:rsidP="00695754">
      <w:pPr>
        <w:pStyle w:val="Nornal"/>
        <w:spacing w:after="0"/>
        <w:rPr>
          <w:rFonts w:ascii="Aptos" w:hAnsi="Aptos"/>
          <w:color w:val="EE0000"/>
          <w:lang w:val="en-GB"/>
        </w:rPr>
      </w:pPr>
      <w:r w:rsidRPr="00FE009D">
        <w:rPr>
          <w:rFonts w:ascii="Aptos" w:hAnsi="Aptos"/>
          <w:b/>
          <w:bCs/>
          <w:lang w:val="en-GB"/>
        </w:rPr>
        <w:t>Engagement and wellbeing:</w:t>
      </w:r>
      <w:r w:rsidRPr="00FE009D">
        <w:rPr>
          <w:rFonts w:ascii="Aptos" w:hAnsi="Aptos"/>
          <w:lang w:val="en-GB"/>
        </w:rPr>
        <w:t xml:space="preserve"> </w:t>
      </w:r>
      <w:r w:rsidRPr="00FE009D">
        <w:rPr>
          <w:rFonts w:ascii="Aptos" w:hAnsi="Aptos"/>
          <w:strike/>
          <w:lang w:val="en-GB"/>
        </w:rPr>
        <w:t>Healthcare and insurance benefits, such as enhanced sick pay, life assurance and private medical cover, support wellbeing and reduce financial anxiety. The CIPD (2025) explains that wellbeing-related benefits can reduce absence and improve morale. ACAS (2023) also highlights that benefits like sick pay and wellbeing support improve morale and employee relations when applied fairly and consistently. For Green Friendly Eco, healthcare benefits could improve culture and productivity, especially in physically demanding manufacturing roles</w:t>
      </w:r>
      <w:r w:rsidRPr="00FE009D">
        <w:rPr>
          <w:rFonts w:ascii="Aptos" w:hAnsi="Aptos"/>
          <w:color w:val="EE0000"/>
          <w:lang w:val="en-GB"/>
        </w:rPr>
        <w:t>.</w:t>
      </w:r>
      <w:r w:rsidR="00030EF4" w:rsidRPr="00FE009D">
        <w:rPr>
          <w:rFonts w:ascii="Aptos" w:eastAsiaTheme="minorHAnsi" w:hAnsi="Aptos" w:cstheme="minorBidi"/>
          <w:color w:val="EE0000"/>
          <w:kern w:val="2"/>
          <w:bdr w:val="none" w:sz="0" w:space="0" w:color="auto"/>
          <w:lang w:val="en-GB" w:eastAsia="en-US"/>
          <w14:ligatures w14:val="standardContextual"/>
        </w:rPr>
        <w:t xml:space="preserve"> </w:t>
      </w:r>
      <w:r w:rsidR="00030EF4" w:rsidRPr="00FE009D">
        <w:rPr>
          <w:rFonts w:ascii="Aptos" w:hAnsi="Aptos"/>
          <w:color w:val="EE0000"/>
          <w:lang w:val="en-GB"/>
        </w:rPr>
        <w:t>Healthcare benefits, including enhanced sick pay, life assurance and private medical cover, support wellbeing and reduce absence. The CIPD (2025) notes that wellbeing-related benefits can improve morale, while ACAS (2023) highlights that fair and consistent application of such benefits strengthens employee relations. For Green Friendly Eco, these benefits could improve culture and productivity, especially in physically demanding manufacturing roles.</w:t>
      </w:r>
    </w:p>
    <w:p w14:paraId="4077FEFE" w14:textId="77777777" w:rsidR="00695754" w:rsidRPr="00FE009D" w:rsidRDefault="00695754" w:rsidP="00695754">
      <w:pPr>
        <w:pStyle w:val="Nornal"/>
        <w:spacing w:after="0"/>
        <w:rPr>
          <w:rFonts w:ascii="Aptos" w:hAnsi="Aptos"/>
          <w:lang w:val="en-GB"/>
        </w:rPr>
      </w:pPr>
    </w:p>
    <w:p w14:paraId="2330AA9C" w14:textId="0368B33B" w:rsidR="00695754" w:rsidRPr="00FE009D" w:rsidRDefault="00695754" w:rsidP="00695754">
      <w:pPr>
        <w:pStyle w:val="Nornal"/>
        <w:spacing w:after="0"/>
        <w:rPr>
          <w:rFonts w:ascii="Aptos" w:hAnsi="Aptos"/>
          <w:color w:val="EE0000"/>
          <w:lang w:val="en-GB"/>
        </w:rPr>
      </w:pPr>
      <w:r w:rsidRPr="00FE009D">
        <w:rPr>
          <w:rFonts w:ascii="Aptos" w:hAnsi="Aptos"/>
          <w:b/>
          <w:bCs/>
          <w:lang w:val="en-GB"/>
        </w:rPr>
        <w:t>Attraction:</w:t>
      </w:r>
      <w:r w:rsidRPr="00FE009D">
        <w:rPr>
          <w:rFonts w:ascii="Aptos" w:hAnsi="Aptos"/>
          <w:lang w:val="en-GB"/>
        </w:rPr>
        <w:t xml:space="preserve"> </w:t>
      </w:r>
      <w:r w:rsidRPr="00FE009D">
        <w:rPr>
          <w:rFonts w:ascii="Aptos" w:hAnsi="Aptos"/>
          <w:strike/>
          <w:lang w:val="en-GB"/>
        </w:rPr>
        <w:t>Family-friendly benefits, including enhanced maternity, paternity and adoption leave, and childcare support, help employees balance work and personal responsibilities. The CIPD (2025) highlights that these benefits improve retention and make organisations more attractive to a diverse workforce. For Green Friendly Eco, family-friendly benefits could support inclusion and reduce turnover, particularly for working parents and carers.</w:t>
      </w:r>
      <w:r w:rsidR="00AD5D72" w:rsidRPr="00FE009D">
        <w:rPr>
          <w:rFonts w:ascii="Aptos" w:eastAsiaTheme="minorHAnsi" w:hAnsi="Aptos" w:cstheme="minorBidi"/>
          <w:color w:val="auto"/>
          <w:kern w:val="2"/>
          <w:bdr w:val="none" w:sz="0" w:space="0" w:color="auto"/>
          <w:lang w:val="en-GB" w:eastAsia="en-US"/>
          <w14:ligatures w14:val="standardContextual"/>
        </w:rPr>
        <w:t xml:space="preserve"> </w:t>
      </w:r>
      <w:r w:rsidR="00AD5D72" w:rsidRPr="00FE009D">
        <w:rPr>
          <w:rFonts w:ascii="Aptos" w:hAnsi="Aptos"/>
          <w:color w:val="EE0000"/>
          <w:lang w:val="en-GB"/>
        </w:rPr>
        <w:t>Family-friendly benefits, such as maternity, paternity and adoption leave, and childcare support, help employees balance work and personal life, supporting retention and inclusion (CIPD, 2025). For Green Friendly Eco, these could reduce turnover.</w:t>
      </w:r>
    </w:p>
    <w:p w14:paraId="41846028" w14:textId="77777777" w:rsidR="00695754" w:rsidRPr="00FE009D" w:rsidRDefault="00695754" w:rsidP="00695754">
      <w:pPr>
        <w:pStyle w:val="Nornal"/>
        <w:spacing w:after="0"/>
        <w:rPr>
          <w:rFonts w:ascii="Aptos" w:hAnsi="Aptos"/>
          <w:lang w:val="en-GB"/>
        </w:rPr>
      </w:pPr>
    </w:p>
    <w:p w14:paraId="1D0DDBB2" w14:textId="5FEB5BC0" w:rsidR="00695754" w:rsidRPr="00FE009D" w:rsidRDefault="00695754" w:rsidP="00695754">
      <w:pPr>
        <w:pStyle w:val="Nornal"/>
        <w:spacing w:after="0"/>
        <w:rPr>
          <w:rFonts w:ascii="Aptos" w:hAnsi="Aptos"/>
          <w:strike/>
          <w:lang w:val="en-GB"/>
        </w:rPr>
      </w:pPr>
      <w:r w:rsidRPr="00FE009D">
        <w:rPr>
          <w:rFonts w:ascii="Aptos" w:hAnsi="Aptos"/>
          <w:b/>
          <w:bCs/>
          <w:lang w:val="en-GB"/>
        </w:rPr>
        <w:t>Individual differences:</w:t>
      </w:r>
      <w:r w:rsidRPr="00FE009D">
        <w:rPr>
          <w:rFonts w:ascii="Aptos" w:hAnsi="Aptos"/>
          <w:lang w:val="en-GB"/>
        </w:rPr>
        <w:t xml:space="preserve"> </w:t>
      </w:r>
      <w:r w:rsidRPr="00FE009D">
        <w:rPr>
          <w:rFonts w:ascii="Aptos" w:hAnsi="Aptos"/>
          <w:strike/>
          <w:lang w:val="en-GB"/>
        </w:rPr>
        <w:t>Flexible benefits allow employees to choose rewards that suit their needs, increasing the perceived value of the package. The CIPD (2025) explains that flexible benefits can improve motivation and satisfaction without significantly increasing costs. This would allow Green Friendly Eco to meet diverse employee needs while managing budgets effectively.</w:t>
      </w:r>
      <w:r w:rsidR="00EC16FD" w:rsidRPr="00FE009D">
        <w:rPr>
          <w:rFonts w:ascii="Aptos" w:eastAsiaTheme="minorHAnsi" w:hAnsi="Aptos" w:cstheme="minorBidi"/>
          <w:color w:val="auto"/>
          <w:kern w:val="2"/>
          <w:bdr w:val="none" w:sz="0" w:space="0" w:color="auto"/>
          <w:lang w:val="en-GB" w:eastAsia="en-US"/>
          <w14:ligatures w14:val="standardContextual"/>
        </w:rPr>
        <w:t xml:space="preserve"> </w:t>
      </w:r>
      <w:r w:rsidR="00EC16FD" w:rsidRPr="00FE009D">
        <w:rPr>
          <w:rFonts w:ascii="Aptos" w:hAnsi="Aptos"/>
          <w:color w:val="EE0000"/>
          <w:lang w:val="en-GB"/>
        </w:rPr>
        <w:t>Flexible benefits let employees choose rewards that suit their needs, increasing perceived value and satisfaction without significant extra cost (CIPD, 2025). This allows Green Friendly Eco to meet diverse needs while managing budgets</w:t>
      </w:r>
      <w:r w:rsidR="00EC16FD" w:rsidRPr="00FE009D">
        <w:rPr>
          <w:rFonts w:ascii="Aptos" w:hAnsi="Aptos"/>
          <w:strike/>
          <w:lang w:val="en-GB"/>
        </w:rPr>
        <w:t>.</w:t>
      </w:r>
    </w:p>
    <w:p w14:paraId="086B6AD8" w14:textId="77777777" w:rsidR="00695754" w:rsidRPr="00FE009D" w:rsidRDefault="00695754" w:rsidP="00695754">
      <w:pPr>
        <w:pStyle w:val="Nornal"/>
        <w:spacing w:after="0"/>
        <w:rPr>
          <w:rFonts w:ascii="Aptos" w:hAnsi="Aptos"/>
          <w:strike/>
          <w:lang w:val="en-GB"/>
        </w:rPr>
      </w:pPr>
    </w:p>
    <w:p w14:paraId="37B1F7E8" w14:textId="2370DBC6" w:rsidR="00695754" w:rsidRPr="00FE009D" w:rsidRDefault="00695754" w:rsidP="00695754">
      <w:pPr>
        <w:pStyle w:val="Nornal"/>
        <w:spacing w:after="0"/>
        <w:rPr>
          <w:rFonts w:ascii="Aptos" w:hAnsi="Aptos"/>
          <w:color w:val="EE0000"/>
          <w:lang w:val="en-GB"/>
        </w:rPr>
      </w:pPr>
      <w:r w:rsidRPr="00FE009D">
        <w:rPr>
          <w:rFonts w:ascii="Aptos" w:hAnsi="Aptos"/>
          <w:b/>
          <w:bCs/>
          <w:lang w:val="en-GB"/>
        </w:rPr>
        <w:t>Investment in people:</w:t>
      </w:r>
      <w:r w:rsidRPr="00FE009D">
        <w:rPr>
          <w:rFonts w:ascii="Aptos" w:hAnsi="Aptos"/>
          <w:lang w:val="en-GB"/>
        </w:rPr>
        <w:t xml:space="preserve"> </w:t>
      </w:r>
      <w:r w:rsidRPr="00FE009D">
        <w:rPr>
          <w:rFonts w:ascii="Aptos" w:hAnsi="Aptos"/>
          <w:strike/>
          <w:lang w:val="en-GB"/>
        </w:rPr>
        <w:t>Training and development can be offered as a benefit, demonstrating that the organisation values employees as a long-term asset. Waite et al. (2021, p.35) suggest that recognising employees as a tangible asset contributes to organisational capability. Development benefits can increase job satisfaction, enhance skills and support internal progression. For Green Friendly Eco, training and development as part of benefits could help retain skilled employees, improve flexibility and support long-term performance, while strengthening the employment relationship.</w:t>
      </w:r>
      <w:r w:rsidR="00657DDE" w:rsidRPr="00FE009D">
        <w:rPr>
          <w:rFonts w:ascii="Aptos" w:eastAsiaTheme="minorHAnsi" w:hAnsi="Aptos" w:cstheme="minorBidi"/>
          <w:color w:val="EE0000"/>
          <w:kern w:val="2"/>
          <w:bdr w:val="none" w:sz="0" w:space="0" w:color="auto"/>
          <w:lang w:val="en-GB" w:eastAsia="en-US"/>
          <w14:ligatures w14:val="standardContextual"/>
        </w:rPr>
        <w:t xml:space="preserve"> T</w:t>
      </w:r>
      <w:r w:rsidR="00657DDE" w:rsidRPr="00FE009D">
        <w:rPr>
          <w:rFonts w:ascii="Aptos" w:hAnsi="Aptos"/>
          <w:color w:val="EE0000"/>
          <w:lang w:val="en-GB"/>
        </w:rPr>
        <w:t>raining and development as a benefit shows the organisation values employees (Waite et al., 2021, p.35). It increases satisfaction, skills and internal progression. For Green Friendly Eco, this could retain skilled staff, improve flexibility and support long-term performance.</w:t>
      </w:r>
    </w:p>
    <w:p w14:paraId="29D9C628" w14:textId="77777777" w:rsidR="00695754" w:rsidRPr="00FE009D" w:rsidRDefault="00695754" w:rsidP="00695754">
      <w:pPr>
        <w:pStyle w:val="Nornal"/>
        <w:spacing w:after="0"/>
        <w:rPr>
          <w:rFonts w:ascii="Aptos" w:hAnsi="Aptos"/>
          <w:lang w:val="en-GB"/>
        </w:rPr>
      </w:pPr>
    </w:p>
    <w:p w14:paraId="41805A9E" w14:textId="18F02F00" w:rsidR="00695754" w:rsidRPr="00FE009D" w:rsidRDefault="00695754" w:rsidP="00695754">
      <w:pPr>
        <w:pStyle w:val="Nornal"/>
        <w:spacing w:after="0"/>
        <w:rPr>
          <w:rFonts w:ascii="Aptos" w:hAnsi="Aptos"/>
          <w:lang w:val="en-GB"/>
        </w:rPr>
      </w:pPr>
      <w:r w:rsidRPr="00FE009D">
        <w:rPr>
          <w:rFonts w:ascii="Aptos" w:hAnsi="Aptos"/>
          <w:lang w:val="en-GB"/>
        </w:rPr>
        <w:t>While benefits represent a cost,</w:t>
      </w:r>
      <w:r w:rsidRPr="00FE009D">
        <w:rPr>
          <w:rFonts w:ascii="Aptos" w:hAnsi="Aptos"/>
          <w:strike/>
          <w:lang w:val="en-GB"/>
        </w:rPr>
        <w:t xml:space="preserve"> the</w:t>
      </w:r>
      <w:r w:rsidRPr="00FE009D">
        <w:rPr>
          <w:rFonts w:ascii="Aptos" w:hAnsi="Aptos"/>
          <w:lang w:val="en-GB"/>
        </w:rPr>
        <w:t xml:space="preserve"> CIPD (2025) emphasises balancing affordability with impact by prioritising benefits that support attraction, retention and engagement. For Green Friendly Eco, investing in pensions, wellbeing, family-friendly, flexible and development benefits could improve culture, reduce turnover and support sustainable performance.</w:t>
      </w:r>
    </w:p>
    <w:p w14:paraId="5956B377" w14:textId="77777777" w:rsidR="00695754" w:rsidRPr="00FE009D" w:rsidRDefault="00695754" w:rsidP="00D479A1">
      <w:pPr>
        <w:pStyle w:val="Nornal"/>
        <w:pBdr>
          <w:top w:val="none" w:sz="0" w:space="0" w:color="auto"/>
          <w:left w:val="none" w:sz="0" w:space="0" w:color="auto"/>
          <w:bottom w:val="none" w:sz="0" w:space="0" w:color="auto"/>
          <w:right w:val="none" w:sz="0" w:space="0" w:color="auto"/>
          <w:between w:val="none" w:sz="0" w:space="0" w:color="auto"/>
          <w:bar w:val="none" w:sz="0" w:color="auto"/>
        </w:pBdr>
        <w:spacing w:after="0" w:line="240" w:lineRule="auto"/>
        <w:rPr>
          <w:rFonts w:ascii="Aptos" w:hAnsi="Aptos"/>
        </w:rPr>
      </w:pPr>
    </w:p>
    <w:p w14:paraId="4B4BC1C6" w14:textId="09876ACF" w:rsidR="00D4294B" w:rsidRPr="00FE009D" w:rsidRDefault="00D4294B" w:rsidP="00D4294B">
      <w:pPr>
        <w:pStyle w:val="Nornal"/>
        <w:pBdr>
          <w:top w:val="none" w:sz="0" w:space="0" w:color="auto"/>
          <w:left w:val="none" w:sz="0" w:space="0" w:color="auto"/>
          <w:bottom w:val="none" w:sz="0" w:space="0" w:color="auto"/>
          <w:right w:val="none" w:sz="0" w:space="0" w:color="auto"/>
          <w:between w:val="none" w:sz="0" w:space="0" w:color="auto"/>
          <w:bar w:val="none" w:sz="0" w:color="auto"/>
        </w:pBdr>
        <w:spacing w:after="0" w:line="240" w:lineRule="auto"/>
        <w:rPr>
          <w:rFonts w:ascii="Aptos" w:hAnsi="Aptos"/>
          <w:b/>
          <w:bCs/>
        </w:rPr>
      </w:pPr>
      <w:r w:rsidRPr="00FE009D">
        <w:rPr>
          <w:rFonts w:ascii="Aptos" w:hAnsi="Aptos"/>
          <w:b/>
          <w:bCs/>
        </w:rPr>
        <w:t xml:space="preserve">(AC 2.4) </w:t>
      </w:r>
    </w:p>
    <w:p w14:paraId="47222722" w14:textId="507C1F5E" w:rsidR="00410F2D" w:rsidRPr="00FE009D" w:rsidRDefault="00410F2D" w:rsidP="00D479A1">
      <w:pPr>
        <w:pStyle w:val="Nornal"/>
        <w:pBdr>
          <w:top w:val="none" w:sz="0" w:space="0" w:color="auto"/>
          <w:left w:val="none" w:sz="0" w:space="0" w:color="auto"/>
          <w:bottom w:val="none" w:sz="0" w:space="0" w:color="auto"/>
          <w:right w:val="none" w:sz="0" w:space="0" w:color="auto"/>
          <w:between w:val="none" w:sz="0" w:space="0" w:color="auto"/>
          <w:bar w:val="none" w:sz="0" w:color="auto"/>
        </w:pBdr>
        <w:spacing w:after="0" w:line="240" w:lineRule="auto"/>
        <w:rPr>
          <w:rFonts w:ascii="Aptos" w:hAnsi="Aptos"/>
        </w:rPr>
      </w:pPr>
    </w:p>
    <w:p w14:paraId="5B336364" w14:textId="77777777" w:rsidR="005D4ED0" w:rsidRPr="00FE009D" w:rsidRDefault="005D4ED0" w:rsidP="005D4ED0">
      <w:pPr>
        <w:pStyle w:val="Nornal"/>
        <w:spacing w:after="0"/>
        <w:rPr>
          <w:rFonts w:ascii="Aptos" w:hAnsi="Aptos"/>
          <w:lang w:val="en-GB"/>
        </w:rPr>
      </w:pPr>
      <w:r w:rsidRPr="00FE009D">
        <w:rPr>
          <w:rFonts w:ascii="Aptos" w:hAnsi="Aptos"/>
          <w:lang w:val="en-GB"/>
        </w:rPr>
        <w:t>Recognition schemes can be formal or informal, and each type offers different benefits for motivation, culture and retention. Formal recognition schemes are structured programmes that acknowledge skills, behaviours and achievements through official mechanisms such as “Employee of the Month” awards or annual events. A key merit is that formal recognition sets clear performance standards and signals what the organisation values, motivating employees to sustain high performance (CIPD, 2025). Waite et al. (2021) explain that formal schemes also support career development by identifying high-performing employees for progression and building a talent pipeline. For Green Friendly Eco, formal recognition could highlight skilled employees for promotion, supporting retention and reducing turnover. However, ACAS (2023) emphasises that formal schemes must be applied fairly and transparently, as perceived favouritism can damage motivation and employee relations.</w:t>
      </w:r>
    </w:p>
    <w:p w14:paraId="0766E713" w14:textId="77777777" w:rsidR="005E1766" w:rsidRPr="00FE009D" w:rsidRDefault="005E1766" w:rsidP="005D4ED0">
      <w:pPr>
        <w:pStyle w:val="Nornal"/>
        <w:spacing w:after="0"/>
        <w:rPr>
          <w:rFonts w:ascii="Aptos" w:hAnsi="Aptos"/>
          <w:lang w:val="en-GB"/>
        </w:rPr>
      </w:pPr>
    </w:p>
    <w:p w14:paraId="5D78EA9D" w14:textId="55D5E8B8" w:rsidR="005D4ED0" w:rsidRPr="00FE009D" w:rsidRDefault="005D4ED0" w:rsidP="005D4ED0">
      <w:pPr>
        <w:pStyle w:val="Nornal"/>
        <w:spacing w:after="0"/>
        <w:rPr>
          <w:rFonts w:ascii="Aptos" w:hAnsi="Aptos"/>
          <w:lang w:val="en-GB"/>
        </w:rPr>
      </w:pPr>
      <w:r w:rsidRPr="00FE009D">
        <w:rPr>
          <w:rFonts w:ascii="Aptos" w:hAnsi="Aptos"/>
          <w:lang w:val="en-GB"/>
        </w:rPr>
        <w:t xml:space="preserve">Informal recognition includes day-to-day appreciation such as verbal praise or thank-you notes. </w:t>
      </w:r>
      <w:r w:rsidRPr="00FE009D">
        <w:rPr>
          <w:rFonts w:ascii="Aptos" w:hAnsi="Aptos"/>
          <w:strike/>
          <w:lang w:val="en-GB"/>
        </w:rPr>
        <w:t>Its main merit is immediacy, allowing positive behaviours to be recognised as they occur, quickly boosting morale without complex processes (CIPD, 202</w:t>
      </w:r>
      <w:r w:rsidRPr="00FE009D">
        <w:rPr>
          <w:rFonts w:ascii="Aptos" w:hAnsi="Aptos"/>
          <w:strike/>
          <w:color w:val="auto"/>
          <w:lang w:val="en-GB"/>
        </w:rPr>
        <w:t>5).</w:t>
      </w:r>
      <w:r w:rsidRPr="00FE009D">
        <w:rPr>
          <w:rFonts w:ascii="Aptos" w:hAnsi="Aptos"/>
          <w:color w:val="auto"/>
          <w:lang w:val="en-GB"/>
        </w:rPr>
        <w:t xml:space="preserve"> </w:t>
      </w:r>
      <w:r w:rsidR="00642CE8" w:rsidRPr="00FE009D">
        <w:rPr>
          <w:rFonts w:ascii="Aptos" w:hAnsi="Aptos"/>
          <w:color w:val="EE0000"/>
          <w:lang w:val="en-GB"/>
        </w:rPr>
        <w:t>Its main merit is immediacy, recognising positive behaviours quickly and boosting morale (CIPD, 2025</w:t>
      </w:r>
      <w:r w:rsidR="00D34E81" w:rsidRPr="00FE009D">
        <w:rPr>
          <w:rFonts w:ascii="Aptos" w:hAnsi="Aptos"/>
          <w:color w:val="EE0000"/>
          <w:lang w:val="en-GB"/>
        </w:rPr>
        <w:t>).</w:t>
      </w:r>
      <w:r w:rsidR="00D34E81" w:rsidRPr="00FE009D">
        <w:rPr>
          <w:rFonts w:ascii="Aptos" w:hAnsi="Aptos"/>
          <w:lang w:val="en-GB"/>
        </w:rPr>
        <w:t xml:space="preserve"> Informal</w:t>
      </w:r>
      <w:r w:rsidRPr="00FE009D">
        <w:rPr>
          <w:rFonts w:ascii="Aptos" w:hAnsi="Aptos"/>
          <w:lang w:val="en-GB"/>
        </w:rPr>
        <w:t xml:space="preserve"> recognition supports intrinsic motivation by meeting psychological needs for competence and relatedness (Deci and Ryan, 2000). In Green Friendly Eco’s negative culture, regular informal recognition could help foster a more supportive environment and improve wellbeing and engagement (ACAS, 2023).</w:t>
      </w:r>
    </w:p>
    <w:p w14:paraId="5E55C7A0" w14:textId="77777777" w:rsidR="005E1766" w:rsidRPr="00FE009D" w:rsidRDefault="005E1766" w:rsidP="005D4ED0">
      <w:pPr>
        <w:pStyle w:val="Nornal"/>
        <w:spacing w:after="0"/>
        <w:rPr>
          <w:rFonts w:ascii="Aptos" w:hAnsi="Aptos"/>
          <w:lang w:val="en-GB"/>
        </w:rPr>
      </w:pPr>
    </w:p>
    <w:p w14:paraId="02CD6979" w14:textId="77777777" w:rsidR="005D4ED0" w:rsidRPr="00FE009D" w:rsidRDefault="005D4ED0" w:rsidP="005D4ED0">
      <w:pPr>
        <w:pStyle w:val="Nornal"/>
        <w:spacing w:after="0"/>
        <w:rPr>
          <w:rFonts w:ascii="Aptos" w:hAnsi="Aptos"/>
          <w:lang w:val="en-GB"/>
        </w:rPr>
      </w:pPr>
      <w:r w:rsidRPr="00FE009D">
        <w:rPr>
          <w:rFonts w:ascii="Aptos" w:hAnsi="Aptos"/>
          <w:lang w:val="en-GB"/>
        </w:rPr>
        <w:t>Public recognition involves acknowledging achievements in front of others, such as during meetings or in newsletters. It enhances belonging and social value by showing that contributions are visible and appreciated (Deci and Ryan, 2000). Public recognition also reinforces organisational values by showcasing desired behaviours and encouraging others to emulate them (CIPD, 2025). Green Friendly Eco could use public recognition to celebrate safety improvements or sustainability initiatives, but ACAS (2023) warns it must be managed sensitively to avoid resentment or unfairness.</w:t>
      </w:r>
    </w:p>
    <w:p w14:paraId="51366CB7" w14:textId="77777777" w:rsidR="005E1766" w:rsidRPr="00FE009D" w:rsidRDefault="005E1766" w:rsidP="005D4ED0">
      <w:pPr>
        <w:pStyle w:val="Nornal"/>
        <w:spacing w:after="0"/>
        <w:rPr>
          <w:rFonts w:ascii="Aptos" w:hAnsi="Aptos"/>
          <w:lang w:val="en-GB"/>
        </w:rPr>
      </w:pPr>
    </w:p>
    <w:p w14:paraId="1D53F1AB" w14:textId="7E649201" w:rsidR="005D4ED0" w:rsidRPr="00FE009D" w:rsidRDefault="005D4ED0" w:rsidP="005D4ED0">
      <w:pPr>
        <w:pStyle w:val="Nornal"/>
        <w:spacing w:after="0"/>
        <w:rPr>
          <w:rFonts w:ascii="Aptos" w:hAnsi="Aptos"/>
          <w:lang w:val="en-GB"/>
        </w:rPr>
      </w:pPr>
      <w:r w:rsidRPr="00FE009D">
        <w:rPr>
          <w:rFonts w:ascii="Aptos" w:hAnsi="Aptos"/>
          <w:lang w:val="en-GB"/>
        </w:rPr>
        <w:t xml:space="preserve">Cash awards such as bonuses or performance-related payments are tangible rewards that directly increase income. They can improve motivation and performance when linked to measurable targets (CIPD, 2025). </w:t>
      </w:r>
      <w:r w:rsidR="005B39D8" w:rsidRPr="00FE009D">
        <w:rPr>
          <w:rFonts w:ascii="Aptos" w:hAnsi="Aptos"/>
          <w:lang w:val="en-GB"/>
        </w:rPr>
        <w:t>However, cash awards may only motivate short-term performance and can create competition rather than teamwork if not managed carefully.</w:t>
      </w:r>
      <w:r w:rsidR="00FA623D" w:rsidRPr="00FE009D">
        <w:rPr>
          <w:rFonts w:ascii="Aptos" w:hAnsi="Aptos"/>
          <w:lang w:val="en-GB"/>
        </w:rPr>
        <w:t xml:space="preserve"> </w:t>
      </w:r>
      <w:r w:rsidRPr="00FE009D">
        <w:rPr>
          <w:rFonts w:ascii="Aptos" w:hAnsi="Aptos"/>
          <w:lang w:val="en-GB"/>
        </w:rPr>
        <w:t>Green Friendly Eco could use cash awards to reward production targets or waste reduction, but ACAS (2023) notes they must be distributed objectively to prevent mistrust.</w:t>
      </w:r>
    </w:p>
    <w:p w14:paraId="79C8E79F" w14:textId="77777777" w:rsidR="005E1766" w:rsidRPr="00FE009D" w:rsidRDefault="005E1766" w:rsidP="005D4ED0">
      <w:pPr>
        <w:pStyle w:val="Nornal"/>
        <w:spacing w:after="0"/>
        <w:rPr>
          <w:rFonts w:ascii="Aptos" w:hAnsi="Aptos"/>
          <w:lang w:val="en-GB"/>
        </w:rPr>
      </w:pPr>
    </w:p>
    <w:p w14:paraId="386AF521" w14:textId="0D553242" w:rsidR="005D4ED0" w:rsidRPr="00FE009D" w:rsidRDefault="005D4ED0" w:rsidP="005D4ED0">
      <w:pPr>
        <w:pStyle w:val="Nornal"/>
        <w:spacing w:after="0"/>
        <w:rPr>
          <w:rFonts w:ascii="Aptos" w:hAnsi="Aptos"/>
          <w:lang w:val="en-GB"/>
        </w:rPr>
      </w:pPr>
      <w:r w:rsidRPr="00FE009D">
        <w:rPr>
          <w:rFonts w:ascii="Aptos" w:hAnsi="Aptos"/>
          <w:lang w:val="en-GB"/>
        </w:rPr>
        <w:t>Non-cash awards (gifts, vouchers, tickets) can feel more personal and meaningful than cash, especially when tailored to individuals (CIPD, 2025). They can be cost-effective while still showing appreciation and reinforcing values (Waite et al., 2021). For Green Friendly Eco, vouchers or experiences could recognise long service or teamwork, supporting a culture of appreciation rather than purely financial reward (ACAS, 2023).</w:t>
      </w:r>
    </w:p>
    <w:p w14:paraId="64E3C69C" w14:textId="77777777" w:rsidR="00E72230" w:rsidRPr="00FE009D" w:rsidRDefault="00E72230" w:rsidP="00D479A1">
      <w:pPr>
        <w:pStyle w:val="Nornal"/>
        <w:pBdr>
          <w:top w:val="none" w:sz="0" w:space="0" w:color="auto"/>
          <w:left w:val="none" w:sz="0" w:space="0" w:color="auto"/>
          <w:bottom w:val="none" w:sz="0" w:space="0" w:color="auto"/>
          <w:right w:val="none" w:sz="0" w:space="0" w:color="auto"/>
          <w:between w:val="none" w:sz="0" w:space="0" w:color="auto"/>
          <w:bar w:val="none" w:sz="0" w:color="auto"/>
        </w:pBdr>
        <w:spacing w:after="0" w:line="240" w:lineRule="auto"/>
        <w:rPr>
          <w:rFonts w:ascii="Aptos" w:hAnsi="Aptos"/>
        </w:rPr>
      </w:pPr>
    </w:p>
    <w:p w14:paraId="587FED8F" w14:textId="77777777" w:rsidR="00E733CA" w:rsidRPr="00FE009D" w:rsidRDefault="007B0D96" w:rsidP="007B0D96">
      <w:pPr>
        <w:pStyle w:val="Nornal"/>
        <w:spacing w:after="0"/>
        <w:rPr>
          <w:rFonts w:ascii="Aptos" w:hAnsi="Aptos"/>
          <w:b/>
          <w:bCs/>
          <w:lang w:val="en-GB"/>
        </w:rPr>
      </w:pPr>
      <w:r w:rsidRPr="00FE009D">
        <w:rPr>
          <w:rFonts w:ascii="Aptos" w:hAnsi="Aptos"/>
          <w:b/>
          <w:bCs/>
          <w:lang w:val="en-GB"/>
        </w:rPr>
        <w:t>(AC 3.1)</w:t>
      </w:r>
    </w:p>
    <w:p w14:paraId="3D65957B" w14:textId="77777777" w:rsidR="00D209DB" w:rsidRPr="00FE009D" w:rsidRDefault="007B0D96" w:rsidP="00D209DB">
      <w:pPr>
        <w:pStyle w:val="Nornal"/>
        <w:spacing w:after="0"/>
        <w:rPr>
          <w:rFonts w:ascii="Aptos" w:hAnsi="Aptos"/>
          <w:lang w:val="en-GB"/>
        </w:rPr>
      </w:pPr>
      <w:r w:rsidRPr="00FE009D">
        <w:rPr>
          <w:rFonts w:ascii="Aptos" w:hAnsi="Aptos"/>
          <w:lang w:val="en-GB"/>
        </w:rPr>
        <w:t xml:space="preserve"> </w:t>
      </w:r>
    </w:p>
    <w:p w14:paraId="3137584F" w14:textId="100C27F5" w:rsidR="00703CDF" w:rsidRPr="00FE009D" w:rsidRDefault="00703CDF" w:rsidP="00D209DB">
      <w:pPr>
        <w:pStyle w:val="Nornal"/>
        <w:spacing w:after="0"/>
        <w:rPr>
          <w:rFonts w:ascii="Aptos" w:hAnsi="Aptos"/>
          <w:lang w:val="en-GB"/>
        </w:rPr>
      </w:pPr>
      <w:r w:rsidRPr="00FE009D">
        <w:rPr>
          <w:rFonts w:ascii="Aptos" w:hAnsi="Aptos"/>
        </w:rPr>
        <w:t xml:space="preserve">The reward environment is shaped by external and internal factors that influence what organisations can offer and how they design reward systems. For Green Friendly Eco, external market conditions and internal cultural issues significantly impact reward decisions. This assessment focuses on the most relevant factors: </w:t>
      </w:r>
      <w:proofErr w:type="spellStart"/>
      <w:r w:rsidRPr="00FE009D">
        <w:rPr>
          <w:rFonts w:ascii="Aptos" w:hAnsi="Aptos"/>
        </w:rPr>
        <w:t>labour</w:t>
      </w:r>
      <w:proofErr w:type="spellEnd"/>
      <w:r w:rsidRPr="00FE009D">
        <w:rPr>
          <w:rFonts w:ascii="Aptos" w:hAnsi="Aptos"/>
        </w:rPr>
        <w:t xml:space="preserve"> market conditions, economic climate, equality legislation, </w:t>
      </w:r>
      <w:proofErr w:type="spellStart"/>
      <w:r w:rsidRPr="00FE009D">
        <w:rPr>
          <w:rFonts w:ascii="Aptos" w:hAnsi="Aptos"/>
        </w:rPr>
        <w:t>organisational</w:t>
      </w:r>
      <w:proofErr w:type="spellEnd"/>
      <w:r w:rsidRPr="00FE009D">
        <w:rPr>
          <w:rFonts w:ascii="Aptos" w:hAnsi="Aptos"/>
        </w:rPr>
        <w:t xml:space="preserve"> culture and psychological contract, human capital and retention, and internal equity.</w:t>
      </w:r>
    </w:p>
    <w:p w14:paraId="3343A6BE" w14:textId="77777777" w:rsidR="00703CDF" w:rsidRPr="00FE009D" w:rsidRDefault="00703CDF" w:rsidP="00703CDF">
      <w:pPr>
        <w:pStyle w:val="NormalWeb"/>
        <w:rPr>
          <w:rFonts w:ascii="Aptos" w:hAnsi="Aptos"/>
          <w:sz w:val="22"/>
          <w:szCs w:val="22"/>
        </w:rPr>
      </w:pPr>
      <w:r w:rsidRPr="00FE009D">
        <w:rPr>
          <w:rStyle w:val="Strong"/>
          <w:rFonts w:ascii="Aptos" w:eastAsiaTheme="majorEastAsia" w:hAnsi="Aptos"/>
          <w:sz w:val="22"/>
          <w:szCs w:val="22"/>
        </w:rPr>
        <w:t>External factors</w:t>
      </w:r>
    </w:p>
    <w:p w14:paraId="45608AE9" w14:textId="52E5AE97" w:rsidR="00703CDF" w:rsidRPr="00FE009D" w:rsidRDefault="00703CDF" w:rsidP="00703CDF">
      <w:pPr>
        <w:pStyle w:val="NormalWeb"/>
        <w:rPr>
          <w:rFonts w:ascii="Aptos" w:hAnsi="Aptos"/>
          <w:sz w:val="22"/>
          <w:szCs w:val="22"/>
        </w:rPr>
      </w:pPr>
      <w:r w:rsidRPr="00FE009D">
        <w:rPr>
          <w:rStyle w:val="Strong"/>
          <w:rFonts w:ascii="Aptos" w:eastAsiaTheme="majorEastAsia" w:hAnsi="Aptos"/>
          <w:sz w:val="22"/>
          <w:szCs w:val="22"/>
        </w:rPr>
        <w:t>Labour market conditions (skills shortages and competition)</w:t>
      </w:r>
      <w:r w:rsidRPr="00FE009D">
        <w:rPr>
          <w:rFonts w:ascii="Aptos" w:hAnsi="Aptos"/>
          <w:sz w:val="22"/>
          <w:szCs w:val="22"/>
        </w:rPr>
        <w:br/>
        <w:t xml:space="preserve">The UK labour market, particularly in manufacturing, has faced skills shortages and increased competition. This increases employees’ bargaining power, as they can move to employers offering better pay or conditions. </w:t>
      </w:r>
      <w:r w:rsidRPr="00FE009D">
        <w:rPr>
          <w:rFonts w:ascii="Aptos" w:hAnsi="Aptos"/>
          <w:strike/>
          <w:sz w:val="22"/>
          <w:szCs w:val="22"/>
        </w:rPr>
        <w:t>The Annual Population Survey (2022) highlights that 2.3 million working-age people (6.6%) have skills to work in another occupation. The Census (2021) reports that 20.2% of employed adults are more qualified than average for their occupation, suggesting a higher likelihood of leaving for better roles (ONS, 2024).</w:t>
      </w:r>
      <w:r w:rsidRPr="00FE009D">
        <w:rPr>
          <w:rFonts w:ascii="Aptos" w:hAnsi="Aptos"/>
          <w:sz w:val="22"/>
          <w:szCs w:val="22"/>
        </w:rPr>
        <w:t xml:space="preserve"> </w:t>
      </w:r>
      <w:r w:rsidR="00700DC3" w:rsidRPr="00FE009D">
        <w:rPr>
          <w:rFonts w:ascii="Aptos" w:hAnsi="Aptos"/>
          <w:color w:val="EE0000"/>
          <w:sz w:val="22"/>
          <w:szCs w:val="22"/>
        </w:rPr>
        <w:t>Labour market data shows many employees are overqualified or could move to other roles, increasing turnover risk (ONS, 2024</w:t>
      </w:r>
      <w:r w:rsidR="005F43BA" w:rsidRPr="00FE009D">
        <w:rPr>
          <w:rFonts w:ascii="Aptos" w:hAnsi="Aptos"/>
          <w:color w:val="EE0000"/>
          <w:sz w:val="22"/>
          <w:szCs w:val="22"/>
        </w:rPr>
        <w:t>).</w:t>
      </w:r>
      <w:r w:rsidR="005F43BA" w:rsidRPr="00FE009D">
        <w:rPr>
          <w:rFonts w:ascii="Aptos" w:hAnsi="Aptos"/>
          <w:sz w:val="22"/>
          <w:szCs w:val="22"/>
        </w:rPr>
        <w:t xml:space="preserve"> Reward</w:t>
      </w:r>
      <w:r w:rsidRPr="00FE009D">
        <w:rPr>
          <w:rFonts w:ascii="Aptos" w:hAnsi="Aptos"/>
          <w:sz w:val="22"/>
          <w:szCs w:val="22"/>
        </w:rPr>
        <w:t xml:space="preserve"> systems must therefore be competitive. For Green Friendly Eco, high turnover indicates existing rewards are insufficient, risking loss of skilled staff and operational capability (CIPD, 2025).</w:t>
      </w:r>
    </w:p>
    <w:p w14:paraId="23BDD5DA" w14:textId="77777777" w:rsidR="00703CDF" w:rsidRPr="00FE009D" w:rsidRDefault="00703CDF" w:rsidP="00703CDF">
      <w:pPr>
        <w:pStyle w:val="NormalWeb"/>
        <w:rPr>
          <w:rFonts w:ascii="Aptos" w:hAnsi="Aptos"/>
          <w:sz w:val="22"/>
          <w:szCs w:val="22"/>
        </w:rPr>
      </w:pPr>
      <w:r w:rsidRPr="00FE009D">
        <w:rPr>
          <w:rStyle w:val="Strong"/>
          <w:rFonts w:ascii="Aptos" w:eastAsiaTheme="majorEastAsia" w:hAnsi="Aptos"/>
          <w:sz w:val="22"/>
          <w:szCs w:val="22"/>
        </w:rPr>
        <w:t>Impact on reward:</w:t>
      </w:r>
      <w:r w:rsidRPr="00FE009D">
        <w:rPr>
          <w:rFonts w:ascii="Aptos" w:hAnsi="Aptos"/>
          <w:sz w:val="22"/>
          <w:szCs w:val="22"/>
        </w:rPr>
        <w:br/>
      </w:r>
      <w:r w:rsidRPr="00FE009D">
        <w:rPr>
          <w:rFonts w:ascii="Aptos" w:hAnsi="Aptos"/>
          <w:strike/>
          <w:sz w:val="22"/>
          <w:szCs w:val="22"/>
        </w:rPr>
        <w:t>• Greater pressure to match market pay rates</w:t>
      </w:r>
      <w:r w:rsidRPr="00FE009D">
        <w:rPr>
          <w:rFonts w:ascii="Aptos" w:hAnsi="Aptos"/>
          <w:strike/>
          <w:sz w:val="22"/>
          <w:szCs w:val="22"/>
        </w:rPr>
        <w:br/>
        <w:t>• Increased use of non-pay rewards</w:t>
      </w:r>
      <w:r w:rsidRPr="00FE009D">
        <w:rPr>
          <w:rFonts w:ascii="Aptos" w:hAnsi="Aptos"/>
          <w:strike/>
          <w:sz w:val="22"/>
          <w:szCs w:val="22"/>
        </w:rPr>
        <w:br/>
        <w:t>• Need for transparent reward policies</w:t>
      </w:r>
    </w:p>
    <w:p w14:paraId="3C002000" w14:textId="4D903F41" w:rsidR="0074249A" w:rsidRPr="00FE009D" w:rsidRDefault="0074249A" w:rsidP="00703CDF">
      <w:pPr>
        <w:pStyle w:val="NormalWeb"/>
        <w:rPr>
          <w:rFonts w:ascii="Aptos" w:hAnsi="Aptos"/>
          <w:color w:val="EE0000"/>
          <w:sz w:val="22"/>
          <w:szCs w:val="22"/>
        </w:rPr>
      </w:pPr>
      <w:r w:rsidRPr="00FE009D">
        <w:rPr>
          <w:rFonts w:ascii="Aptos" w:hAnsi="Aptos"/>
          <w:color w:val="EE0000"/>
          <w:sz w:val="22"/>
          <w:szCs w:val="22"/>
        </w:rPr>
        <w:t>The organisation faces greater pressure to match market pay rates, as failing to do so could result in losing skilled employees to competitors and exacerbate existing turnover challenges. In response, there is an increased reliance on non-pay rewards, such as recognition schemes, flexible benefits, and development opportunities, to motivate staff and enhance engagement without necessarily increasing salary costs. Additionally, the need for transparent reward policies is essential to ensure employees understand how pay and benefits are determined, fostering trust, fairness, and consistency across all levels of the organisation.</w:t>
      </w:r>
    </w:p>
    <w:p w14:paraId="44C1D16E" w14:textId="77777777" w:rsidR="00703CDF" w:rsidRPr="00FE009D" w:rsidRDefault="00703CDF" w:rsidP="00703CDF">
      <w:pPr>
        <w:pStyle w:val="NormalWeb"/>
        <w:rPr>
          <w:rFonts w:ascii="Aptos" w:hAnsi="Aptos"/>
          <w:sz w:val="22"/>
          <w:szCs w:val="22"/>
        </w:rPr>
      </w:pPr>
      <w:r w:rsidRPr="00FE009D">
        <w:rPr>
          <w:rStyle w:val="Strong"/>
          <w:rFonts w:ascii="Aptos" w:eastAsiaTheme="majorEastAsia" w:hAnsi="Aptos"/>
          <w:sz w:val="22"/>
          <w:szCs w:val="22"/>
        </w:rPr>
        <w:t>Economic climate (inflation and cost pressures)</w:t>
      </w:r>
      <w:r w:rsidRPr="00FE009D">
        <w:rPr>
          <w:rFonts w:ascii="Aptos" w:hAnsi="Aptos"/>
          <w:sz w:val="22"/>
          <w:szCs w:val="22"/>
        </w:rPr>
        <w:br/>
        <w:t>The UK economic environment is characterised by inflation and rising costs, especially in energy-intensive manufacturing sectors. This places pressure on pay budgets. BBC News (2026) reports wage growth eased to 4.5% between September and November, with private sector pay growth slowing to its lowest rate in five years while public sector pay growth remained at 7.9%. This indicates mixed pay pressures and suggests organisations must manage reward carefully to retain staff. When pay budgets are limited, alternative reward methods such as recognition schemes and flexible benefits become more important (CIPD, 2025).</w:t>
      </w:r>
    </w:p>
    <w:p w14:paraId="61B435E0" w14:textId="0308C1AD" w:rsidR="003E1E12" w:rsidRPr="00FE009D" w:rsidRDefault="00703CDF" w:rsidP="00703CDF">
      <w:pPr>
        <w:pStyle w:val="NormalWeb"/>
        <w:rPr>
          <w:rFonts w:ascii="Aptos" w:hAnsi="Aptos"/>
          <w:strike/>
          <w:sz w:val="22"/>
          <w:szCs w:val="22"/>
        </w:rPr>
      </w:pPr>
      <w:r w:rsidRPr="00FE009D">
        <w:rPr>
          <w:rStyle w:val="Strong"/>
          <w:rFonts w:ascii="Aptos" w:eastAsiaTheme="majorEastAsia" w:hAnsi="Aptos"/>
          <w:sz w:val="22"/>
          <w:szCs w:val="22"/>
        </w:rPr>
        <w:t>Impact on reward:</w:t>
      </w:r>
      <w:r w:rsidRPr="00FE009D">
        <w:rPr>
          <w:rFonts w:ascii="Aptos" w:hAnsi="Aptos"/>
          <w:sz w:val="22"/>
          <w:szCs w:val="22"/>
        </w:rPr>
        <w:br/>
      </w:r>
      <w:r w:rsidRPr="00FE009D">
        <w:rPr>
          <w:rFonts w:ascii="Aptos" w:hAnsi="Aptos"/>
          <w:strike/>
          <w:sz w:val="22"/>
          <w:szCs w:val="22"/>
        </w:rPr>
        <w:t>• Limits ability to offer large pay rises</w:t>
      </w:r>
      <w:r w:rsidRPr="00FE009D">
        <w:rPr>
          <w:rFonts w:ascii="Aptos" w:hAnsi="Aptos"/>
          <w:strike/>
          <w:sz w:val="22"/>
          <w:szCs w:val="22"/>
        </w:rPr>
        <w:br/>
        <w:t>• Encourages cost-effective recognition schemes</w:t>
      </w:r>
      <w:r w:rsidRPr="00FE009D">
        <w:rPr>
          <w:rFonts w:ascii="Aptos" w:hAnsi="Aptos"/>
          <w:strike/>
          <w:sz w:val="22"/>
          <w:szCs w:val="22"/>
        </w:rPr>
        <w:br/>
        <w:t>• Increases need for fairness and communication</w:t>
      </w:r>
    </w:p>
    <w:p w14:paraId="7C3A90AC" w14:textId="2602791B" w:rsidR="007A5ABA" w:rsidRPr="00FE009D" w:rsidRDefault="007A5ABA" w:rsidP="00703CDF">
      <w:pPr>
        <w:pStyle w:val="NormalWeb"/>
        <w:rPr>
          <w:rFonts w:ascii="Aptos" w:hAnsi="Aptos"/>
          <w:color w:val="EE0000"/>
          <w:sz w:val="22"/>
          <w:szCs w:val="22"/>
        </w:rPr>
      </w:pPr>
      <w:r w:rsidRPr="00FE009D">
        <w:rPr>
          <w:rFonts w:ascii="Aptos" w:hAnsi="Aptos"/>
          <w:color w:val="EE0000"/>
          <w:sz w:val="22"/>
          <w:szCs w:val="22"/>
        </w:rPr>
        <w:t>The organisation’s ability to offer large pay rises is limited by economic and budgetary pressures, meaning salary increases alone may not be sufficient to retain and motivate employees. As a result, there is a greater emphasis on cost-effective recognition schemes that can reward performance and reinforce desired behaviours without placing excessive strain on financial resources. This situation also increases the need for fairness and clear communication, ensuring employees understand how reward decisions are made and perceive them as consistent, transparent, and aligned with organisational values.</w:t>
      </w:r>
    </w:p>
    <w:p w14:paraId="50FA0F02" w14:textId="75A34D80" w:rsidR="00703CDF" w:rsidRPr="00FE009D" w:rsidRDefault="00703CDF" w:rsidP="00703CDF">
      <w:pPr>
        <w:pStyle w:val="NormalWeb"/>
        <w:rPr>
          <w:rFonts w:ascii="Aptos" w:hAnsi="Aptos"/>
          <w:color w:val="EE0000"/>
          <w:sz w:val="22"/>
          <w:szCs w:val="22"/>
        </w:rPr>
      </w:pPr>
      <w:r w:rsidRPr="00FE009D">
        <w:rPr>
          <w:rStyle w:val="Strong"/>
          <w:rFonts w:ascii="Aptos" w:eastAsiaTheme="majorEastAsia" w:hAnsi="Aptos"/>
          <w:sz w:val="22"/>
          <w:szCs w:val="22"/>
        </w:rPr>
        <w:t>Equality legislation (legal compliance)</w:t>
      </w:r>
      <w:r w:rsidRPr="00FE009D">
        <w:rPr>
          <w:rFonts w:ascii="Aptos" w:hAnsi="Aptos"/>
          <w:sz w:val="22"/>
          <w:szCs w:val="22"/>
        </w:rPr>
        <w:br/>
        <w:t>Equality legislation sets minimum standards for fair pay and prevents discrimination</w:t>
      </w:r>
      <w:r w:rsidRPr="00FE009D">
        <w:rPr>
          <w:rFonts w:ascii="Aptos" w:hAnsi="Aptos"/>
          <w:strike/>
          <w:sz w:val="22"/>
          <w:szCs w:val="22"/>
        </w:rPr>
        <w:t>. Organisations must ensure reward systems comply with equal pay, national minimum wage and anti-discrimination laws to avoid legal risk and protect reputation (ACAS, 2023). For Green Friendly Eco, ensuring legal compliance is essential to prevent costly claims and support fairness</w:t>
      </w:r>
      <w:r w:rsidRPr="00FE009D">
        <w:rPr>
          <w:rFonts w:ascii="Aptos" w:hAnsi="Aptos"/>
          <w:sz w:val="22"/>
          <w:szCs w:val="22"/>
        </w:rPr>
        <w:t>.</w:t>
      </w:r>
      <w:r w:rsidR="007C6A3F" w:rsidRPr="00FE009D">
        <w:rPr>
          <w:rFonts w:ascii="Aptos" w:eastAsiaTheme="minorHAnsi" w:hAnsi="Aptos" w:cstheme="minorBidi"/>
          <w:kern w:val="2"/>
          <w:sz w:val="22"/>
          <w:szCs w:val="22"/>
          <w:lang w:eastAsia="en-US"/>
          <w14:ligatures w14:val="standardContextual"/>
        </w:rPr>
        <w:t xml:space="preserve"> </w:t>
      </w:r>
      <w:r w:rsidR="007C6A3F" w:rsidRPr="00FE009D">
        <w:rPr>
          <w:rFonts w:ascii="Aptos" w:hAnsi="Aptos"/>
          <w:color w:val="EE0000"/>
          <w:sz w:val="22"/>
          <w:szCs w:val="22"/>
        </w:rPr>
        <w:t>Reward systems must comply with equal pay and anti-discrimination laws to protect reputation and fairness (ACAS, 2023).</w:t>
      </w:r>
    </w:p>
    <w:p w14:paraId="241E9A04" w14:textId="77777777" w:rsidR="00703CDF" w:rsidRPr="00FE009D" w:rsidRDefault="00703CDF" w:rsidP="00703CDF">
      <w:pPr>
        <w:pStyle w:val="NormalWeb"/>
        <w:rPr>
          <w:rFonts w:ascii="Aptos" w:hAnsi="Aptos"/>
          <w:sz w:val="22"/>
          <w:szCs w:val="22"/>
        </w:rPr>
      </w:pPr>
      <w:r w:rsidRPr="00FE009D">
        <w:rPr>
          <w:rStyle w:val="Strong"/>
          <w:rFonts w:ascii="Aptos" w:eastAsiaTheme="majorEastAsia" w:hAnsi="Aptos"/>
          <w:sz w:val="22"/>
          <w:szCs w:val="22"/>
        </w:rPr>
        <w:t>Impact on reward:</w:t>
      </w:r>
      <w:r w:rsidRPr="00FE009D">
        <w:rPr>
          <w:rFonts w:ascii="Aptos" w:hAnsi="Aptos"/>
          <w:sz w:val="22"/>
          <w:szCs w:val="22"/>
        </w:rPr>
        <w:br/>
      </w:r>
      <w:r w:rsidRPr="00FE009D">
        <w:rPr>
          <w:rFonts w:ascii="Aptos" w:hAnsi="Aptos"/>
          <w:strike/>
          <w:sz w:val="22"/>
          <w:szCs w:val="22"/>
        </w:rPr>
        <w:t>• Requires transparent pay structures and consistent criteria</w:t>
      </w:r>
      <w:r w:rsidRPr="00FE009D">
        <w:rPr>
          <w:rFonts w:ascii="Aptos" w:hAnsi="Aptos"/>
          <w:strike/>
          <w:sz w:val="22"/>
          <w:szCs w:val="22"/>
        </w:rPr>
        <w:br/>
        <w:t>• Limits arbitrary pay decisions</w:t>
      </w:r>
    </w:p>
    <w:p w14:paraId="493371D2" w14:textId="77777777" w:rsidR="00C85D46" w:rsidRPr="00FE009D" w:rsidRDefault="00C85D46" w:rsidP="00703CDF">
      <w:pPr>
        <w:pStyle w:val="NormalWeb"/>
        <w:rPr>
          <w:rFonts w:ascii="Aptos" w:hAnsi="Aptos"/>
          <w:color w:val="EE0000"/>
          <w:sz w:val="22"/>
          <w:szCs w:val="22"/>
        </w:rPr>
      </w:pPr>
      <w:r w:rsidRPr="00FE009D">
        <w:rPr>
          <w:rFonts w:ascii="Aptos" w:hAnsi="Aptos"/>
          <w:color w:val="EE0000"/>
          <w:sz w:val="22"/>
          <w:szCs w:val="22"/>
        </w:rPr>
        <w:t>Reward practices require transparent pay structures and clearly defined criteria to ensure that employees understand how pay and progression decisions are made. By establishing this transparency, the organisation can promote fairness and accountability, helping employees see that reward decisions are consistent and based on objective measures. Clear structures and criteria also limit the risk of arbitrary or subjective pay decisions, reducing perceptions of bias or unfairness and supporting trust, engagement, and long-term commitment within the workforce.</w:t>
      </w:r>
    </w:p>
    <w:p w14:paraId="0D891552" w14:textId="77777777" w:rsidR="009E4D14" w:rsidRPr="00FE009D" w:rsidRDefault="00703CDF" w:rsidP="00703CDF">
      <w:pPr>
        <w:pStyle w:val="NormalWeb"/>
        <w:rPr>
          <w:rFonts w:ascii="Aptos" w:hAnsi="Aptos"/>
          <w:sz w:val="22"/>
          <w:szCs w:val="22"/>
        </w:rPr>
      </w:pPr>
      <w:r w:rsidRPr="00FE009D">
        <w:rPr>
          <w:rStyle w:val="Strong"/>
          <w:rFonts w:ascii="Aptos" w:eastAsiaTheme="majorEastAsia" w:hAnsi="Aptos"/>
          <w:sz w:val="22"/>
          <w:szCs w:val="22"/>
        </w:rPr>
        <w:t>Internal factors</w:t>
      </w:r>
    </w:p>
    <w:p w14:paraId="4710A811" w14:textId="7617E3BF" w:rsidR="00703CDF" w:rsidRPr="00FE009D" w:rsidRDefault="00703CDF" w:rsidP="00703CDF">
      <w:pPr>
        <w:pStyle w:val="NormalWeb"/>
        <w:rPr>
          <w:rFonts w:ascii="Aptos" w:hAnsi="Aptos"/>
          <w:sz w:val="22"/>
          <w:szCs w:val="22"/>
        </w:rPr>
      </w:pPr>
      <w:r w:rsidRPr="00FE009D">
        <w:rPr>
          <w:rStyle w:val="Strong"/>
          <w:rFonts w:ascii="Aptos" w:eastAsiaTheme="majorEastAsia" w:hAnsi="Aptos"/>
          <w:sz w:val="22"/>
          <w:szCs w:val="22"/>
        </w:rPr>
        <w:t>Organisational culture and psychological contract</w:t>
      </w:r>
      <w:r w:rsidRPr="00FE009D">
        <w:rPr>
          <w:rFonts w:ascii="Aptos" w:hAnsi="Aptos"/>
          <w:sz w:val="22"/>
          <w:szCs w:val="22"/>
        </w:rPr>
        <w:br/>
        <w:t xml:space="preserve">Green Friendly Eco’s negative culture and high turnover suggest the psychological contract is damaged. This contract refers to informal expectations and beliefs between employer and employee (CIPD, 2021b). Taylor and Woodham (2022, p.103) explain that while the employment contract sets formal terms, the psychological contract reflects deeper expectations about treatment. Recognition schemes can help restore trust and morale if they are consistent and meaningful (CIPD, 2025). </w:t>
      </w:r>
      <w:r w:rsidRPr="00FE009D">
        <w:rPr>
          <w:rFonts w:ascii="Aptos" w:hAnsi="Aptos"/>
          <w:strike/>
          <w:sz w:val="22"/>
          <w:szCs w:val="22"/>
        </w:rPr>
        <w:t>Culture is shaped by shared habits and relationships, and reward practices must support behaviours aligned with organisational values (Waite et al., 2021, p.28).</w:t>
      </w:r>
      <w:r w:rsidR="00391BC0" w:rsidRPr="00FE009D">
        <w:rPr>
          <w:rFonts w:ascii="Aptos" w:eastAsiaTheme="minorHAnsi" w:hAnsi="Aptos" w:cstheme="minorBidi"/>
          <w:kern w:val="2"/>
          <w:sz w:val="22"/>
          <w:szCs w:val="22"/>
          <w:lang w:eastAsia="en-US"/>
          <w14:ligatures w14:val="standardContextual"/>
        </w:rPr>
        <w:t xml:space="preserve"> </w:t>
      </w:r>
      <w:r w:rsidR="00391BC0" w:rsidRPr="00FE009D">
        <w:rPr>
          <w:rFonts w:ascii="Aptos" w:hAnsi="Aptos"/>
          <w:color w:val="EE0000"/>
          <w:sz w:val="22"/>
          <w:szCs w:val="22"/>
        </w:rPr>
        <w:t>Reward practices must support behaviours aligned with organisational values (CIPD, 2025).</w:t>
      </w:r>
    </w:p>
    <w:p w14:paraId="18707611" w14:textId="608153CB" w:rsidR="00043E6B" w:rsidRPr="00FE009D" w:rsidRDefault="00703CDF" w:rsidP="00C8002E">
      <w:pPr>
        <w:pStyle w:val="NormalWeb"/>
        <w:rPr>
          <w:rFonts w:ascii="Aptos" w:hAnsi="Aptos"/>
          <w:sz w:val="22"/>
          <w:szCs w:val="22"/>
        </w:rPr>
      </w:pPr>
      <w:r w:rsidRPr="00FE009D">
        <w:rPr>
          <w:rStyle w:val="Strong"/>
          <w:rFonts w:ascii="Aptos" w:eastAsiaTheme="majorEastAsia" w:hAnsi="Aptos"/>
          <w:sz w:val="22"/>
          <w:szCs w:val="22"/>
        </w:rPr>
        <w:t>Impact on reward:</w:t>
      </w:r>
      <w:r w:rsidRPr="00FE009D">
        <w:rPr>
          <w:rFonts w:ascii="Aptos" w:hAnsi="Aptos"/>
          <w:sz w:val="22"/>
          <w:szCs w:val="22"/>
        </w:rPr>
        <w:br/>
      </w:r>
      <w:r w:rsidRPr="00FE009D">
        <w:rPr>
          <w:rFonts w:ascii="Aptos" w:hAnsi="Aptos"/>
          <w:strike/>
          <w:sz w:val="22"/>
          <w:szCs w:val="22"/>
        </w:rPr>
        <w:t>• Reward must rebuild trust and morale</w:t>
      </w:r>
      <w:r w:rsidRPr="00FE009D">
        <w:rPr>
          <w:rFonts w:ascii="Aptos" w:hAnsi="Aptos"/>
          <w:strike/>
          <w:sz w:val="22"/>
          <w:szCs w:val="22"/>
        </w:rPr>
        <w:br/>
        <w:t>• Recognition should become core to culture</w:t>
      </w:r>
      <w:r w:rsidR="00793376" w:rsidRPr="00FE009D">
        <w:rPr>
          <w:rFonts w:ascii="Aptos" w:hAnsi="Aptos"/>
          <w:sz w:val="22"/>
          <w:szCs w:val="22"/>
        </w:rPr>
        <w:t xml:space="preserve"> </w:t>
      </w:r>
    </w:p>
    <w:p w14:paraId="3ABD9627" w14:textId="1450A846" w:rsidR="002035DB" w:rsidRPr="00FE009D" w:rsidRDefault="002035DB" w:rsidP="007857AB">
      <w:pPr>
        <w:pStyle w:val="Nornal"/>
        <w:spacing w:after="0"/>
        <w:rPr>
          <w:rFonts w:ascii="Aptos" w:hAnsi="Aptos"/>
          <w:color w:val="EE0000"/>
          <w:lang w:val="en-GB"/>
        </w:rPr>
      </w:pPr>
      <w:r w:rsidRPr="00FE009D">
        <w:rPr>
          <w:rFonts w:ascii="Aptos" w:hAnsi="Aptos"/>
          <w:color w:val="EE0000"/>
          <w:lang w:val="en-GB"/>
        </w:rPr>
        <w:t>Reward practices must focus on rebuilding trust and morale by ensuring that employees feel valued, treated fairly, and confident that their contributions are recognised. Establishing consistent, meaningful recognition helps signal to staff what behaviours and achievements the organisation truly values, reinforcing desired performance and engagement. By embedding recognition as a core element of organisational culture, Green Friendly Eco can strengthen psychological contracts, foster a sense of belonging, and encourage a more positive, high-performing work environment.</w:t>
      </w:r>
    </w:p>
    <w:p w14:paraId="3B035CFC" w14:textId="77777777" w:rsidR="002035DB" w:rsidRPr="00FE009D" w:rsidRDefault="002035DB" w:rsidP="007857AB">
      <w:pPr>
        <w:pStyle w:val="Nornal"/>
        <w:spacing w:after="0"/>
        <w:rPr>
          <w:rFonts w:ascii="Aptos" w:hAnsi="Aptos"/>
          <w:color w:val="EE0000"/>
          <w:lang w:val="en-GB"/>
        </w:rPr>
      </w:pPr>
    </w:p>
    <w:p w14:paraId="036869FE" w14:textId="46F18664" w:rsidR="00E733CA" w:rsidRPr="00FE009D" w:rsidRDefault="00B60F1E" w:rsidP="007857AB">
      <w:pPr>
        <w:pStyle w:val="Nornal"/>
        <w:spacing w:after="0"/>
        <w:rPr>
          <w:rFonts w:ascii="Aptos" w:hAnsi="Aptos"/>
          <w:b/>
          <w:bCs/>
          <w:lang w:val="en-GB"/>
        </w:rPr>
      </w:pPr>
      <w:r w:rsidRPr="00FE009D">
        <w:rPr>
          <w:rFonts w:ascii="Aptos" w:hAnsi="Aptos"/>
          <w:b/>
          <w:bCs/>
          <w:lang w:val="en-GB"/>
        </w:rPr>
        <w:t>(AC 3.2)</w:t>
      </w:r>
    </w:p>
    <w:p w14:paraId="47629B34" w14:textId="15F8C348" w:rsidR="00B60F1E" w:rsidRPr="00FE009D" w:rsidRDefault="00B60F1E" w:rsidP="007857AB">
      <w:pPr>
        <w:pStyle w:val="Nornal"/>
        <w:spacing w:after="0"/>
        <w:rPr>
          <w:rFonts w:ascii="Aptos" w:hAnsi="Aptos"/>
          <w:lang w:val="en-GB"/>
        </w:rPr>
      </w:pPr>
      <w:r w:rsidRPr="00FE009D">
        <w:rPr>
          <w:rFonts w:ascii="Aptos" w:hAnsi="Aptos"/>
          <w:lang w:val="en-GB"/>
        </w:rPr>
        <w:t xml:space="preserve"> </w:t>
      </w:r>
    </w:p>
    <w:p w14:paraId="1A70396A" w14:textId="63F57D06" w:rsidR="00700934" w:rsidRPr="00FE009D" w:rsidRDefault="00700934" w:rsidP="00700934">
      <w:pPr>
        <w:pStyle w:val="Nornal"/>
        <w:spacing w:after="0"/>
        <w:rPr>
          <w:rFonts w:ascii="Aptos" w:hAnsi="Aptos"/>
          <w:color w:val="EE0000"/>
          <w:lang w:val="en-GB"/>
        </w:rPr>
      </w:pPr>
      <w:r w:rsidRPr="00FE009D">
        <w:rPr>
          <w:rFonts w:ascii="Aptos" w:hAnsi="Aptos"/>
          <w:strike/>
          <w:lang w:val="en-GB"/>
        </w:rPr>
        <w:t>Benchmarking data is essential for Green Friendly Eco to ensure its reward packages are competitive and fair in the manufacturing market. Salary and reward surveys provide up-to-date market data on pay rates, benefits and incentives. These surveys are reliable when based on large samples and regular updates, but they can be costly and may not fully cover niche manufacturing roles (CIPD, 2025). Survey data also depends on the accuracy of employer submissions and may not reflect local variations unless regionally segmented.</w:t>
      </w:r>
      <w:r w:rsidR="006D7390" w:rsidRPr="00FE009D">
        <w:rPr>
          <w:rFonts w:ascii="Aptos" w:eastAsiaTheme="minorHAnsi" w:hAnsi="Aptos" w:cstheme="minorBidi"/>
          <w:color w:val="auto"/>
          <w:kern w:val="2"/>
          <w:bdr w:val="none" w:sz="0" w:space="0" w:color="auto"/>
          <w:lang w:val="en-GB" w:eastAsia="en-US"/>
          <w14:ligatures w14:val="standardContextual"/>
        </w:rPr>
        <w:t xml:space="preserve"> </w:t>
      </w:r>
      <w:r w:rsidR="006D7390" w:rsidRPr="00FE009D">
        <w:rPr>
          <w:rFonts w:ascii="Aptos" w:hAnsi="Aptos"/>
          <w:color w:val="EE0000"/>
          <w:lang w:val="en-GB"/>
        </w:rPr>
        <w:t>Benchmarking data ensures Green Friendly Eco’s reward packages are competitive and fair. Salary and reward surveys provide market data on pay rates, benefits and incentives. They are reliable when based on large samples and updated regularly, though they may not cover niche roles (CIPD, 2025). Accuracy also depends on employer submissions and may not reflect local variations.</w:t>
      </w:r>
    </w:p>
    <w:p w14:paraId="23776F5D" w14:textId="77777777" w:rsidR="00700934" w:rsidRPr="00FE009D" w:rsidRDefault="00700934" w:rsidP="00700934">
      <w:pPr>
        <w:pStyle w:val="Nornal"/>
        <w:spacing w:after="0"/>
        <w:rPr>
          <w:rFonts w:ascii="Aptos" w:hAnsi="Aptos"/>
          <w:lang w:val="en-GB"/>
        </w:rPr>
      </w:pPr>
    </w:p>
    <w:p w14:paraId="5E575C84" w14:textId="77777777" w:rsidR="00700934" w:rsidRPr="00FE009D" w:rsidRDefault="00700934" w:rsidP="00700934">
      <w:pPr>
        <w:pStyle w:val="Nornal"/>
        <w:spacing w:after="0"/>
        <w:rPr>
          <w:rFonts w:ascii="Aptos" w:hAnsi="Aptos"/>
          <w:lang w:val="en-GB"/>
        </w:rPr>
      </w:pPr>
      <w:r w:rsidRPr="00FE009D">
        <w:rPr>
          <w:rFonts w:ascii="Aptos" w:hAnsi="Aptos"/>
          <w:lang w:val="en-GB"/>
        </w:rPr>
        <w:t>Job evaluation and market pricing allow the organisation to compare roles internally and externally by assessing responsibilities, skills and job complexity. This supports internal equity and market competitiveness, but requires accurate job matching and consistent evaluation criteria. If job roles are poorly defined, results may be misleading (CIPD, 2025).</w:t>
      </w:r>
    </w:p>
    <w:p w14:paraId="24790270" w14:textId="77777777" w:rsidR="0012756A" w:rsidRPr="00FE009D" w:rsidRDefault="0012756A" w:rsidP="00700934">
      <w:pPr>
        <w:pStyle w:val="Nornal"/>
        <w:spacing w:after="0"/>
        <w:rPr>
          <w:rFonts w:ascii="Aptos" w:hAnsi="Aptos"/>
          <w:lang w:val="en-GB"/>
        </w:rPr>
      </w:pPr>
    </w:p>
    <w:p w14:paraId="4FA498C9" w14:textId="754EECB3" w:rsidR="0012756A" w:rsidRPr="00FE009D" w:rsidRDefault="00C71E8F" w:rsidP="00700934">
      <w:pPr>
        <w:pStyle w:val="Nornal"/>
        <w:spacing w:after="0"/>
        <w:rPr>
          <w:rFonts w:ascii="Aptos" w:hAnsi="Aptos"/>
          <w:color w:val="EE0000"/>
          <w:lang w:val="en-GB"/>
        </w:rPr>
      </w:pPr>
      <w:r w:rsidRPr="00FE009D">
        <w:rPr>
          <w:rFonts w:ascii="Aptos" w:hAnsi="Aptos"/>
          <w:strike/>
          <w:lang w:val="en-GB"/>
        </w:rPr>
        <w:t>Government statistics, such as ONS labour market and pay data, offer valid and standardised information on earnings, vacancies and inflation trends. These sources are reliable due to rigorous methodology, but can lag behind real-time market changes and therefore work best when combined with survey data (ONS, 2024). For Green Friendly Eco, ONS data can help understand national pay trends and sector-level shifts, but the company should also use industry-specific surveys to capture local manufacturing demand. Benchmarking data can be measured by comparing Green Friendly Eco’s pay ranges to market medians and percentiles, identifying gaps by job family, and tracking trends over time to highlight where rewards are under- or over-valued (CIPD 2025).</w:t>
      </w:r>
      <w:r w:rsidR="0030316E" w:rsidRPr="00FE009D">
        <w:rPr>
          <w:rFonts w:ascii="Aptos" w:eastAsiaTheme="minorHAnsi" w:hAnsi="Aptos" w:cstheme="minorBidi"/>
          <w:color w:val="auto"/>
          <w:kern w:val="2"/>
          <w:bdr w:val="none" w:sz="0" w:space="0" w:color="auto"/>
          <w:lang w:val="en-GB" w:eastAsia="en-US"/>
          <w14:ligatures w14:val="standardContextual"/>
        </w:rPr>
        <w:t xml:space="preserve"> </w:t>
      </w:r>
      <w:r w:rsidR="0030316E" w:rsidRPr="00FE009D">
        <w:rPr>
          <w:rFonts w:ascii="Aptos" w:hAnsi="Aptos"/>
          <w:color w:val="EE0000"/>
          <w:lang w:val="en-GB"/>
        </w:rPr>
        <w:t>ONS labour market and pay data provide standardised information on earnings, vacancies and inflation trends. While reliable, they can lag behind real-time changes and work best alongside surveys (ONS, 2024). Using ONS data with industry-specific surveys helps Green Friendly Eco capture both national trends and local manufacturing demand. Benchmarking involves comparing pay ranges to market medians and percentiles, identifying gaps by job family, and tracking trends over time (CIPD, 2025).</w:t>
      </w:r>
    </w:p>
    <w:p w14:paraId="5494F32B" w14:textId="77777777" w:rsidR="00700934" w:rsidRPr="00FE009D" w:rsidRDefault="00700934" w:rsidP="00700934">
      <w:pPr>
        <w:pStyle w:val="Nornal"/>
        <w:spacing w:after="0"/>
        <w:rPr>
          <w:rFonts w:ascii="Aptos" w:hAnsi="Aptos"/>
          <w:lang w:val="en-GB"/>
        </w:rPr>
      </w:pPr>
    </w:p>
    <w:p w14:paraId="051B4327" w14:textId="77777777" w:rsidR="00700934" w:rsidRPr="00FE009D" w:rsidRDefault="00700934" w:rsidP="00700934">
      <w:pPr>
        <w:pStyle w:val="Nornal"/>
        <w:spacing w:after="0"/>
        <w:rPr>
          <w:rFonts w:ascii="Aptos" w:hAnsi="Aptos"/>
          <w:strike/>
          <w:lang w:val="en-GB"/>
        </w:rPr>
      </w:pPr>
      <w:r w:rsidRPr="00FE009D">
        <w:rPr>
          <w:rFonts w:ascii="Aptos" w:hAnsi="Aptos"/>
          <w:strike/>
          <w:lang w:val="en-GB"/>
        </w:rPr>
        <w:t>Pay benchmarking reports (e.g., People Management) provide sector-specific insight by comparing pay with similar employers, including salary ranges, averages and benefits by region. This is useful for identifying pay gaps and adjusting reward packages, but the quality depends on accurate job matching and up-to-date data (Farrand, 2023).</w:t>
      </w:r>
    </w:p>
    <w:p w14:paraId="01EBE1F9" w14:textId="77777777" w:rsidR="00700934" w:rsidRPr="00FE009D" w:rsidRDefault="00700934" w:rsidP="00700934">
      <w:pPr>
        <w:pStyle w:val="Nornal"/>
        <w:spacing w:after="0"/>
        <w:rPr>
          <w:rFonts w:ascii="Aptos" w:hAnsi="Aptos"/>
          <w:strike/>
          <w:lang w:val="en-GB"/>
        </w:rPr>
      </w:pPr>
      <w:r w:rsidRPr="00FE009D">
        <w:rPr>
          <w:rFonts w:ascii="Aptos" w:hAnsi="Aptos"/>
          <w:strike/>
          <w:lang w:val="en-GB"/>
        </w:rPr>
        <w:t>Internal payroll data (e.g., turnover rates, retention statistics and pay progression) is another valuable source. While not a market benchmark, it helps measure the effectiveness of current reward strategies and identify where pay and benefits are driving turnover. When combined with external benchmarking, this gives a more complete picture of reward performance (CIPD, 2025).</w:t>
      </w:r>
    </w:p>
    <w:p w14:paraId="5B8DE1E2" w14:textId="30461838" w:rsidR="007739C6" w:rsidRPr="00FE009D" w:rsidRDefault="00E83359" w:rsidP="00700934">
      <w:pPr>
        <w:pStyle w:val="Nornal"/>
        <w:spacing w:after="0"/>
        <w:rPr>
          <w:rFonts w:ascii="Aptos" w:hAnsi="Aptos"/>
          <w:color w:val="EE0000"/>
          <w:lang w:val="en-GB"/>
        </w:rPr>
      </w:pPr>
      <w:r w:rsidRPr="00FE009D">
        <w:rPr>
          <w:rFonts w:ascii="Aptos" w:hAnsi="Aptos"/>
          <w:color w:val="EE0000"/>
          <w:lang w:val="en-GB"/>
        </w:rPr>
        <w:t>Pay benchmarking reports, such as People Management, provide sector-specific insight on salaries and benefits, helping identify pay gaps and adjust packages (Farrand, 2023). Internal payroll data, including turnover, retention and pay progression, measures the effectiveness of current rewards and shows where pay and benefits influence turnover. Combining external and internal data gives a complete picture of reward performance (CIPD, 2025).</w:t>
      </w:r>
    </w:p>
    <w:p w14:paraId="1B58D1AE" w14:textId="77777777" w:rsidR="00700934" w:rsidRPr="00FE009D" w:rsidRDefault="00700934" w:rsidP="00700934">
      <w:pPr>
        <w:pStyle w:val="Nornal"/>
        <w:spacing w:after="0"/>
        <w:rPr>
          <w:rFonts w:ascii="Aptos" w:hAnsi="Aptos"/>
          <w:lang w:val="en-GB"/>
        </w:rPr>
      </w:pPr>
    </w:p>
    <w:p w14:paraId="5148C6C7" w14:textId="34EEEC1A" w:rsidR="00700934" w:rsidRPr="00FE009D" w:rsidRDefault="00700934" w:rsidP="00700934">
      <w:pPr>
        <w:pStyle w:val="Nornal"/>
        <w:spacing w:after="0"/>
        <w:rPr>
          <w:rFonts w:ascii="Aptos" w:hAnsi="Aptos"/>
          <w:lang w:val="en-GB"/>
        </w:rPr>
      </w:pPr>
      <w:r w:rsidRPr="00FE009D">
        <w:rPr>
          <w:rFonts w:ascii="Aptos" w:hAnsi="Aptos"/>
          <w:strike/>
          <w:lang w:val="en-GB"/>
        </w:rPr>
        <w:t xml:space="preserve">Green Friendly Eco’s reward issues reflect a wider need for HR to act strategically rather than purely administratively. The CIPD podcast highlights that HR is increasingly expected to support organisational goals such as talent retention, engagement and fair reward systems, rather than only managing compliance and paperwork (Cassidy, </w:t>
      </w:r>
      <w:r w:rsidR="002B2891" w:rsidRPr="00FE009D">
        <w:rPr>
          <w:rFonts w:ascii="Aptos" w:hAnsi="Aptos"/>
          <w:strike/>
          <w:lang w:val="en-GB"/>
        </w:rPr>
        <w:t xml:space="preserve">N. </w:t>
      </w:r>
      <w:r w:rsidRPr="00FE009D">
        <w:rPr>
          <w:rFonts w:ascii="Aptos" w:hAnsi="Aptos"/>
          <w:strike/>
          <w:lang w:val="en-GB"/>
        </w:rPr>
        <w:t>2022). This supports the need for Green Friendly Eco to redesign its reward strategy to rebuild trust, improve morale and reduce turnover. By adopting a more strategic HR approach, the organisation can better align reward with employee expectations, ensuring recognition, development opportunities and fair pay are delivered consistently. This would strengthen the psychological contract, improve employee commitment, and enhance long-term organisational performance</w:t>
      </w:r>
      <w:r w:rsidRPr="00FE009D">
        <w:rPr>
          <w:rFonts w:ascii="Aptos" w:hAnsi="Aptos"/>
          <w:lang w:val="en-GB"/>
        </w:rPr>
        <w:t>.</w:t>
      </w:r>
    </w:p>
    <w:p w14:paraId="6B1DBC59" w14:textId="35C92CC9" w:rsidR="00A17FC6" w:rsidRPr="00FE009D" w:rsidRDefault="007811CC" w:rsidP="00700934">
      <w:pPr>
        <w:pStyle w:val="Nornal"/>
        <w:spacing w:after="0"/>
        <w:rPr>
          <w:rFonts w:ascii="Aptos" w:hAnsi="Aptos"/>
          <w:color w:val="EE0000"/>
          <w:lang w:val="en-GB"/>
        </w:rPr>
      </w:pPr>
      <w:r w:rsidRPr="00FE009D">
        <w:rPr>
          <w:rFonts w:ascii="Aptos" w:hAnsi="Aptos"/>
          <w:color w:val="EE0000"/>
          <w:lang w:val="en-GB"/>
        </w:rPr>
        <w:t>Green Friendly Eco’s reward issues show the need for HR to act strategically. HR increasingly supports goals such as talent retention, engagement and fair reward systems (Cassidy, 2022). Redesigning the reward strategy would rebuild trust, improve morale and reduce turnover. A strategic approach aligns reward with employee expectations, ensuring recognition, development opportunities and fair pay are delivered consistently, strengthening the psychological contract and long-term performance.</w:t>
      </w:r>
    </w:p>
    <w:p w14:paraId="0EB33ACB" w14:textId="77777777" w:rsidR="007811CC" w:rsidRPr="00FE009D" w:rsidRDefault="007811CC" w:rsidP="00700934">
      <w:pPr>
        <w:pStyle w:val="Nornal"/>
        <w:spacing w:after="0"/>
        <w:rPr>
          <w:rFonts w:ascii="Aptos" w:hAnsi="Aptos"/>
          <w:color w:val="EE0000"/>
          <w:lang w:val="en-GB"/>
        </w:rPr>
      </w:pPr>
    </w:p>
    <w:p w14:paraId="3D744D2C" w14:textId="5556E03B" w:rsidR="00551675" w:rsidRPr="00FE009D" w:rsidRDefault="00714669" w:rsidP="00551675">
      <w:pPr>
        <w:pStyle w:val="Nornal"/>
        <w:spacing w:after="0"/>
        <w:rPr>
          <w:rFonts w:ascii="Aptos" w:hAnsi="Aptos"/>
          <w:b/>
          <w:bCs/>
        </w:rPr>
      </w:pPr>
      <w:r w:rsidRPr="00FE009D">
        <w:rPr>
          <w:rFonts w:ascii="Aptos" w:hAnsi="Aptos"/>
          <w:b/>
          <w:bCs/>
        </w:rPr>
        <w:t>(AC 3.3)</w:t>
      </w:r>
    </w:p>
    <w:p w14:paraId="5C0AD816" w14:textId="77777777" w:rsidR="00E733CA" w:rsidRPr="00FE009D" w:rsidRDefault="00E733CA" w:rsidP="00551675">
      <w:pPr>
        <w:pStyle w:val="Nornal"/>
        <w:spacing w:after="0"/>
        <w:rPr>
          <w:rFonts w:ascii="Aptos" w:hAnsi="Aptos"/>
          <w:b/>
          <w:bCs/>
        </w:rPr>
      </w:pPr>
    </w:p>
    <w:p w14:paraId="1E142DA0" w14:textId="77777777" w:rsidR="00C578E1" w:rsidRPr="00FE009D" w:rsidRDefault="00C578E1" w:rsidP="00C578E1">
      <w:pPr>
        <w:pStyle w:val="Nornal"/>
        <w:spacing w:after="0"/>
        <w:rPr>
          <w:rFonts w:ascii="Aptos" w:hAnsi="Aptos"/>
          <w:strike/>
          <w:lang w:val="en-GB"/>
        </w:rPr>
      </w:pPr>
      <w:r w:rsidRPr="00FE009D">
        <w:rPr>
          <w:rFonts w:ascii="Aptos" w:hAnsi="Aptos"/>
          <w:strike/>
          <w:lang w:val="en-GB"/>
        </w:rPr>
        <w:t>Job evaluation is a systematic process used to determine the relative importance of jobs within an organisation, forming the basis for fair and equitable pay structures. ACAS defines job evaluation as “a method of determining on a systematic basis the relative importance of a number of different jobs” (Acas, n.d.). Although organisations have always made implicit judgements about job value, formal job evaluation provides a structured and objective approach that helps reduce bias and discrimination.</w:t>
      </w:r>
    </w:p>
    <w:p w14:paraId="66AD06FE" w14:textId="661599C8" w:rsidR="009A080B" w:rsidRPr="00FE009D" w:rsidRDefault="009A080B" w:rsidP="00C578E1">
      <w:pPr>
        <w:pStyle w:val="Nornal"/>
        <w:spacing w:after="0"/>
        <w:rPr>
          <w:rFonts w:ascii="Aptos" w:hAnsi="Aptos"/>
          <w:color w:val="EE0000"/>
          <w:lang w:val="en-GB"/>
        </w:rPr>
      </w:pPr>
      <w:r w:rsidRPr="00FE009D">
        <w:rPr>
          <w:rFonts w:ascii="Aptos" w:hAnsi="Aptos"/>
          <w:color w:val="EE0000"/>
          <w:lang w:val="en-GB"/>
        </w:rPr>
        <w:t>Job evaluation systematically determines the relative importance of jobs, forming the basis for fair pay structures. ACAS defines it as “a method of determining on a systematic basis the relative importance of a number of different jobs” (</w:t>
      </w:r>
      <w:proofErr w:type="spellStart"/>
      <w:r w:rsidRPr="00FE009D">
        <w:rPr>
          <w:rFonts w:ascii="Aptos" w:hAnsi="Aptos"/>
          <w:color w:val="EE0000"/>
          <w:lang w:val="en-GB"/>
        </w:rPr>
        <w:t>Acas</w:t>
      </w:r>
      <w:proofErr w:type="spellEnd"/>
      <w:r w:rsidRPr="00FE009D">
        <w:rPr>
          <w:rFonts w:ascii="Aptos" w:hAnsi="Aptos"/>
          <w:color w:val="EE0000"/>
          <w:lang w:val="en-GB"/>
        </w:rPr>
        <w:t>, n.d.). Formal job evaluation provides a structured, objective approach, reducing bias and discrimination.</w:t>
      </w:r>
    </w:p>
    <w:p w14:paraId="2719D61E" w14:textId="77777777" w:rsidR="00C578E1" w:rsidRPr="00FE009D" w:rsidRDefault="00C578E1" w:rsidP="00C578E1">
      <w:pPr>
        <w:pStyle w:val="Nornal"/>
        <w:spacing w:after="0"/>
        <w:rPr>
          <w:rFonts w:ascii="Aptos" w:hAnsi="Aptos"/>
          <w:lang w:val="en-GB"/>
        </w:rPr>
      </w:pPr>
    </w:p>
    <w:p w14:paraId="072726F9" w14:textId="77777777" w:rsidR="00C578E1" w:rsidRPr="00FE009D" w:rsidRDefault="00C578E1" w:rsidP="00C578E1">
      <w:pPr>
        <w:pStyle w:val="Nornal"/>
        <w:spacing w:after="0"/>
        <w:rPr>
          <w:rFonts w:ascii="Aptos" w:hAnsi="Aptos"/>
          <w:strike/>
          <w:lang w:val="en-GB"/>
        </w:rPr>
      </w:pPr>
      <w:r w:rsidRPr="00FE009D">
        <w:rPr>
          <w:rFonts w:ascii="Aptos" w:hAnsi="Aptos"/>
          <w:strike/>
          <w:lang w:val="en-GB"/>
        </w:rPr>
        <w:t>Informal job evaluation relies on managerial judgement and broad comparisons between roles. While it is quick and flexible, it lacks transparency and consistency, making it unsuitable for defending pay decisions or addressing equality concerns. In contrast, formal job evaluation uses structured methods and documented criteria to assess roles, improving consistency and supporting fairness across the organisation (Acas, n.d.).</w:t>
      </w:r>
    </w:p>
    <w:p w14:paraId="71C7B99C" w14:textId="457F6C73" w:rsidR="00C578E1" w:rsidRPr="00FE009D" w:rsidRDefault="00DD40E0" w:rsidP="00C578E1">
      <w:pPr>
        <w:pStyle w:val="Nornal"/>
        <w:spacing w:after="0"/>
        <w:rPr>
          <w:rFonts w:ascii="Aptos" w:hAnsi="Aptos"/>
          <w:color w:val="EE0000"/>
          <w:lang w:val="en-GB"/>
        </w:rPr>
      </w:pPr>
      <w:r w:rsidRPr="00FE009D">
        <w:rPr>
          <w:rFonts w:ascii="Aptos" w:hAnsi="Aptos"/>
          <w:color w:val="EE0000"/>
          <w:lang w:val="en-GB"/>
        </w:rPr>
        <w:t>Informal job evaluation relies on managerial judgement and broad role comparisons. While quick and flexible, it lacks transparency and consistency, making it unsuitable for pay decisions or equality concerns. Formal evaluation uses structured methods and documented criteria, improving consistency and fairness (</w:t>
      </w:r>
      <w:proofErr w:type="spellStart"/>
      <w:r w:rsidRPr="00FE009D">
        <w:rPr>
          <w:rFonts w:ascii="Aptos" w:hAnsi="Aptos"/>
          <w:color w:val="EE0000"/>
          <w:lang w:val="en-GB"/>
        </w:rPr>
        <w:t>Acas</w:t>
      </w:r>
      <w:proofErr w:type="spellEnd"/>
      <w:r w:rsidRPr="00FE009D">
        <w:rPr>
          <w:rFonts w:ascii="Aptos" w:hAnsi="Aptos"/>
          <w:color w:val="EE0000"/>
          <w:lang w:val="en-GB"/>
        </w:rPr>
        <w:t>, n.d.).</w:t>
      </w:r>
    </w:p>
    <w:p w14:paraId="15A1E49F" w14:textId="77777777" w:rsidR="00DD40E0" w:rsidRPr="00FE009D" w:rsidRDefault="00DD40E0" w:rsidP="00C578E1">
      <w:pPr>
        <w:pStyle w:val="Nornal"/>
        <w:spacing w:after="0"/>
        <w:rPr>
          <w:rFonts w:ascii="Aptos" w:hAnsi="Aptos"/>
          <w:color w:val="EE0000"/>
          <w:lang w:val="en-GB"/>
        </w:rPr>
      </w:pPr>
    </w:p>
    <w:p w14:paraId="040EDBC1" w14:textId="7605D32B" w:rsidR="00C578E1" w:rsidRPr="00FE009D" w:rsidRDefault="00C578E1" w:rsidP="00C578E1">
      <w:pPr>
        <w:pStyle w:val="Nornal"/>
        <w:spacing w:after="0"/>
        <w:rPr>
          <w:rFonts w:ascii="Aptos" w:hAnsi="Aptos"/>
          <w:strike/>
          <w:lang w:val="en-GB"/>
        </w:rPr>
      </w:pPr>
      <w:r w:rsidRPr="00FE009D">
        <w:rPr>
          <w:rFonts w:ascii="Aptos" w:hAnsi="Aptos"/>
          <w:strike/>
          <w:lang w:val="en-GB"/>
        </w:rPr>
        <w:t>Job evaluation approaches can also be divided into non-analytical and analytical methods.</w:t>
      </w:r>
      <w:r w:rsidR="0067132A" w:rsidRPr="00FE009D">
        <w:rPr>
          <w:rFonts w:ascii="Aptos" w:eastAsiaTheme="minorHAnsi" w:hAnsi="Aptos" w:cstheme="minorBidi"/>
          <w:strike/>
          <w:color w:val="auto"/>
          <w:kern w:val="2"/>
          <w:bdr w:val="none" w:sz="0" w:space="0" w:color="auto"/>
          <w:lang w:val="en-GB" w:eastAsia="en-US"/>
          <w14:ligatures w14:val="standardContextual"/>
        </w:rPr>
        <w:t xml:space="preserve"> </w:t>
      </w:r>
      <w:r w:rsidR="0067132A" w:rsidRPr="00FE009D">
        <w:rPr>
          <w:rFonts w:ascii="Aptos" w:hAnsi="Aptos"/>
          <w:strike/>
          <w:lang w:val="en-GB"/>
        </w:rPr>
        <w:t>Job ranking orders roles from highest to lowest value, while job classification groups jobs into predefined grades</w:t>
      </w:r>
      <w:r w:rsidRPr="00FE009D">
        <w:rPr>
          <w:rFonts w:ascii="Aptos" w:hAnsi="Aptos"/>
          <w:strike/>
          <w:lang w:val="en-GB"/>
        </w:rPr>
        <w:t>. Job matching involves comparing internal roles with benchmark roles from external surveys, which is useful for understanding market competitiveness but can lack precision if roles are poorly matched (CIPD, 2025).</w:t>
      </w:r>
    </w:p>
    <w:p w14:paraId="2A27F0DF" w14:textId="39E92B4B" w:rsidR="00C578E1" w:rsidRPr="00FE009D" w:rsidRDefault="00A7117F" w:rsidP="00C578E1">
      <w:pPr>
        <w:pStyle w:val="Nornal"/>
        <w:spacing w:after="0"/>
        <w:rPr>
          <w:rFonts w:ascii="Aptos" w:hAnsi="Aptos"/>
          <w:color w:val="EE0000"/>
          <w:lang w:val="en-GB"/>
        </w:rPr>
      </w:pPr>
      <w:r w:rsidRPr="00FE009D">
        <w:rPr>
          <w:rFonts w:ascii="Aptos" w:hAnsi="Aptos"/>
          <w:color w:val="EE0000"/>
          <w:lang w:val="en-GB"/>
        </w:rPr>
        <w:t>Job evaluation approaches include non-analytical and analytical methods. Job ranking orders roles from highest to lowest value, classification groups jobs into grades, and job matching compares internal roles with external benchmarks, useful for market competitiveness but less precise if roles are poorly matched (CIPD, 2025).</w:t>
      </w:r>
    </w:p>
    <w:p w14:paraId="20C45C7D" w14:textId="77777777" w:rsidR="00A7117F" w:rsidRPr="00FE009D" w:rsidRDefault="00A7117F" w:rsidP="00C578E1">
      <w:pPr>
        <w:pStyle w:val="Nornal"/>
        <w:spacing w:after="0"/>
        <w:rPr>
          <w:rFonts w:ascii="Aptos" w:hAnsi="Aptos"/>
          <w:color w:val="EE0000"/>
          <w:lang w:val="en-GB"/>
        </w:rPr>
      </w:pPr>
    </w:p>
    <w:p w14:paraId="49111E8E" w14:textId="77777777" w:rsidR="00C578E1" w:rsidRPr="00FE009D" w:rsidRDefault="00C578E1" w:rsidP="00C578E1">
      <w:pPr>
        <w:pStyle w:val="Nornal"/>
        <w:spacing w:after="0"/>
        <w:rPr>
          <w:rFonts w:ascii="Aptos" w:hAnsi="Aptos"/>
          <w:lang w:val="en-GB"/>
        </w:rPr>
      </w:pPr>
      <w:r w:rsidRPr="00FE009D">
        <w:rPr>
          <w:rFonts w:ascii="Aptos" w:hAnsi="Aptos"/>
          <w:lang w:val="en-GB"/>
        </w:rPr>
        <w:t>Analytical job evaluation breaks jobs down into defined factors such as skills, effort, responsibility and decision-making. Point factor schemes are a common analytical method, allocating scores to each factor to produce an overall job value. These approaches are more complex and time-consuming but are considered more robust, objective and defensible, particularly in relation to equal pay claims (CIPD, 2025).</w:t>
      </w:r>
    </w:p>
    <w:p w14:paraId="7AD12CB5" w14:textId="77777777" w:rsidR="00C578E1" w:rsidRPr="00FE009D" w:rsidRDefault="00C578E1" w:rsidP="00C578E1">
      <w:pPr>
        <w:pStyle w:val="Nornal"/>
        <w:spacing w:after="0"/>
        <w:rPr>
          <w:rFonts w:ascii="Aptos" w:hAnsi="Aptos"/>
          <w:lang w:val="en-GB"/>
        </w:rPr>
      </w:pPr>
    </w:p>
    <w:p w14:paraId="30CE0434" w14:textId="77777777" w:rsidR="00C578E1" w:rsidRPr="00FE009D" w:rsidRDefault="00C578E1" w:rsidP="00C578E1">
      <w:pPr>
        <w:pStyle w:val="Nornal"/>
        <w:spacing w:after="0"/>
        <w:rPr>
          <w:rFonts w:ascii="Aptos" w:hAnsi="Aptos"/>
          <w:strike/>
          <w:lang w:val="en-GB"/>
        </w:rPr>
      </w:pPr>
      <w:r w:rsidRPr="00FE009D">
        <w:rPr>
          <w:rFonts w:ascii="Aptos" w:hAnsi="Aptos"/>
          <w:strike/>
          <w:lang w:val="en-GB"/>
        </w:rPr>
        <w:t>Job levelling is often used alongside analytical evaluation to group roles of similar value into grades or bands, supporting career progression and consistent reward decisions. Importantly, analytical job evaluation schemes are widely recognised as a valid defence in equal pay cases, as they demonstrate that pay differences are based on objective job-related factors rather than gender or other protected characteristics (Acas, n.d.).</w:t>
      </w:r>
    </w:p>
    <w:p w14:paraId="0B6589F0" w14:textId="77777777" w:rsidR="00DB048F" w:rsidRPr="00FE009D" w:rsidRDefault="00DB048F" w:rsidP="00DB048F">
      <w:pPr>
        <w:pStyle w:val="Nornal"/>
        <w:spacing w:after="0"/>
        <w:rPr>
          <w:rFonts w:ascii="Aptos" w:hAnsi="Aptos"/>
          <w:color w:val="EE0000"/>
          <w:lang w:val="en-GB"/>
        </w:rPr>
      </w:pPr>
      <w:r w:rsidRPr="00C21AC0">
        <w:rPr>
          <w:rFonts w:ascii="Aptos" w:hAnsi="Aptos"/>
          <w:color w:val="EE0000"/>
          <w:lang w:val="en-GB"/>
        </w:rPr>
        <w:t>Job levelling groups roles of similar value into grades or bands, supporting progression and consistent reward decisions. Analytical evaluation is recognised as a valid defence in equal pay cases, showing differences are based on objective job-related factors, not protected characteristics (</w:t>
      </w:r>
      <w:proofErr w:type="spellStart"/>
      <w:r w:rsidRPr="00C21AC0">
        <w:rPr>
          <w:rFonts w:ascii="Aptos" w:hAnsi="Aptos"/>
          <w:color w:val="EE0000"/>
          <w:lang w:val="en-GB"/>
        </w:rPr>
        <w:t>Acas</w:t>
      </w:r>
      <w:proofErr w:type="spellEnd"/>
      <w:r w:rsidRPr="00C21AC0">
        <w:rPr>
          <w:rFonts w:ascii="Aptos" w:hAnsi="Aptos"/>
          <w:color w:val="EE0000"/>
          <w:lang w:val="en-GB"/>
        </w:rPr>
        <w:t>, n.d.).</w:t>
      </w:r>
    </w:p>
    <w:p w14:paraId="19A99F46" w14:textId="77777777" w:rsidR="00C578E1" w:rsidRPr="00FE009D" w:rsidRDefault="00C578E1" w:rsidP="00C578E1">
      <w:pPr>
        <w:pStyle w:val="Nornal"/>
        <w:spacing w:after="0"/>
        <w:rPr>
          <w:rFonts w:ascii="Aptos" w:hAnsi="Aptos"/>
          <w:strike/>
          <w:lang w:val="en-GB"/>
        </w:rPr>
      </w:pPr>
    </w:p>
    <w:p w14:paraId="5AB97617" w14:textId="6AE3B6B8" w:rsidR="00C21AC0" w:rsidRPr="00C21AC0" w:rsidRDefault="00C578E1" w:rsidP="00C21AC0">
      <w:pPr>
        <w:pStyle w:val="Nornal"/>
        <w:spacing w:after="0"/>
        <w:rPr>
          <w:rFonts w:ascii="Aptos" w:hAnsi="Aptos"/>
          <w:strike/>
          <w:lang w:val="en-GB"/>
        </w:rPr>
      </w:pPr>
      <w:r w:rsidRPr="00FE009D">
        <w:rPr>
          <w:rFonts w:ascii="Aptos" w:hAnsi="Aptos"/>
          <w:strike/>
          <w:lang w:val="en-GB"/>
        </w:rPr>
        <w:t>Overall, while job evaluation can be complex and sensitive due to the human factor and employee perceptions, structured analytical approaches supported by clear communication provide organisations with a transparent and legally defensible foundation for fair reward systems. For Green Friendly Eco, using a formal analytical job evaluation approach, such as a point factor scheme combined with market pricing, would support internal equity, provide transparency in grading decisions, and offer a robust defence against equal pay claims.</w:t>
      </w:r>
    </w:p>
    <w:p w14:paraId="0F96BCD2" w14:textId="77777777" w:rsidR="00C21AC0" w:rsidRPr="00C21AC0" w:rsidRDefault="00C21AC0" w:rsidP="00C21AC0">
      <w:pPr>
        <w:pStyle w:val="Nornal"/>
        <w:spacing w:after="0"/>
        <w:rPr>
          <w:rFonts w:ascii="Aptos" w:hAnsi="Aptos"/>
          <w:color w:val="EE0000"/>
          <w:lang w:val="en-GB"/>
        </w:rPr>
      </w:pPr>
      <w:r w:rsidRPr="00C21AC0">
        <w:rPr>
          <w:rFonts w:ascii="Aptos" w:hAnsi="Aptos"/>
          <w:color w:val="EE0000"/>
          <w:lang w:val="en-GB"/>
        </w:rPr>
        <w:t>Overall, structured analytical approaches with clear communication provide a transparent and legally defensible foundation for fair reward systems. For Green Friendly Eco, using a formal analytical approach, such as a point factor scheme with market pricing, would support internal equity, ensure transparency in grading decisions, and help defend pay outcomes. Implementing this approach would strengthen fairness, support career progression, and improve employee trust and engagement.</w:t>
      </w:r>
    </w:p>
    <w:p w14:paraId="00FA06B0" w14:textId="77777777" w:rsidR="00C21AC0" w:rsidRPr="00FE009D" w:rsidRDefault="00C21AC0" w:rsidP="00D479A1">
      <w:pPr>
        <w:pStyle w:val="Nornal"/>
        <w:pBdr>
          <w:top w:val="none" w:sz="0" w:space="0" w:color="auto"/>
          <w:left w:val="none" w:sz="0" w:space="0" w:color="auto"/>
          <w:bottom w:val="none" w:sz="0" w:space="0" w:color="auto"/>
          <w:right w:val="none" w:sz="0" w:space="0" w:color="auto"/>
          <w:between w:val="none" w:sz="0" w:space="0" w:color="auto"/>
          <w:bar w:val="none" w:sz="0" w:color="auto"/>
        </w:pBdr>
        <w:spacing w:after="0" w:line="240" w:lineRule="auto"/>
        <w:rPr>
          <w:rFonts w:ascii="Aptos" w:hAnsi="Aptos"/>
        </w:rPr>
      </w:pPr>
    </w:p>
    <w:p w14:paraId="2ACC6681" w14:textId="70F700B1" w:rsidR="00B14F66" w:rsidRPr="00FE009D" w:rsidRDefault="00B14F66" w:rsidP="008C0673">
      <w:pPr>
        <w:pStyle w:val="Listparag"/>
        <w:numPr>
          <w:ilvl w:val="0"/>
          <w:numId w:val="0"/>
        </w:numPr>
        <w:rPr>
          <w:rFonts w:ascii="Aptos" w:eastAsia="Arial" w:hAnsi="Aptos"/>
          <w:b/>
          <w:bCs/>
          <w:szCs w:val="22"/>
        </w:rPr>
      </w:pPr>
      <w:r w:rsidRPr="00FE009D">
        <w:rPr>
          <w:rFonts w:ascii="Aptos" w:eastAsia="Arial" w:hAnsi="Aptos"/>
          <w:b/>
          <w:bCs/>
          <w:szCs w:val="22"/>
        </w:rPr>
        <w:t>(AC 3.4)</w:t>
      </w:r>
    </w:p>
    <w:p w14:paraId="0FF8AA56" w14:textId="2B6DBFAB" w:rsidR="007F2900" w:rsidRPr="00FE009D" w:rsidRDefault="007F2900" w:rsidP="00ED283F">
      <w:pPr>
        <w:pStyle w:val="Nornal"/>
        <w:spacing w:after="0"/>
        <w:rPr>
          <w:rFonts w:ascii="Aptos" w:hAnsi="Aptos"/>
          <w:lang w:val="en-GB"/>
        </w:rPr>
      </w:pPr>
      <w:r w:rsidRPr="00FE009D">
        <w:rPr>
          <w:rFonts w:ascii="Aptos" w:hAnsi="Aptos"/>
          <w:lang w:val="en-GB"/>
        </w:rPr>
        <w:t xml:space="preserve">Reward practice is heavily shaped by legislative requirements governing how pay is calculated, reported, and communicated. </w:t>
      </w:r>
      <w:r w:rsidR="00375871" w:rsidRPr="00FE009D">
        <w:rPr>
          <w:rFonts w:ascii="Aptos" w:hAnsi="Aptos"/>
          <w:lang w:val="en-GB"/>
        </w:rPr>
        <w:t>Three key areas impacting Green Friendly Eco are income tax compliance, itemised pay statements, and CEO pay reporting.</w:t>
      </w:r>
    </w:p>
    <w:p w14:paraId="779112D6" w14:textId="77777777" w:rsidR="00ED283F" w:rsidRPr="00FE009D" w:rsidRDefault="00ED283F" w:rsidP="00ED283F">
      <w:pPr>
        <w:pStyle w:val="Nornal"/>
        <w:spacing w:after="0"/>
        <w:rPr>
          <w:rFonts w:ascii="Aptos" w:hAnsi="Aptos"/>
          <w:lang w:val="en-GB"/>
        </w:rPr>
      </w:pPr>
    </w:p>
    <w:p w14:paraId="51AB4EC0" w14:textId="57A14385" w:rsidR="007F2900" w:rsidRPr="00FE009D" w:rsidRDefault="007F2900" w:rsidP="003970F2">
      <w:pPr>
        <w:pStyle w:val="Nornal"/>
        <w:numPr>
          <w:ilvl w:val="0"/>
          <w:numId w:val="85"/>
        </w:numPr>
        <w:spacing w:after="0"/>
        <w:rPr>
          <w:rFonts w:ascii="Aptos" w:hAnsi="Aptos"/>
          <w:strike/>
          <w:lang w:val="en-GB"/>
        </w:rPr>
      </w:pPr>
      <w:r w:rsidRPr="00FE009D">
        <w:rPr>
          <w:rFonts w:ascii="Aptos" w:hAnsi="Aptos"/>
          <w:b/>
          <w:bCs/>
          <w:lang w:val="en-GB"/>
        </w:rPr>
        <w:t>Income Tax (PAYE &amp; HMRC compliance)</w:t>
      </w:r>
      <w:r w:rsidRPr="00FE009D">
        <w:rPr>
          <w:rFonts w:ascii="Aptos" w:hAnsi="Aptos"/>
          <w:lang w:val="en-GB"/>
        </w:rPr>
        <w:br/>
      </w:r>
      <w:r w:rsidRPr="00FE009D">
        <w:rPr>
          <w:rFonts w:ascii="Aptos" w:hAnsi="Aptos"/>
          <w:strike/>
          <w:lang w:val="en-GB"/>
        </w:rPr>
        <w:t>Employers must operate the Pay As You Earn (PAYE) system, deducting income tax and National Insurance contributions and submitting them to HMRC (Gov.uk, n.d.). Employers must also apply correct tax codes and report payroll information accurately. This affects reward practice because net pay determines employee motivation, retention, and perceived fairness. Incorrect deductions or late payments can result in penalties and reputational damage. For Green Friendly Eco, accurate tax deductions are vital to rebuild trust after high turnover and low morale. Reward packages should be designed with tax implications in mind—especially bonuses, overtime, and benefits in kind—ensuring employees receive correct pay and understand deductions. Clear tax compliance also supports transparent reward policies and reduces suspicion of unfair treatment.</w:t>
      </w:r>
    </w:p>
    <w:p w14:paraId="0503A123" w14:textId="77777777" w:rsidR="00585734" w:rsidRPr="00FE009D" w:rsidRDefault="00585734" w:rsidP="005B0F6B">
      <w:pPr>
        <w:pStyle w:val="Nornal"/>
        <w:spacing w:after="0"/>
        <w:ind w:left="720"/>
        <w:rPr>
          <w:rFonts w:ascii="Aptos" w:hAnsi="Aptos"/>
          <w:color w:val="EE0000"/>
          <w:lang w:val="en-GB"/>
        </w:rPr>
      </w:pPr>
      <w:r w:rsidRPr="00FE009D">
        <w:rPr>
          <w:rFonts w:ascii="Aptos" w:hAnsi="Aptos"/>
          <w:color w:val="EE0000"/>
          <w:lang w:val="en-GB"/>
        </w:rPr>
        <w:t>Employers must operate the Pay As You Earn (PAYE) system, deducting income tax and National Insurance contributions and submitting them to HMRC (Gov.uk, n.d.). Correct tax codes and accurate reporting support net pay, which affects motivation, retention and perceived fairness. Errors can result in penalties and damage to reputation. For Green Friendly Eco, accurate deductions are vital to rebuild trust. Reward packages, including bonuses, overtime, and benefits in kind, should consider tax implications to ensure employees receive correct pay and understand their deductions (CIPD, 2025).</w:t>
      </w:r>
    </w:p>
    <w:p w14:paraId="5E6400C1" w14:textId="77777777" w:rsidR="009655F8" w:rsidRPr="00FE009D" w:rsidRDefault="009655F8" w:rsidP="005B0F6B">
      <w:pPr>
        <w:pStyle w:val="Nornal"/>
        <w:spacing w:after="0"/>
        <w:ind w:left="720"/>
        <w:rPr>
          <w:rFonts w:ascii="Aptos" w:hAnsi="Aptos"/>
          <w:color w:val="EE0000"/>
          <w:lang w:val="en-GB"/>
        </w:rPr>
      </w:pPr>
    </w:p>
    <w:p w14:paraId="33F90DB8" w14:textId="18CCD492" w:rsidR="007F2900" w:rsidRPr="00FE009D" w:rsidRDefault="007F2900" w:rsidP="005B0F6B">
      <w:pPr>
        <w:pStyle w:val="Nornal"/>
        <w:spacing w:after="0"/>
        <w:ind w:left="720"/>
        <w:rPr>
          <w:rFonts w:ascii="Aptos" w:hAnsi="Aptos"/>
          <w:strike/>
          <w:lang w:val="en-GB"/>
        </w:rPr>
      </w:pPr>
      <w:r w:rsidRPr="00FE009D">
        <w:rPr>
          <w:rFonts w:ascii="Aptos" w:hAnsi="Aptos"/>
          <w:b/>
          <w:bCs/>
          <w:lang w:val="en-GB"/>
        </w:rPr>
        <w:t>Impact on reward:</w:t>
      </w:r>
      <w:r w:rsidRPr="00FE009D">
        <w:rPr>
          <w:rFonts w:ascii="Aptos" w:hAnsi="Aptos"/>
          <w:strike/>
          <w:lang w:val="en-GB"/>
        </w:rPr>
        <w:br/>
        <w:t>• Accurate pay calculations reduce legal risk</w:t>
      </w:r>
      <w:r w:rsidRPr="00FE009D">
        <w:rPr>
          <w:rFonts w:ascii="Aptos" w:hAnsi="Aptos"/>
          <w:strike/>
          <w:lang w:val="en-GB"/>
        </w:rPr>
        <w:br/>
        <w:t>• Ensures employees understand their net pay</w:t>
      </w:r>
      <w:r w:rsidRPr="00FE009D">
        <w:rPr>
          <w:rFonts w:ascii="Aptos" w:hAnsi="Aptos"/>
          <w:strike/>
          <w:lang w:val="en-GB"/>
        </w:rPr>
        <w:br/>
        <w:t>• Influences bonus and benefits decisions</w:t>
      </w:r>
    </w:p>
    <w:p w14:paraId="20AD72A1" w14:textId="4C7074B9" w:rsidR="00702020" w:rsidRPr="00702020" w:rsidRDefault="00F70F85" w:rsidP="00702020">
      <w:pPr>
        <w:pStyle w:val="Nornal"/>
        <w:spacing w:after="0"/>
        <w:ind w:left="720"/>
        <w:rPr>
          <w:rFonts w:ascii="Aptos" w:hAnsi="Aptos"/>
          <w:color w:val="EE0000"/>
        </w:rPr>
      </w:pPr>
      <w:r w:rsidRPr="00FE009D">
        <w:rPr>
          <w:rFonts w:ascii="Aptos" w:hAnsi="Aptos"/>
          <w:color w:val="EE0000"/>
          <w:lang w:val="en-GB"/>
        </w:rPr>
        <w:t>Accurate pay calculations help reduce legal risks by ensuring the organisation complies with taxation and employment laws, minimising the likelihood of penalties or disputes. Clear and precise payroll processing also ensures that employees fully understand their net pay, including any deductions or adjustments, which strengthens trust and transparency. Furthermore, accurate pay data directly influences decisions regarding bonuses and benefits, allowing the organisation to allocate rewards fairly, maintain morale, and support motivation across the workforce.</w:t>
      </w:r>
    </w:p>
    <w:p w14:paraId="17044D52" w14:textId="77777777" w:rsidR="00B62947" w:rsidRPr="00FE009D" w:rsidRDefault="00B62947" w:rsidP="005B0F6B">
      <w:pPr>
        <w:pStyle w:val="Nornal"/>
        <w:spacing w:after="0"/>
        <w:ind w:left="720"/>
        <w:rPr>
          <w:rFonts w:ascii="Aptos" w:hAnsi="Aptos"/>
          <w:strike/>
          <w:lang w:val="en-GB"/>
        </w:rPr>
      </w:pPr>
    </w:p>
    <w:p w14:paraId="2CB2BA9E" w14:textId="77777777" w:rsidR="005B0F6B" w:rsidRPr="00FE009D" w:rsidRDefault="005B0F6B" w:rsidP="007F2900">
      <w:pPr>
        <w:pStyle w:val="Nornal"/>
        <w:spacing w:after="0"/>
        <w:ind w:left="720"/>
        <w:rPr>
          <w:rFonts w:ascii="Aptos" w:hAnsi="Aptos"/>
          <w:lang w:val="en-GB"/>
        </w:rPr>
      </w:pPr>
    </w:p>
    <w:p w14:paraId="749009E2" w14:textId="79E35B0D" w:rsidR="007F2900" w:rsidRPr="00FE009D" w:rsidRDefault="007F2900" w:rsidP="003970F2">
      <w:pPr>
        <w:pStyle w:val="Nornal"/>
        <w:numPr>
          <w:ilvl w:val="0"/>
          <w:numId w:val="85"/>
        </w:numPr>
        <w:spacing w:after="0"/>
        <w:rPr>
          <w:rFonts w:ascii="Aptos" w:hAnsi="Aptos"/>
          <w:lang w:val="en-GB"/>
        </w:rPr>
      </w:pPr>
      <w:r w:rsidRPr="00FE009D">
        <w:rPr>
          <w:rFonts w:ascii="Aptos" w:hAnsi="Aptos"/>
          <w:b/>
          <w:bCs/>
          <w:lang w:val="en-GB"/>
        </w:rPr>
        <w:t>Itemised Pay Statements (Employment Rights Act 1996)</w:t>
      </w:r>
      <w:r w:rsidRPr="00FE009D">
        <w:rPr>
          <w:rFonts w:ascii="Aptos" w:hAnsi="Aptos"/>
          <w:lang w:val="en-GB"/>
        </w:rPr>
        <w:br/>
      </w:r>
      <w:r w:rsidRPr="00FE009D">
        <w:rPr>
          <w:rFonts w:ascii="Aptos" w:hAnsi="Aptos"/>
          <w:strike/>
          <w:lang w:val="en-GB"/>
        </w:rPr>
        <w:t>Employers must provide itemised payslips showing gross pay, deductions, net pay, and hours worked where applicable (Gov.uk, n.d.). This increases transparency and supports trust in reward systems. Itemised pay statements allow employees to verify correct payment, especially where overtime, shift allowances, or bonuses apply. For Green Friendly Eco, which has low morale and high turnover, accurate and clear payslips help restore confidence and reduce disputes. It also enables early identification of payroll errors and improves payroll monitoring. Failure to provide correct payslips can result in enforcement action and employee claims.</w:t>
      </w:r>
    </w:p>
    <w:p w14:paraId="4A53674D" w14:textId="58BD9465" w:rsidR="00AA74F2" w:rsidRPr="00FE009D" w:rsidRDefault="00AA74F2" w:rsidP="00AA74F2">
      <w:pPr>
        <w:pStyle w:val="Nornal"/>
        <w:spacing w:after="0"/>
        <w:ind w:left="720"/>
        <w:rPr>
          <w:rFonts w:ascii="Aptos" w:hAnsi="Aptos"/>
          <w:color w:val="EE0000"/>
          <w:lang w:val="en-GB"/>
        </w:rPr>
      </w:pPr>
      <w:r w:rsidRPr="00FE009D">
        <w:rPr>
          <w:rFonts w:ascii="Aptos" w:hAnsi="Aptos"/>
          <w:color w:val="EE0000"/>
          <w:lang w:val="en-GB"/>
        </w:rPr>
        <w:t>Employers must provide itemised payslips showing gross pay, deductions, net pay, and hours worked where applicable (Gov.uk, n.d.). This transparency supports trust in reward systems, allowing employees to verify correct payment, especially when overtime, shift allowances, or bonuses are involved. For Green Friendly Eco, which has experienced low morale and high turnover, accurate and clear payslips help restore confidence and reduce disputes. Early identification of payroll errors also improves monitoring and ensures fairness in reward administration (CIPD, 2025).</w:t>
      </w:r>
    </w:p>
    <w:p w14:paraId="532D97ED" w14:textId="77777777" w:rsidR="005B0F6B" w:rsidRPr="00FE009D" w:rsidRDefault="005B0F6B" w:rsidP="00AA74F2">
      <w:pPr>
        <w:pStyle w:val="Nornal"/>
        <w:spacing w:after="0"/>
        <w:rPr>
          <w:rFonts w:ascii="Aptos" w:hAnsi="Aptos"/>
          <w:lang w:val="en-GB"/>
        </w:rPr>
      </w:pPr>
    </w:p>
    <w:p w14:paraId="54D80C3A" w14:textId="243903F7" w:rsidR="007F2900" w:rsidRPr="00FE009D" w:rsidRDefault="007F2900" w:rsidP="005B0F6B">
      <w:pPr>
        <w:pStyle w:val="Nornal"/>
        <w:spacing w:after="0"/>
        <w:ind w:left="720"/>
        <w:rPr>
          <w:rFonts w:ascii="Aptos" w:hAnsi="Aptos"/>
          <w:strike/>
          <w:lang w:val="en-GB"/>
        </w:rPr>
      </w:pPr>
      <w:r w:rsidRPr="00FE009D">
        <w:rPr>
          <w:rFonts w:ascii="Aptos" w:hAnsi="Aptos"/>
          <w:b/>
          <w:bCs/>
          <w:lang w:val="en-GB"/>
        </w:rPr>
        <w:t>Impact on reward:</w:t>
      </w:r>
      <w:r w:rsidRPr="00FE009D">
        <w:rPr>
          <w:rFonts w:ascii="Aptos" w:hAnsi="Aptos"/>
          <w:lang w:val="en-GB"/>
        </w:rPr>
        <w:br/>
      </w:r>
      <w:r w:rsidRPr="00FE009D">
        <w:rPr>
          <w:rFonts w:ascii="Aptos" w:hAnsi="Aptos"/>
          <w:strike/>
          <w:lang w:val="en-GB"/>
        </w:rPr>
        <w:t>• Promotes transparency and fairness</w:t>
      </w:r>
      <w:r w:rsidRPr="00FE009D">
        <w:rPr>
          <w:rFonts w:ascii="Aptos" w:hAnsi="Aptos"/>
          <w:strike/>
          <w:lang w:val="en-GB"/>
        </w:rPr>
        <w:br/>
        <w:t>• Reduces payroll disputes</w:t>
      </w:r>
      <w:r w:rsidRPr="00FE009D">
        <w:rPr>
          <w:rFonts w:ascii="Aptos" w:hAnsi="Aptos"/>
          <w:strike/>
          <w:lang w:val="en-GB"/>
        </w:rPr>
        <w:br/>
        <w:t>• Supports employee trust and engagement</w:t>
      </w:r>
    </w:p>
    <w:p w14:paraId="01ED4BEA" w14:textId="6D56FA7A" w:rsidR="005B0F6B" w:rsidRPr="00FE009D" w:rsidRDefault="0004650E" w:rsidP="007F2900">
      <w:pPr>
        <w:pStyle w:val="Nornal"/>
        <w:spacing w:after="0"/>
        <w:ind w:left="720"/>
        <w:rPr>
          <w:rFonts w:ascii="Aptos" w:hAnsi="Aptos"/>
          <w:color w:val="EE0000"/>
          <w:lang w:val="en-GB"/>
        </w:rPr>
      </w:pPr>
      <w:r w:rsidRPr="00FE009D">
        <w:rPr>
          <w:rFonts w:ascii="Aptos" w:hAnsi="Aptos"/>
          <w:color w:val="EE0000"/>
          <w:lang w:val="en-GB"/>
        </w:rPr>
        <w:t>Providing itemised pay statements promotes transparency and fairness by clearly showing employees how their pay is calculated, including deductions, hours worked, and any additional payments. This clarity helps reduce payroll disputes, as employees can verify their earnings and identify any errors quickly. In turn, this practice supports overall employee trust and engagement, reinforcing confidence in the organisation’s reward systems and contributing to a positive workplace culture.</w:t>
      </w:r>
    </w:p>
    <w:p w14:paraId="2E999452" w14:textId="77777777" w:rsidR="00AA74F2" w:rsidRPr="00FE009D" w:rsidRDefault="00AA74F2" w:rsidP="007F2900">
      <w:pPr>
        <w:pStyle w:val="Nornal"/>
        <w:spacing w:after="0"/>
        <w:ind w:left="720"/>
        <w:rPr>
          <w:rFonts w:ascii="Aptos" w:hAnsi="Aptos"/>
          <w:color w:val="EE0000"/>
          <w:lang w:val="en-GB"/>
        </w:rPr>
      </w:pPr>
    </w:p>
    <w:p w14:paraId="7F59E0E9" w14:textId="652021A2" w:rsidR="007F2900" w:rsidRPr="00FE009D" w:rsidRDefault="007F2900" w:rsidP="003970F2">
      <w:pPr>
        <w:pStyle w:val="Nornal"/>
        <w:numPr>
          <w:ilvl w:val="0"/>
          <w:numId w:val="85"/>
        </w:numPr>
        <w:spacing w:after="0"/>
        <w:rPr>
          <w:rFonts w:ascii="Aptos" w:hAnsi="Aptos"/>
          <w:lang w:val="en-GB"/>
        </w:rPr>
      </w:pPr>
      <w:r w:rsidRPr="00FE009D">
        <w:rPr>
          <w:rFonts w:ascii="Aptos" w:hAnsi="Aptos"/>
          <w:b/>
          <w:bCs/>
          <w:lang w:val="en-GB"/>
        </w:rPr>
        <w:t>CEO Pay Reporting (Corporate governance &amp; transparency)</w:t>
      </w:r>
      <w:r w:rsidRPr="00FE009D">
        <w:rPr>
          <w:rFonts w:ascii="Aptos" w:hAnsi="Aptos"/>
          <w:lang w:val="en-GB"/>
        </w:rPr>
        <w:br/>
      </w:r>
      <w:r w:rsidRPr="00FE009D">
        <w:rPr>
          <w:rFonts w:ascii="Aptos" w:hAnsi="Aptos"/>
          <w:strike/>
          <w:lang w:val="en-GB"/>
        </w:rPr>
        <w:t>Listed companies and large organisations must report executive pay and, for many, CEO-to-average pay ratios in annual reports (CIPD, 2025). While Green Friendly Eco may not be legally required to publish these disclosures, adopting similar practices can improve trust and fairness. CEO pay reporting affects reward practice because organisations must justify executive pay and align it with performance and ethical standards. In companies with negative culture, large pay gaps can worsen perceptions of unfairness and reduce motivation. The CIPD notes that reporting requirements are expanding, including ethnicity and disability pay reporting for employers with 250+ employees and broader equal pay protections (CIPD, 2025). This increases the need for transparent reward practices and accurate reporting.</w:t>
      </w:r>
    </w:p>
    <w:p w14:paraId="3CF28A32" w14:textId="5ADA2A5A" w:rsidR="005B0F6B" w:rsidRPr="00FE009D" w:rsidRDefault="00617BFC" w:rsidP="003970F2">
      <w:pPr>
        <w:pStyle w:val="Nornal"/>
        <w:spacing w:after="0"/>
        <w:ind w:left="720"/>
        <w:rPr>
          <w:rFonts w:ascii="Aptos" w:hAnsi="Aptos"/>
          <w:color w:val="EE0000"/>
          <w:lang w:val="en-GB"/>
        </w:rPr>
      </w:pPr>
      <w:r w:rsidRPr="00FE009D">
        <w:rPr>
          <w:rFonts w:ascii="Aptos" w:hAnsi="Aptos"/>
          <w:color w:val="EE0000"/>
          <w:lang w:val="en-GB"/>
        </w:rPr>
        <w:t>Listed companies and large organisations must report executive pay and, for many, CEO-to-average pay ratios in annual reports (CIPD, 2025). While Green Friendly Eco may not be legally required to publish these disclosures, adopting similar practices can improve trust and perceptions of fairness. Transparent reporting ensures executive pay is justified and aligned with performance and ethical standards. In organisations with negative culture, large pay gaps can worsen perceptions of unfairness and reduce motivation. Expanding reporting requirements, including ethnicity and disability pay disclosures for employers with 250+ employees, further increases the need for transparent reward practices and accurate communication of pay decisions (CIPD, 2025).</w:t>
      </w:r>
    </w:p>
    <w:p w14:paraId="1DB7200F" w14:textId="77777777" w:rsidR="00617BFC" w:rsidRPr="00FE009D" w:rsidRDefault="00617BFC" w:rsidP="003970F2">
      <w:pPr>
        <w:pStyle w:val="Nornal"/>
        <w:spacing w:after="0"/>
        <w:ind w:left="720"/>
        <w:rPr>
          <w:rFonts w:ascii="Aptos" w:hAnsi="Aptos"/>
          <w:color w:val="EE0000"/>
          <w:lang w:val="en-GB"/>
        </w:rPr>
      </w:pPr>
    </w:p>
    <w:p w14:paraId="361654AA" w14:textId="6BC3828C" w:rsidR="007F2900" w:rsidRPr="00FE009D" w:rsidRDefault="007F2900" w:rsidP="007F2900">
      <w:pPr>
        <w:pStyle w:val="Nornal"/>
        <w:spacing w:after="0"/>
        <w:ind w:left="720"/>
        <w:rPr>
          <w:rFonts w:ascii="Aptos" w:hAnsi="Aptos"/>
          <w:lang w:val="en-GB"/>
        </w:rPr>
      </w:pPr>
      <w:r w:rsidRPr="00FE009D">
        <w:rPr>
          <w:rFonts w:ascii="Aptos" w:hAnsi="Aptos"/>
          <w:b/>
          <w:bCs/>
          <w:lang w:val="en-GB"/>
        </w:rPr>
        <w:t>Impact on rewards:</w:t>
      </w:r>
      <w:r w:rsidRPr="00FE009D">
        <w:rPr>
          <w:rFonts w:ascii="Aptos" w:hAnsi="Aptos"/>
          <w:lang w:val="en-GB"/>
        </w:rPr>
        <w:br/>
      </w:r>
      <w:r w:rsidRPr="00FE009D">
        <w:rPr>
          <w:rFonts w:ascii="Aptos" w:hAnsi="Aptos"/>
          <w:strike/>
          <w:lang w:val="en-GB"/>
        </w:rPr>
        <w:t>• Increases transparency and fairness</w:t>
      </w:r>
      <w:r w:rsidRPr="00FE009D">
        <w:rPr>
          <w:rFonts w:ascii="Aptos" w:hAnsi="Aptos"/>
          <w:strike/>
          <w:lang w:val="en-GB"/>
        </w:rPr>
        <w:br/>
        <w:t>• Aligns pay with performance and values</w:t>
      </w:r>
      <w:r w:rsidRPr="00FE009D">
        <w:rPr>
          <w:rFonts w:ascii="Aptos" w:hAnsi="Aptos"/>
          <w:strike/>
          <w:lang w:val="en-GB"/>
        </w:rPr>
        <w:br/>
        <w:t>• Encourages review of pay structures to reduce disparities</w:t>
      </w:r>
      <w:r w:rsidR="00A44E48" w:rsidRPr="00FE009D">
        <w:rPr>
          <w:rFonts w:ascii="Aptos" w:hAnsi="Aptos"/>
          <w:lang w:val="en-GB"/>
        </w:rPr>
        <w:t xml:space="preserve"> </w:t>
      </w:r>
    </w:p>
    <w:p w14:paraId="5E758504" w14:textId="0D91A4F8" w:rsidR="007D698A" w:rsidRPr="00FE009D" w:rsidRDefault="007D698A" w:rsidP="007F2900">
      <w:pPr>
        <w:pStyle w:val="Nornal"/>
        <w:spacing w:after="0"/>
        <w:ind w:left="720"/>
        <w:rPr>
          <w:rFonts w:ascii="Aptos" w:hAnsi="Aptos"/>
          <w:color w:val="EE0000"/>
          <w:lang w:val="en-GB"/>
        </w:rPr>
      </w:pPr>
      <w:r w:rsidRPr="00FE009D">
        <w:rPr>
          <w:rFonts w:ascii="Aptos" w:hAnsi="Aptos"/>
          <w:color w:val="EE0000"/>
          <w:lang w:val="en-GB"/>
        </w:rPr>
        <w:t>Implementing CEO pay reporting increases transparency and fairness by providing clear information on executive remuneration, helping employees understand how pay aligns with organisational standards and expectations. It also ensures that pay is aligned with performance and organisational values, reinforcing accountability at senior levels. Additionally, such reporting encourages a regular review of pay structures to identify and reduce disparities, promoting fairness, trust, and employee confidence in the organisation’s reward system.</w:t>
      </w:r>
    </w:p>
    <w:p w14:paraId="03D710CB" w14:textId="77777777" w:rsidR="007D698A" w:rsidRPr="00FE009D" w:rsidRDefault="007D698A" w:rsidP="003B64C7">
      <w:pPr>
        <w:pStyle w:val="Nornal"/>
        <w:spacing w:after="0"/>
        <w:rPr>
          <w:rFonts w:ascii="Aptos" w:hAnsi="Aptos"/>
          <w:b/>
          <w:bCs/>
          <w:lang w:val="en-GB"/>
        </w:rPr>
      </w:pPr>
    </w:p>
    <w:p w14:paraId="1AD73173" w14:textId="77777777" w:rsidR="007D698A" w:rsidRDefault="007D698A" w:rsidP="003B64C7">
      <w:pPr>
        <w:pStyle w:val="Nornal"/>
        <w:spacing w:after="0"/>
        <w:rPr>
          <w:rFonts w:ascii="Aptos" w:hAnsi="Aptos"/>
          <w:b/>
          <w:bCs/>
          <w:lang w:val="en-GB"/>
        </w:rPr>
      </w:pPr>
    </w:p>
    <w:p w14:paraId="6BA92C35" w14:textId="77777777" w:rsidR="007D698A" w:rsidRDefault="007D698A" w:rsidP="003B64C7">
      <w:pPr>
        <w:pStyle w:val="Nornal"/>
        <w:spacing w:after="0"/>
        <w:rPr>
          <w:rFonts w:ascii="Aptos" w:hAnsi="Aptos"/>
          <w:b/>
          <w:bCs/>
          <w:lang w:val="en-GB"/>
        </w:rPr>
      </w:pPr>
    </w:p>
    <w:p w14:paraId="4E28BAC0" w14:textId="77777777" w:rsidR="007D698A" w:rsidRDefault="007D698A" w:rsidP="003B64C7">
      <w:pPr>
        <w:pStyle w:val="Nornal"/>
        <w:spacing w:after="0"/>
        <w:rPr>
          <w:rFonts w:ascii="Aptos" w:hAnsi="Aptos"/>
          <w:b/>
          <w:bCs/>
          <w:lang w:val="en-GB"/>
        </w:rPr>
      </w:pPr>
    </w:p>
    <w:p w14:paraId="3C8C8CAB" w14:textId="5411E91C" w:rsidR="00F412CF" w:rsidRPr="00A17436" w:rsidRDefault="002D47A2" w:rsidP="003B64C7">
      <w:pPr>
        <w:pStyle w:val="Nornal"/>
        <w:spacing w:after="0"/>
        <w:rPr>
          <w:rFonts w:ascii="Aptos" w:hAnsi="Aptos"/>
          <w:b/>
          <w:bCs/>
          <w:lang w:val="en-GB"/>
        </w:rPr>
      </w:pPr>
      <w:r w:rsidRPr="00A17436">
        <w:rPr>
          <w:rFonts w:ascii="Aptos" w:hAnsi="Aptos"/>
          <w:b/>
          <w:bCs/>
          <w:lang w:val="en-GB"/>
        </w:rPr>
        <w:t xml:space="preserve">References: </w:t>
      </w:r>
    </w:p>
    <w:p w14:paraId="78FDD416" w14:textId="77777777" w:rsidR="002D47A2" w:rsidRDefault="002D47A2" w:rsidP="003B64C7">
      <w:pPr>
        <w:pStyle w:val="Nornal"/>
        <w:spacing w:after="0"/>
        <w:rPr>
          <w:rFonts w:ascii="Aptos" w:hAnsi="Aptos"/>
          <w:lang w:val="en-GB"/>
        </w:rPr>
      </w:pPr>
    </w:p>
    <w:p w14:paraId="273FA42B" w14:textId="29E93FF2"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Acas (2014) </w:t>
      </w:r>
      <w:r w:rsidRPr="004C2448">
        <w:rPr>
          <w:rFonts w:ascii="Aptos" w:hAnsi="Aptos"/>
          <w:i/>
          <w:iCs/>
          <w:sz w:val="22"/>
          <w:szCs w:val="22"/>
          <w:u w:color="004147"/>
        </w:rPr>
        <w:t>Pay and job evaluation</w:t>
      </w:r>
      <w:r w:rsidRPr="004C2448">
        <w:rPr>
          <w:rFonts w:ascii="Aptos" w:hAnsi="Aptos"/>
          <w:sz w:val="22"/>
          <w:szCs w:val="22"/>
          <w:u w:color="004147"/>
        </w:rPr>
        <w:t xml:space="preserve">. Available at: </w:t>
      </w:r>
      <w:hyperlink r:id="rId6" w:history="1">
        <w:r w:rsidR="002D47A2" w:rsidRPr="004C2448">
          <w:rPr>
            <w:rStyle w:val="Hyperlink"/>
            <w:rFonts w:ascii="Aptos" w:hAnsi="Aptos"/>
            <w:sz w:val="22"/>
            <w:szCs w:val="22"/>
          </w:rPr>
          <w:t>www.acas.org.uk</w:t>
        </w:r>
      </w:hyperlink>
      <w:r w:rsidR="002D47A2" w:rsidRPr="004C2448">
        <w:rPr>
          <w:rFonts w:ascii="Aptos" w:hAnsi="Aptos"/>
          <w:sz w:val="22"/>
          <w:szCs w:val="22"/>
          <w:u w:color="004147"/>
        </w:rPr>
        <w:t xml:space="preserve"> </w:t>
      </w:r>
      <w:r w:rsidRPr="004C2448">
        <w:rPr>
          <w:rFonts w:ascii="Aptos" w:hAnsi="Aptos"/>
          <w:sz w:val="22"/>
          <w:szCs w:val="22"/>
          <w:u w:color="004147"/>
        </w:rPr>
        <w:t xml:space="preserve"> (Accessed: 27 December 2025).</w:t>
      </w:r>
    </w:p>
    <w:p w14:paraId="4F89C336" w14:textId="4F02B331"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Acas (n.d.) </w:t>
      </w:r>
      <w:r w:rsidRPr="004C2448">
        <w:rPr>
          <w:rFonts w:ascii="Aptos" w:hAnsi="Aptos"/>
          <w:i/>
          <w:iCs/>
          <w:sz w:val="22"/>
          <w:szCs w:val="22"/>
          <w:u w:color="004147"/>
        </w:rPr>
        <w:t>Job evaluation: considerations and risks</w:t>
      </w:r>
      <w:r w:rsidRPr="004C2448">
        <w:rPr>
          <w:rFonts w:ascii="Aptos" w:hAnsi="Aptos"/>
          <w:sz w:val="22"/>
          <w:szCs w:val="22"/>
          <w:u w:color="004147"/>
        </w:rPr>
        <w:t>. Advisory, Conciliation and Arbitration Service. Available</w:t>
      </w:r>
      <w:r w:rsidR="002465DD" w:rsidRPr="004C2448">
        <w:rPr>
          <w:rFonts w:ascii="Aptos" w:hAnsi="Aptos"/>
          <w:sz w:val="22"/>
          <w:szCs w:val="22"/>
          <w:u w:color="004147"/>
        </w:rPr>
        <w:t xml:space="preserve"> at:</w:t>
      </w:r>
      <w:hyperlink r:id="rId7" w:history="1">
        <w:r w:rsidR="00DB3636" w:rsidRPr="004C2448">
          <w:rPr>
            <w:rStyle w:val="Hyperlink"/>
            <w:rFonts w:ascii="Aptos" w:hAnsi="Aptos"/>
            <w:sz w:val="22"/>
            <w:szCs w:val="22"/>
          </w:rPr>
          <w:t>https://www.acas.org.uk/sites/default/files/2021-03/job-evaluation-considerations-and-risks-advisory-booklet.pdf</w:t>
        </w:r>
      </w:hyperlink>
      <w:r w:rsidR="00DB3636" w:rsidRPr="004C2448">
        <w:rPr>
          <w:rFonts w:ascii="Aptos" w:hAnsi="Aptos"/>
          <w:sz w:val="22"/>
          <w:szCs w:val="22"/>
          <w:u w:color="004147"/>
        </w:rPr>
        <w:t xml:space="preserve"> </w:t>
      </w:r>
      <w:r w:rsidRPr="004C2448">
        <w:rPr>
          <w:rFonts w:ascii="Aptos" w:hAnsi="Aptos"/>
          <w:sz w:val="22"/>
          <w:szCs w:val="22"/>
          <w:u w:color="004147"/>
        </w:rPr>
        <w:t>(Accessed: 24 January 2026).</w:t>
      </w:r>
    </w:p>
    <w:p w14:paraId="7312D44B" w14:textId="20037650"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Acas (n.d.) </w:t>
      </w:r>
      <w:r w:rsidRPr="004C2448">
        <w:rPr>
          <w:rFonts w:ascii="Aptos" w:hAnsi="Aptos"/>
          <w:i/>
          <w:iCs/>
          <w:sz w:val="22"/>
          <w:szCs w:val="22"/>
          <w:u w:color="004147"/>
        </w:rPr>
        <w:t>Pay and wages</w:t>
      </w:r>
      <w:r w:rsidRPr="004C2448">
        <w:rPr>
          <w:rFonts w:ascii="Aptos" w:hAnsi="Aptos"/>
          <w:sz w:val="22"/>
          <w:szCs w:val="22"/>
          <w:u w:color="004147"/>
        </w:rPr>
        <w:t xml:space="preserve">. Available at: </w:t>
      </w:r>
      <w:hyperlink r:id="rId8" w:history="1">
        <w:r w:rsidR="00DB3636" w:rsidRPr="004C2448">
          <w:rPr>
            <w:rStyle w:val="Hyperlink"/>
            <w:rFonts w:ascii="Aptos" w:hAnsi="Aptos"/>
            <w:sz w:val="22"/>
            <w:szCs w:val="22"/>
          </w:rPr>
          <w:t>www.acas.org.uk</w:t>
        </w:r>
      </w:hyperlink>
      <w:r w:rsidR="00DB3636" w:rsidRPr="004C2448">
        <w:rPr>
          <w:rFonts w:ascii="Aptos" w:hAnsi="Aptos"/>
          <w:sz w:val="22"/>
          <w:szCs w:val="22"/>
          <w:u w:color="004147"/>
        </w:rPr>
        <w:t xml:space="preserve"> </w:t>
      </w:r>
      <w:r w:rsidRPr="004C2448">
        <w:rPr>
          <w:rFonts w:ascii="Aptos" w:hAnsi="Aptos"/>
          <w:sz w:val="22"/>
          <w:szCs w:val="22"/>
          <w:u w:color="004147"/>
        </w:rPr>
        <w:t>(Accessed: 27 December 2025).</w:t>
      </w:r>
    </w:p>
    <w:p w14:paraId="7552AC75"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Armstrong, M. (2014) </w:t>
      </w:r>
      <w:r w:rsidRPr="004C2448">
        <w:rPr>
          <w:rFonts w:ascii="Aptos" w:hAnsi="Aptos"/>
          <w:i/>
          <w:iCs/>
          <w:sz w:val="22"/>
          <w:szCs w:val="22"/>
          <w:u w:color="004147"/>
        </w:rPr>
        <w:t>Armstrong’s Handbook of Human Resource Management Practice</w:t>
      </w:r>
      <w:r w:rsidRPr="004C2448">
        <w:rPr>
          <w:rFonts w:ascii="Aptos" w:hAnsi="Aptos"/>
          <w:sz w:val="22"/>
          <w:szCs w:val="22"/>
          <w:u w:color="004147"/>
        </w:rPr>
        <w:t xml:space="preserve">. 13th </w:t>
      </w:r>
      <w:proofErr w:type="spellStart"/>
      <w:r w:rsidRPr="004C2448">
        <w:rPr>
          <w:rFonts w:ascii="Aptos" w:hAnsi="Aptos"/>
          <w:sz w:val="22"/>
          <w:szCs w:val="22"/>
          <w:u w:color="004147"/>
        </w:rPr>
        <w:t>edn</w:t>
      </w:r>
      <w:proofErr w:type="spellEnd"/>
      <w:r w:rsidRPr="004C2448">
        <w:rPr>
          <w:rFonts w:ascii="Aptos" w:hAnsi="Aptos"/>
          <w:sz w:val="22"/>
          <w:szCs w:val="22"/>
          <w:u w:color="004147"/>
        </w:rPr>
        <w:t>. London: Kogan Page.</w:t>
      </w:r>
    </w:p>
    <w:p w14:paraId="7FAF0DEB" w14:textId="247F2D72"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BBC News (2026) </w:t>
      </w:r>
      <w:r w:rsidRPr="004C2448">
        <w:rPr>
          <w:rFonts w:ascii="Aptos" w:hAnsi="Aptos"/>
          <w:i/>
          <w:iCs/>
          <w:sz w:val="22"/>
          <w:szCs w:val="22"/>
          <w:u w:color="004147"/>
        </w:rPr>
        <w:t>Wage growth as number of people employed falls</w:t>
      </w:r>
      <w:r w:rsidRPr="004C2448">
        <w:rPr>
          <w:rFonts w:ascii="Aptos" w:hAnsi="Aptos"/>
          <w:sz w:val="22"/>
          <w:szCs w:val="22"/>
          <w:u w:color="004147"/>
        </w:rPr>
        <w:t>. Available at:</w:t>
      </w:r>
      <w:r w:rsidR="000E4883" w:rsidRPr="004C2448">
        <w:rPr>
          <w:rFonts w:ascii="Aptos" w:hAnsi="Aptos"/>
          <w:sz w:val="22"/>
          <w:szCs w:val="22"/>
          <w:u w:color="004147"/>
        </w:rPr>
        <w:t xml:space="preserve"> </w:t>
      </w:r>
      <w:hyperlink r:id="rId9" w:anchor=":~:text=Wage%20growth%20in%20the%20UK,in%20private%20sector%20pay%20increases" w:history="1">
        <w:r w:rsidR="00BA47ED" w:rsidRPr="004C2448">
          <w:rPr>
            <w:rStyle w:val="Hyperlink"/>
            <w:rFonts w:ascii="Aptos" w:hAnsi="Aptos"/>
            <w:sz w:val="22"/>
            <w:szCs w:val="22"/>
          </w:rPr>
          <w:t>https://www.bbc.co.uk/news/articles/cddgrg87ly5o#:~:text=Wage%20growth%20in%20the%20UK,in%20private%20sector%20pay%20increases</w:t>
        </w:r>
      </w:hyperlink>
      <w:r w:rsidR="00BA47ED" w:rsidRPr="004C2448">
        <w:rPr>
          <w:rFonts w:ascii="Aptos" w:hAnsi="Aptos"/>
          <w:sz w:val="22"/>
          <w:szCs w:val="22"/>
          <w:u w:color="004147"/>
        </w:rPr>
        <w:t xml:space="preserve"> </w:t>
      </w:r>
      <w:r w:rsidRPr="004C2448">
        <w:rPr>
          <w:rFonts w:ascii="Aptos" w:hAnsi="Aptos"/>
          <w:sz w:val="22"/>
          <w:szCs w:val="22"/>
          <w:u w:color="004147"/>
        </w:rPr>
        <w:t>(Accessed: 23 January 2026).</w:t>
      </w:r>
    </w:p>
    <w:p w14:paraId="79B5F5AA" w14:textId="1A95978B"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Cassidy, N. (2022) </w:t>
      </w:r>
      <w:r w:rsidRPr="004C2448">
        <w:rPr>
          <w:rFonts w:ascii="Aptos" w:hAnsi="Aptos"/>
          <w:i/>
          <w:iCs/>
          <w:sz w:val="22"/>
          <w:szCs w:val="22"/>
          <w:u w:color="004147"/>
        </w:rPr>
        <w:t>What value does HR bring to today’s organisations?</w:t>
      </w:r>
      <w:r w:rsidRPr="004C2448">
        <w:rPr>
          <w:rFonts w:ascii="Aptos" w:hAnsi="Aptos"/>
          <w:sz w:val="22"/>
          <w:szCs w:val="22"/>
          <w:u w:color="004147"/>
        </w:rPr>
        <w:t xml:space="preserve"> CIPD Podcast. Available at: </w:t>
      </w:r>
      <w:hyperlink r:id="rId10" w:history="1">
        <w:r w:rsidR="00DB3636" w:rsidRPr="004C2448">
          <w:rPr>
            <w:rStyle w:val="Hyperlink"/>
            <w:rFonts w:ascii="Aptos" w:hAnsi="Aptos"/>
            <w:sz w:val="22"/>
            <w:szCs w:val="22"/>
          </w:rPr>
          <w:t>https://www.cipd.org/uk/knowledge/podcasts/purpose-and-value-of-hr/</w:t>
        </w:r>
      </w:hyperlink>
      <w:r w:rsidRPr="004C2448">
        <w:rPr>
          <w:rFonts w:ascii="Aptos" w:hAnsi="Aptos"/>
          <w:sz w:val="22"/>
          <w:szCs w:val="22"/>
          <w:u w:color="004147"/>
        </w:rPr>
        <w:t xml:space="preserve"> (Accessed: 23 January 2026).</w:t>
      </w:r>
    </w:p>
    <w:p w14:paraId="549E805B" w14:textId="36AB585D"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CIPD (2018) </w:t>
      </w:r>
      <w:r w:rsidRPr="004C2448">
        <w:rPr>
          <w:rFonts w:ascii="Aptos" w:hAnsi="Aptos"/>
          <w:i/>
          <w:iCs/>
          <w:sz w:val="22"/>
          <w:szCs w:val="22"/>
          <w:u w:color="004147"/>
        </w:rPr>
        <w:t>Reward management: focus on employee benefits</w:t>
      </w:r>
      <w:r w:rsidRPr="004C2448">
        <w:rPr>
          <w:rFonts w:ascii="Aptos" w:hAnsi="Aptos"/>
          <w:sz w:val="22"/>
          <w:szCs w:val="22"/>
          <w:u w:color="004147"/>
        </w:rPr>
        <w:t>. London: Chartered Institute of Personnel and Development. Available at:</w:t>
      </w:r>
      <w:r w:rsidR="00917221" w:rsidRPr="004C2448">
        <w:rPr>
          <w:rFonts w:ascii="Aptos" w:hAnsi="Aptos"/>
          <w:sz w:val="22"/>
          <w:szCs w:val="22"/>
        </w:rPr>
        <w:t xml:space="preserve"> </w:t>
      </w:r>
      <w:hyperlink r:id="rId11" w:history="1">
        <w:r w:rsidR="00144E7E" w:rsidRPr="004C2448">
          <w:rPr>
            <w:rStyle w:val="Hyperlink"/>
            <w:rFonts w:ascii="Aptos" w:hAnsi="Aptos"/>
            <w:sz w:val="22"/>
            <w:szCs w:val="22"/>
          </w:rPr>
          <w:t>https://www.cipd.org/globalassets/media/knowledge/knowledge-hub/reports/2018-pdfs/reward-management-report-2018_tcm18-51630.pdf</w:t>
        </w:r>
      </w:hyperlink>
      <w:r w:rsidR="00144E7E" w:rsidRPr="004C2448">
        <w:rPr>
          <w:rFonts w:ascii="Aptos" w:hAnsi="Aptos"/>
          <w:sz w:val="22"/>
          <w:szCs w:val="22"/>
          <w:u w:color="004147"/>
        </w:rPr>
        <w:t xml:space="preserve"> </w:t>
      </w:r>
      <w:r w:rsidRPr="004C2448">
        <w:rPr>
          <w:rFonts w:ascii="Aptos" w:hAnsi="Aptos"/>
          <w:sz w:val="22"/>
          <w:szCs w:val="22"/>
          <w:u w:color="004147"/>
        </w:rPr>
        <w:t>(Accessed: 24 January 2026).</w:t>
      </w:r>
    </w:p>
    <w:p w14:paraId="5FAEF7CD"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CIPD (2024) </w:t>
      </w:r>
      <w:r w:rsidRPr="004C2448">
        <w:rPr>
          <w:rFonts w:ascii="Aptos" w:hAnsi="Aptos"/>
          <w:i/>
          <w:iCs/>
          <w:sz w:val="22"/>
          <w:szCs w:val="22"/>
          <w:u w:color="004147"/>
        </w:rPr>
        <w:t>Flexible benefits</w:t>
      </w:r>
      <w:r w:rsidRPr="004C2448">
        <w:rPr>
          <w:rFonts w:ascii="Aptos" w:hAnsi="Aptos"/>
          <w:sz w:val="22"/>
          <w:szCs w:val="22"/>
          <w:u w:color="004147"/>
        </w:rPr>
        <w:t xml:space="preserve">. Factsheet. Available at: </w:t>
      </w:r>
      <w:hyperlink r:id="rId12" w:tgtFrame="_new" w:history="1">
        <w:r w:rsidRPr="004C2448">
          <w:rPr>
            <w:rStyle w:val="Hyperlink"/>
            <w:rFonts w:ascii="Aptos" w:hAnsi="Aptos"/>
            <w:sz w:val="22"/>
            <w:szCs w:val="22"/>
          </w:rPr>
          <w:t>https://www.cipd.org/uk/knowledge/factsheets/flexible-benefits-factsheet/</w:t>
        </w:r>
      </w:hyperlink>
      <w:r w:rsidRPr="004C2448">
        <w:rPr>
          <w:rFonts w:ascii="Aptos" w:hAnsi="Aptos"/>
          <w:sz w:val="22"/>
          <w:szCs w:val="22"/>
          <w:u w:color="004147"/>
        </w:rPr>
        <w:t xml:space="preserve"> (Accessed: 22 January 2026).</w:t>
      </w:r>
    </w:p>
    <w:p w14:paraId="56655E05"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CIPD (2025) </w:t>
      </w:r>
      <w:r w:rsidRPr="004C2448">
        <w:rPr>
          <w:rFonts w:ascii="Aptos" w:hAnsi="Aptos"/>
          <w:i/>
          <w:iCs/>
          <w:sz w:val="22"/>
          <w:szCs w:val="22"/>
          <w:u w:color="004147"/>
        </w:rPr>
        <w:t>Employee benefits</w:t>
      </w:r>
      <w:r w:rsidRPr="004C2448">
        <w:rPr>
          <w:rFonts w:ascii="Aptos" w:hAnsi="Aptos"/>
          <w:sz w:val="22"/>
          <w:szCs w:val="22"/>
          <w:u w:color="004147"/>
        </w:rPr>
        <w:t xml:space="preserve">. Factsheet. Available at: </w:t>
      </w:r>
      <w:hyperlink r:id="rId13" w:tgtFrame="_new" w:history="1">
        <w:r w:rsidRPr="004C2448">
          <w:rPr>
            <w:rStyle w:val="Hyperlink"/>
            <w:rFonts w:ascii="Aptos" w:hAnsi="Aptos"/>
            <w:sz w:val="22"/>
            <w:szCs w:val="22"/>
          </w:rPr>
          <w:t>https://www.cipd.org/uk/knowledge/factsheets/employee-benefits-factsheet/</w:t>
        </w:r>
      </w:hyperlink>
      <w:r w:rsidRPr="004C2448">
        <w:rPr>
          <w:rFonts w:ascii="Aptos" w:hAnsi="Aptos"/>
          <w:sz w:val="22"/>
          <w:szCs w:val="22"/>
          <w:u w:color="004147"/>
        </w:rPr>
        <w:t xml:space="preserve"> (Accessed: 22 January 2026).</w:t>
      </w:r>
    </w:p>
    <w:p w14:paraId="09D4CAE6"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CIPD (2025) </w:t>
      </w:r>
      <w:r w:rsidRPr="004C2448">
        <w:rPr>
          <w:rFonts w:ascii="Aptos" w:hAnsi="Aptos"/>
          <w:i/>
          <w:iCs/>
          <w:sz w:val="22"/>
          <w:szCs w:val="22"/>
          <w:u w:color="004147"/>
        </w:rPr>
        <w:t>Employee engagement factsheet</w:t>
      </w:r>
      <w:r w:rsidRPr="004C2448">
        <w:rPr>
          <w:rFonts w:ascii="Aptos" w:hAnsi="Aptos"/>
          <w:sz w:val="22"/>
          <w:szCs w:val="22"/>
          <w:u w:color="004147"/>
        </w:rPr>
        <w:t xml:space="preserve">. London: Chartered Institute of Personnel and Development. Available at: </w:t>
      </w:r>
      <w:hyperlink r:id="rId14" w:tgtFrame="_new" w:history="1">
        <w:r w:rsidRPr="004C2448">
          <w:rPr>
            <w:rStyle w:val="Hyperlink"/>
            <w:rFonts w:ascii="Aptos" w:hAnsi="Aptos"/>
            <w:sz w:val="22"/>
            <w:szCs w:val="22"/>
          </w:rPr>
          <w:t>https://www.cipd.org/uk/knowledge/factsheets/engagement-factsheet/</w:t>
        </w:r>
      </w:hyperlink>
      <w:r w:rsidRPr="004C2448">
        <w:rPr>
          <w:rFonts w:ascii="Aptos" w:hAnsi="Aptos"/>
          <w:sz w:val="22"/>
          <w:szCs w:val="22"/>
          <w:u w:color="004147"/>
        </w:rPr>
        <w:t xml:space="preserve"> (Accessed: 27 December 2025).</w:t>
      </w:r>
    </w:p>
    <w:p w14:paraId="43788E4E"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CIPD (2025) </w:t>
      </w:r>
      <w:r w:rsidRPr="004C2448">
        <w:rPr>
          <w:rFonts w:ascii="Aptos" w:hAnsi="Aptos"/>
          <w:i/>
          <w:iCs/>
          <w:sz w:val="22"/>
          <w:szCs w:val="22"/>
          <w:u w:color="004147"/>
        </w:rPr>
        <w:t>Executive pay</w:t>
      </w:r>
      <w:r w:rsidRPr="004C2448">
        <w:rPr>
          <w:rFonts w:ascii="Aptos" w:hAnsi="Aptos"/>
          <w:sz w:val="22"/>
          <w:szCs w:val="22"/>
          <w:u w:color="004147"/>
        </w:rPr>
        <w:t xml:space="preserve">. Available at: </w:t>
      </w:r>
      <w:hyperlink r:id="rId15" w:tgtFrame="_new" w:history="1">
        <w:r w:rsidRPr="004C2448">
          <w:rPr>
            <w:rStyle w:val="Hyperlink"/>
            <w:rFonts w:ascii="Aptos" w:hAnsi="Aptos"/>
            <w:sz w:val="22"/>
            <w:szCs w:val="22"/>
          </w:rPr>
          <w:t>https://www.cipd.org/uk/views-and-insights/cipd-viewpoint/executive-pay/</w:t>
        </w:r>
      </w:hyperlink>
      <w:r w:rsidRPr="004C2448">
        <w:rPr>
          <w:rFonts w:ascii="Aptos" w:hAnsi="Aptos"/>
          <w:sz w:val="22"/>
          <w:szCs w:val="22"/>
          <w:u w:color="004147"/>
        </w:rPr>
        <w:t xml:space="preserve"> (Accessed: 24 January 2026).</w:t>
      </w:r>
    </w:p>
    <w:p w14:paraId="02F81B62"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CIPD (2025) </w:t>
      </w:r>
      <w:r w:rsidRPr="004C2448">
        <w:rPr>
          <w:rFonts w:ascii="Aptos" w:hAnsi="Aptos"/>
          <w:i/>
          <w:iCs/>
          <w:sz w:val="22"/>
          <w:szCs w:val="22"/>
          <w:u w:color="004147"/>
        </w:rPr>
        <w:t>Job evaluation and market pricing factsheet</w:t>
      </w:r>
      <w:r w:rsidRPr="004C2448">
        <w:rPr>
          <w:rFonts w:ascii="Aptos" w:hAnsi="Aptos"/>
          <w:sz w:val="22"/>
          <w:szCs w:val="22"/>
          <w:u w:color="004147"/>
        </w:rPr>
        <w:t xml:space="preserve">. CIPD. Available at: </w:t>
      </w:r>
      <w:hyperlink r:id="rId16" w:tgtFrame="_new" w:history="1">
        <w:r w:rsidRPr="004C2448">
          <w:rPr>
            <w:rStyle w:val="Hyperlink"/>
            <w:rFonts w:ascii="Aptos" w:hAnsi="Aptos"/>
            <w:sz w:val="22"/>
            <w:szCs w:val="22"/>
          </w:rPr>
          <w:t>https://www.cipd.org/uk/knowledge/factsheets/market-pricing-factsheet/</w:t>
        </w:r>
      </w:hyperlink>
      <w:r w:rsidRPr="004C2448">
        <w:rPr>
          <w:rFonts w:ascii="Aptos" w:hAnsi="Aptos"/>
          <w:sz w:val="22"/>
          <w:szCs w:val="22"/>
          <w:u w:color="004147"/>
        </w:rPr>
        <w:t xml:space="preserve"> (Accessed: 24 January 2026).</w:t>
      </w:r>
    </w:p>
    <w:p w14:paraId="033F384D"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CIPD (2025) </w:t>
      </w:r>
      <w:r w:rsidRPr="004C2448">
        <w:rPr>
          <w:rFonts w:ascii="Aptos" w:hAnsi="Aptos"/>
          <w:i/>
          <w:iCs/>
          <w:sz w:val="22"/>
          <w:szCs w:val="22"/>
          <w:u w:color="004147"/>
        </w:rPr>
        <w:t>Market pricing and job evaluation factsheet</w:t>
      </w:r>
      <w:r w:rsidRPr="004C2448">
        <w:rPr>
          <w:rFonts w:ascii="Aptos" w:hAnsi="Aptos"/>
          <w:sz w:val="22"/>
          <w:szCs w:val="22"/>
          <w:u w:color="004147"/>
        </w:rPr>
        <w:t xml:space="preserve">. Available at: </w:t>
      </w:r>
      <w:hyperlink r:id="rId17" w:anchor="jobevaluationmarket" w:tgtFrame="_new" w:history="1">
        <w:r w:rsidRPr="004C2448">
          <w:rPr>
            <w:rStyle w:val="Hyperlink"/>
            <w:rFonts w:ascii="Aptos" w:hAnsi="Aptos"/>
            <w:sz w:val="22"/>
            <w:szCs w:val="22"/>
          </w:rPr>
          <w:t>https://www.cipd.org/uk/knowledge/factsheets/market-pricing-factsheet/#jobevaluationmarket</w:t>
        </w:r>
      </w:hyperlink>
      <w:r w:rsidRPr="004C2448">
        <w:rPr>
          <w:rFonts w:ascii="Aptos" w:hAnsi="Aptos"/>
          <w:sz w:val="22"/>
          <w:szCs w:val="22"/>
          <w:u w:color="004147"/>
        </w:rPr>
        <w:t xml:space="preserve"> (Accessed: 24 January 2026).</w:t>
      </w:r>
    </w:p>
    <w:p w14:paraId="2B5F9035"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CIPD (2025) </w:t>
      </w:r>
      <w:r w:rsidRPr="004C2448">
        <w:rPr>
          <w:rFonts w:ascii="Aptos" w:hAnsi="Aptos"/>
          <w:i/>
          <w:iCs/>
          <w:sz w:val="22"/>
          <w:szCs w:val="22"/>
          <w:u w:color="004147"/>
        </w:rPr>
        <w:t>Pay fairness and pay reporting</w:t>
      </w:r>
      <w:r w:rsidRPr="004C2448">
        <w:rPr>
          <w:rFonts w:ascii="Aptos" w:hAnsi="Aptos"/>
          <w:sz w:val="22"/>
          <w:szCs w:val="22"/>
          <w:u w:color="004147"/>
        </w:rPr>
        <w:t xml:space="preserve">. Available at: </w:t>
      </w:r>
      <w:hyperlink r:id="rId18" w:tgtFrame="_new" w:history="1">
        <w:r w:rsidRPr="004C2448">
          <w:rPr>
            <w:rStyle w:val="Hyperlink"/>
            <w:rFonts w:ascii="Aptos" w:hAnsi="Aptos"/>
            <w:sz w:val="22"/>
            <w:szCs w:val="22"/>
          </w:rPr>
          <w:t>https://www.cipd.org/uk/knowledge/factsheets/pay-fairness-reporting-factsheet/</w:t>
        </w:r>
      </w:hyperlink>
      <w:r w:rsidRPr="004C2448">
        <w:rPr>
          <w:rFonts w:ascii="Aptos" w:hAnsi="Aptos"/>
          <w:sz w:val="22"/>
          <w:szCs w:val="22"/>
          <w:u w:color="004147"/>
        </w:rPr>
        <w:t xml:space="preserve"> (Accessed: 24 January 2026).</w:t>
      </w:r>
    </w:p>
    <w:p w14:paraId="0C2C0E81"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CIPD (2025) </w:t>
      </w:r>
      <w:r w:rsidRPr="004C2448">
        <w:rPr>
          <w:rFonts w:ascii="Aptos" w:hAnsi="Aptos"/>
          <w:i/>
          <w:iCs/>
          <w:sz w:val="22"/>
          <w:szCs w:val="22"/>
          <w:u w:color="004147"/>
        </w:rPr>
        <w:t>Pay structure and pay progression</w:t>
      </w:r>
      <w:r w:rsidRPr="004C2448">
        <w:rPr>
          <w:rFonts w:ascii="Aptos" w:hAnsi="Aptos"/>
          <w:sz w:val="22"/>
          <w:szCs w:val="22"/>
          <w:u w:color="004147"/>
        </w:rPr>
        <w:t xml:space="preserve">. CIPD. Available at: </w:t>
      </w:r>
      <w:hyperlink r:id="rId19" w:tgtFrame="_new" w:history="1">
        <w:r w:rsidRPr="004C2448">
          <w:rPr>
            <w:rStyle w:val="Hyperlink"/>
            <w:rFonts w:ascii="Aptos" w:hAnsi="Aptos"/>
            <w:sz w:val="22"/>
            <w:szCs w:val="22"/>
          </w:rPr>
          <w:t>https://www.cipd.co.uk/knowledge/fundamentals/emp-law/reward/factsheet</w:t>
        </w:r>
      </w:hyperlink>
      <w:r w:rsidRPr="004C2448">
        <w:rPr>
          <w:rFonts w:ascii="Aptos" w:hAnsi="Aptos"/>
          <w:sz w:val="22"/>
          <w:szCs w:val="22"/>
          <w:u w:color="004147"/>
        </w:rPr>
        <w:t xml:space="preserve"> (Accessed: 28 December 2025).</w:t>
      </w:r>
    </w:p>
    <w:p w14:paraId="1135211D"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CIPD (2025) </w:t>
      </w:r>
      <w:r w:rsidRPr="004C2448">
        <w:rPr>
          <w:rFonts w:ascii="Aptos" w:hAnsi="Aptos"/>
          <w:i/>
          <w:iCs/>
          <w:sz w:val="22"/>
          <w:szCs w:val="22"/>
          <w:u w:color="004147"/>
        </w:rPr>
        <w:t>Reward: an introduction</w:t>
      </w:r>
      <w:r w:rsidRPr="004C2448">
        <w:rPr>
          <w:rFonts w:ascii="Aptos" w:hAnsi="Aptos"/>
          <w:sz w:val="22"/>
          <w:szCs w:val="22"/>
          <w:u w:color="004147"/>
        </w:rPr>
        <w:t xml:space="preserve">. Factsheet. Available at: </w:t>
      </w:r>
      <w:hyperlink r:id="rId20" w:tgtFrame="_new" w:history="1">
        <w:r w:rsidRPr="004C2448">
          <w:rPr>
            <w:rStyle w:val="Hyperlink"/>
            <w:rFonts w:ascii="Aptos" w:hAnsi="Aptos"/>
            <w:sz w:val="22"/>
            <w:szCs w:val="22"/>
          </w:rPr>
          <w:t>https://www.cipd.org/uk/knowledge/factsheets/reward-factsheet/</w:t>
        </w:r>
      </w:hyperlink>
      <w:r w:rsidRPr="004C2448">
        <w:rPr>
          <w:rFonts w:ascii="Aptos" w:hAnsi="Aptos"/>
          <w:sz w:val="22"/>
          <w:szCs w:val="22"/>
          <w:u w:color="004147"/>
        </w:rPr>
        <w:t xml:space="preserve"> (Accessed: 22 January 2026).</w:t>
      </w:r>
    </w:p>
    <w:p w14:paraId="3E441C7E"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CIPD (2025) </w:t>
      </w:r>
      <w:r w:rsidRPr="004C2448">
        <w:rPr>
          <w:rFonts w:ascii="Aptos" w:hAnsi="Aptos"/>
          <w:i/>
          <w:iCs/>
          <w:sz w:val="22"/>
          <w:szCs w:val="22"/>
          <w:u w:color="004147"/>
        </w:rPr>
        <w:t>Reward: an introduction</w:t>
      </w:r>
      <w:r w:rsidRPr="004C2448">
        <w:rPr>
          <w:rFonts w:ascii="Aptos" w:hAnsi="Aptos"/>
          <w:sz w:val="22"/>
          <w:szCs w:val="22"/>
          <w:u w:color="004147"/>
        </w:rPr>
        <w:t xml:space="preserve">. London: Chartered Institute of Personnel and Development. Available at: </w:t>
      </w:r>
      <w:hyperlink r:id="rId21" w:tgtFrame="_new" w:history="1">
        <w:r w:rsidRPr="004C2448">
          <w:rPr>
            <w:rStyle w:val="Hyperlink"/>
            <w:rFonts w:ascii="Aptos" w:hAnsi="Aptos"/>
            <w:sz w:val="22"/>
            <w:szCs w:val="22"/>
          </w:rPr>
          <w:t>https://www.cipd.co.uk/knowledge/fundamentals/relations/reward/factsheet</w:t>
        </w:r>
      </w:hyperlink>
      <w:r w:rsidRPr="004C2448">
        <w:rPr>
          <w:rFonts w:ascii="Aptos" w:hAnsi="Aptos"/>
          <w:sz w:val="22"/>
          <w:szCs w:val="22"/>
          <w:u w:color="004147"/>
        </w:rPr>
        <w:t xml:space="preserve"> (Accessed: 27 December 2025).</w:t>
      </w:r>
    </w:p>
    <w:p w14:paraId="5605E823"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CIPD (2025) </w:t>
      </w:r>
      <w:r w:rsidRPr="004C2448">
        <w:rPr>
          <w:rFonts w:ascii="Aptos" w:hAnsi="Aptos"/>
          <w:i/>
          <w:iCs/>
          <w:sz w:val="22"/>
          <w:szCs w:val="22"/>
          <w:u w:color="004147"/>
        </w:rPr>
        <w:t>Reward management</w:t>
      </w:r>
      <w:r w:rsidRPr="004C2448">
        <w:rPr>
          <w:rFonts w:ascii="Aptos" w:hAnsi="Aptos"/>
          <w:sz w:val="22"/>
          <w:szCs w:val="22"/>
          <w:u w:color="004147"/>
        </w:rPr>
        <w:t xml:space="preserve">. Available at: </w:t>
      </w:r>
      <w:hyperlink r:id="rId22" w:tgtFrame="_new" w:history="1">
        <w:r w:rsidRPr="004C2448">
          <w:rPr>
            <w:rStyle w:val="Hyperlink"/>
            <w:rFonts w:ascii="Aptos" w:hAnsi="Aptos"/>
            <w:sz w:val="22"/>
            <w:szCs w:val="22"/>
          </w:rPr>
          <w:t>https://www.cipd.co.uk/knowledge/fundamentals/emp-law/reward/factsheet</w:t>
        </w:r>
      </w:hyperlink>
      <w:r w:rsidRPr="004C2448">
        <w:rPr>
          <w:rFonts w:ascii="Aptos" w:hAnsi="Aptos"/>
          <w:sz w:val="22"/>
          <w:szCs w:val="22"/>
          <w:u w:color="004147"/>
        </w:rPr>
        <w:t xml:space="preserve"> (Accessed: 28 December 2025).</w:t>
      </w:r>
    </w:p>
    <w:p w14:paraId="1F863561" w14:textId="2852110C" w:rsidR="005B2CCF" w:rsidRPr="004C2448" w:rsidRDefault="00850317" w:rsidP="005B2CCF">
      <w:pPr>
        <w:rPr>
          <w:rFonts w:ascii="Aptos" w:hAnsi="Aptos"/>
          <w:sz w:val="22"/>
          <w:szCs w:val="22"/>
          <w:u w:color="004147"/>
        </w:rPr>
      </w:pPr>
      <w:r w:rsidRPr="004C2448">
        <w:rPr>
          <w:rFonts w:ascii="Aptos" w:hAnsi="Aptos"/>
          <w:sz w:val="22"/>
          <w:szCs w:val="22"/>
          <w:u w:color="004147"/>
        </w:rPr>
        <w:t>CIPD</w:t>
      </w:r>
      <w:r w:rsidR="005B2CCF" w:rsidRPr="004C2448">
        <w:rPr>
          <w:rFonts w:ascii="Aptos" w:hAnsi="Aptos"/>
          <w:sz w:val="22"/>
          <w:szCs w:val="22"/>
          <w:u w:color="004147"/>
        </w:rPr>
        <w:t xml:space="preserve"> (2022) </w:t>
      </w:r>
      <w:r w:rsidR="005B2CCF" w:rsidRPr="004C2448">
        <w:rPr>
          <w:rFonts w:ascii="Aptos" w:hAnsi="Aptos"/>
          <w:i/>
          <w:iCs/>
          <w:sz w:val="22"/>
          <w:szCs w:val="22"/>
          <w:u w:color="004147"/>
        </w:rPr>
        <w:t>Incentives and recognition: an evidence review.</w:t>
      </w:r>
      <w:r w:rsidR="005B2CCF" w:rsidRPr="004C2448">
        <w:rPr>
          <w:rFonts w:ascii="Aptos" w:hAnsi="Aptos"/>
          <w:sz w:val="22"/>
          <w:szCs w:val="22"/>
          <w:u w:color="004147"/>
        </w:rPr>
        <w:t xml:space="preserve"> Available at</w:t>
      </w:r>
      <w:r w:rsidR="00447D49" w:rsidRPr="004C2448">
        <w:rPr>
          <w:rFonts w:ascii="Aptos" w:hAnsi="Aptos"/>
          <w:sz w:val="22"/>
          <w:szCs w:val="22"/>
        </w:rPr>
        <w:t xml:space="preserve"> </w:t>
      </w:r>
      <w:hyperlink r:id="rId23" w:history="1">
        <w:r w:rsidR="00D630F0" w:rsidRPr="004C2448">
          <w:rPr>
            <w:rStyle w:val="Hyperlink"/>
            <w:rFonts w:ascii="Aptos" w:hAnsi="Aptos"/>
            <w:sz w:val="22"/>
            <w:szCs w:val="22"/>
          </w:rPr>
          <w:t>https://www.cipd.org/globalassets/media/knowledge/knowledge-hub/evidence-reviews/incentives-recognition-practice-summary_tcm18-105466.pdf</w:t>
        </w:r>
      </w:hyperlink>
      <w:r w:rsidR="00D630F0" w:rsidRPr="004C2448">
        <w:rPr>
          <w:rFonts w:ascii="Aptos" w:hAnsi="Aptos"/>
          <w:sz w:val="22"/>
          <w:szCs w:val="22"/>
        </w:rPr>
        <w:t xml:space="preserve"> </w:t>
      </w:r>
      <w:r w:rsidR="005B2CCF" w:rsidRPr="004C2448">
        <w:rPr>
          <w:rFonts w:ascii="Aptos" w:hAnsi="Aptos"/>
          <w:sz w:val="22"/>
          <w:szCs w:val="22"/>
          <w:u w:color="004147"/>
        </w:rPr>
        <w:t>(Accessed: 22 January 2026).</w:t>
      </w:r>
    </w:p>
    <w:p w14:paraId="7ABA9B15"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Farrand, L. (2023) </w:t>
      </w:r>
      <w:r w:rsidRPr="004C2448">
        <w:rPr>
          <w:rFonts w:ascii="Aptos" w:hAnsi="Aptos"/>
          <w:i/>
          <w:iCs/>
          <w:sz w:val="22"/>
          <w:szCs w:val="22"/>
          <w:u w:color="004147"/>
        </w:rPr>
        <w:t>Is pay benchmarking working? An interactive report for HR professionals</w:t>
      </w:r>
      <w:r w:rsidRPr="004C2448">
        <w:rPr>
          <w:rFonts w:ascii="Aptos" w:hAnsi="Aptos"/>
          <w:sz w:val="22"/>
          <w:szCs w:val="22"/>
          <w:u w:color="004147"/>
        </w:rPr>
        <w:t xml:space="preserve">. Available at: </w:t>
      </w:r>
      <w:hyperlink r:id="rId24" w:tgtFrame="_new" w:history="1">
        <w:r w:rsidRPr="004C2448">
          <w:rPr>
            <w:rStyle w:val="Hyperlink"/>
            <w:rFonts w:ascii="Aptos" w:hAnsi="Aptos"/>
            <w:sz w:val="22"/>
            <w:szCs w:val="22"/>
          </w:rPr>
          <w:t>https://www.peoplemanagement.co.uk/article/1830913/pay-benchmarking-working-interactive-report-hr-professionals</w:t>
        </w:r>
      </w:hyperlink>
      <w:r w:rsidRPr="004C2448">
        <w:rPr>
          <w:rFonts w:ascii="Aptos" w:hAnsi="Aptos"/>
          <w:sz w:val="22"/>
          <w:szCs w:val="22"/>
          <w:u w:color="004147"/>
        </w:rPr>
        <w:t xml:space="preserve"> (Accessed: 23 January 2026).</w:t>
      </w:r>
    </w:p>
    <w:p w14:paraId="63DC7474"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HMRC (n.d.) </w:t>
      </w:r>
      <w:r w:rsidRPr="004C2448">
        <w:rPr>
          <w:rFonts w:ascii="Aptos" w:hAnsi="Aptos"/>
          <w:i/>
          <w:iCs/>
          <w:sz w:val="22"/>
          <w:szCs w:val="22"/>
          <w:u w:color="004147"/>
        </w:rPr>
        <w:t>Income tax</w:t>
      </w:r>
      <w:r w:rsidRPr="004C2448">
        <w:rPr>
          <w:rFonts w:ascii="Aptos" w:hAnsi="Aptos"/>
          <w:sz w:val="22"/>
          <w:szCs w:val="22"/>
          <w:u w:color="004147"/>
        </w:rPr>
        <w:t xml:space="preserve">. Available at: </w:t>
      </w:r>
      <w:hyperlink r:id="rId25" w:tgtFrame="_new" w:history="1">
        <w:r w:rsidRPr="004C2448">
          <w:rPr>
            <w:rStyle w:val="Hyperlink"/>
            <w:rFonts w:ascii="Aptos" w:hAnsi="Aptos"/>
            <w:sz w:val="22"/>
            <w:szCs w:val="22"/>
          </w:rPr>
          <w:t>https://www.gov.uk/income-tax</w:t>
        </w:r>
      </w:hyperlink>
      <w:r w:rsidRPr="004C2448">
        <w:rPr>
          <w:rFonts w:ascii="Aptos" w:hAnsi="Aptos"/>
          <w:sz w:val="22"/>
          <w:szCs w:val="22"/>
          <w:u w:color="004147"/>
        </w:rPr>
        <w:t xml:space="preserve"> (Accessed: 24 January 2026).</w:t>
      </w:r>
    </w:p>
    <w:p w14:paraId="1B6C81DA"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John Lewis Partnership (2025) </w:t>
      </w:r>
      <w:r w:rsidRPr="004C2448">
        <w:rPr>
          <w:rFonts w:ascii="Aptos" w:hAnsi="Aptos"/>
          <w:i/>
          <w:iCs/>
          <w:sz w:val="22"/>
          <w:szCs w:val="22"/>
          <w:u w:color="004147"/>
        </w:rPr>
        <w:t>About us: Reward and recognition</w:t>
      </w:r>
      <w:r w:rsidRPr="004C2448">
        <w:rPr>
          <w:rFonts w:ascii="Aptos" w:hAnsi="Aptos"/>
          <w:sz w:val="22"/>
          <w:szCs w:val="22"/>
          <w:u w:color="004147"/>
        </w:rPr>
        <w:t xml:space="preserve">. Available at: </w:t>
      </w:r>
      <w:hyperlink r:id="rId26" w:tgtFrame="_new" w:history="1">
        <w:r w:rsidRPr="004C2448">
          <w:rPr>
            <w:rStyle w:val="Hyperlink"/>
            <w:rFonts w:ascii="Aptos" w:hAnsi="Aptos"/>
            <w:sz w:val="22"/>
            <w:szCs w:val="22"/>
          </w:rPr>
          <w:t>https://www.johnlewispartnership.co.uk/about-us/our-business/reward-and-recognition.html</w:t>
        </w:r>
      </w:hyperlink>
      <w:r w:rsidRPr="004C2448">
        <w:rPr>
          <w:rFonts w:ascii="Aptos" w:hAnsi="Aptos"/>
          <w:sz w:val="22"/>
          <w:szCs w:val="22"/>
          <w:u w:color="004147"/>
        </w:rPr>
        <w:t xml:space="preserve"> (Accessed: 27 December 2025).</w:t>
      </w:r>
    </w:p>
    <w:p w14:paraId="2CBE3767"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John Lewis Partnership (2025) </w:t>
      </w:r>
      <w:r w:rsidRPr="004C2448">
        <w:rPr>
          <w:rFonts w:ascii="Aptos" w:hAnsi="Aptos"/>
          <w:i/>
          <w:iCs/>
          <w:sz w:val="22"/>
          <w:szCs w:val="22"/>
          <w:u w:color="004147"/>
        </w:rPr>
        <w:t>Annual Report 2025</w:t>
      </w:r>
      <w:r w:rsidRPr="004C2448">
        <w:rPr>
          <w:rFonts w:ascii="Aptos" w:hAnsi="Aptos"/>
          <w:sz w:val="22"/>
          <w:szCs w:val="22"/>
          <w:u w:color="004147"/>
        </w:rPr>
        <w:t xml:space="preserve">. Available at: </w:t>
      </w:r>
      <w:hyperlink r:id="rId27" w:tgtFrame="_new" w:history="1">
        <w:r w:rsidRPr="004C2448">
          <w:rPr>
            <w:rStyle w:val="Hyperlink"/>
            <w:rFonts w:ascii="Aptos" w:hAnsi="Aptos"/>
            <w:sz w:val="22"/>
            <w:szCs w:val="22"/>
          </w:rPr>
          <w:t>https://www.johnlewispartnership.co.uk/</w:t>
        </w:r>
      </w:hyperlink>
      <w:r w:rsidRPr="004C2448">
        <w:rPr>
          <w:rFonts w:ascii="Aptos" w:hAnsi="Aptos"/>
          <w:sz w:val="22"/>
          <w:szCs w:val="22"/>
          <w:u w:color="004147"/>
        </w:rPr>
        <w:t xml:space="preserve"> (Accessed: 27 December 2025).</w:t>
      </w:r>
    </w:p>
    <w:p w14:paraId="18602E88"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Liegel, N., Schneider, D., Wascher, E., Klatt, L.-I. and Arnau, S. (2024) ‘The effect of performance contingent reward prospects flexibly adapts to more versus less specific task goals’, </w:t>
      </w:r>
      <w:r w:rsidRPr="004C2448">
        <w:rPr>
          <w:rFonts w:ascii="Aptos" w:hAnsi="Aptos"/>
          <w:i/>
          <w:iCs/>
          <w:sz w:val="22"/>
          <w:szCs w:val="22"/>
          <w:u w:color="004147"/>
        </w:rPr>
        <w:t>Psychophysiology</w:t>
      </w:r>
      <w:r w:rsidRPr="004C2448">
        <w:rPr>
          <w:rFonts w:ascii="Aptos" w:hAnsi="Aptos"/>
          <w:sz w:val="22"/>
          <w:szCs w:val="22"/>
          <w:u w:color="004147"/>
        </w:rPr>
        <w:t xml:space="preserve">. </w:t>
      </w:r>
      <w:proofErr w:type="spellStart"/>
      <w:r w:rsidRPr="004C2448">
        <w:rPr>
          <w:rFonts w:ascii="Aptos" w:hAnsi="Aptos"/>
          <w:sz w:val="22"/>
          <w:szCs w:val="22"/>
          <w:u w:color="004147"/>
        </w:rPr>
        <w:t>doi</w:t>
      </w:r>
      <w:proofErr w:type="spellEnd"/>
      <w:r w:rsidRPr="004C2448">
        <w:rPr>
          <w:rFonts w:ascii="Aptos" w:hAnsi="Aptos"/>
          <w:sz w:val="22"/>
          <w:szCs w:val="22"/>
          <w:u w:color="004147"/>
        </w:rPr>
        <w:t>: 10.1111/psyp.14678.</w:t>
      </w:r>
    </w:p>
    <w:p w14:paraId="3CE5CF27"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Maslow, A.H. (1943) ‘A theory of human motivation’, </w:t>
      </w:r>
      <w:r w:rsidRPr="004C2448">
        <w:rPr>
          <w:rFonts w:ascii="Aptos" w:hAnsi="Aptos"/>
          <w:i/>
          <w:iCs/>
          <w:sz w:val="22"/>
          <w:szCs w:val="22"/>
          <w:u w:color="004147"/>
        </w:rPr>
        <w:t>Psychological Review</w:t>
      </w:r>
      <w:r w:rsidRPr="004C2448">
        <w:rPr>
          <w:rFonts w:ascii="Aptos" w:hAnsi="Aptos"/>
          <w:sz w:val="22"/>
          <w:szCs w:val="22"/>
          <w:u w:color="004147"/>
        </w:rPr>
        <w:t>, 50(4), pp. 370–396.</w:t>
      </w:r>
    </w:p>
    <w:p w14:paraId="5748EA67" w14:textId="014F7F68"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Office for National Statistics (ONS) (2024) </w:t>
      </w:r>
      <w:r w:rsidRPr="004C2448">
        <w:rPr>
          <w:rFonts w:ascii="Aptos" w:hAnsi="Aptos"/>
          <w:i/>
          <w:iCs/>
          <w:sz w:val="22"/>
          <w:szCs w:val="22"/>
          <w:u w:color="004147"/>
        </w:rPr>
        <w:t>Labour market overview, UK: 12 November 2024</w:t>
      </w:r>
      <w:r w:rsidRPr="004C2448">
        <w:rPr>
          <w:rFonts w:ascii="Aptos" w:hAnsi="Aptos"/>
          <w:sz w:val="22"/>
          <w:szCs w:val="22"/>
          <w:u w:color="004147"/>
        </w:rPr>
        <w:t>. Available at:</w:t>
      </w:r>
      <w:r w:rsidR="00F34AB0" w:rsidRPr="004C2448">
        <w:rPr>
          <w:rFonts w:ascii="Aptos" w:hAnsi="Aptos"/>
          <w:sz w:val="22"/>
          <w:szCs w:val="22"/>
        </w:rPr>
        <w:t xml:space="preserve"> </w:t>
      </w:r>
      <w:hyperlink r:id="rId28" w:history="1">
        <w:r w:rsidR="00E73755" w:rsidRPr="004C2448">
          <w:rPr>
            <w:rStyle w:val="Hyperlink"/>
            <w:rFonts w:ascii="Aptos" w:hAnsi="Aptos"/>
            <w:sz w:val="22"/>
            <w:szCs w:val="22"/>
          </w:rPr>
          <w:t>https://www.ons.gov.uk/</w:t>
        </w:r>
      </w:hyperlink>
      <w:r w:rsidR="00E73755" w:rsidRPr="004C2448">
        <w:rPr>
          <w:rFonts w:ascii="Aptos" w:hAnsi="Aptos"/>
          <w:sz w:val="22"/>
          <w:szCs w:val="22"/>
          <w:u w:color="004147"/>
        </w:rPr>
        <w:t xml:space="preserve"> </w:t>
      </w:r>
      <w:r w:rsidRPr="004C2448">
        <w:rPr>
          <w:rFonts w:ascii="Aptos" w:hAnsi="Aptos"/>
          <w:sz w:val="22"/>
          <w:szCs w:val="22"/>
          <w:u w:color="004147"/>
        </w:rPr>
        <w:t>(ONS)</w:t>
      </w:r>
      <w:r w:rsidR="00595E57" w:rsidRPr="004C2448">
        <w:rPr>
          <w:rFonts w:ascii="Aptos" w:hAnsi="Aptos"/>
          <w:sz w:val="22"/>
          <w:szCs w:val="22"/>
          <w:u w:color="004147"/>
        </w:rPr>
        <w:t xml:space="preserve"> </w:t>
      </w:r>
      <w:r w:rsidRPr="004C2448">
        <w:rPr>
          <w:rFonts w:ascii="Aptos" w:hAnsi="Aptos"/>
          <w:sz w:val="22"/>
          <w:szCs w:val="22"/>
          <w:u w:color="004147"/>
        </w:rPr>
        <w:t>(2024) Labour market overview, - Search</w:t>
      </w:r>
      <w:r w:rsidR="00E73755" w:rsidRPr="004C2448">
        <w:rPr>
          <w:rFonts w:ascii="Aptos" w:hAnsi="Aptos"/>
          <w:sz w:val="22"/>
          <w:szCs w:val="22"/>
          <w:u w:color="004147"/>
        </w:rPr>
        <w:t xml:space="preserve"> </w:t>
      </w:r>
      <w:r w:rsidRPr="004C2448">
        <w:rPr>
          <w:rFonts w:ascii="Aptos" w:hAnsi="Aptos"/>
          <w:sz w:val="22"/>
          <w:szCs w:val="22"/>
          <w:u w:color="004147"/>
        </w:rPr>
        <w:t>(Accessed: 23 January 2026).</w:t>
      </w:r>
    </w:p>
    <w:p w14:paraId="23554617" w14:textId="5E5B1E04"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Office for National Statistics (ONS) (2024) </w:t>
      </w:r>
      <w:r w:rsidRPr="004C2448">
        <w:rPr>
          <w:rFonts w:ascii="Aptos" w:hAnsi="Aptos"/>
          <w:i/>
          <w:iCs/>
          <w:sz w:val="22"/>
          <w:szCs w:val="22"/>
          <w:u w:color="004147"/>
        </w:rPr>
        <w:t>Labour market overview, UK</w:t>
      </w:r>
      <w:r w:rsidRPr="004C2448">
        <w:rPr>
          <w:rFonts w:ascii="Aptos" w:hAnsi="Aptos"/>
          <w:sz w:val="22"/>
          <w:szCs w:val="22"/>
          <w:u w:color="004147"/>
        </w:rPr>
        <w:t>. Available at:</w:t>
      </w:r>
      <w:r w:rsidR="00E73755" w:rsidRPr="004C2448">
        <w:rPr>
          <w:rFonts w:ascii="Aptos" w:hAnsi="Aptos"/>
          <w:sz w:val="22"/>
          <w:szCs w:val="22"/>
        </w:rPr>
        <w:t xml:space="preserve"> </w:t>
      </w:r>
      <w:hyperlink r:id="rId29" w:history="1">
        <w:r w:rsidR="00557EF6" w:rsidRPr="004C2448">
          <w:rPr>
            <w:rStyle w:val="Hyperlink"/>
            <w:rFonts w:ascii="Aptos" w:hAnsi="Aptos"/>
            <w:sz w:val="22"/>
            <w:szCs w:val="22"/>
          </w:rPr>
          <w:t>https://www.ons.gov.uk/</w:t>
        </w:r>
      </w:hyperlink>
      <w:r w:rsidR="00557EF6" w:rsidRPr="004C2448">
        <w:rPr>
          <w:rFonts w:ascii="Aptos" w:hAnsi="Aptos"/>
          <w:sz w:val="22"/>
          <w:szCs w:val="22"/>
          <w:u w:color="004147"/>
        </w:rPr>
        <w:t xml:space="preserve"> </w:t>
      </w:r>
      <w:r w:rsidRPr="004C2448">
        <w:rPr>
          <w:rFonts w:ascii="Aptos" w:hAnsi="Aptos"/>
          <w:sz w:val="22"/>
          <w:szCs w:val="22"/>
          <w:u w:color="004147"/>
        </w:rPr>
        <w:t xml:space="preserve"> (ONS). (2024) Labour market overview, - Search (Accessed: 24 July 2025).</w:t>
      </w:r>
    </w:p>
    <w:p w14:paraId="196E9D93"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Taylor, S. and Woodham, C. (2022) </w:t>
      </w:r>
      <w:r w:rsidRPr="004C2448">
        <w:rPr>
          <w:rFonts w:ascii="Aptos" w:hAnsi="Aptos"/>
          <w:i/>
          <w:iCs/>
          <w:sz w:val="22"/>
          <w:szCs w:val="22"/>
          <w:u w:color="004147"/>
        </w:rPr>
        <w:t>Studying human resource management: A guide to the study, context and practice of HR</w:t>
      </w:r>
      <w:r w:rsidRPr="004C2448">
        <w:rPr>
          <w:rFonts w:ascii="Aptos" w:hAnsi="Aptos"/>
          <w:sz w:val="22"/>
          <w:szCs w:val="22"/>
          <w:u w:color="004147"/>
        </w:rPr>
        <w:t xml:space="preserve">. 3rd </w:t>
      </w:r>
      <w:proofErr w:type="spellStart"/>
      <w:r w:rsidRPr="004C2448">
        <w:rPr>
          <w:rFonts w:ascii="Aptos" w:hAnsi="Aptos"/>
          <w:sz w:val="22"/>
          <w:szCs w:val="22"/>
          <w:u w:color="004147"/>
        </w:rPr>
        <w:t>edn</w:t>
      </w:r>
      <w:proofErr w:type="spellEnd"/>
      <w:r w:rsidRPr="004C2448">
        <w:rPr>
          <w:rFonts w:ascii="Aptos" w:hAnsi="Aptos"/>
          <w:sz w:val="22"/>
          <w:szCs w:val="22"/>
          <w:u w:color="004147"/>
        </w:rPr>
        <w:t>. London: Kogan Page.</w:t>
      </w:r>
    </w:p>
    <w:p w14:paraId="439FD33D"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Taylor, S. and Woodham, C. (2022) </w:t>
      </w:r>
      <w:r w:rsidRPr="004C2448">
        <w:rPr>
          <w:rFonts w:ascii="Aptos" w:hAnsi="Aptos"/>
          <w:i/>
          <w:iCs/>
          <w:sz w:val="22"/>
          <w:szCs w:val="22"/>
          <w:u w:color="004147"/>
        </w:rPr>
        <w:t>Studying Human Resource Management: A Guide to the Study, Context and Practice of HR</w:t>
      </w:r>
      <w:r w:rsidRPr="004C2448">
        <w:rPr>
          <w:rFonts w:ascii="Aptos" w:hAnsi="Aptos"/>
          <w:sz w:val="22"/>
          <w:szCs w:val="22"/>
          <w:u w:color="004147"/>
        </w:rPr>
        <w:t xml:space="preserve">. 3rd </w:t>
      </w:r>
      <w:proofErr w:type="spellStart"/>
      <w:r w:rsidRPr="004C2448">
        <w:rPr>
          <w:rFonts w:ascii="Aptos" w:hAnsi="Aptos"/>
          <w:sz w:val="22"/>
          <w:szCs w:val="22"/>
          <w:u w:color="004147"/>
        </w:rPr>
        <w:t>edn</w:t>
      </w:r>
      <w:proofErr w:type="spellEnd"/>
      <w:r w:rsidRPr="004C2448">
        <w:rPr>
          <w:rFonts w:ascii="Aptos" w:hAnsi="Aptos"/>
          <w:sz w:val="22"/>
          <w:szCs w:val="22"/>
          <w:u w:color="004147"/>
        </w:rPr>
        <w:t>. London: Kogan Page, p.101.</w:t>
      </w:r>
    </w:p>
    <w:p w14:paraId="6577A5E5"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Taylor, S. and Woodham, C. (2022) </w:t>
      </w:r>
      <w:r w:rsidRPr="004C2448">
        <w:rPr>
          <w:rFonts w:ascii="Aptos" w:hAnsi="Aptos"/>
          <w:i/>
          <w:iCs/>
          <w:sz w:val="22"/>
          <w:szCs w:val="22"/>
          <w:u w:color="004147"/>
        </w:rPr>
        <w:t>Studying Human Resource Management: A Guide to the Study, Context and Practice of HR</w:t>
      </w:r>
      <w:r w:rsidRPr="004C2448">
        <w:rPr>
          <w:rFonts w:ascii="Aptos" w:hAnsi="Aptos"/>
          <w:sz w:val="22"/>
          <w:szCs w:val="22"/>
          <w:u w:color="004147"/>
        </w:rPr>
        <w:t xml:space="preserve">. 3rd </w:t>
      </w:r>
      <w:proofErr w:type="spellStart"/>
      <w:r w:rsidRPr="004C2448">
        <w:rPr>
          <w:rFonts w:ascii="Aptos" w:hAnsi="Aptos"/>
          <w:sz w:val="22"/>
          <w:szCs w:val="22"/>
          <w:u w:color="004147"/>
        </w:rPr>
        <w:t>edn</w:t>
      </w:r>
      <w:proofErr w:type="spellEnd"/>
      <w:r w:rsidRPr="004C2448">
        <w:rPr>
          <w:rFonts w:ascii="Aptos" w:hAnsi="Aptos"/>
          <w:sz w:val="22"/>
          <w:szCs w:val="22"/>
          <w:u w:color="004147"/>
        </w:rPr>
        <w:t>. London: Kogan Page, p.103.</w:t>
      </w:r>
    </w:p>
    <w:p w14:paraId="3A24411F"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Waite, K., Beevers, K., Small, N., Tomlinson, K. and Hussain, S. (2021) </w:t>
      </w:r>
      <w:r w:rsidRPr="004C2448">
        <w:rPr>
          <w:rFonts w:ascii="Aptos" w:hAnsi="Aptos"/>
          <w:i/>
          <w:iCs/>
          <w:sz w:val="22"/>
          <w:szCs w:val="22"/>
          <w:u w:color="004147"/>
        </w:rPr>
        <w:t>People Practice: A Complete Guide</w:t>
      </w:r>
      <w:r w:rsidRPr="004C2448">
        <w:rPr>
          <w:rFonts w:ascii="Aptos" w:hAnsi="Aptos"/>
          <w:sz w:val="22"/>
          <w:szCs w:val="22"/>
          <w:u w:color="004147"/>
        </w:rPr>
        <w:t xml:space="preserve">. 2nd </w:t>
      </w:r>
      <w:proofErr w:type="spellStart"/>
      <w:r w:rsidRPr="004C2448">
        <w:rPr>
          <w:rFonts w:ascii="Aptos" w:hAnsi="Aptos"/>
          <w:sz w:val="22"/>
          <w:szCs w:val="22"/>
          <w:u w:color="004147"/>
        </w:rPr>
        <w:t>edn</w:t>
      </w:r>
      <w:proofErr w:type="spellEnd"/>
      <w:r w:rsidRPr="004C2448">
        <w:rPr>
          <w:rFonts w:ascii="Aptos" w:hAnsi="Aptos"/>
          <w:sz w:val="22"/>
          <w:szCs w:val="22"/>
          <w:u w:color="004147"/>
        </w:rPr>
        <w:t>. London: Kogan Page.</w:t>
      </w:r>
    </w:p>
    <w:p w14:paraId="1BE31090"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Waite, K., Beevers, K., Small, N., Tomlinson, K. and Hussain, S. (2021) </w:t>
      </w:r>
      <w:r w:rsidRPr="004C2448">
        <w:rPr>
          <w:rFonts w:ascii="Aptos" w:hAnsi="Aptos"/>
          <w:i/>
          <w:iCs/>
          <w:sz w:val="22"/>
          <w:szCs w:val="22"/>
          <w:u w:color="004147"/>
        </w:rPr>
        <w:t>People Practice: A Complete Guide</w:t>
      </w:r>
      <w:r w:rsidRPr="004C2448">
        <w:rPr>
          <w:rFonts w:ascii="Aptos" w:hAnsi="Aptos"/>
          <w:sz w:val="22"/>
          <w:szCs w:val="22"/>
          <w:u w:color="004147"/>
        </w:rPr>
        <w:t xml:space="preserve">. 2nd </w:t>
      </w:r>
      <w:proofErr w:type="spellStart"/>
      <w:r w:rsidRPr="004C2448">
        <w:rPr>
          <w:rFonts w:ascii="Aptos" w:hAnsi="Aptos"/>
          <w:sz w:val="22"/>
          <w:szCs w:val="22"/>
          <w:u w:color="004147"/>
        </w:rPr>
        <w:t>edn</w:t>
      </w:r>
      <w:proofErr w:type="spellEnd"/>
      <w:r w:rsidRPr="004C2448">
        <w:rPr>
          <w:rFonts w:ascii="Aptos" w:hAnsi="Aptos"/>
          <w:sz w:val="22"/>
          <w:szCs w:val="22"/>
          <w:u w:color="004147"/>
        </w:rPr>
        <w:t>. London: Kogan Page, p.28.</w:t>
      </w:r>
    </w:p>
    <w:p w14:paraId="70FF3708"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Waite, K., Beevers, K., Small, N., Tomlinson, K. and Hussain, S. (2021) </w:t>
      </w:r>
      <w:r w:rsidRPr="004C2448">
        <w:rPr>
          <w:rFonts w:ascii="Aptos" w:hAnsi="Aptos"/>
          <w:i/>
          <w:iCs/>
          <w:sz w:val="22"/>
          <w:szCs w:val="22"/>
          <w:u w:color="004147"/>
        </w:rPr>
        <w:t>People Practice: A Complete Guide</w:t>
      </w:r>
      <w:r w:rsidRPr="004C2448">
        <w:rPr>
          <w:rFonts w:ascii="Aptos" w:hAnsi="Aptos"/>
          <w:sz w:val="22"/>
          <w:szCs w:val="22"/>
          <w:u w:color="004147"/>
        </w:rPr>
        <w:t xml:space="preserve">. 2nd </w:t>
      </w:r>
      <w:proofErr w:type="spellStart"/>
      <w:r w:rsidRPr="004C2448">
        <w:rPr>
          <w:rFonts w:ascii="Aptos" w:hAnsi="Aptos"/>
          <w:sz w:val="22"/>
          <w:szCs w:val="22"/>
          <w:u w:color="004147"/>
        </w:rPr>
        <w:t>edn</w:t>
      </w:r>
      <w:proofErr w:type="spellEnd"/>
      <w:r w:rsidRPr="004C2448">
        <w:rPr>
          <w:rFonts w:ascii="Aptos" w:hAnsi="Aptos"/>
          <w:sz w:val="22"/>
          <w:szCs w:val="22"/>
          <w:u w:color="004147"/>
        </w:rPr>
        <w:t>. London: Kogan Page, p.35.</w:t>
      </w:r>
    </w:p>
    <w:p w14:paraId="09EF1C21" w14:textId="77777777" w:rsidR="005B2CCF" w:rsidRPr="004C2448" w:rsidRDefault="005B2CCF" w:rsidP="005B2CCF">
      <w:pPr>
        <w:rPr>
          <w:rFonts w:ascii="Aptos" w:hAnsi="Aptos"/>
          <w:sz w:val="22"/>
          <w:szCs w:val="22"/>
          <w:u w:color="004147"/>
        </w:rPr>
      </w:pPr>
      <w:r w:rsidRPr="004C2448">
        <w:rPr>
          <w:rFonts w:ascii="Aptos" w:hAnsi="Aptos"/>
          <w:sz w:val="22"/>
          <w:szCs w:val="22"/>
          <w:u w:color="004147"/>
        </w:rPr>
        <w:t xml:space="preserve">Waite, K., Beevers, K., Small, N., Tomlinson, K. and Hussain, S. (2021) </w:t>
      </w:r>
      <w:r w:rsidRPr="004C2448">
        <w:rPr>
          <w:rFonts w:ascii="Aptos" w:hAnsi="Aptos"/>
          <w:i/>
          <w:iCs/>
          <w:sz w:val="22"/>
          <w:szCs w:val="22"/>
          <w:u w:color="004147"/>
        </w:rPr>
        <w:t>People Practice: A Complete Guide</w:t>
      </w:r>
      <w:r w:rsidRPr="004C2448">
        <w:rPr>
          <w:rFonts w:ascii="Aptos" w:hAnsi="Aptos"/>
          <w:sz w:val="22"/>
          <w:szCs w:val="22"/>
          <w:u w:color="004147"/>
        </w:rPr>
        <w:t xml:space="preserve">. 2nd </w:t>
      </w:r>
      <w:proofErr w:type="spellStart"/>
      <w:r w:rsidRPr="004C2448">
        <w:rPr>
          <w:rFonts w:ascii="Aptos" w:hAnsi="Aptos"/>
          <w:sz w:val="22"/>
          <w:szCs w:val="22"/>
          <w:u w:color="004147"/>
        </w:rPr>
        <w:t>edn</w:t>
      </w:r>
      <w:proofErr w:type="spellEnd"/>
      <w:r w:rsidRPr="004C2448">
        <w:rPr>
          <w:rFonts w:ascii="Aptos" w:hAnsi="Aptos"/>
          <w:sz w:val="22"/>
          <w:szCs w:val="22"/>
          <w:u w:color="004147"/>
        </w:rPr>
        <w:t>. London: Kogan Page, p.171.</w:t>
      </w:r>
    </w:p>
    <w:p w14:paraId="55C43C8B" w14:textId="30D77230" w:rsidR="00182E53" w:rsidRPr="004C2448" w:rsidRDefault="005B2CCF" w:rsidP="00F966E5">
      <w:pPr>
        <w:rPr>
          <w:rFonts w:ascii="Aptos" w:hAnsi="Aptos"/>
          <w:sz w:val="22"/>
          <w:szCs w:val="22"/>
          <w:u w:color="004147"/>
        </w:rPr>
      </w:pPr>
      <w:r w:rsidRPr="004C2448">
        <w:rPr>
          <w:rFonts w:ascii="Aptos" w:hAnsi="Aptos"/>
          <w:sz w:val="22"/>
          <w:szCs w:val="22"/>
          <w:u w:color="004147"/>
        </w:rPr>
        <w:t xml:space="preserve">Written evidence from the John Lewis Partnership (2025) </w:t>
      </w:r>
      <w:r w:rsidRPr="004C2448">
        <w:rPr>
          <w:rFonts w:ascii="Aptos" w:hAnsi="Aptos"/>
          <w:i/>
          <w:iCs/>
          <w:sz w:val="22"/>
          <w:szCs w:val="22"/>
          <w:u w:color="004147"/>
        </w:rPr>
        <w:t>Corporate governance and employee ownership (CGV0099)</w:t>
      </w:r>
      <w:r w:rsidRPr="004C2448">
        <w:rPr>
          <w:rFonts w:ascii="Aptos" w:hAnsi="Aptos"/>
          <w:sz w:val="22"/>
          <w:szCs w:val="22"/>
          <w:u w:color="004147"/>
        </w:rPr>
        <w:t xml:space="preserve">. Available at: </w:t>
      </w:r>
      <w:hyperlink r:id="rId30" w:tgtFrame="_new" w:history="1">
        <w:r w:rsidRPr="004C2448">
          <w:rPr>
            <w:rStyle w:val="Hyperlink"/>
            <w:rFonts w:ascii="Aptos" w:hAnsi="Aptos"/>
            <w:sz w:val="22"/>
            <w:szCs w:val="22"/>
          </w:rPr>
          <w:t>https://committees.parliament.uk/writtenevidence/74324/pdf/</w:t>
        </w:r>
      </w:hyperlink>
      <w:r w:rsidRPr="004C2448">
        <w:rPr>
          <w:rFonts w:ascii="Aptos" w:hAnsi="Aptos"/>
          <w:sz w:val="22"/>
          <w:szCs w:val="22"/>
          <w:u w:color="004147"/>
        </w:rPr>
        <w:t xml:space="preserve"> (Accessed: 27 December 2025).</w:t>
      </w:r>
    </w:p>
    <w:p w14:paraId="7032F64D" w14:textId="77777777" w:rsidR="00182E53" w:rsidRPr="00F966E5" w:rsidRDefault="00182E53" w:rsidP="00F966E5">
      <w:pPr>
        <w:rPr>
          <w:rFonts w:ascii="Aptos" w:hAnsi="Aptos"/>
          <w:sz w:val="22"/>
          <w:szCs w:val="22"/>
          <w:u w:color="004147"/>
        </w:rPr>
      </w:pPr>
    </w:p>
    <w:sectPr w:rsidR="00182E53" w:rsidRPr="00F966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EFF" w:usb1="F9DFFFFF" w:usb2="0000007F" w:usb3="00000000" w:csb0="003F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Neue">
    <w:altName w:val="Arial"/>
    <w:charset w:val="00"/>
    <w:family w:val="roman"/>
    <w:pitch w:val="default"/>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55C3A"/>
    <w:multiLevelType w:val="multilevel"/>
    <w:tmpl w:val="E82C9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AD7A43"/>
    <w:multiLevelType w:val="multilevel"/>
    <w:tmpl w:val="4B4E6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565597"/>
    <w:multiLevelType w:val="multilevel"/>
    <w:tmpl w:val="92A65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A236CB"/>
    <w:multiLevelType w:val="multilevel"/>
    <w:tmpl w:val="A65EF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CB71C4"/>
    <w:multiLevelType w:val="hybridMultilevel"/>
    <w:tmpl w:val="52E45D56"/>
    <w:lvl w:ilvl="0" w:tplc="7D76B4E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7F4AB2"/>
    <w:multiLevelType w:val="multilevel"/>
    <w:tmpl w:val="A9803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965A1E"/>
    <w:multiLevelType w:val="hybridMultilevel"/>
    <w:tmpl w:val="DC3EE98A"/>
    <w:lvl w:ilvl="0" w:tplc="864EC310">
      <w:start w:val="42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B200988"/>
    <w:multiLevelType w:val="multilevel"/>
    <w:tmpl w:val="D31434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3D1EC9"/>
    <w:multiLevelType w:val="hybridMultilevel"/>
    <w:tmpl w:val="724EB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216BF7"/>
    <w:multiLevelType w:val="multilevel"/>
    <w:tmpl w:val="716CE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1337CF2"/>
    <w:multiLevelType w:val="multilevel"/>
    <w:tmpl w:val="60F61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476827"/>
    <w:multiLevelType w:val="multilevel"/>
    <w:tmpl w:val="D3366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3348D5"/>
    <w:multiLevelType w:val="multilevel"/>
    <w:tmpl w:val="A7F87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6F32313"/>
    <w:multiLevelType w:val="multilevel"/>
    <w:tmpl w:val="AD12FA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73201E9"/>
    <w:multiLevelType w:val="multilevel"/>
    <w:tmpl w:val="FA485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B4147DF"/>
    <w:multiLevelType w:val="multilevel"/>
    <w:tmpl w:val="D8B40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E832EAB"/>
    <w:multiLevelType w:val="multilevel"/>
    <w:tmpl w:val="41F60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F8B58AB"/>
    <w:multiLevelType w:val="multilevel"/>
    <w:tmpl w:val="A78C3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0E64B4E"/>
    <w:multiLevelType w:val="multilevel"/>
    <w:tmpl w:val="6722E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1BB4E11"/>
    <w:multiLevelType w:val="hybridMultilevel"/>
    <w:tmpl w:val="2F042352"/>
    <w:lvl w:ilvl="0" w:tplc="FFFFFFFF">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1" w15:restartNumberingAfterBreak="0">
    <w:nsid w:val="2318140D"/>
    <w:multiLevelType w:val="hybridMultilevel"/>
    <w:tmpl w:val="E318AE84"/>
    <w:lvl w:ilvl="0" w:tplc="0809000B">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2" w15:restartNumberingAfterBreak="0">
    <w:nsid w:val="2361700E"/>
    <w:multiLevelType w:val="multilevel"/>
    <w:tmpl w:val="4A921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5C52190"/>
    <w:multiLevelType w:val="hybridMultilevel"/>
    <w:tmpl w:val="797052D8"/>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4" w15:restartNumberingAfterBreak="0">
    <w:nsid w:val="26397FF9"/>
    <w:multiLevelType w:val="multilevel"/>
    <w:tmpl w:val="95348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8E94038"/>
    <w:multiLevelType w:val="multilevel"/>
    <w:tmpl w:val="A6801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CFF7E27"/>
    <w:multiLevelType w:val="multilevel"/>
    <w:tmpl w:val="0360D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D0C6459"/>
    <w:multiLevelType w:val="multilevel"/>
    <w:tmpl w:val="04BC0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2E7509FD"/>
    <w:multiLevelType w:val="multilevel"/>
    <w:tmpl w:val="A69E97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3C25F0B"/>
    <w:multiLevelType w:val="multilevel"/>
    <w:tmpl w:val="DC88F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7130E01"/>
    <w:multiLevelType w:val="multilevel"/>
    <w:tmpl w:val="B7BAC8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3AB26B95"/>
    <w:multiLevelType w:val="hybridMultilevel"/>
    <w:tmpl w:val="B37082DA"/>
    <w:lvl w:ilvl="0" w:tplc="0809000B">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3" w15:restartNumberingAfterBreak="0">
    <w:nsid w:val="3BBD77C6"/>
    <w:multiLevelType w:val="hybridMultilevel"/>
    <w:tmpl w:val="96D00EC0"/>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3C4F7300"/>
    <w:multiLevelType w:val="hybridMultilevel"/>
    <w:tmpl w:val="95AEBFA8"/>
    <w:lvl w:ilvl="0" w:tplc="EC260EB8">
      <w:start w:val="48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3CE9675A"/>
    <w:multiLevelType w:val="multilevel"/>
    <w:tmpl w:val="77C0A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D46741A"/>
    <w:multiLevelType w:val="multilevel"/>
    <w:tmpl w:val="C5026C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02173BC"/>
    <w:multiLevelType w:val="multilevel"/>
    <w:tmpl w:val="75001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9" w15:restartNumberingAfterBreak="0">
    <w:nsid w:val="407F015F"/>
    <w:multiLevelType w:val="multilevel"/>
    <w:tmpl w:val="74D0C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111635E"/>
    <w:multiLevelType w:val="multilevel"/>
    <w:tmpl w:val="BC4AE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5045DFA"/>
    <w:multiLevelType w:val="hybridMultilevel"/>
    <w:tmpl w:val="2F042352"/>
    <w:numStyleLink w:val="ImportedStyle5"/>
  </w:abstractNum>
  <w:abstractNum w:abstractNumId="42" w15:restartNumberingAfterBreak="0">
    <w:nsid w:val="46980838"/>
    <w:multiLevelType w:val="multilevel"/>
    <w:tmpl w:val="15D61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6D93A77"/>
    <w:multiLevelType w:val="multilevel"/>
    <w:tmpl w:val="66F65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7E27EB9"/>
    <w:multiLevelType w:val="hybridMultilevel"/>
    <w:tmpl w:val="BBC645EC"/>
    <w:lvl w:ilvl="0" w:tplc="0809000B">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45" w15:restartNumberingAfterBreak="0">
    <w:nsid w:val="4A350FE9"/>
    <w:multiLevelType w:val="multilevel"/>
    <w:tmpl w:val="25F47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AEB70B9"/>
    <w:multiLevelType w:val="hybridMultilevel"/>
    <w:tmpl w:val="908603C6"/>
    <w:lvl w:ilvl="0" w:tplc="898EB692">
      <w:start w:val="478"/>
      <w:numFmt w:val="decimal"/>
      <w:lvlText w:val="%1"/>
      <w:lvlJc w:val="left"/>
      <w:pPr>
        <w:ind w:left="765" w:hanging="405"/>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4B0C52CE"/>
    <w:multiLevelType w:val="multilevel"/>
    <w:tmpl w:val="04AC7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B734CBB"/>
    <w:multiLevelType w:val="hybridMultilevel"/>
    <w:tmpl w:val="79146188"/>
    <w:lvl w:ilvl="0" w:tplc="779C4006">
      <w:start w:val="49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4BE9684B"/>
    <w:multiLevelType w:val="hybridMultilevel"/>
    <w:tmpl w:val="5D16A7A8"/>
    <w:lvl w:ilvl="0" w:tplc="0809000B">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50" w15:restartNumberingAfterBreak="0">
    <w:nsid w:val="4FC17682"/>
    <w:multiLevelType w:val="multilevel"/>
    <w:tmpl w:val="5D90B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08D0375"/>
    <w:multiLevelType w:val="hybridMultilevel"/>
    <w:tmpl w:val="E898C36C"/>
    <w:lvl w:ilvl="0" w:tplc="2E22394E">
      <w:start w:val="55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512536C8"/>
    <w:multiLevelType w:val="hybridMultilevel"/>
    <w:tmpl w:val="C066BC26"/>
    <w:lvl w:ilvl="0" w:tplc="9DC07A6E">
      <w:start w:val="1"/>
      <w:numFmt w:val="decimal"/>
      <w:lvlText w:val="%1)"/>
      <w:lvlJc w:val="left"/>
      <w:pPr>
        <w:ind w:left="327" w:hanging="327"/>
      </w:pPr>
      <w:rPr>
        <w:rFonts w:hAnsi="Arial Unicode MS"/>
        <w:caps w:val="0"/>
        <w:smallCaps w:val="0"/>
        <w:strike w:val="0"/>
        <w:dstrike w:val="0"/>
        <w:outline w:val="0"/>
        <w:emboss w:val="0"/>
        <w:imprint w:val="0"/>
        <w:spacing w:val="0"/>
        <w:w w:val="100"/>
        <w:kern w:val="0"/>
        <w:position w:val="0"/>
        <w:highlight w:val="none"/>
        <w:vertAlign w:val="baseline"/>
      </w:rPr>
    </w:lvl>
    <w:lvl w:ilvl="1" w:tplc="686C96DE">
      <w:start w:val="1"/>
      <w:numFmt w:val="decimal"/>
      <w:lvlText w:val="%2)"/>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tplc="43C69394">
      <w:start w:val="1"/>
      <w:numFmt w:val="decimal"/>
      <w:lvlText w:val="%3)"/>
      <w:lvlJc w:val="left"/>
      <w:pPr>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tplc="3B7A1726">
      <w:start w:val="1"/>
      <w:numFmt w:val="decimal"/>
      <w:lvlText w:val="%4)"/>
      <w:lvlJc w:val="left"/>
      <w:pPr>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tplc="6D4EAEDA">
      <w:start w:val="1"/>
      <w:numFmt w:val="decimal"/>
      <w:lvlText w:val="%5)"/>
      <w:lvlJc w:val="left"/>
      <w:pPr>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tplc="4C967A80">
      <w:start w:val="1"/>
      <w:numFmt w:val="decimal"/>
      <w:lvlText w:val="%6)"/>
      <w:lvlJc w:val="left"/>
      <w:pPr>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tplc="2528B33C">
      <w:start w:val="1"/>
      <w:numFmt w:val="decimal"/>
      <w:lvlText w:val="%7)"/>
      <w:lvlJc w:val="left"/>
      <w:pPr>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tplc="A4281832">
      <w:start w:val="1"/>
      <w:numFmt w:val="decimal"/>
      <w:lvlText w:val="%8)"/>
      <w:lvlJc w:val="left"/>
      <w:pPr>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tplc="AE7A07D2">
      <w:start w:val="1"/>
      <w:numFmt w:val="decimal"/>
      <w:lvlText w:val="%9)"/>
      <w:lvlJc w:val="left"/>
      <w:pPr>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3" w15:restartNumberingAfterBreak="0">
    <w:nsid w:val="52B5355E"/>
    <w:multiLevelType w:val="multilevel"/>
    <w:tmpl w:val="1E284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4174A94"/>
    <w:multiLevelType w:val="multilevel"/>
    <w:tmpl w:val="9BD85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5823051"/>
    <w:multiLevelType w:val="multilevel"/>
    <w:tmpl w:val="7F7E8F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570A5978"/>
    <w:multiLevelType w:val="multilevel"/>
    <w:tmpl w:val="58400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80E610A"/>
    <w:multiLevelType w:val="multilevel"/>
    <w:tmpl w:val="29C250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59A55445"/>
    <w:multiLevelType w:val="hybridMultilevel"/>
    <w:tmpl w:val="2F042352"/>
    <w:lvl w:ilvl="0" w:tplc="FFFFFFFF">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9" w15:restartNumberingAfterBreak="0">
    <w:nsid w:val="59C937B5"/>
    <w:multiLevelType w:val="multilevel"/>
    <w:tmpl w:val="D7BCE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9D5092C"/>
    <w:multiLevelType w:val="multilevel"/>
    <w:tmpl w:val="FB245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C8402B0"/>
    <w:multiLevelType w:val="hybridMultilevel"/>
    <w:tmpl w:val="7152EBB8"/>
    <w:lvl w:ilvl="0" w:tplc="C3E6C50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15:restartNumberingAfterBreak="0">
    <w:nsid w:val="5D85059F"/>
    <w:multiLevelType w:val="multilevel"/>
    <w:tmpl w:val="8CECC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D913CF3"/>
    <w:multiLevelType w:val="multilevel"/>
    <w:tmpl w:val="EDDE2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02C4DB5"/>
    <w:multiLevelType w:val="multilevel"/>
    <w:tmpl w:val="C41625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64817C42"/>
    <w:multiLevelType w:val="hybridMultilevel"/>
    <w:tmpl w:val="03DA397A"/>
    <w:lvl w:ilvl="0" w:tplc="FFFFFFFF">
      <w:start w:val="43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6" w15:restartNumberingAfterBreak="0">
    <w:nsid w:val="65263CE8"/>
    <w:multiLevelType w:val="multilevel"/>
    <w:tmpl w:val="9F62F0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5F53AE9"/>
    <w:multiLevelType w:val="multilevel"/>
    <w:tmpl w:val="7730D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68D635FA"/>
    <w:multiLevelType w:val="multilevel"/>
    <w:tmpl w:val="D500D98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691C2B9A"/>
    <w:multiLevelType w:val="multilevel"/>
    <w:tmpl w:val="F3E89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6DC728D9"/>
    <w:multiLevelType w:val="multilevel"/>
    <w:tmpl w:val="98009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6E5C1F59"/>
    <w:multiLevelType w:val="hybridMultilevel"/>
    <w:tmpl w:val="210AC4C8"/>
    <w:lvl w:ilvl="0" w:tplc="60F2B49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707223D0"/>
    <w:multiLevelType w:val="multilevel"/>
    <w:tmpl w:val="33BAB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0B225E2"/>
    <w:multiLevelType w:val="multilevel"/>
    <w:tmpl w:val="2B805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3957402"/>
    <w:multiLevelType w:val="multilevel"/>
    <w:tmpl w:val="5FD86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3EB40C4"/>
    <w:multiLevelType w:val="hybridMultilevel"/>
    <w:tmpl w:val="03DA397A"/>
    <w:lvl w:ilvl="0" w:tplc="EC260EB8">
      <w:start w:val="43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741047F4"/>
    <w:multiLevelType w:val="multilevel"/>
    <w:tmpl w:val="535EC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789F32E2"/>
    <w:multiLevelType w:val="multilevel"/>
    <w:tmpl w:val="7A688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7A130789"/>
    <w:multiLevelType w:val="multilevel"/>
    <w:tmpl w:val="97C86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7A3C2117"/>
    <w:multiLevelType w:val="hybridMultilevel"/>
    <w:tmpl w:val="90102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0" w15:restartNumberingAfterBreak="0">
    <w:nsid w:val="7C7C7EB9"/>
    <w:multiLevelType w:val="multilevel"/>
    <w:tmpl w:val="8ED60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7DAB691D"/>
    <w:multiLevelType w:val="multilevel"/>
    <w:tmpl w:val="B0960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7F733DEE"/>
    <w:multiLevelType w:val="multilevel"/>
    <w:tmpl w:val="41B8A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7F787412"/>
    <w:multiLevelType w:val="hybridMultilevel"/>
    <w:tmpl w:val="2B2ED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7FF07F1B"/>
    <w:multiLevelType w:val="multilevel"/>
    <w:tmpl w:val="25BCE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1299131">
    <w:abstractNumId w:val="38"/>
  </w:num>
  <w:num w:numId="2" w16cid:durableId="1692682602">
    <w:abstractNumId w:val="41"/>
  </w:num>
  <w:num w:numId="3" w16cid:durableId="1058285596">
    <w:abstractNumId w:val="5"/>
  </w:num>
  <w:num w:numId="4" w16cid:durableId="1996185611">
    <w:abstractNumId w:val="67"/>
  </w:num>
  <w:num w:numId="5" w16cid:durableId="1012953437">
    <w:abstractNumId w:val="62"/>
  </w:num>
  <w:num w:numId="6" w16cid:durableId="374164408">
    <w:abstractNumId w:val="50"/>
  </w:num>
  <w:num w:numId="7" w16cid:durableId="477916402">
    <w:abstractNumId w:val="58"/>
  </w:num>
  <w:num w:numId="8" w16cid:durableId="1837301763">
    <w:abstractNumId w:val="35"/>
  </w:num>
  <w:num w:numId="9" w16cid:durableId="29497697">
    <w:abstractNumId w:val="69"/>
  </w:num>
  <w:num w:numId="10" w16cid:durableId="381028356">
    <w:abstractNumId w:val="20"/>
  </w:num>
  <w:num w:numId="11" w16cid:durableId="1399983576">
    <w:abstractNumId w:val="52"/>
  </w:num>
  <w:num w:numId="12" w16cid:durableId="1321544841">
    <w:abstractNumId w:val="64"/>
  </w:num>
  <w:num w:numId="13" w16cid:durableId="1717389189">
    <w:abstractNumId w:val="79"/>
  </w:num>
  <w:num w:numId="14" w16cid:durableId="93864425">
    <w:abstractNumId w:val="33"/>
  </w:num>
  <w:num w:numId="15" w16cid:durableId="1664579889">
    <w:abstractNumId w:val="29"/>
  </w:num>
  <w:num w:numId="16" w16cid:durableId="780731620">
    <w:abstractNumId w:val="27"/>
  </w:num>
  <w:num w:numId="17" w16cid:durableId="204220509">
    <w:abstractNumId w:val="32"/>
  </w:num>
  <w:num w:numId="18" w16cid:durableId="1066607466">
    <w:abstractNumId w:val="49"/>
  </w:num>
  <w:num w:numId="19" w16cid:durableId="1953440740">
    <w:abstractNumId w:val="23"/>
  </w:num>
  <w:num w:numId="20" w16cid:durableId="865288948">
    <w:abstractNumId w:val="44"/>
  </w:num>
  <w:num w:numId="21" w16cid:durableId="598830311">
    <w:abstractNumId w:val="21"/>
  </w:num>
  <w:num w:numId="22" w16cid:durableId="869296448">
    <w:abstractNumId w:val="7"/>
  </w:num>
  <w:num w:numId="23" w16cid:durableId="526064399">
    <w:abstractNumId w:val="9"/>
  </w:num>
  <w:num w:numId="24" w16cid:durableId="2037920460">
    <w:abstractNumId w:val="83"/>
  </w:num>
  <w:num w:numId="25" w16cid:durableId="924264066">
    <w:abstractNumId w:val="1"/>
  </w:num>
  <w:num w:numId="26" w16cid:durableId="1654600489">
    <w:abstractNumId w:val="66"/>
  </w:num>
  <w:num w:numId="27" w16cid:durableId="938031023">
    <w:abstractNumId w:val="37"/>
  </w:num>
  <w:num w:numId="28" w16cid:durableId="1369725468">
    <w:abstractNumId w:val="78"/>
  </w:num>
  <w:num w:numId="29" w16cid:durableId="185682226">
    <w:abstractNumId w:val="25"/>
  </w:num>
  <w:num w:numId="30" w16cid:durableId="820464910">
    <w:abstractNumId w:val="53"/>
  </w:num>
  <w:num w:numId="31" w16cid:durableId="1259017878">
    <w:abstractNumId w:val="54"/>
  </w:num>
  <w:num w:numId="32" w16cid:durableId="385107571">
    <w:abstractNumId w:val="19"/>
  </w:num>
  <w:num w:numId="33" w16cid:durableId="1546213425">
    <w:abstractNumId w:val="84"/>
  </w:num>
  <w:num w:numId="34" w16cid:durableId="348260354">
    <w:abstractNumId w:val="3"/>
  </w:num>
  <w:num w:numId="35" w16cid:durableId="1928347706">
    <w:abstractNumId w:val="59"/>
  </w:num>
  <w:num w:numId="36" w16cid:durableId="1743991399">
    <w:abstractNumId w:val="39"/>
  </w:num>
  <w:num w:numId="37" w16cid:durableId="1742633761">
    <w:abstractNumId w:val="40"/>
  </w:num>
  <w:num w:numId="38" w16cid:durableId="1615360385">
    <w:abstractNumId w:val="31"/>
  </w:num>
  <w:num w:numId="39" w16cid:durableId="215167267">
    <w:abstractNumId w:val="30"/>
  </w:num>
  <w:num w:numId="40" w16cid:durableId="809398056">
    <w:abstractNumId w:val="14"/>
  </w:num>
  <w:num w:numId="41" w16cid:durableId="77870169">
    <w:abstractNumId w:val="60"/>
  </w:num>
  <w:num w:numId="42" w16cid:durableId="1367174584">
    <w:abstractNumId w:val="8"/>
  </w:num>
  <w:num w:numId="43" w16cid:durableId="1988322361">
    <w:abstractNumId w:val="82"/>
  </w:num>
  <w:num w:numId="44" w16cid:durableId="1054351462">
    <w:abstractNumId w:val="22"/>
  </w:num>
  <w:num w:numId="45" w16cid:durableId="570583195">
    <w:abstractNumId w:val="2"/>
  </w:num>
  <w:num w:numId="46" w16cid:durableId="1437094077">
    <w:abstractNumId w:val="15"/>
  </w:num>
  <w:num w:numId="47" w16cid:durableId="2002658829">
    <w:abstractNumId w:val="55"/>
  </w:num>
  <w:num w:numId="48" w16cid:durableId="1536427501">
    <w:abstractNumId w:val="17"/>
  </w:num>
  <w:num w:numId="49" w16cid:durableId="1020356007">
    <w:abstractNumId w:val="28"/>
  </w:num>
  <w:num w:numId="50" w16cid:durableId="1491604150">
    <w:abstractNumId w:val="75"/>
  </w:num>
  <w:num w:numId="51" w16cid:durableId="1063989771">
    <w:abstractNumId w:val="65"/>
  </w:num>
  <w:num w:numId="52" w16cid:durableId="593972630">
    <w:abstractNumId w:val="34"/>
  </w:num>
  <w:num w:numId="53" w16cid:durableId="1215309260">
    <w:abstractNumId w:val="46"/>
  </w:num>
  <w:num w:numId="54" w16cid:durableId="649138621">
    <w:abstractNumId w:val="48"/>
  </w:num>
  <w:num w:numId="55" w16cid:durableId="1985547922">
    <w:abstractNumId w:val="51"/>
  </w:num>
  <w:num w:numId="56" w16cid:durableId="247732584">
    <w:abstractNumId w:val="10"/>
  </w:num>
  <w:num w:numId="57" w16cid:durableId="2127507408">
    <w:abstractNumId w:val="63"/>
  </w:num>
  <w:num w:numId="58" w16cid:durableId="694043048">
    <w:abstractNumId w:val="77"/>
  </w:num>
  <w:num w:numId="59" w16cid:durableId="1346908890">
    <w:abstractNumId w:val="80"/>
  </w:num>
  <w:num w:numId="60" w16cid:durableId="2052800007">
    <w:abstractNumId w:val="0"/>
  </w:num>
  <w:num w:numId="61" w16cid:durableId="746418694">
    <w:abstractNumId w:val="45"/>
  </w:num>
  <w:num w:numId="62" w16cid:durableId="1075780321">
    <w:abstractNumId w:val="43"/>
  </w:num>
  <w:num w:numId="63" w16cid:durableId="389577018">
    <w:abstractNumId w:val="70"/>
  </w:num>
  <w:num w:numId="64" w16cid:durableId="448428804">
    <w:abstractNumId w:val="76"/>
  </w:num>
  <w:num w:numId="65" w16cid:durableId="210727817">
    <w:abstractNumId w:val="18"/>
  </w:num>
  <w:num w:numId="66" w16cid:durableId="479806822">
    <w:abstractNumId w:val="16"/>
  </w:num>
  <w:num w:numId="67" w16cid:durableId="964702554">
    <w:abstractNumId w:val="72"/>
  </w:num>
  <w:num w:numId="68" w16cid:durableId="1717663396">
    <w:abstractNumId w:val="81"/>
  </w:num>
  <w:num w:numId="69" w16cid:durableId="1773814382">
    <w:abstractNumId w:val="42"/>
  </w:num>
  <w:num w:numId="70" w16cid:durableId="406148200">
    <w:abstractNumId w:val="47"/>
  </w:num>
  <w:num w:numId="71" w16cid:durableId="880477192">
    <w:abstractNumId w:val="74"/>
  </w:num>
  <w:num w:numId="72" w16cid:durableId="81296172">
    <w:abstractNumId w:val="56"/>
  </w:num>
  <w:num w:numId="73" w16cid:durableId="254362168">
    <w:abstractNumId w:val="12"/>
  </w:num>
  <w:num w:numId="74" w16cid:durableId="1572228929">
    <w:abstractNumId w:val="11"/>
  </w:num>
  <w:num w:numId="75" w16cid:durableId="1165168653">
    <w:abstractNumId w:val="26"/>
  </w:num>
  <w:num w:numId="76" w16cid:durableId="144670099">
    <w:abstractNumId w:val="24"/>
  </w:num>
  <w:num w:numId="77" w16cid:durableId="1580140929">
    <w:abstractNumId w:val="36"/>
  </w:num>
  <w:num w:numId="78" w16cid:durableId="110249363">
    <w:abstractNumId w:val="73"/>
  </w:num>
  <w:num w:numId="79" w16cid:durableId="1971670555">
    <w:abstractNumId w:val="71"/>
  </w:num>
  <w:num w:numId="80" w16cid:durableId="206600352">
    <w:abstractNumId w:val="61"/>
  </w:num>
  <w:num w:numId="81" w16cid:durableId="1824002553">
    <w:abstractNumId w:val="6"/>
  </w:num>
  <w:num w:numId="82" w16cid:durableId="179904179">
    <w:abstractNumId w:val="57"/>
  </w:num>
  <w:num w:numId="83" w16cid:durableId="1037508106">
    <w:abstractNumId w:val="68"/>
  </w:num>
  <w:num w:numId="84" w16cid:durableId="659431653">
    <w:abstractNumId w:val="13"/>
  </w:num>
  <w:num w:numId="85" w16cid:durableId="36263504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02C3"/>
    <w:rsid w:val="00004800"/>
    <w:rsid w:val="00005F3E"/>
    <w:rsid w:val="0000665D"/>
    <w:rsid w:val="000072EE"/>
    <w:rsid w:val="00011454"/>
    <w:rsid w:val="00013EE3"/>
    <w:rsid w:val="000145B9"/>
    <w:rsid w:val="000162D5"/>
    <w:rsid w:val="0001681E"/>
    <w:rsid w:val="0001702A"/>
    <w:rsid w:val="00017864"/>
    <w:rsid w:val="00022832"/>
    <w:rsid w:val="000265AB"/>
    <w:rsid w:val="00027B47"/>
    <w:rsid w:val="000306D3"/>
    <w:rsid w:val="00030C50"/>
    <w:rsid w:val="00030EF4"/>
    <w:rsid w:val="000325B9"/>
    <w:rsid w:val="00032D15"/>
    <w:rsid w:val="00033667"/>
    <w:rsid w:val="00033820"/>
    <w:rsid w:val="00034150"/>
    <w:rsid w:val="00035B55"/>
    <w:rsid w:val="00036E32"/>
    <w:rsid w:val="0004203E"/>
    <w:rsid w:val="00042535"/>
    <w:rsid w:val="00042B00"/>
    <w:rsid w:val="00043E6B"/>
    <w:rsid w:val="00045107"/>
    <w:rsid w:val="000458AE"/>
    <w:rsid w:val="00045CAF"/>
    <w:rsid w:val="0004608F"/>
    <w:rsid w:val="0004650E"/>
    <w:rsid w:val="00046699"/>
    <w:rsid w:val="0004689A"/>
    <w:rsid w:val="00054DA4"/>
    <w:rsid w:val="000555C6"/>
    <w:rsid w:val="00056FFB"/>
    <w:rsid w:val="0006100F"/>
    <w:rsid w:val="00064865"/>
    <w:rsid w:val="000651A4"/>
    <w:rsid w:val="00065780"/>
    <w:rsid w:val="00066EA7"/>
    <w:rsid w:val="00071E96"/>
    <w:rsid w:val="00073C24"/>
    <w:rsid w:val="00076007"/>
    <w:rsid w:val="00076840"/>
    <w:rsid w:val="000770ED"/>
    <w:rsid w:val="000778F9"/>
    <w:rsid w:val="00077E16"/>
    <w:rsid w:val="000803D4"/>
    <w:rsid w:val="00080C37"/>
    <w:rsid w:val="00085429"/>
    <w:rsid w:val="00085BF3"/>
    <w:rsid w:val="00087689"/>
    <w:rsid w:val="00087CFD"/>
    <w:rsid w:val="00090799"/>
    <w:rsid w:val="000934E3"/>
    <w:rsid w:val="00095401"/>
    <w:rsid w:val="00097ACB"/>
    <w:rsid w:val="00097E24"/>
    <w:rsid w:val="000A058A"/>
    <w:rsid w:val="000A179E"/>
    <w:rsid w:val="000A2D9B"/>
    <w:rsid w:val="000A40D6"/>
    <w:rsid w:val="000A5754"/>
    <w:rsid w:val="000B1B61"/>
    <w:rsid w:val="000B1FDB"/>
    <w:rsid w:val="000B266D"/>
    <w:rsid w:val="000B2B76"/>
    <w:rsid w:val="000B4D97"/>
    <w:rsid w:val="000B72DB"/>
    <w:rsid w:val="000B73D0"/>
    <w:rsid w:val="000B7D28"/>
    <w:rsid w:val="000C0BFF"/>
    <w:rsid w:val="000C0CB0"/>
    <w:rsid w:val="000C1504"/>
    <w:rsid w:val="000C3045"/>
    <w:rsid w:val="000C7148"/>
    <w:rsid w:val="000C77F7"/>
    <w:rsid w:val="000D0258"/>
    <w:rsid w:val="000D1382"/>
    <w:rsid w:val="000D30CC"/>
    <w:rsid w:val="000D4D01"/>
    <w:rsid w:val="000D79B0"/>
    <w:rsid w:val="000E356B"/>
    <w:rsid w:val="000E3924"/>
    <w:rsid w:val="000E45B1"/>
    <w:rsid w:val="000E4883"/>
    <w:rsid w:val="000E4DA0"/>
    <w:rsid w:val="000E52C3"/>
    <w:rsid w:val="000E5473"/>
    <w:rsid w:val="000E75E3"/>
    <w:rsid w:val="000F276F"/>
    <w:rsid w:val="000F37FE"/>
    <w:rsid w:val="000F5CD9"/>
    <w:rsid w:val="000F623B"/>
    <w:rsid w:val="000F6EE1"/>
    <w:rsid w:val="000F796B"/>
    <w:rsid w:val="00101594"/>
    <w:rsid w:val="0010483A"/>
    <w:rsid w:val="00104B34"/>
    <w:rsid w:val="00104E41"/>
    <w:rsid w:val="001064AD"/>
    <w:rsid w:val="001100C3"/>
    <w:rsid w:val="0011290F"/>
    <w:rsid w:val="00115CD4"/>
    <w:rsid w:val="00116018"/>
    <w:rsid w:val="00116444"/>
    <w:rsid w:val="00120FCA"/>
    <w:rsid w:val="00123FED"/>
    <w:rsid w:val="00124AEF"/>
    <w:rsid w:val="00124C79"/>
    <w:rsid w:val="001261C0"/>
    <w:rsid w:val="0012756A"/>
    <w:rsid w:val="0013142C"/>
    <w:rsid w:val="001314D7"/>
    <w:rsid w:val="0013151C"/>
    <w:rsid w:val="001322D3"/>
    <w:rsid w:val="001347D2"/>
    <w:rsid w:val="001360D0"/>
    <w:rsid w:val="00136C3C"/>
    <w:rsid w:val="00137638"/>
    <w:rsid w:val="001401C2"/>
    <w:rsid w:val="001402C3"/>
    <w:rsid w:val="00141197"/>
    <w:rsid w:val="00141933"/>
    <w:rsid w:val="00143888"/>
    <w:rsid w:val="001446F3"/>
    <w:rsid w:val="001448AF"/>
    <w:rsid w:val="00144E7E"/>
    <w:rsid w:val="00145C47"/>
    <w:rsid w:val="001461AE"/>
    <w:rsid w:val="001461D5"/>
    <w:rsid w:val="00146E56"/>
    <w:rsid w:val="00147116"/>
    <w:rsid w:val="00147E22"/>
    <w:rsid w:val="00150EE5"/>
    <w:rsid w:val="00152AA1"/>
    <w:rsid w:val="001563A7"/>
    <w:rsid w:val="00156D2F"/>
    <w:rsid w:val="00160921"/>
    <w:rsid w:val="00160EC2"/>
    <w:rsid w:val="0016181B"/>
    <w:rsid w:val="00163485"/>
    <w:rsid w:val="001648C8"/>
    <w:rsid w:val="00167785"/>
    <w:rsid w:val="001717F6"/>
    <w:rsid w:val="00171B96"/>
    <w:rsid w:val="00172ADA"/>
    <w:rsid w:val="00174023"/>
    <w:rsid w:val="001757ED"/>
    <w:rsid w:val="00176AA2"/>
    <w:rsid w:val="00180428"/>
    <w:rsid w:val="0018226D"/>
    <w:rsid w:val="00182AAB"/>
    <w:rsid w:val="00182E53"/>
    <w:rsid w:val="00186ECA"/>
    <w:rsid w:val="0018743D"/>
    <w:rsid w:val="001916E4"/>
    <w:rsid w:val="001925F2"/>
    <w:rsid w:val="00193125"/>
    <w:rsid w:val="0019325B"/>
    <w:rsid w:val="001940DA"/>
    <w:rsid w:val="00195A59"/>
    <w:rsid w:val="00196FEB"/>
    <w:rsid w:val="001A04CC"/>
    <w:rsid w:val="001A2EAF"/>
    <w:rsid w:val="001A319A"/>
    <w:rsid w:val="001A4D46"/>
    <w:rsid w:val="001A5FBE"/>
    <w:rsid w:val="001B0BB1"/>
    <w:rsid w:val="001B0C6C"/>
    <w:rsid w:val="001B149A"/>
    <w:rsid w:val="001B17A1"/>
    <w:rsid w:val="001B1C3B"/>
    <w:rsid w:val="001B32B6"/>
    <w:rsid w:val="001B44DF"/>
    <w:rsid w:val="001B50BE"/>
    <w:rsid w:val="001B5331"/>
    <w:rsid w:val="001B5F08"/>
    <w:rsid w:val="001B72C2"/>
    <w:rsid w:val="001C0F5A"/>
    <w:rsid w:val="001C1868"/>
    <w:rsid w:val="001C1CAC"/>
    <w:rsid w:val="001C27FF"/>
    <w:rsid w:val="001C4BA0"/>
    <w:rsid w:val="001C4DF3"/>
    <w:rsid w:val="001C747F"/>
    <w:rsid w:val="001C7489"/>
    <w:rsid w:val="001C7911"/>
    <w:rsid w:val="001D1384"/>
    <w:rsid w:val="001D2BD0"/>
    <w:rsid w:val="001D2C46"/>
    <w:rsid w:val="001D5FBD"/>
    <w:rsid w:val="001D64EA"/>
    <w:rsid w:val="001D73BC"/>
    <w:rsid w:val="001D762D"/>
    <w:rsid w:val="001D76E1"/>
    <w:rsid w:val="001E3209"/>
    <w:rsid w:val="001E3875"/>
    <w:rsid w:val="001E3CDB"/>
    <w:rsid w:val="001E4F25"/>
    <w:rsid w:val="001E6C65"/>
    <w:rsid w:val="001E720E"/>
    <w:rsid w:val="001E76A2"/>
    <w:rsid w:val="001F004D"/>
    <w:rsid w:val="001F0854"/>
    <w:rsid w:val="001F5383"/>
    <w:rsid w:val="002020AA"/>
    <w:rsid w:val="00202998"/>
    <w:rsid w:val="00203597"/>
    <w:rsid w:val="002035DB"/>
    <w:rsid w:val="00203650"/>
    <w:rsid w:val="00205FCB"/>
    <w:rsid w:val="0020761C"/>
    <w:rsid w:val="00213DF7"/>
    <w:rsid w:val="00215D5A"/>
    <w:rsid w:val="00216E0E"/>
    <w:rsid w:val="002215F9"/>
    <w:rsid w:val="0022219B"/>
    <w:rsid w:val="0022363E"/>
    <w:rsid w:val="0022463D"/>
    <w:rsid w:val="0022764E"/>
    <w:rsid w:val="00227F6B"/>
    <w:rsid w:val="00230EF1"/>
    <w:rsid w:val="002336B0"/>
    <w:rsid w:val="00233AFB"/>
    <w:rsid w:val="002340CD"/>
    <w:rsid w:val="00234743"/>
    <w:rsid w:val="0023576F"/>
    <w:rsid w:val="002436BD"/>
    <w:rsid w:val="0024433F"/>
    <w:rsid w:val="002444AA"/>
    <w:rsid w:val="002465DD"/>
    <w:rsid w:val="0024721E"/>
    <w:rsid w:val="00250376"/>
    <w:rsid w:val="00253678"/>
    <w:rsid w:val="002540D4"/>
    <w:rsid w:val="002552DF"/>
    <w:rsid w:val="00261F45"/>
    <w:rsid w:val="002620F3"/>
    <w:rsid w:val="002630E5"/>
    <w:rsid w:val="002642CA"/>
    <w:rsid w:val="00274524"/>
    <w:rsid w:val="0027480A"/>
    <w:rsid w:val="00274944"/>
    <w:rsid w:val="00276916"/>
    <w:rsid w:val="00277633"/>
    <w:rsid w:val="00277AFE"/>
    <w:rsid w:val="00280681"/>
    <w:rsid w:val="00283B7E"/>
    <w:rsid w:val="00286A20"/>
    <w:rsid w:val="00290B44"/>
    <w:rsid w:val="002922DA"/>
    <w:rsid w:val="002924E1"/>
    <w:rsid w:val="00292F07"/>
    <w:rsid w:val="00293329"/>
    <w:rsid w:val="0029447E"/>
    <w:rsid w:val="00295A4E"/>
    <w:rsid w:val="00295AAD"/>
    <w:rsid w:val="002968D9"/>
    <w:rsid w:val="00297F00"/>
    <w:rsid w:val="002A0CD5"/>
    <w:rsid w:val="002A0DB2"/>
    <w:rsid w:val="002A1480"/>
    <w:rsid w:val="002A3A95"/>
    <w:rsid w:val="002A41F8"/>
    <w:rsid w:val="002A677B"/>
    <w:rsid w:val="002A7DD0"/>
    <w:rsid w:val="002B2891"/>
    <w:rsid w:val="002B28DF"/>
    <w:rsid w:val="002B2B67"/>
    <w:rsid w:val="002B6CBE"/>
    <w:rsid w:val="002C0F03"/>
    <w:rsid w:val="002C21C4"/>
    <w:rsid w:val="002C2603"/>
    <w:rsid w:val="002C2A7A"/>
    <w:rsid w:val="002C3A32"/>
    <w:rsid w:val="002C57DA"/>
    <w:rsid w:val="002C5DBC"/>
    <w:rsid w:val="002D16AE"/>
    <w:rsid w:val="002D1B35"/>
    <w:rsid w:val="002D47A2"/>
    <w:rsid w:val="002D754E"/>
    <w:rsid w:val="002E2871"/>
    <w:rsid w:val="002E2E3B"/>
    <w:rsid w:val="002E3F8A"/>
    <w:rsid w:val="002E5813"/>
    <w:rsid w:val="002E6567"/>
    <w:rsid w:val="002E6F77"/>
    <w:rsid w:val="002E7468"/>
    <w:rsid w:val="002F14C8"/>
    <w:rsid w:val="002F30EA"/>
    <w:rsid w:val="002F3B9E"/>
    <w:rsid w:val="002F46D9"/>
    <w:rsid w:val="002F4F04"/>
    <w:rsid w:val="002F6DC3"/>
    <w:rsid w:val="002F7F91"/>
    <w:rsid w:val="0030179C"/>
    <w:rsid w:val="00302D0E"/>
    <w:rsid w:val="00302F6A"/>
    <w:rsid w:val="0030316E"/>
    <w:rsid w:val="00303D8F"/>
    <w:rsid w:val="0030535C"/>
    <w:rsid w:val="00306293"/>
    <w:rsid w:val="00310190"/>
    <w:rsid w:val="003111DD"/>
    <w:rsid w:val="0031148D"/>
    <w:rsid w:val="00311747"/>
    <w:rsid w:val="003120AE"/>
    <w:rsid w:val="00312C55"/>
    <w:rsid w:val="0031392D"/>
    <w:rsid w:val="00315820"/>
    <w:rsid w:val="003159BB"/>
    <w:rsid w:val="0031730A"/>
    <w:rsid w:val="003213F4"/>
    <w:rsid w:val="00321E65"/>
    <w:rsid w:val="00322B91"/>
    <w:rsid w:val="003235CD"/>
    <w:rsid w:val="00323A68"/>
    <w:rsid w:val="00325149"/>
    <w:rsid w:val="003253C2"/>
    <w:rsid w:val="0032613A"/>
    <w:rsid w:val="003272BA"/>
    <w:rsid w:val="003272DC"/>
    <w:rsid w:val="00327CF0"/>
    <w:rsid w:val="00327E61"/>
    <w:rsid w:val="00331505"/>
    <w:rsid w:val="00331A14"/>
    <w:rsid w:val="00332638"/>
    <w:rsid w:val="00333ADC"/>
    <w:rsid w:val="00333D57"/>
    <w:rsid w:val="00334E04"/>
    <w:rsid w:val="00336D73"/>
    <w:rsid w:val="00337350"/>
    <w:rsid w:val="00340F99"/>
    <w:rsid w:val="003413A5"/>
    <w:rsid w:val="0034267C"/>
    <w:rsid w:val="003435A2"/>
    <w:rsid w:val="00344FBA"/>
    <w:rsid w:val="00346688"/>
    <w:rsid w:val="0036024A"/>
    <w:rsid w:val="0036134E"/>
    <w:rsid w:val="003613DE"/>
    <w:rsid w:val="00363B3C"/>
    <w:rsid w:val="00364A59"/>
    <w:rsid w:val="00367B76"/>
    <w:rsid w:val="003703B2"/>
    <w:rsid w:val="003722B3"/>
    <w:rsid w:val="003726FB"/>
    <w:rsid w:val="00373546"/>
    <w:rsid w:val="00375871"/>
    <w:rsid w:val="00375B64"/>
    <w:rsid w:val="00377598"/>
    <w:rsid w:val="003808D8"/>
    <w:rsid w:val="00380E60"/>
    <w:rsid w:val="00382AAA"/>
    <w:rsid w:val="00383AC9"/>
    <w:rsid w:val="00386929"/>
    <w:rsid w:val="00386AC4"/>
    <w:rsid w:val="00391BC0"/>
    <w:rsid w:val="00395B70"/>
    <w:rsid w:val="00395C09"/>
    <w:rsid w:val="00395D8A"/>
    <w:rsid w:val="00395E55"/>
    <w:rsid w:val="00396EF3"/>
    <w:rsid w:val="003970F2"/>
    <w:rsid w:val="003A040B"/>
    <w:rsid w:val="003A0567"/>
    <w:rsid w:val="003A0589"/>
    <w:rsid w:val="003A05FA"/>
    <w:rsid w:val="003A12C5"/>
    <w:rsid w:val="003A6383"/>
    <w:rsid w:val="003A68B2"/>
    <w:rsid w:val="003A74B1"/>
    <w:rsid w:val="003B0720"/>
    <w:rsid w:val="003B167F"/>
    <w:rsid w:val="003B5104"/>
    <w:rsid w:val="003B54A0"/>
    <w:rsid w:val="003B64C7"/>
    <w:rsid w:val="003B6FD2"/>
    <w:rsid w:val="003C0710"/>
    <w:rsid w:val="003C4983"/>
    <w:rsid w:val="003C4B81"/>
    <w:rsid w:val="003C505E"/>
    <w:rsid w:val="003C5E75"/>
    <w:rsid w:val="003D14D2"/>
    <w:rsid w:val="003D184F"/>
    <w:rsid w:val="003D1EC5"/>
    <w:rsid w:val="003D2B9C"/>
    <w:rsid w:val="003D35B5"/>
    <w:rsid w:val="003D41F0"/>
    <w:rsid w:val="003D6A11"/>
    <w:rsid w:val="003D7CC5"/>
    <w:rsid w:val="003E1699"/>
    <w:rsid w:val="003E1E12"/>
    <w:rsid w:val="003E4AEB"/>
    <w:rsid w:val="003E54A3"/>
    <w:rsid w:val="003E60EF"/>
    <w:rsid w:val="003F04A4"/>
    <w:rsid w:val="003F0ADC"/>
    <w:rsid w:val="003F0AFA"/>
    <w:rsid w:val="003F1D75"/>
    <w:rsid w:val="003F2D8D"/>
    <w:rsid w:val="003F33E8"/>
    <w:rsid w:val="003F358C"/>
    <w:rsid w:val="003F36A4"/>
    <w:rsid w:val="003F3F12"/>
    <w:rsid w:val="003F46BB"/>
    <w:rsid w:val="00401584"/>
    <w:rsid w:val="00401A13"/>
    <w:rsid w:val="00402D08"/>
    <w:rsid w:val="00403880"/>
    <w:rsid w:val="004044FC"/>
    <w:rsid w:val="00404ED4"/>
    <w:rsid w:val="00405030"/>
    <w:rsid w:val="004073C3"/>
    <w:rsid w:val="0041038D"/>
    <w:rsid w:val="00410F2D"/>
    <w:rsid w:val="00411255"/>
    <w:rsid w:val="00411FB4"/>
    <w:rsid w:val="004134C4"/>
    <w:rsid w:val="00413846"/>
    <w:rsid w:val="0041392A"/>
    <w:rsid w:val="0041485B"/>
    <w:rsid w:val="0041491A"/>
    <w:rsid w:val="004157B7"/>
    <w:rsid w:val="0041611A"/>
    <w:rsid w:val="004173AF"/>
    <w:rsid w:val="004177D4"/>
    <w:rsid w:val="0042138E"/>
    <w:rsid w:val="00422AE1"/>
    <w:rsid w:val="0042323A"/>
    <w:rsid w:val="004239DF"/>
    <w:rsid w:val="00423EA2"/>
    <w:rsid w:val="00426AF5"/>
    <w:rsid w:val="004301E9"/>
    <w:rsid w:val="004336F6"/>
    <w:rsid w:val="00433A1E"/>
    <w:rsid w:val="00433B75"/>
    <w:rsid w:val="004342C1"/>
    <w:rsid w:val="00434F10"/>
    <w:rsid w:val="0043625F"/>
    <w:rsid w:val="0043631F"/>
    <w:rsid w:val="00437923"/>
    <w:rsid w:val="004408E8"/>
    <w:rsid w:val="00440B39"/>
    <w:rsid w:val="004423DE"/>
    <w:rsid w:val="00443491"/>
    <w:rsid w:val="00445539"/>
    <w:rsid w:val="00445784"/>
    <w:rsid w:val="00445CC8"/>
    <w:rsid w:val="0044657C"/>
    <w:rsid w:val="00446F26"/>
    <w:rsid w:val="004476A3"/>
    <w:rsid w:val="00447D49"/>
    <w:rsid w:val="0045143D"/>
    <w:rsid w:val="00452410"/>
    <w:rsid w:val="00453F83"/>
    <w:rsid w:val="004557EA"/>
    <w:rsid w:val="004567F1"/>
    <w:rsid w:val="004623E9"/>
    <w:rsid w:val="00462A89"/>
    <w:rsid w:val="0046390B"/>
    <w:rsid w:val="00463F84"/>
    <w:rsid w:val="0046615B"/>
    <w:rsid w:val="00470CD7"/>
    <w:rsid w:val="00471851"/>
    <w:rsid w:val="004745B3"/>
    <w:rsid w:val="00474765"/>
    <w:rsid w:val="00475208"/>
    <w:rsid w:val="00480315"/>
    <w:rsid w:val="004815F2"/>
    <w:rsid w:val="00483E49"/>
    <w:rsid w:val="00484DBB"/>
    <w:rsid w:val="00487089"/>
    <w:rsid w:val="00487EEC"/>
    <w:rsid w:val="00490D57"/>
    <w:rsid w:val="00493516"/>
    <w:rsid w:val="00493854"/>
    <w:rsid w:val="00493BD4"/>
    <w:rsid w:val="004A009F"/>
    <w:rsid w:val="004A0485"/>
    <w:rsid w:val="004A07FE"/>
    <w:rsid w:val="004A0C63"/>
    <w:rsid w:val="004A1763"/>
    <w:rsid w:val="004A1CF8"/>
    <w:rsid w:val="004A1FF2"/>
    <w:rsid w:val="004A283F"/>
    <w:rsid w:val="004A37CF"/>
    <w:rsid w:val="004A4E54"/>
    <w:rsid w:val="004A5CA5"/>
    <w:rsid w:val="004B0CD3"/>
    <w:rsid w:val="004B0D8B"/>
    <w:rsid w:val="004B36D1"/>
    <w:rsid w:val="004B5451"/>
    <w:rsid w:val="004B5D69"/>
    <w:rsid w:val="004B7063"/>
    <w:rsid w:val="004B7152"/>
    <w:rsid w:val="004B7BB4"/>
    <w:rsid w:val="004B7EFB"/>
    <w:rsid w:val="004C2448"/>
    <w:rsid w:val="004C2FB1"/>
    <w:rsid w:val="004C54B7"/>
    <w:rsid w:val="004C5571"/>
    <w:rsid w:val="004D0CB6"/>
    <w:rsid w:val="004D1A26"/>
    <w:rsid w:val="004D515C"/>
    <w:rsid w:val="004D599F"/>
    <w:rsid w:val="004D677D"/>
    <w:rsid w:val="004D705E"/>
    <w:rsid w:val="004D7A57"/>
    <w:rsid w:val="004E3131"/>
    <w:rsid w:val="004E58B4"/>
    <w:rsid w:val="004E6785"/>
    <w:rsid w:val="004F0C84"/>
    <w:rsid w:val="004F1013"/>
    <w:rsid w:val="004F28E4"/>
    <w:rsid w:val="004F41BA"/>
    <w:rsid w:val="004F6E3F"/>
    <w:rsid w:val="004F6E84"/>
    <w:rsid w:val="00500A58"/>
    <w:rsid w:val="005014B3"/>
    <w:rsid w:val="00503E91"/>
    <w:rsid w:val="00512853"/>
    <w:rsid w:val="00515212"/>
    <w:rsid w:val="005164E1"/>
    <w:rsid w:val="00516CBD"/>
    <w:rsid w:val="00520B71"/>
    <w:rsid w:val="00521447"/>
    <w:rsid w:val="00521B38"/>
    <w:rsid w:val="00521E00"/>
    <w:rsid w:val="005244B6"/>
    <w:rsid w:val="005255D1"/>
    <w:rsid w:val="00530974"/>
    <w:rsid w:val="00531452"/>
    <w:rsid w:val="00533377"/>
    <w:rsid w:val="00534404"/>
    <w:rsid w:val="00535643"/>
    <w:rsid w:val="00536FEF"/>
    <w:rsid w:val="005413EF"/>
    <w:rsid w:val="00541708"/>
    <w:rsid w:val="00542BBC"/>
    <w:rsid w:val="00544069"/>
    <w:rsid w:val="005446A3"/>
    <w:rsid w:val="005457BD"/>
    <w:rsid w:val="00546A4C"/>
    <w:rsid w:val="00547B9D"/>
    <w:rsid w:val="0055161E"/>
    <w:rsid w:val="00551675"/>
    <w:rsid w:val="00553026"/>
    <w:rsid w:val="00555123"/>
    <w:rsid w:val="00555169"/>
    <w:rsid w:val="00557EF6"/>
    <w:rsid w:val="0056078D"/>
    <w:rsid w:val="0056255D"/>
    <w:rsid w:val="00562912"/>
    <w:rsid w:val="00566E85"/>
    <w:rsid w:val="00567433"/>
    <w:rsid w:val="00567AA5"/>
    <w:rsid w:val="0057072A"/>
    <w:rsid w:val="005713EC"/>
    <w:rsid w:val="00573518"/>
    <w:rsid w:val="005754EF"/>
    <w:rsid w:val="005855C9"/>
    <w:rsid w:val="00585734"/>
    <w:rsid w:val="005863F1"/>
    <w:rsid w:val="00586BDB"/>
    <w:rsid w:val="00586C1F"/>
    <w:rsid w:val="00587475"/>
    <w:rsid w:val="005909E1"/>
    <w:rsid w:val="00591AE1"/>
    <w:rsid w:val="00593028"/>
    <w:rsid w:val="005958AC"/>
    <w:rsid w:val="00595C6E"/>
    <w:rsid w:val="00595E57"/>
    <w:rsid w:val="00596151"/>
    <w:rsid w:val="0059743B"/>
    <w:rsid w:val="005A0786"/>
    <w:rsid w:val="005A1446"/>
    <w:rsid w:val="005A2923"/>
    <w:rsid w:val="005A2D2A"/>
    <w:rsid w:val="005A2EA8"/>
    <w:rsid w:val="005A5DE2"/>
    <w:rsid w:val="005A60AF"/>
    <w:rsid w:val="005A6372"/>
    <w:rsid w:val="005A77F9"/>
    <w:rsid w:val="005B0F6B"/>
    <w:rsid w:val="005B10BA"/>
    <w:rsid w:val="005B11AF"/>
    <w:rsid w:val="005B2CC6"/>
    <w:rsid w:val="005B2CCF"/>
    <w:rsid w:val="005B39D8"/>
    <w:rsid w:val="005B77D0"/>
    <w:rsid w:val="005B791F"/>
    <w:rsid w:val="005C0153"/>
    <w:rsid w:val="005C0A9F"/>
    <w:rsid w:val="005C0C77"/>
    <w:rsid w:val="005C1460"/>
    <w:rsid w:val="005C18E4"/>
    <w:rsid w:val="005C2723"/>
    <w:rsid w:val="005C2C18"/>
    <w:rsid w:val="005C3CFC"/>
    <w:rsid w:val="005C6648"/>
    <w:rsid w:val="005C7075"/>
    <w:rsid w:val="005D2A24"/>
    <w:rsid w:val="005D2F91"/>
    <w:rsid w:val="005D3D24"/>
    <w:rsid w:val="005D4ED0"/>
    <w:rsid w:val="005D6A97"/>
    <w:rsid w:val="005E0B8B"/>
    <w:rsid w:val="005E1766"/>
    <w:rsid w:val="005E5C53"/>
    <w:rsid w:val="005E7838"/>
    <w:rsid w:val="005F1091"/>
    <w:rsid w:val="005F1294"/>
    <w:rsid w:val="005F17D4"/>
    <w:rsid w:val="005F2DE7"/>
    <w:rsid w:val="005F43BA"/>
    <w:rsid w:val="005F720F"/>
    <w:rsid w:val="00604FAB"/>
    <w:rsid w:val="006051E7"/>
    <w:rsid w:val="00606642"/>
    <w:rsid w:val="006074C9"/>
    <w:rsid w:val="00607567"/>
    <w:rsid w:val="0060783E"/>
    <w:rsid w:val="00615708"/>
    <w:rsid w:val="00617BFC"/>
    <w:rsid w:val="00625628"/>
    <w:rsid w:val="00625FA9"/>
    <w:rsid w:val="00627E89"/>
    <w:rsid w:val="0063134E"/>
    <w:rsid w:val="006317C5"/>
    <w:rsid w:val="00632C7C"/>
    <w:rsid w:val="0063367B"/>
    <w:rsid w:val="00634E44"/>
    <w:rsid w:val="0063594C"/>
    <w:rsid w:val="006406F6"/>
    <w:rsid w:val="00641C34"/>
    <w:rsid w:val="006425B8"/>
    <w:rsid w:val="00642CE8"/>
    <w:rsid w:val="00644458"/>
    <w:rsid w:val="0064542B"/>
    <w:rsid w:val="00645941"/>
    <w:rsid w:val="006470F3"/>
    <w:rsid w:val="00653FC6"/>
    <w:rsid w:val="00654002"/>
    <w:rsid w:val="0065600D"/>
    <w:rsid w:val="00657DDE"/>
    <w:rsid w:val="00660AE9"/>
    <w:rsid w:val="00661BC8"/>
    <w:rsid w:val="0066429D"/>
    <w:rsid w:val="00664D5E"/>
    <w:rsid w:val="00664F77"/>
    <w:rsid w:val="00665AE4"/>
    <w:rsid w:val="00665D98"/>
    <w:rsid w:val="006661F3"/>
    <w:rsid w:val="006675B5"/>
    <w:rsid w:val="00667730"/>
    <w:rsid w:val="00667FC5"/>
    <w:rsid w:val="00671065"/>
    <w:rsid w:val="0067132A"/>
    <w:rsid w:val="0067167C"/>
    <w:rsid w:val="0067334F"/>
    <w:rsid w:val="00674926"/>
    <w:rsid w:val="00675633"/>
    <w:rsid w:val="00675BD3"/>
    <w:rsid w:val="00680327"/>
    <w:rsid w:val="00681F40"/>
    <w:rsid w:val="00682FC7"/>
    <w:rsid w:val="0068323D"/>
    <w:rsid w:val="006834EA"/>
    <w:rsid w:val="00685431"/>
    <w:rsid w:val="00685B5D"/>
    <w:rsid w:val="00687647"/>
    <w:rsid w:val="00687A07"/>
    <w:rsid w:val="00687CF6"/>
    <w:rsid w:val="00692944"/>
    <w:rsid w:val="00693B57"/>
    <w:rsid w:val="00694632"/>
    <w:rsid w:val="00695754"/>
    <w:rsid w:val="006965DA"/>
    <w:rsid w:val="006A0545"/>
    <w:rsid w:val="006A1442"/>
    <w:rsid w:val="006A35AA"/>
    <w:rsid w:val="006A5B30"/>
    <w:rsid w:val="006B00C7"/>
    <w:rsid w:val="006B34E8"/>
    <w:rsid w:val="006B3A1D"/>
    <w:rsid w:val="006B4F54"/>
    <w:rsid w:val="006B64D0"/>
    <w:rsid w:val="006B7301"/>
    <w:rsid w:val="006B76F0"/>
    <w:rsid w:val="006B7C39"/>
    <w:rsid w:val="006C0C03"/>
    <w:rsid w:val="006C1DE9"/>
    <w:rsid w:val="006C4564"/>
    <w:rsid w:val="006C7026"/>
    <w:rsid w:val="006D2E7C"/>
    <w:rsid w:val="006D38EE"/>
    <w:rsid w:val="006D3D16"/>
    <w:rsid w:val="006D409C"/>
    <w:rsid w:val="006D47FE"/>
    <w:rsid w:val="006D66AF"/>
    <w:rsid w:val="006D678D"/>
    <w:rsid w:val="006D7390"/>
    <w:rsid w:val="006D78E3"/>
    <w:rsid w:val="006D7EE6"/>
    <w:rsid w:val="006E15D0"/>
    <w:rsid w:val="006E18C4"/>
    <w:rsid w:val="006E1ACC"/>
    <w:rsid w:val="006E23B7"/>
    <w:rsid w:val="006E283E"/>
    <w:rsid w:val="006E35C6"/>
    <w:rsid w:val="006E3987"/>
    <w:rsid w:val="006E6335"/>
    <w:rsid w:val="006F1F26"/>
    <w:rsid w:val="006F27FA"/>
    <w:rsid w:val="006F2F32"/>
    <w:rsid w:val="006F49B9"/>
    <w:rsid w:val="006F6905"/>
    <w:rsid w:val="006F6C5F"/>
    <w:rsid w:val="006F6CA6"/>
    <w:rsid w:val="006F7054"/>
    <w:rsid w:val="00700934"/>
    <w:rsid w:val="00700B85"/>
    <w:rsid w:val="00700DC3"/>
    <w:rsid w:val="00702020"/>
    <w:rsid w:val="00702A57"/>
    <w:rsid w:val="00703CDF"/>
    <w:rsid w:val="00704496"/>
    <w:rsid w:val="00705855"/>
    <w:rsid w:val="00707D2C"/>
    <w:rsid w:val="007115F6"/>
    <w:rsid w:val="00711AD5"/>
    <w:rsid w:val="00712F63"/>
    <w:rsid w:val="00713FB6"/>
    <w:rsid w:val="00714669"/>
    <w:rsid w:val="00722515"/>
    <w:rsid w:val="00725F72"/>
    <w:rsid w:val="00726A9A"/>
    <w:rsid w:val="00730767"/>
    <w:rsid w:val="00731B12"/>
    <w:rsid w:val="00735677"/>
    <w:rsid w:val="00736C65"/>
    <w:rsid w:val="00737A4A"/>
    <w:rsid w:val="00740F3D"/>
    <w:rsid w:val="00741188"/>
    <w:rsid w:val="00741C63"/>
    <w:rsid w:val="0074249A"/>
    <w:rsid w:val="007424FB"/>
    <w:rsid w:val="0074273B"/>
    <w:rsid w:val="007434A5"/>
    <w:rsid w:val="00743E77"/>
    <w:rsid w:val="00743EAD"/>
    <w:rsid w:val="007441A6"/>
    <w:rsid w:val="007444E9"/>
    <w:rsid w:val="00746431"/>
    <w:rsid w:val="00753B7B"/>
    <w:rsid w:val="00753D9D"/>
    <w:rsid w:val="00757238"/>
    <w:rsid w:val="007572D6"/>
    <w:rsid w:val="0075789B"/>
    <w:rsid w:val="00760943"/>
    <w:rsid w:val="00766DC0"/>
    <w:rsid w:val="00766F26"/>
    <w:rsid w:val="0076735D"/>
    <w:rsid w:val="00767F89"/>
    <w:rsid w:val="0077063B"/>
    <w:rsid w:val="0077078A"/>
    <w:rsid w:val="00771067"/>
    <w:rsid w:val="007715DD"/>
    <w:rsid w:val="00771946"/>
    <w:rsid w:val="007724D0"/>
    <w:rsid w:val="007739C6"/>
    <w:rsid w:val="00774889"/>
    <w:rsid w:val="007757F7"/>
    <w:rsid w:val="00775EF0"/>
    <w:rsid w:val="00780C7E"/>
    <w:rsid w:val="007811CC"/>
    <w:rsid w:val="00781BD3"/>
    <w:rsid w:val="00783860"/>
    <w:rsid w:val="00785547"/>
    <w:rsid w:val="007857AB"/>
    <w:rsid w:val="00785D9F"/>
    <w:rsid w:val="00785E14"/>
    <w:rsid w:val="007860B4"/>
    <w:rsid w:val="00786A45"/>
    <w:rsid w:val="00787F87"/>
    <w:rsid w:val="00791434"/>
    <w:rsid w:val="0079311D"/>
    <w:rsid w:val="00793376"/>
    <w:rsid w:val="00795969"/>
    <w:rsid w:val="00797EC6"/>
    <w:rsid w:val="007A01C4"/>
    <w:rsid w:val="007A0FC3"/>
    <w:rsid w:val="007A1631"/>
    <w:rsid w:val="007A1707"/>
    <w:rsid w:val="007A1EF6"/>
    <w:rsid w:val="007A325A"/>
    <w:rsid w:val="007A5ABA"/>
    <w:rsid w:val="007A68C3"/>
    <w:rsid w:val="007A7133"/>
    <w:rsid w:val="007A7CEE"/>
    <w:rsid w:val="007B0AA9"/>
    <w:rsid w:val="007B0D96"/>
    <w:rsid w:val="007B0F14"/>
    <w:rsid w:val="007B29D7"/>
    <w:rsid w:val="007B2B22"/>
    <w:rsid w:val="007B3BA4"/>
    <w:rsid w:val="007B46F5"/>
    <w:rsid w:val="007B4898"/>
    <w:rsid w:val="007C0FF1"/>
    <w:rsid w:val="007C1C85"/>
    <w:rsid w:val="007C2A9A"/>
    <w:rsid w:val="007C3BF6"/>
    <w:rsid w:val="007C48EB"/>
    <w:rsid w:val="007C6A3F"/>
    <w:rsid w:val="007D058F"/>
    <w:rsid w:val="007D122A"/>
    <w:rsid w:val="007D19EE"/>
    <w:rsid w:val="007D2A26"/>
    <w:rsid w:val="007D4DA2"/>
    <w:rsid w:val="007D698A"/>
    <w:rsid w:val="007D6B11"/>
    <w:rsid w:val="007D7104"/>
    <w:rsid w:val="007E0372"/>
    <w:rsid w:val="007E1141"/>
    <w:rsid w:val="007E3589"/>
    <w:rsid w:val="007E3F18"/>
    <w:rsid w:val="007E7140"/>
    <w:rsid w:val="007F0E97"/>
    <w:rsid w:val="007F16D7"/>
    <w:rsid w:val="007F2900"/>
    <w:rsid w:val="007F31F3"/>
    <w:rsid w:val="007F333F"/>
    <w:rsid w:val="007F4E22"/>
    <w:rsid w:val="00800390"/>
    <w:rsid w:val="008017A7"/>
    <w:rsid w:val="0080489D"/>
    <w:rsid w:val="00806A8A"/>
    <w:rsid w:val="00806C0A"/>
    <w:rsid w:val="0080711F"/>
    <w:rsid w:val="008071F1"/>
    <w:rsid w:val="008138E3"/>
    <w:rsid w:val="00813C0A"/>
    <w:rsid w:val="00814CCB"/>
    <w:rsid w:val="008175D9"/>
    <w:rsid w:val="00820CE8"/>
    <w:rsid w:val="0082247F"/>
    <w:rsid w:val="00826B2C"/>
    <w:rsid w:val="0082719B"/>
    <w:rsid w:val="00831B53"/>
    <w:rsid w:val="00831DD8"/>
    <w:rsid w:val="00834D7A"/>
    <w:rsid w:val="008360C4"/>
    <w:rsid w:val="008365A8"/>
    <w:rsid w:val="00836A67"/>
    <w:rsid w:val="00843ABA"/>
    <w:rsid w:val="00843DAC"/>
    <w:rsid w:val="0084413A"/>
    <w:rsid w:val="0084646A"/>
    <w:rsid w:val="00846F89"/>
    <w:rsid w:val="0084725A"/>
    <w:rsid w:val="00850317"/>
    <w:rsid w:val="00851138"/>
    <w:rsid w:val="00854213"/>
    <w:rsid w:val="00854C30"/>
    <w:rsid w:val="00861B84"/>
    <w:rsid w:val="00862091"/>
    <w:rsid w:val="00862DE9"/>
    <w:rsid w:val="00864FCC"/>
    <w:rsid w:val="008661F7"/>
    <w:rsid w:val="0086638C"/>
    <w:rsid w:val="008708D9"/>
    <w:rsid w:val="0087101D"/>
    <w:rsid w:val="0087194C"/>
    <w:rsid w:val="0087228B"/>
    <w:rsid w:val="00873DC2"/>
    <w:rsid w:val="00874109"/>
    <w:rsid w:val="00874601"/>
    <w:rsid w:val="00877883"/>
    <w:rsid w:val="00881364"/>
    <w:rsid w:val="00881B03"/>
    <w:rsid w:val="00882DD6"/>
    <w:rsid w:val="008855C1"/>
    <w:rsid w:val="008859B1"/>
    <w:rsid w:val="008914B4"/>
    <w:rsid w:val="00892C59"/>
    <w:rsid w:val="00892E3A"/>
    <w:rsid w:val="00896697"/>
    <w:rsid w:val="00897CAC"/>
    <w:rsid w:val="008A1D1E"/>
    <w:rsid w:val="008A34FE"/>
    <w:rsid w:val="008A4135"/>
    <w:rsid w:val="008A53C3"/>
    <w:rsid w:val="008A6187"/>
    <w:rsid w:val="008A643A"/>
    <w:rsid w:val="008A677B"/>
    <w:rsid w:val="008B0026"/>
    <w:rsid w:val="008B50B3"/>
    <w:rsid w:val="008B5829"/>
    <w:rsid w:val="008B5F92"/>
    <w:rsid w:val="008B6813"/>
    <w:rsid w:val="008B77C4"/>
    <w:rsid w:val="008C0673"/>
    <w:rsid w:val="008C098C"/>
    <w:rsid w:val="008C2D9C"/>
    <w:rsid w:val="008C3206"/>
    <w:rsid w:val="008C4A60"/>
    <w:rsid w:val="008D041D"/>
    <w:rsid w:val="008D1156"/>
    <w:rsid w:val="008D3A10"/>
    <w:rsid w:val="008D5437"/>
    <w:rsid w:val="008D5F31"/>
    <w:rsid w:val="008D762C"/>
    <w:rsid w:val="008D7FB2"/>
    <w:rsid w:val="008E0786"/>
    <w:rsid w:val="008E2F9A"/>
    <w:rsid w:val="008E4F22"/>
    <w:rsid w:val="008E7219"/>
    <w:rsid w:val="008E7D12"/>
    <w:rsid w:val="008F0280"/>
    <w:rsid w:val="008F1E22"/>
    <w:rsid w:val="008F1E90"/>
    <w:rsid w:val="008F2CA3"/>
    <w:rsid w:val="008F4068"/>
    <w:rsid w:val="008F674B"/>
    <w:rsid w:val="008F6836"/>
    <w:rsid w:val="008F6A46"/>
    <w:rsid w:val="00904966"/>
    <w:rsid w:val="00904ED5"/>
    <w:rsid w:val="009050C1"/>
    <w:rsid w:val="00905CC9"/>
    <w:rsid w:val="009063CA"/>
    <w:rsid w:val="00910004"/>
    <w:rsid w:val="009110E1"/>
    <w:rsid w:val="0091283A"/>
    <w:rsid w:val="00913335"/>
    <w:rsid w:val="00915601"/>
    <w:rsid w:val="00917221"/>
    <w:rsid w:val="0092219B"/>
    <w:rsid w:val="00922451"/>
    <w:rsid w:val="00924E43"/>
    <w:rsid w:val="009251EE"/>
    <w:rsid w:val="0092637D"/>
    <w:rsid w:val="00926AC4"/>
    <w:rsid w:val="009319ED"/>
    <w:rsid w:val="0094204E"/>
    <w:rsid w:val="009423C7"/>
    <w:rsid w:val="00945D72"/>
    <w:rsid w:val="00946045"/>
    <w:rsid w:val="00946221"/>
    <w:rsid w:val="009508EC"/>
    <w:rsid w:val="00952626"/>
    <w:rsid w:val="009540E1"/>
    <w:rsid w:val="009541C2"/>
    <w:rsid w:val="009550DA"/>
    <w:rsid w:val="00955255"/>
    <w:rsid w:val="00955F37"/>
    <w:rsid w:val="009572ED"/>
    <w:rsid w:val="00961D3C"/>
    <w:rsid w:val="009655F8"/>
    <w:rsid w:val="00965EC4"/>
    <w:rsid w:val="00967545"/>
    <w:rsid w:val="0097127D"/>
    <w:rsid w:val="00972482"/>
    <w:rsid w:val="00972FD4"/>
    <w:rsid w:val="00974609"/>
    <w:rsid w:val="00974908"/>
    <w:rsid w:val="00974B73"/>
    <w:rsid w:val="00975E98"/>
    <w:rsid w:val="00977DA9"/>
    <w:rsid w:val="00980C08"/>
    <w:rsid w:val="0098170C"/>
    <w:rsid w:val="00981B14"/>
    <w:rsid w:val="00981D29"/>
    <w:rsid w:val="00982D08"/>
    <w:rsid w:val="009834AE"/>
    <w:rsid w:val="00984F64"/>
    <w:rsid w:val="00985A87"/>
    <w:rsid w:val="00987A96"/>
    <w:rsid w:val="00991565"/>
    <w:rsid w:val="00993AC7"/>
    <w:rsid w:val="00994F00"/>
    <w:rsid w:val="009967FC"/>
    <w:rsid w:val="009A080B"/>
    <w:rsid w:val="009A13E9"/>
    <w:rsid w:val="009A14C9"/>
    <w:rsid w:val="009A15FD"/>
    <w:rsid w:val="009A1CBF"/>
    <w:rsid w:val="009A24D3"/>
    <w:rsid w:val="009A32A3"/>
    <w:rsid w:val="009A3C1B"/>
    <w:rsid w:val="009A5827"/>
    <w:rsid w:val="009A6620"/>
    <w:rsid w:val="009A6AF4"/>
    <w:rsid w:val="009A6DE5"/>
    <w:rsid w:val="009B2787"/>
    <w:rsid w:val="009B3B7D"/>
    <w:rsid w:val="009B56BA"/>
    <w:rsid w:val="009C0339"/>
    <w:rsid w:val="009C1C7C"/>
    <w:rsid w:val="009C213E"/>
    <w:rsid w:val="009C22BC"/>
    <w:rsid w:val="009C27AC"/>
    <w:rsid w:val="009C29EE"/>
    <w:rsid w:val="009C4D7E"/>
    <w:rsid w:val="009C50FA"/>
    <w:rsid w:val="009C5336"/>
    <w:rsid w:val="009C5374"/>
    <w:rsid w:val="009D206A"/>
    <w:rsid w:val="009D38FD"/>
    <w:rsid w:val="009E0180"/>
    <w:rsid w:val="009E0F14"/>
    <w:rsid w:val="009E1F7D"/>
    <w:rsid w:val="009E3650"/>
    <w:rsid w:val="009E4D14"/>
    <w:rsid w:val="009E5F92"/>
    <w:rsid w:val="009F00DF"/>
    <w:rsid w:val="009F0E0D"/>
    <w:rsid w:val="009F175B"/>
    <w:rsid w:val="009F2E51"/>
    <w:rsid w:val="009F4675"/>
    <w:rsid w:val="009F50C5"/>
    <w:rsid w:val="009F6FCD"/>
    <w:rsid w:val="009F7DFD"/>
    <w:rsid w:val="00A00A4F"/>
    <w:rsid w:val="00A025DB"/>
    <w:rsid w:val="00A02FDA"/>
    <w:rsid w:val="00A03AE0"/>
    <w:rsid w:val="00A051B3"/>
    <w:rsid w:val="00A05560"/>
    <w:rsid w:val="00A05918"/>
    <w:rsid w:val="00A077C1"/>
    <w:rsid w:val="00A113AD"/>
    <w:rsid w:val="00A11EDA"/>
    <w:rsid w:val="00A136A4"/>
    <w:rsid w:val="00A13E57"/>
    <w:rsid w:val="00A14AD7"/>
    <w:rsid w:val="00A14BA5"/>
    <w:rsid w:val="00A17436"/>
    <w:rsid w:val="00A177D5"/>
    <w:rsid w:val="00A17820"/>
    <w:rsid w:val="00A17FC6"/>
    <w:rsid w:val="00A210B1"/>
    <w:rsid w:val="00A21D50"/>
    <w:rsid w:val="00A263F2"/>
    <w:rsid w:val="00A267E4"/>
    <w:rsid w:val="00A26E08"/>
    <w:rsid w:val="00A27938"/>
    <w:rsid w:val="00A30DB2"/>
    <w:rsid w:val="00A325B1"/>
    <w:rsid w:val="00A3363C"/>
    <w:rsid w:val="00A33D28"/>
    <w:rsid w:val="00A34BF0"/>
    <w:rsid w:val="00A418D2"/>
    <w:rsid w:val="00A41A34"/>
    <w:rsid w:val="00A43181"/>
    <w:rsid w:val="00A44E48"/>
    <w:rsid w:val="00A45057"/>
    <w:rsid w:val="00A45140"/>
    <w:rsid w:val="00A45435"/>
    <w:rsid w:val="00A46B58"/>
    <w:rsid w:val="00A46D5C"/>
    <w:rsid w:val="00A50DE0"/>
    <w:rsid w:val="00A5162E"/>
    <w:rsid w:val="00A529B0"/>
    <w:rsid w:val="00A5569F"/>
    <w:rsid w:val="00A55F75"/>
    <w:rsid w:val="00A560EC"/>
    <w:rsid w:val="00A56653"/>
    <w:rsid w:val="00A603F4"/>
    <w:rsid w:val="00A63E00"/>
    <w:rsid w:val="00A6543B"/>
    <w:rsid w:val="00A666D1"/>
    <w:rsid w:val="00A66ECA"/>
    <w:rsid w:val="00A70B60"/>
    <w:rsid w:val="00A7117F"/>
    <w:rsid w:val="00A71323"/>
    <w:rsid w:val="00A714A9"/>
    <w:rsid w:val="00A72B32"/>
    <w:rsid w:val="00A72F1F"/>
    <w:rsid w:val="00A742F8"/>
    <w:rsid w:val="00A7479D"/>
    <w:rsid w:val="00A74ACF"/>
    <w:rsid w:val="00A75795"/>
    <w:rsid w:val="00A809C8"/>
    <w:rsid w:val="00A80B5A"/>
    <w:rsid w:val="00A80C86"/>
    <w:rsid w:val="00A84691"/>
    <w:rsid w:val="00A85785"/>
    <w:rsid w:val="00A87403"/>
    <w:rsid w:val="00A91342"/>
    <w:rsid w:val="00A916C0"/>
    <w:rsid w:val="00A91903"/>
    <w:rsid w:val="00A94F11"/>
    <w:rsid w:val="00A95363"/>
    <w:rsid w:val="00A9743A"/>
    <w:rsid w:val="00A9748B"/>
    <w:rsid w:val="00AA0DD4"/>
    <w:rsid w:val="00AA2DA9"/>
    <w:rsid w:val="00AA3C4B"/>
    <w:rsid w:val="00AA40E1"/>
    <w:rsid w:val="00AA49E1"/>
    <w:rsid w:val="00AA73FB"/>
    <w:rsid w:val="00AA74F2"/>
    <w:rsid w:val="00AB22AC"/>
    <w:rsid w:val="00AB30B3"/>
    <w:rsid w:val="00AB4970"/>
    <w:rsid w:val="00AC0C9A"/>
    <w:rsid w:val="00AC5F28"/>
    <w:rsid w:val="00AD0D1A"/>
    <w:rsid w:val="00AD2160"/>
    <w:rsid w:val="00AD273A"/>
    <w:rsid w:val="00AD3F71"/>
    <w:rsid w:val="00AD51C0"/>
    <w:rsid w:val="00AD5D72"/>
    <w:rsid w:val="00AD6133"/>
    <w:rsid w:val="00AD7A25"/>
    <w:rsid w:val="00AE1CD8"/>
    <w:rsid w:val="00AE25DD"/>
    <w:rsid w:val="00AE2AFA"/>
    <w:rsid w:val="00AE3AE8"/>
    <w:rsid w:val="00AE47B6"/>
    <w:rsid w:val="00AE4B0F"/>
    <w:rsid w:val="00AE54F1"/>
    <w:rsid w:val="00AF0D81"/>
    <w:rsid w:val="00AF0F6E"/>
    <w:rsid w:val="00AF19B8"/>
    <w:rsid w:val="00AF304C"/>
    <w:rsid w:val="00AF6117"/>
    <w:rsid w:val="00AF78C8"/>
    <w:rsid w:val="00AF7B28"/>
    <w:rsid w:val="00B01AFB"/>
    <w:rsid w:val="00B0455E"/>
    <w:rsid w:val="00B056E8"/>
    <w:rsid w:val="00B1098E"/>
    <w:rsid w:val="00B10B1C"/>
    <w:rsid w:val="00B10D13"/>
    <w:rsid w:val="00B110DF"/>
    <w:rsid w:val="00B1350B"/>
    <w:rsid w:val="00B14F66"/>
    <w:rsid w:val="00B15570"/>
    <w:rsid w:val="00B15986"/>
    <w:rsid w:val="00B15A35"/>
    <w:rsid w:val="00B15BCA"/>
    <w:rsid w:val="00B16E9B"/>
    <w:rsid w:val="00B20AF9"/>
    <w:rsid w:val="00B20C13"/>
    <w:rsid w:val="00B22B67"/>
    <w:rsid w:val="00B24F49"/>
    <w:rsid w:val="00B26A8C"/>
    <w:rsid w:val="00B26B96"/>
    <w:rsid w:val="00B309D2"/>
    <w:rsid w:val="00B32A65"/>
    <w:rsid w:val="00B355DC"/>
    <w:rsid w:val="00B3612D"/>
    <w:rsid w:val="00B40DED"/>
    <w:rsid w:val="00B453E1"/>
    <w:rsid w:val="00B455E8"/>
    <w:rsid w:val="00B466D6"/>
    <w:rsid w:val="00B46BF8"/>
    <w:rsid w:val="00B47270"/>
    <w:rsid w:val="00B51565"/>
    <w:rsid w:val="00B51D86"/>
    <w:rsid w:val="00B536CE"/>
    <w:rsid w:val="00B5389D"/>
    <w:rsid w:val="00B55922"/>
    <w:rsid w:val="00B55B3F"/>
    <w:rsid w:val="00B56B49"/>
    <w:rsid w:val="00B574D6"/>
    <w:rsid w:val="00B608CB"/>
    <w:rsid w:val="00B60F1E"/>
    <w:rsid w:val="00B618AE"/>
    <w:rsid w:val="00B61B02"/>
    <w:rsid w:val="00B622A7"/>
    <w:rsid w:val="00B62947"/>
    <w:rsid w:val="00B64A5F"/>
    <w:rsid w:val="00B6576C"/>
    <w:rsid w:val="00B7018D"/>
    <w:rsid w:val="00B71AA8"/>
    <w:rsid w:val="00B71ABB"/>
    <w:rsid w:val="00B76DD6"/>
    <w:rsid w:val="00B772E4"/>
    <w:rsid w:val="00B774B2"/>
    <w:rsid w:val="00B8163D"/>
    <w:rsid w:val="00B826B1"/>
    <w:rsid w:val="00B82EEF"/>
    <w:rsid w:val="00B837D4"/>
    <w:rsid w:val="00B914E0"/>
    <w:rsid w:val="00B92230"/>
    <w:rsid w:val="00B92AD5"/>
    <w:rsid w:val="00B94820"/>
    <w:rsid w:val="00B94E54"/>
    <w:rsid w:val="00B9607F"/>
    <w:rsid w:val="00B966D8"/>
    <w:rsid w:val="00B96E98"/>
    <w:rsid w:val="00B96F08"/>
    <w:rsid w:val="00B97DE7"/>
    <w:rsid w:val="00BA1E1A"/>
    <w:rsid w:val="00BA2E4F"/>
    <w:rsid w:val="00BA3779"/>
    <w:rsid w:val="00BA380A"/>
    <w:rsid w:val="00BA437C"/>
    <w:rsid w:val="00BA47ED"/>
    <w:rsid w:val="00BA58BB"/>
    <w:rsid w:val="00BB1807"/>
    <w:rsid w:val="00BB2542"/>
    <w:rsid w:val="00BB326B"/>
    <w:rsid w:val="00BB514A"/>
    <w:rsid w:val="00BB5413"/>
    <w:rsid w:val="00BB6FA4"/>
    <w:rsid w:val="00BC00AA"/>
    <w:rsid w:val="00BC2B42"/>
    <w:rsid w:val="00BC6F44"/>
    <w:rsid w:val="00BD10D1"/>
    <w:rsid w:val="00BD131A"/>
    <w:rsid w:val="00BD3842"/>
    <w:rsid w:val="00BD38C7"/>
    <w:rsid w:val="00BD3DBF"/>
    <w:rsid w:val="00BD6D06"/>
    <w:rsid w:val="00BE1685"/>
    <w:rsid w:val="00BE2754"/>
    <w:rsid w:val="00BE2D8B"/>
    <w:rsid w:val="00BE3AB8"/>
    <w:rsid w:val="00BE3EBD"/>
    <w:rsid w:val="00BE6C45"/>
    <w:rsid w:val="00BE6CF7"/>
    <w:rsid w:val="00BE6FAE"/>
    <w:rsid w:val="00BE79FB"/>
    <w:rsid w:val="00BF06F8"/>
    <w:rsid w:val="00BF0F9A"/>
    <w:rsid w:val="00BF3C3C"/>
    <w:rsid w:val="00BF4155"/>
    <w:rsid w:val="00BF6574"/>
    <w:rsid w:val="00C002E3"/>
    <w:rsid w:val="00C00349"/>
    <w:rsid w:val="00C01F77"/>
    <w:rsid w:val="00C02265"/>
    <w:rsid w:val="00C033D5"/>
    <w:rsid w:val="00C03910"/>
    <w:rsid w:val="00C058B3"/>
    <w:rsid w:val="00C05EFA"/>
    <w:rsid w:val="00C1065A"/>
    <w:rsid w:val="00C113B5"/>
    <w:rsid w:val="00C13206"/>
    <w:rsid w:val="00C132C0"/>
    <w:rsid w:val="00C13F38"/>
    <w:rsid w:val="00C16009"/>
    <w:rsid w:val="00C160BC"/>
    <w:rsid w:val="00C16440"/>
    <w:rsid w:val="00C168A3"/>
    <w:rsid w:val="00C20ABB"/>
    <w:rsid w:val="00C21AC0"/>
    <w:rsid w:val="00C21F7D"/>
    <w:rsid w:val="00C2201F"/>
    <w:rsid w:val="00C227F1"/>
    <w:rsid w:val="00C237B5"/>
    <w:rsid w:val="00C255D0"/>
    <w:rsid w:val="00C31B60"/>
    <w:rsid w:val="00C31B7C"/>
    <w:rsid w:val="00C3433A"/>
    <w:rsid w:val="00C36BEA"/>
    <w:rsid w:val="00C426E9"/>
    <w:rsid w:val="00C44739"/>
    <w:rsid w:val="00C458A1"/>
    <w:rsid w:val="00C45B16"/>
    <w:rsid w:val="00C45EF3"/>
    <w:rsid w:val="00C47B37"/>
    <w:rsid w:val="00C51316"/>
    <w:rsid w:val="00C52073"/>
    <w:rsid w:val="00C52B3E"/>
    <w:rsid w:val="00C5319F"/>
    <w:rsid w:val="00C53C9A"/>
    <w:rsid w:val="00C541EB"/>
    <w:rsid w:val="00C54B72"/>
    <w:rsid w:val="00C54BF3"/>
    <w:rsid w:val="00C561AB"/>
    <w:rsid w:val="00C578E1"/>
    <w:rsid w:val="00C61030"/>
    <w:rsid w:val="00C6120E"/>
    <w:rsid w:val="00C615EB"/>
    <w:rsid w:val="00C622DE"/>
    <w:rsid w:val="00C64E96"/>
    <w:rsid w:val="00C65448"/>
    <w:rsid w:val="00C709DD"/>
    <w:rsid w:val="00C7108A"/>
    <w:rsid w:val="00C71E8F"/>
    <w:rsid w:val="00C742C3"/>
    <w:rsid w:val="00C7569A"/>
    <w:rsid w:val="00C75E6B"/>
    <w:rsid w:val="00C767EE"/>
    <w:rsid w:val="00C76DC8"/>
    <w:rsid w:val="00C8002E"/>
    <w:rsid w:val="00C827F4"/>
    <w:rsid w:val="00C85D46"/>
    <w:rsid w:val="00C86CFF"/>
    <w:rsid w:val="00C87E61"/>
    <w:rsid w:val="00C90B29"/>
    <w:rsid w:val="00C91904"/>
    <w:rsid w:val="00C922CE"/>
    <w:rsid w:val="00C92F0C"/>
    <w:rsid w:val="00C93178"/>
    <w:rsid w:val="00C956A5"/>
    <w:rsid w:val="00C96EFE"/>
    <w:rsid w:val="00CA0EAD"/>
    <w:rsid w:val="00CA15F6"/>
    <w:rsid w:val="00CA1660"/>
    <w:rsid w:val="00CA169C"/>
    <w:rsid w:val="00CA2916"/>
    <w:rsid w:val="00CA3225"/>
    <w:rsid w:val="00CA4DEE"/>
    <w:rsid w:val="00CA5F2E"/>
    <w:rsid w:val="00CA61C8"/>
    <w:rsid w:val="00CB0CDC"/>
    <w:rsid w:val="00CB15C8"/>
    <w:rsid w:val="00CB1638"/>
    <w:rsid w:val="00CB1B75"/>
    <w:rsid w:val="00CB5DCE"/>
    <w:rsid w:val="00CC08F8"/>
    <w:rsid w:val="00CC163D"/>
    <w:rsid w:val="00CD0349"/>
    <w:rsid w:val="00CD0FDA"/>
    <w:rsid w:val="00CD15FC"/>
    <w:rsid w:val="00CD1899"/>
    <w:rsid w:val="00CD2AC1"/>
    <w:rsid w:val="00CD3576"/>
    <w:rsid w:val="00CD5C07"/>
    <w:rsid w:val="00CE076E"/>
    <w:rsid w:val="00CE4BCA"/>
    <w:rsid w:val="00CE4D95"/>
    <w:rsid w:val="00CE7CE1"/>
    <w:rsid w:val="00CF03A9"/>
    <w:rsid w:val="00CF0740"/>
    <w:rsid w:val="00CF1AE4"/>
    <w:rsid w:val="00CF31CF"/>
    <w:rsid w:val="00CF3C43"/>
    <w:rsid w:val="00CF580A"/>
    <w:rsid w:val="00CF6BAC"/>
    <w:rsid w:val="00CF776E"/>
    <w:rsid w:val="00D015B2"/>
    <w:rsid w:val="00D028D7"/>
    <w:rsid w:val="00D037A4"/>
    <w:rsid w:val="00D03EF4"/>
    <w:rsid w:val="00D05730"/>
    <w:rsid w:val="00D06C71"/>
    <w:rsid w:val="00D07EA8"/>
    <w:rsid w:val="00D104F4"/>
    <w:rsid w:val="00D10B6C"/>
    <w:rsid w:val="00D115FB"/>
    <w:rsid w:val="00D11B28"/>
    <w:rsid w:val="00D12BFA"/>
    <w:rsid w:val="00D131D2"/>
    <w:rsid w:val="00D13D6A"/>
    <w:rsid w:val="00D13FD0"/>
    <w:rsid w:val="00D14244"/>
    <w:rsid w:val="00D14410"/>
    <w:rsid w:val="00D16AED"/>
    <w:rsid w:val="00D16D79"/>
    <w:rsid w:val="00D177FF"/>
    <w:rsid w:val="00D20644"/>
    <w:rsid w:val="00D209DB"/>
    <w:rsid w:val="00D2145F"/>
    <w:rsid w:val="00D214C9"/>
    <w:rsid w:val="00D2164C"/>
    <w:rsid w:val="00D2696C"/>
    <w:rsid w:val="00D2697A"/>
    <w:rsid w:val="00D27292"/>
    <w:rsid w:val="00D33708"/>
    <w:rsid w:val="00D34E81"/>
    <w:rsid w:val="00D374BF"/>
    <w:rsid w:val="00D37E59"/>
    <w:rsid w:val="00D400E4"/>
    <w:rsid w:val="00D42023"/>
    <w:rsid w:val="00D4294B"/>
    <w:rsid w:val="00D42B50"/>
    <w:rsid w:val="00D4311C"/>
    <w:rsid w:val="00D4398A"/>
    <w:rsid w:val="00D43B24"/>
    <w:rsid w:val="00D470C1"/>
    <w:rsid w:val="00D476C8"/>
    <w:rsid w:val="00D479A1"/>
    <w:rsid w:val="00D47FAA"/>
    <w:rsid w:val="00D51ECD"/>
    <w:rsid w:val="00D61D37"/>
    <w:rsid w:val="00D623E6"/>
    <w:rsid w:val="00D630F0"/>
    <w:rsid w:val="00D653E9"/>
    <w:rsid w:val="00D65E1E"/>
    <w:rsid w:val="00D67A9E"/>
    <w:rsid w:val="00D71C7B"/>
    <w:rsid w:val="00D7461C"/>
    <w:rsid w:val="00D74C87"/>
    <w:rsid w:val="00D7698A"/>
    <w:rsid w:val="00D778E3"/>
    <w:rsid w:val="00D77BD3"/>
    <w:rsid w:val="00D8080C"/>
    <w:rsid w:val="00D85B1B"/>
    <w:rsid w:val="00D90B59"/>
    <w:rsid w:val="00D90CD2"/>
    <w:rsid w:val="00D922C7"/>
    <w:rsid w:val="00D92403"/>
    <w:rsid w:val="00D924C4"/>
    <w:rsid w:val="00D942A6"/>
    <w:rsid w:val="00D946AC"/>
    <w:rsid w:val="00D95203"/>
    <w:rsid w:val="00D95F12"/>
    <w:rsid w:val="00D96B32"/>
    <w:rsid w:val="00D976F2"/>
    <w:rsid w:val="00DA07A4"/>
    <w:rsid w:val="00DA07DA"/>
    <w:rsid w:val="00DA0822"/>
    <w:rsid w:val="00DA2401"/>
    <w:rsid w:val="00DA2639"/>
    <w:rsid w:val="00DA45AC"/>
    <w:rsid w:val="00DA466C"/>
    <w:rsid w:val="00DA6030"/>
    <w:rsid w:val="00DA7B70"/>
    <w:rsid w:val="00DA7C1E"/>
    <w:rsid w:val="00DB048F"/>
    <w:rsid w:val="00DB0AF3"/>
    <w:rsid w:val="00DB3636"/>
    <w:rsid w:val="00DB77C7"/>
    <w:rsid w:val="00DC208F"/>
    <w:rsid w:val="00DC2506"/>
    <w:rsid w:val="00DC25A3"/>
    <w:rsid w:val="00DC3DA3"/>
    <w:rsid w:val="00DC431C"/>
    <w:rsid w:val="00DC595A"/>
    <w:rsid w:val="00DC5D45"/>
    <w:rsid w:val="00DC6D40"/>
    <w:rsid w:val="00DC7D38"/>
    <w:rsid w:val="00DD1256"/>
    <w:rsid w:val="00DD33D3"/>
    <w:rsid w:val="00DD40E0"/>
    <w:rsid w:val="00DD63DD"/>
    <w:rsid w:val="00DE0CF8"/>
    <w:rsid w:val="00DE1C00"/>
    <w:rsid w:val="00DE41A6"/>
    <w:rsid w:val="00DE45AE"/>
    <w:rsid w:val="00DE4DF2"/>
    <w:rsid w:val="00DE6FC9"/>
    <w:rsid w:val="00DE7CA5"/>
    <w:rsid w:val="00DF02CC"/>
    <w:rsid w:val="00DF1BB0"/>
    <w:rsid w:val="00DF401F"/>
    <w:rsid w:val="00DF5047"/>
    <w:rsid w:val="00DF524B"/>
    <w:rsid w:val="00DF785B"/>
    <w:rsid w:val="00E007B4"/>
    <w:rsid w:val="00E00D02"/>
    <w:rsid w:val="00E027B0"/>
    <w:rsid w:val="00E0380C"/>
    <w:rsid w:val="00E03858"/>
    <w:rsid w:val="00E0388D"/>
    <w:rsid w:val="00E065E1"/>
    <w:rsid w:val="00E06A36"/>
    <w:rsid w:val="00E107E9"/>
    <w:rsid w:val="00E11201"/>
    <w:rsid w:val="00E12F2F"/>
    <w:rsid w:val="00E15AE4"/>
    <w:rsid w:val="00E1618A"/>
    <w:rsid w:val="00E16468"/>
    <w:rsid w:val="00E1799E"/>
    <w:rsid w:val="00E20DED"/>
    <w:rsid w:val="00E23431"/>
    <w:rsid w:val="00E261E7"/>
    <w:rsid w:val="00E26229"/>
    <w:rsid w:val="00E26686"/>
    <w:rsid w:val="00E266D6"/>
    <w:rsid w:val="00E2697F"/>
    <w:rsid w:val="00E27995"/>
    <w:rsid w:val="00E325F9"/>
    <w:rsid w:val="00E33FED"/>
    <w:rsid w:val="00E34168"/>
    <w:rsid w:val="00E34DB4"/>
    <w:rsid w:val="00E3620E"/>
    <w:rsid w:val="00E433FD"/>
    <w:rsid w:val="00E43F07"/>
    <w:rsid w:val="00E45754"/>
    <w:rsid w:val="00E46CD2"/>
    <w:rsid w:val="00E5332D"/>
    <w:rsid w:val="00E53AE6"/>
    <w:rsid w:val="00E5473A"/>
    <w:rsid w:val="00E573ED"/>
    <w:rsid w:val="00E60616"/>
    <w:rsid w:val="00E60EE2"/>
    <w:rsid w:val="00E611B6"/>
    <w:rsid w:val="00E616E3"/>
    <w:rsid w:val="00E62ACE"/>
    <w:rsid w:val="00E6304E"/>
    <w:rsid w:val="00E66045"/>
    <w:rsid w:val="00E66423"/>
    <w:rsid w:val="00E665D4"/>
    <w:rsid w:val="00E671F9"/>
    <w:rsid w:val="00E72230"/>
    <w:rsid w:val="00E72E6E"/>
    <w:rsid w:val="00E733CA"/>
    <w:rsid w:val="00E73755"/>
    <w:rsid w:val="00E737ED"/>
    <w:rsid w:val="00E74715"/>
    <w:rsid w:val="00E75A28"/>
    <w:rsid w:val="00E8001C"/>
    <w:rsid w:val="00E80ABB"/>
    <w:rsid w:val="00E82D76"/>
    <w:rsid w:val="00E83359"/>
    <w:rsid w:val="00E83D67"/>
    <w:rsid w:val="00E8461E"/>
    <w:rsid w:val="00E86E3D"/>
    <w:rsid w:val="00E86E86"/>
    <w:rsid w:val="00E90025"/>
    <w:rsid w:val="00E95358"/>
    <w:rsid w:val="00E966D6"/>
    <w:rsid w:val="00E96B72"/>
    <w:rsid w:val="00EA0630"/>
    <w:rsid w:val="00EA221C"/>
    <w:rsid w:val="00EA351B"/>
    <w:rsid w:val="00EA362C"/>
    <w:rsid w:val="00EA7FF2"/>
    <w:rsid w:val="00EB0F4E"/>
    <w:rsid w:val="00EB1904"/>
    <w:rsid w:val="00EB1CC6"/>
    <w:rsid w:val="00EB1DFF"/>
    <w:rsid w:val="00EB21F2"/>
    <w:rsid w:val="00EB3C09"/>
    <w:rsid w:val="00EB41E7"/>
    <w:rsid w:val="00EB4897"/>
    <w:rsid w:val="00EB539F"/>
    <w:rsid w:val="00EB60CF"/>
    <w:rsid w:val="00EC01ED"/>
    <w:rsid w:val="00EC053B"/>
    <w:rsid w:val="00EC16FD"/>
    <w:rsid w:val="00EC1BB1"/>
    <w:rsid w:val="00EC2A8B"/>
    <w:rsid w:val="00EC3B15"/>
    <w:rsid w:val="00EC4372"/>
    <w:rsid w:val="00EC4509"/>
    <w:rsid w:val="00EC4C52"/>
    <w:rsid w:val="00EC59C2"/>
    <w:rsid w:val="00EC7FBB"/>
    <w:rsid w:val="00ED283F"/>
    <w:rsid w:val="00ED69B9"/>
    <w:rsid w:val="00EE045D"/>
    <w:rsid w:val="00EE0A5D"/>
    <w:rsid w:val="00EE0C95"/>
    <w:rsid w:val="00EE0F70"/>
    <w:rsid w:val="00EE1C6E"/>
    <w:rsid w:val="00EE3BB9"/>
    <w:rsid w:val="00EE4A1A"/>
    <w:rsid w:val="00EE4FA6"/>
    <w:rsid w:val="00EE5AB0"/>
    <w:rsid w:val="00EE5FE9"/>
    <w:rsid w:val="00EE6E10"/>
    <w:rsid w:val="00EE7513"/>
    <w:rsid w:val="00EF1F85"/>
    <w:rsid w:val="00EF3DFE"/>
    <w:rsid w:val="00EF47C9"/>
    <w:rsid w:val="00EF5EEA"/>
    <w:rsid w:val="00EF6CCD"/>
    <w:rsid w:val="00EF6ED2"/>
    <w:rsid w:val="00EF7541"/>
    <w:rsid w:val="00F01EF0"/>
    <w:rsid w:val="00F02808"/>
    <w:rsid w:val="00F03B96"/>
    <w:rsid w:val="00F05465"/>
    <w:rsid w:val="00F05D96"/>
    <w:rsid w:val="00F06A93"/>
    <w:rsid w:val="00F10165"/>
    <w:rsid w:val="00F107BF"/>
    <w:rsid w:val="00F127AA"/>
    <w:rsid w:val="00F14076"/>
    <w:rsid w:val="00F15A3F"/>
    <w:rsid w:val="00F17105"/>
    <w:rsid w:val="00F17155"/>
    <w:rsid w:val="00F171F7"/>
    <w:rsid w:val="00F204DF"/>
    <w:rsid w:val="00F20596"/>
    <w:rsid w:val="00F21AED"/>
    <w:rsid w:val="00F2248E"/>
    <w:rsid w:val="00F226A9"/>
    <w:rsid w:val="00F2287F"/>
    <w:rsid w:val="00F22A01"/>
    <w:rsid w:val="00F23516"/>
    <w:rsid w:val="00F24B41"/>
    <w:rsid w:val="00F30FBD"/>
    <w:rsid w:val="00F3129B"/>
    <w:rsid w:val="00F314D6"/>
    <w:rsid w:val="00F31768"/>
    <w:rsid w:val="00F34AB0"/>
    <w:rsid w:val="00F412CF"/>
    <w:rsid w:val="00F41D02"/>
    <w:rsid w:val="00F41D52"/>
    <w:rsid w:val="00F41F10"/>
    <w:rsid w:val="00F41F13"/>
    <w:rsid w:val="00F42002"/>
    <w:rsid w:val="00F46785"/>
    <w:rsid w:val="00F476BD"/>
    <w:rsid w:val="00F51C85"/>
    <w:rsid w:val="00F52F05"/>
    <w:rsid w:val="00F54EAC"/>
    <w:rsid w:val="00F55559"/>
    <w:rsid w:val="00F57DAD"/>
    <w:rsid w:val="00F6003A"/>
    <w:rsid w:val="00F610AF"/>
    <w:rsid w:val="00F610F0"/>
    <w:rsid w:val="00F61734"/>
    <w:rsid w:val="00F63ECB"/>
    <w:rsid w:val="00F661BB"/>
    <w:rsid w:val="00F70B9E"/>
    <w:rsid w:val="00F70F85"/>
    <w:rsid w:val="00F736DC"/>
    <w:rsid w:val="00F739D0"/>
    <w:rsid w:val="00F774E6"/>
    <w:rsid w:val="00F77E02"/>
    <w:rsid w:val="00F82429"/>
    <w:rsid w:val="00F82E6D"/>
    <w:rsid w:val="00F83945"/>
    <w:rsid w:val="00F8569D"/>
    <w:rsid w:val="00F85D5B"/>
    <w:rsid w:val="00F85DB0"/>
    <w:rsid w:val="00F9139B"/>
    <w:rsid w:val="00F92F50"/>
    <w:rsid w:val="00F966E5"/>
    <w:rsid w:val="00F967A5"/>
    <w:rsid w:val="00FA01B7"/>
    <w:rsid w:val="00FA083F"/>
    <w:rsid w:val="00FA623D"/>
    <w:rsid w:val="00FB0531"/>
    <w:rsid w:val="00FB0E9A"/>
    <w:rsid w:val="00FB36AF"/>
    <w:rsid w:val="00FB3D2C"/>
    <w:rsid w:val="00FB6A3E"/>
    <w:rsid w:val="00FB76DD"/>
    <w:rsid w:val="00FB7B54"/>
    <w:rsid w:val="00FC0780"/>
    <w:rsid w:val="00FC2E4B"/>
    <w:rsid w:val="00FC2E5F"/>
    <w:rsid w:val="00FC3707"/>
    <w:rsid w:val="00FC41E1"/>
    <w:rsid w:val="00FC5833"/>
    <w:rsid w:val="00FC5D95"/>
    <w:rsid w:val="00FC66DF"/>
    <w:rsid w:val="00FD0502"/>
    <w:rsid w:val="00FD068A"/>
    <w:rsid w:val="00FD0D92"/>
    <w:rsid w:val="00FD1A8A"/>
    <w:rsid w:val="00FD1E0A"/>
    <w:rsid w:val="00FD23B2"/>
    <w:rsid w:val="00FD315A"/>
    <w:rsid w:val="00FD49D6"/>
    <w:rsid w:val="00FD4D3D"/>
    <w:rsid w:val="00FE009D"/>
    <w:rsid w:val="00FE5376"/>
    <w:rsid w:val="00FE5E1B"/>
    <w:rsid w:val="00FE62C3"/>
    <w:rsid w:val="00FE7894"/>
    <w:rsid w:val="00FF0A92"/>
    <w:rsid w:val="00FF0E57"/>
    <w:rsid w:val="00FF4808"/>
    <w:rsid w:val="00FF50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12A1B"/>
  <w15:chartTrackingRefBased/>
  <w15:docId w15:val="{7D18A569-6753-43CB-BF30-BA45550AB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2C3"/>
  </w:style>
  <w:style w:type="paragraph" w:styleId="Heading1">
    <w:name w:val="heading 1"/>
    <w:basedOn w:val="Normal"/>
    <w:next w:val="Normal"/>
    <w:link w:val="Heading1Char"/>
    <w:uiPriority w:val="9"/>
    <w:qFormat/>
    <w:rsid w:val="001402C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402C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402C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1402C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402C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402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02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02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02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02C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402C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402C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1402C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402C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402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02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02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02C3"/>
    <w:rPr>
      <w:rFonts w:eastAsiaTheme="majorEastAsia" w:cstheme="majorBidi"/>
      <w:color w:val="272727" w:themeColor="text1" w:themeTint="D8"/>
    </w:rPr>
  </w:style>
  <w:style w:type="paragraph" w:styleId="Title">
    <w:name w:val="Title"/>
    <w:basedOn w:val="Normal"/>
    <w:next w:val="Normal"/>
    <w:link w:val="TitleChar"/>
    <w:uiPriority w:val="10"/>
    <w:qFormat/>
    <w:rsid w:val="001402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02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02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02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02C3"/>
    <w:pPr>
      <w:spacing w:before="160"/>
      <w:jc w:val="center"/>
    </w:pPr>
    <w:rPr>
      <w:i/>
      <w:iCs/>
      <w:color w:val="404040" w:themeColor="text1" w:themeTint="BF"/>
    </w:rPr>
  </w:style>
  <w:style w:type="character" w:customStyle="1" w:styleId="QuoteChar">
    <w:name w:val="Quote Char"/>
    <w:basedOn w:val="DefaultParagraphFont"/>
    <w:link w:val="Quote"/>
    <w:uiPriority w:val="29"/>
    <w:rsid w:val="001402C3"/>
    <w:rPr>
      <w:i/>
      <w:iCs/>
      <w:color w:val="404040" w:themeColor="text1" w:themeTint="BF"/>
    </w:rPr>
  </w:style>
  <w:style w:type="paragraph" w:styleId="ListParagraph">
    <w:name w:val="List Paragraph"/>
    <w:basedOn w:val="Normal"/>
    <w:qFormat/>
    <w:rsid w:val="001402C3"/>
    <w:pPr>
      <w:ind w:left="720"/>
      <w:contextualSpacing/>
    </w:pPr>
  </w:style>
  <w:style w:type="character" w:styleId="IntenseEmphasis">
    <w:name w:val="Intense Emphasis"/>
    <w:basedOn w:val="DefaultParagraphFont"/>
    <w:uiPriority w:val="21"/>
    <w:qFormat/>
    <w:rsid w:val="001402C3"/>
    <w:rPr>
      <w:i/>
      <w:iCs/>
      <w:color w:val="2F5496" w:themeColor="accent1" w:themeShade="BF"/>
    </w:rPr>
  </w:style>
  <w:style w:type="paragraph" w:styleId="IntenseQuote">
    <w:name w:val="Intense Quote"/>
    <w:basedOn w:val="Normal"/>
    <w:next w:val="Normal"/>
    <w:link w:val="IntenseQuoteChar"/>
    <w:uiPriority w:val="30"/>
    <w:qFormat/>
    <w:rsid w:val="001402C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402C3"/>
    <w:rPr>
      <w:i/>
      <w:iCs/>
      <w:color w:val="2F5496" w:themeColor="accent1" w:themeShade="BF"/>
    </w:rPr>
  </w:style>
  <w:style w:type="character" w:styleId="IntenseReference">
    <w:name w:val="Intense Reference"/>
    <w:basedOn w:val="DefaultParagraphFont"/>
    <w:uiPriority w:val="32"/>
    <w:qFormat/>
    <w:rsid w:val="001402C3"/>
    <w:rPr>
      <w:b/>
      <w:bCs/>
      <w:smallCaps/>
      <w:color w:val="2F5496" w:themeColor="accent1" w:themeShade="BF"/>
      <w:spacing w:val="5"/>
    </w:rPr>
  </w:style>
  <w:style w:type="character" w:customStyle="1" w:styleId="None">
    <w:name w:val="None"/>
    <w:rsid w:val="001D5FBD"/>
  </w:style>
  <w:style w:type="character" w:styleId="Hyperlink">
    <w:name w:val="Hyperlink"/>
    <w:basedOn w:val="DefaultParagraphFont"/>
    <w:uiPriority w:val="99"/>
    <w:unhideWhenUsed/>
    <w:rsid w:val="008175D9"/>
    <w:rPr>
      <w:color w:val="0563C1" w:themeColor="hyperlink"/>
      <w:u w:val="single"/>
    </w:rPr>
  </w:style>
  <w:style w:type="character" w:styleId="UnresolvedMention">
    <w:name w:val="Unresolved Mention"/>
    <w:basedOn w:val="DefaultParagraphFont"/>
    <w:uiPriority w:val="99"/>
    <w:semiHidden/>
    <w:unhideWhenUsed/>
    <w:rsid w:val="008175D9"/>
    <w:rPr>
      <w:color w:val="605E5C"/>
      <w:shd w:val="clear" w:color="auto" w:fill="E1DFDD"/>
    </w:rPr>
  </w:style>
  <w:style w:type="character" w:customStyle="1" w:styleId="ui-provider">
    <w:name w:val="ui-provider"/>
    <w:rsid w:val="001E3CDB"/>
  </w:style>
  <w:style w:type="paragraph" w:customStyle="1" w:styleId="Body">
    <w:name w:val="Body"/>
    <w:rsid w:val="001E3CDB"/>
    <w:pPr>
      <w:pBdr>
        <w:top w:val="nil"/>
        <w:left w:val="nil"/>
        <w:bottom w:val="nil"/>
        <w:right w:val="nil"/>
        <w:between w:val="nil"/>
        <w:bar w:val="nil"/>
      </w:pBdr>
      <w:spacing w:after="0" w:line="259" w:lineRule="auto"/>
    </w:pPr>
    <w:rPr>
      <w:rFonts w:ascii="Arial" w:eastAsia="Arial" w:hAnsi="Arial" w:cs="Arial"/>
      <w:color w:val="000000"/>
      <w:kern w:val="0"/>
      <w:sz w:val="22"/>
      <w:szCs w:val="22"/>
      <w:u w:color="000000"/>
      <w:bdr w:val="nil"/>
      <w:lang w:eastAsia="zh-CN"/>
      <w14:textOutline w14:w="0" w14:cap="flat" w14:cmpd="sng" w14:algn="ctr">
        <w14:noFill/>
        <w14:prstDash w14:val="solid"/>
        <w14:bevel/>
      </w14:textOutline>
      <w14:ligatures w14:val="none"/>
    </w:rPr>
  </w:style>
  <w:style w:type="paragraph" w:customStyle="1" w:styleId="Nornal">
    <w:name w:val="Nornal"/>
    <w:link w:val="NornalChar"/>
    <w:qFormat/>
    <w:rsid w:val="001E3CDB"/>
    <w:pPr>
      <w:pBdr>
        <w:top w:val="nil"/>
        <w:left w:val="nil"/>
        <w:bottom w:val="nil"/>
        <w:right w:val="nil"/>
        <w:between w:val="nil"/>
        <w:bar w:val="nil"/>
      </w:pBdr>
      <w:spacing w:line="264" w:lineRule="auto"/>
    </w:pPr>
    <w:rPr>
      <w:rFonts w:ascii="Arial" w:eastAsia="Arial" w:hAnsi="Arial" w:cs="Arial"/>
      <w:color w:val="000000"/>
      <w:kern w:val="0"/>
      <w:sz w:val="22"/>
      <w:szCs w:val="22"/>
      <w:u w:color="000000"/>
      <w:bdr w:val="nil"/>
      <w:lang w:val="en-US" w:eastAsia="zh-CN"/>
      <w14:ligatures w14:val="none"/>
    </w:rPr>
  </w:style>
  <w:style w:type="paragraph" w:customStyle="1" w:styleId="Heading">
    <w:name w:val="Heading"/>
    <w:next w:val="Body"/>
    <w:rsid w:val="001E3CDB"/>
    <w:pPr>
      <w:pBdr>
        <w:top w:val="nil"/>
        <w:left w:val="nil"/>
        <w:bottom w:val="nil"/>
        <w:right w:val="nil"/>
        <w:between w:val="nil"/>
        <w:bar w:val="nil"/>
      </w:pBdr>
      <w:spacing w:before="120" w:after="360" w:line="264" w:lineRule="auto"/>
      <w:outlineLvl w:val="0"/>
    </w:pPr>
    <w:rPr>
      <w:rFonts w:ascii="Georgia" w:eastAsia="Georgia" w:hAnsi="Georgia" w:cs="Georgia"/>
      <w:i/>
      <w:iCs/>
      <w:color w:val="004147"/>
      <w:kern w:val="0"/>
      <w:sz w:val="48"/>
      <w:szCs w:val="48"/>
      <w:u w:color="004147"/>
      <w:bdr w:val="nil"/>
      <w:lang w:eastAsia="zh-CN"/>
      <w14:textOutline w14:w="0" w14:cap="flat" w14:cmpd="sng" w14:algn="ctr">
        <w14:noFill/>
        <w14:prstDash w14:val="solid"/>
        <w14:bevel/>
      </w14:textOutline>
      <w14:ligatures w14:val="none"/>
    </w:rPr>
  </w:style>
  <w:style w:type="numbering" w:customStyle="1" w:styleId="ImportedStyle5">
    <w:name w:val="Imported Style 5"/>
    <w:rsid w:val="001E3CDB"/>
    <w:pPr>
      <w:numPr>
        <w:numId w:val="1"/>
      </w:numPr>
    </w:pPr>
  </w:style>
  <w:style w:type="table" w:styleId="TableGrid">
    <w:name w:val="Table Grid"/>
    <w:basedOn w:val="TableNormal"/>
    <w:uiPriority w:val="39"/>
    <w:rsid w:val="004457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Style2">
    <w:name w:val="Table Style 2"/>
    <w:rsid w:val="00EE045D"/>
    <w:pPr>
      <w:pBdr>
        <w:top w:val="nil"/>
        <w:left w:val="nil"/>
        <w:bottom w:val="nil"/>
        <w:right w:val="nil"/>
        <w:between w:val="nil"/>
        <w:bar w:val="nil"/>
      </w:pBdr>
      <w:spacing w:after="0" w:line="240" w:lineRule="auto"/>
    </w:pPr>
    <w:rPr>
      <w:rFonts w:ascii="Helvetica Neue" w:eastAsia="Arial Unicode MS" w:hAnsi="Helvetica Neue" w:cs="Arial Unicode MS"/>
      <w:color w:val="000000"/>
      <w:kern w:val="0"/>
      <w:sz w:val="20"/>
      <w:szCs w:val="20"/>
      <w:u w:color="000000"/>
      <w:bdr w:val="nil"/>
      <w:lang w:val="en-US" w:eastAsia="zh-CN"/>
      <w14:textOutline w14:w="12700" w14:cap="flat" w14:cmpd="sng" w14:algn="ctr">
        <w14:noFill/>
        <w14:prstDash w14:val="solid"/>
        <w14:miter w14:lim="400000"/>
      </w14:textOutline>
      <w14:ligatures w14:val="none"/>
    </w:rPr>
  </w:style>
  <w:style w:type="character" w:customStyle="1" w:styleId="Hyperlink0">
    <w:name w:val="Hyperlink.0"/>
    <w:basedOn w:val="None"/>
    <w:rsid w:val="00EE045D"/>
    <w:rPr>
      <w:rFonts w:ascii="Helvetica Neue" w:eastAsia="Helvetica Neue" w:hAnsi="Helvetica Neue" w:cs="Helvetica Neue"/>
      <w:u w:val="single"/>
      <w:lang w:val="en-US"/>
    </w:rPr>
  </w:style>
  <w:style w:type="character" w:customStyle="1" w:styleId="Hyperlink1">
    <w:name w:val="Hyperlink.1"/>
    <w:basedOn w:val="None"/>
    <w:rsid w:val="00EE045D"/>
    <w:rPr>
      <w:rFonts w:ascii="Helvetica Neue" w:eastAsia="Helvetica Neue" w:hAnsi="Helvetica Neue" w:cs="Helvetica Neue"/>
      <w:sz w:val="24"/>
      <w:szCs w:val="24"/>
      <w:u w:val="single"/>
      <w:lang w:val="en-US"/>
    </w:rPr>
  </w:style>
  <w:style w:type="character" w:styleId="FollowedHyperlink">
    <w:name w:val="FollowedHyperlink"/>
    <w:basedOn w:val="DefaultParagraphFont"/>
    <w:uiPriority w:val="99"/>
    <w:semiHidden/>
    <w:unhideWhenUsed/>
    <w:rsid w:val="009508EC"/>
    <w:rPr>
      <w:color w:val="954F72" w:themeColor="followedHyperlink"/>
      <w:u w:val="single"/>
    </w:rPr>
  </w:style>
  <w:style w:type="paragraph" w:styleId="NormalWeb">
    <w:name w:val="Normal (Web)"/>
    <w:basedOn w:val="Normal"/>
    <w:uiPriority w:val="99"/>
    <w:unhideWhenUsed/>
    <w:rsid w:val="00DF401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F401F"/>
    <w:rPr>
      <w:b/>
      <w:bCs/>
    </w:rPr>
  </w:style>
  <w:style w:type="paragraph" w:customStyle="1" w:styleId="Listparag">
    <w:name w:val="List parag"/>
    <w:basedOn w:val="ListParagraph"/>
    <w:link w:val="ListparagChar"/>
    <w:qFormat/>
    <w:rsid w:val="005457BD"/>
    <w:pPr>
      <w:numPr>
        <w:numId w:val="48"/>
      </w:numPr>
      <w:spacing w:after="120" w:line="264" w:lineRule="auto"/>
      <w:contextualSpacing w:val="0"/>
    </w:pPr>
    <w:rPr>
      <w:rFonts w:ascii="Arial" w:eastAsia="Times New Roman" w:hAnsi="Arial" w:cs="Arial"/>
      <w:kern w:val="0"/>
      <w:sz w:val="22"/>
      <w:lang w:eastAsia="en-GB"/>
      <w14:ligatures w14:val="none"/>
    </w:rPr>
  </w:style>
  <w:style w:type="character" w:customStyle="1" w:styleId="ListparagChar">
    <w:name w:val="List parag Char"/>
    <w:basedOn w:val="DefaultParagraphFont"/>
    <w:link w:val="Listparag"/>
    <w:rsid w:val="005457BD"/>
    <w:rPr>
      <w:rFonts w:ascii="Arial" w:eastAsia="Times New Roman" w:hAnsi="Arial" w:cs="Arial"/>
      <w:kern w:val="0"/>
      <w:sz w:val="22"/>
      <w:lang w:eastAsia="en-GB"/>
      <w14:ligatures w14:val="none"/>
    </w:rPr>
  </w:style>
  <w:style w:type="character" w:customStyle="1" w:styleId="NornalChar">
    <w:name w:val="Nornal Char"/>
    <w:basedOn w:val="DefaultParagraphFont"/>
    <w:link w:val="Nornal"/>
    <w:rsid w:val="00AF6117"/>
    <w:rPr>
      <w:rFonts w:ascii="Arial" w:eastAsia="Arial" w:hAnsi="Arial" w:cs="Arial"/>
      <w:color w:val="000000"/>
      <w:kern w:val="0"/>
      <w:sz w:val="22"/>
      <w:szCs w:val="22"/>
      <w:u w:color="000000"/>
      <w:bdr w:val="nil"/>
      <w:lang w:val="en-US" w:eastAsia="zh-CN"/>
      <w14:ligatures w14:val="none"/>
    </w:rPr>
  </w:style>
  <w:style w:type="paragraph" w:customStyle="1" w:styleId="commentcontentpara">
    <w:name w:val="commentcontentpara"/>
    <w:basedOn w:val="Normal"/>
    <w:rsid w:val="00836A6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cas.org.uk" TargetMode="External"/><Relationship Id="rId13" Type="http://schemas.openxmlformats.org/officeDocument/2006/relationships/hyperlink" Target="https://www.cipd.org/uk/knowledge/factsheets/employee-benefits-factsheet/" TargetMode="External"/><Relationship Id="rId18" Type="http://schemas.openxmlformats.org/officeDocument/2006/relationships/hyperlink" Target="https://www.cipd.org/uk/knowledge/factsheets/pay-fairness-reporting-factsheet/?utm_source=chatgpt.com" TargetMode="External"/><Relationship Id="rId26" Type="http://schemas.openxmlformats.org/officeDocument/2006/relationships/hyperlink" Target="https://www.johnlewispartnership.co.uk/about-us/our-business/reward-and-recognition.html" TargetMode="External"/><Relationship Id="rId3" Type="http://schemas.openxmlformats.org/officeDocument/2006/relationships/settings" Target="settings.xml"/><Relationship Id="rId21" Type="http://schemas.openxmlformats.org/officeDocument/2006/relationships/hyperlink" Target="https://www.cipd.co.uk/knowledge/fundamentals/relations/reward/factsheet" TargetMode="External"/><Relationship Id="rId7" Type="http://schemas.openxmlformats.org/officeDocument/2006/relationships/hyperlink" Target="https://www.acas.org.uk/sites/default/files/2021-03/job-evaluation-considerations-and-risks-advisory-booklet.pdf" TargetMode="External"/><Relationship Id="rId12" Type="http://schemas.openxmlformats.org/officeDocument/2006/relationships/hyperlink" Target="https://www.cipd.org/uk/knowledge/factsheets/flexible-benefits-factsheet/" TargetMode="External"/><Relationship Id="rId17" Type="http://schemas.openxmlformats.org/officeDocument/2006/relationships/hyperlink" Target="https://www.cipd.org/uk/knowledge/factsheets/market-pricing-factsheet/" TargetMode="External"/><Relationship Id="rId25" Type="http://schemas.openxmlformats.org/officeDocument/2006/relationships/hyperlink" Target="https://www.gov.uk/income-tax" TargetMode="External"/><Relationship Id="rId2" Type="http://schemas.openxmlformats.org/officeDocument/2006/relationships/styles" Target="styles.xml"/><Relationship Id="rId16" Type="http://schemas.openxmlformats.org/officeDocument/2006/relationships/hyperlink" Target="https://www.cipd.org/uk/knowledge/factsheets/market-pricing-factsheet/?utm_source=chatgpt.com" TargetMode="External"/><Relationship Id="rId20" Type="http://schemas.openxmlformats.org/officeDocument/2006/relationships/hyperlink" Target="https://www.cipd.org/uk/knowledge/factsheets/reward-factsheet/?utm_source=chatgpt.com" TargetMode="External"/><Relationship Id="rId29" Type="http://schemas.openxmlformats.org/officeDocument/2006/relationships/hyperlink" Target="https://www.ons.gov.uk/" TargetMode="External"/><Relationship Id="rId1" Type="http://schemas.openxmlformats.org/officeDocument/2006/relationships/numbering" Target="numbering.xml"/><Relationship Id="rId6" Type="http://schemas.openxmlformats.org/officeDocument/2006/relationships/hyperlink" Target="http://www.acas.org.uk" TargetMode="External"/><Relationship Id="rId11" Type="http://schemas.openxmlformats.org/officeDocument/2006/relationships/hyperlink" Target="https://www.cipd.org/globalassets/media/knowledge/knowledge-hub/reports/2018-pdfs/reward-management-report-2018_tcm18-51630.pdf" TargetMode="External"/><Relationship Id="rId24" Type="http://schemas.openxmlformats.org/officeDocument/2006/relationships/hyperlink" Target="https://www.peoplemanagement.co.uk/article/1830913/pay-benchmarking-working-interactive-report-hr-professionals"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cipd.org/uk/views-and-insights/cipd-viewpoint/executive-pay/" TargetMode="External"/><Relationship Id="rId23" Type="http://schemas.openxmlformats.org/officeDocument/2006/relationships/hyperlink" Target="https://www.cipd.org/globalassets/media/knowledge/knowledge-hub/evidence-reviews/incentives-recognition-practice-summary_tcm18-105466.pdf" TargetMode="External"/><Relationship Id="rId28" Type="http://schemas.openxmlformats.org/officeDocument/2006/relationships/hyperlink" Target="https://www.ons.gov.uk/" TargetMode="External"/><Relationship Id="rId10" Type="http://schemas.openxmlformats.org/officeDocument/2006/relationships/hyperlink" Target="https://www.cipd.org/uk/knowledge/podcasts/purpose-and-value-of-hr/" TargetMode="External"/><Relationship Id="rId19" Type="http://schemas.openxmlformats.org/officeDocument/2006/relationships/hyperlink" Target="https://www.cipd.co.uk/knowledge/fundamentals/emp-law/reward/factsheet"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bc.co.uk/news/articles/cddgrg87ly5o" TargetMode="External"/><Relationship Id="rId14" Type="http://schemas.openxmlformats.org/officeDocument/2006/relationships/hyperlink" Target="https://www.cipd.org/uk/knowledge/factsheets/engagement-factsheet/" TargetMode="External"/><Relationship Id="rId22" Type="http://schemas.openxmlformats.org/officeDocument/2006/relationships/hyperlink" Target="https://www.cipd.co.uk/knowledge/fundamentals/emp-law/reward/factsheet" TargetMode="External"/><Relationship Id="rId27" Type="http://schemas.openxmlformats.org/officeDocument/2006/relationships/hyperlink" Target="https://www.johnlewispartnership.co.uk/" TargetMode="External"/><Relationship Id="rId30" Type="http://schemas.openxmlformats.org/officeDocument/2006/relationships/hyperlink" Target="https://committees.parliament.uk/writtenevidence/7432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TotalTime>
  <Pages>1</Pages>
  <Words>8060</Words>
  <Characters>45946</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 Morris</dc:creator>
  <cp:keywords/>
  <dc:description/>
  <cp:lastModifiedBy>shaz Morris</cp:lastModifiedBy>
  <cp:revision>178</cp:revision>
  <dcterms:created xsi:type="dcterms:W3CDTF">2026-02-21T10:55:00Z</dcterms:created>
  <dcterms:modified xsi:type="dcterms:W3CDTF">2026-02-21T14:43:00Z</dcterms:modified>
</cp:coreProperties>
</file>