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31574" w:rsidRPr="009F632B" w:rsidRDefault="00331574" w:rsidP="009F632B">
      <w:pPr>
        <w:pStyle w:val="NormalWeb"/>
        <w:spacing w:line="360" w:lineRule="auto"/>
        <w:jc w:val="center"/>
        <w:rPr>
          <w:rFonts w:ascii="Arial" w:hAnsi="Arial" w:cs="Arial"/>
          <w:b/>
          <w:bCs/>
          <w:sz w:val="36"/>
          <w:szCs w:val="36"/>
        </w:rPr>
      </w:pPr>
    </w:p>
    <w:p w:rsidR="00331574" w:rsidRPr="009F632B" w:rsidRDefault="00331574" w:rsidP="009F632B">
      <w:pPr>
        <w:pStyle w:val="NormalWeb"/>
        <w:spacing w:line="360" w:lineRule="auto"/>
        <w:jc w:val="center"/>
        <w:rPr>
          <w:rFonts w:ascii="Arial" w:hAnsi="Arial" w:cs="Arial"/>
          <w:sz w:val="44"/>
          <w:szCs w:val="44"/>
        </w:rPr>
      </w:pPr>
      <w:r w:rsidRPr="009F632B">
        <w:rPr>
          <w:rFonts w:ascii="Arial" w:hAnsi="Arial" w:cs="Arial"/>
          <w:b/>
          <w:bCs/>
          <w:sz w:val="44"/>
          <w:szCs w:val="44"/>
        </w:rPr>
        <w:t>ECAD7004</w:t>
      </w:r>
    </w:p>
    <w:p w:rsidR="00331574" w:rsidRPr="009F632B" w:rsidRDefault="00331574" w:rsidP="009F632B">
      <w:pPr>
        <w:pStyle w:val="NormalWeb"/>
        <w:spacing w:line="360" w:lineRule="auto"/>
        <w:jc w:val="center"/>
        <w:rPr>
          <w:rFonts w:ascii="Arial" w:hAnsi="Arial" w:cs="Arial"/>
          <w:sz w:val="44"/>
          <w:szCs w:val="44"/>
        </w:rPr>
      </w:pPr>
      <w:r w:rsidRPr="009F632B">
        <w:rPr>
          <w:rFonts w:ascii="Arial" w:hAnsi="Arial" w:cs="Arial"/>
          <w:sz w:val="44"/>
          <w:szCs w:val="44"/>
        </w:rPr>
        <w:t>Professional and Pedagogic Studies: Researching the Learning: what, how and why am I teaching?</w:t>
      </w:r>
    </w:p>
    <w:p w:rsidR="00DC229D" w:rsidRPr="009F632B" w:rsidRDefault="00DC229D"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p>
    <w:p w:rsidR="00331574" w:rsidRPr="009F632B" w:rsidRDefault="00331574" w:rsidP="009F632B">
      <w:pPr>
        <w:spacing w:line="360" w:lineRule="auto"/>
        <w:jc w:val="center"/>
        <w:rPr>
          <w:rFonts w:ascii="Arial" w:hAnsi="Arial" w:cs="Arial"/>
          <w:sz w:val="28"/>
          <w:szCs w:val="28"/>
        </w:rPr>
      </w:pPr>
      <w:r w:rsidRPr="009F632B">
        <w:rPr>
          <w:rFonts w:ascii="Arial" w:hAnsi="Arial" w:cs="Arial"/>
          <w:sz w:val="28"/>
          <w:szCs w:val="28"/>
        </w:rPr>
        <w:t>Amber Thomas- 1706573</w:t>
      </w:r>
    </w:p>
    <w:p w:rsidR="00331574" w:rsidRPr="009F632B" w:rsidRDefault="00331574" w:rsidP="009F632B">
      <w:pPr>
        <w:spacing w:line="360" w:lineRule="auto"/>
        <w:jc w:val="center"/>
        <w:rPr>
          <w:rFonts w:ascii="Arial" w:hAnsi="Arial" w:cs="Arial"/>
          <w:sz w:val="28"/>
          <w:szCs w:val="28"/>
        </w:rPr>
      </w:pPr>
      <w:r w:rsidRPr="009F632B">
        <w:rPr>
          <w:rFonts w:ascii="Arial" w:hAnsi="Arial" w:cs="Arial"/>
          <w:sz w:val="28"/>
          <w:szCs w:val="28"/>
        </w:rPr>
        <w:t>Word count- 4427</w:t>
      </w:r>
    </w:p>
    <w:p w:rsidR="00331574" w:rsidRPr="009F632B" w:rsidRDefault="00331574"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Default="00E7094A"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E7094A" w:rsidRPr="009F632B" w:rsidRDefault="00E7094A" w:rsidP="009F632B">
      <w:pPr>
        <w:spacing w:line="360" w:lineRule="auto"/>
        <w:rPr>
          <w:rFonts w:ascii="Arial" w:hAnsi="Arial" w:cs="Arial"/>
        </w:rPr>
      </w:pPr>
    </w:p>
    <w:p w:rsidR="00E7094A" w:rsidRPr="009F632B" w:rsidRDefault="00E7094A" w:rsidP="009F632B">
      <w:pPr>
        <w:spacing w:line="360" w:lineRule="auto"/>
        <w:jc w:val="center"/>
        <w:rPr>
          <w:rFonts w:ascii="Arial" w:hAnsi="Arial" w:cs="Arial"/>
          <w:u w:val="single"/>
        </w:rPr>
      </w:pPr>
      <w:r w:rsidRPr="009F632B">
        <w:rPr>
          <w:rFonts w:ascii="Arial" w:hAnsi="Arial" w:cs="Arial"/>
          <w:u w:val="single"/>
        </w:rPr>
        <w:t>An exploratory case study on ‘What is pupil’s perception of lesson hooks in engagement across years three and four?’</w:t>
      </w:r>
    </w:p>
    <w:p w:rsidR="00E7094A" w:rsidRPr="009F632B" w:rsidRDefault="00E7094A"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Introduction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The aim of this essay is to investigate pupils’ perception of lesson hooks and their engagement levels in years three and four. By exploring how pupils perceive these introductory activities, the essay seeks to understand their effectiveness in capturing pupils’ engagement. Welsh Government (2023) states that enhancing pupil engagement requires school to cultivate a positive relationship and inclusive, welcoming ethos within schools. Engaging pupils in their own learning, building upon their existing knowledge, interests and skills broadens and enriches pupils’ development (Learning Wales, 2015).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For the purposes of this study, the pupil’s school will be anonymised and the </w:t>
      </w:r>
      <w:proofErr w:type="gramStart"/>
      <w:r w:rsidRPr="009F632B">
        <w:rPr>
          <w:rFonts w:ascii="Arial" w:hAnsi="Arial" w:cs="Arial"/>
        </w:rPr>
        <w:t>School</w:t>
      </w:r>
      <w:proofErr w:type="gramEnd"/>
      <w:r w:rsidRPr="009F632B">
        <w:rPr>
          <w:rFonts w:ascii="Arial" w:hAnsi="Arial" w:cs="Arial"/>
        </w:rPr>
        <w:t xml:space="preserve"> will be referred to as School Y, following the </w:t>
      </w:r>
      <w:proofErr w:type="spellStart"/>
      <w:r w:rsidRPr="009F632B">
        <w:rPr>
          <w:rFonts w:ascii="Arial" w:hAnsi="Arial" w:cs="Arial"/>
        </w:rPr>
        <w:t>Bera</w:t>
      </w:r>
      <w:proofErr w:type="spellEnd"/>
      <w:r w:rsidRPr="009F632B">
        <w:rPr>
          <w:rFonts w:ascii="Arial" w:hAnsi="Arial" w:cs="Arial"/>
        </w:rPr>
        <w:t xml:space="preserve"> (2018) guidelines. School Y currently have 118 pupils on roll. School Y is an English medium primary school that fosters a warm and welcoming environment with a sense of community. School Y prioritises the well-being of their pupils, fostering confident pupils who are eager to try new things (Estyn, 2023). The year three and four class, where the research will take place, currently consists of 33 pupils.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The primary issue addressed in this research is the effectiveness of lesson hooks in engaging pupils in years three and four. By examining pupils’ perceptions, the research aims to identify whether lesson hooks are successful in capturing pupil’s attention and fostering their engagement in the learning process. The interest in this topic stems from the importance of pupil engagement in learning. Engaged pupils are more likely to participate actively, retain information and develop a deeper understanding of the subject matter (Barsha, 2023).</w:t>
      </w:r>
    </w:p>
    <w:p w:rsidR="009F632B" w:rsidRPr="009F632B" w:rsidRDefault="009F632B" w:rsidP="009F632B">
      <w:pPr>
        <w:spacing w:line="360" w:lineRule="auto"/>
        <w:rPr>
          <w:rFonts w:ascii="Arial" w:hAnsi="Arial" w:cs="Arial"/>
        </w:rPr>
      </w:pPr>
      <w:r w:rsidRPr="009F632B">
        <w:rPr>
          <w:rFonts w:ascii="Arial" w:hAnsi="Arial" w:cs="Arial"/>
        </w:rPr>
        <w:t xml:space="preserve">Understanding how lesson hooks are perceived by pupils is essential for educators to design effective teaching strategies that caters to their developmental needs and interests.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This research seeks to explore lesson hooks engaging pupils, linking to a blended learning experience when used in a conjunction with online elements. While lesson hooks are not blended learning on their own, they are a valuable tool that can be used to enhance a blended learning experience (</w:t>
      </w:r>
      <w:proofErr w:type="spellStart"/>
      <w:r w:rsidRPr="009F632B">
        <w:rPr>
          <w:rFonts w:ascii="Arial" w:hAnsi="Arial" w:cs="Arial"/>
        </w:rPr>
        <w:t>Raouna</w:t>
      </w:r>
      <w:proofErr w:type="spellEnd"/>
      <w:r w:rsidRPr="009F632B">
        <w:rPr>
          <w:rFonts w:ascii="Arial" w:hAnsi="Arial" w:cs="Arial"/>
        </w:rPr>
        <w:t xml:space="preserve">, 2022).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Overview of relevant literature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rPr>
        <w:t xml:space="preserve">The Welsh Government, Curriculum for Wales (2024) states that by engaging learners and assisting them in their own learning to achieve their educational goals can raise standards, narrow the attainment gap and support them in their learner progression. Along with this </w:t>
      </w:r>
      <w:proofErr w:type="spellStart"/>
      <w:r w:rsidRPr="009F632B">
        <w:rPr>
          <w:rFonts w:ascii="Arial" w:hAnsi="Arial" w:cs="Arial"/>
        </w:rPr>
        <w:t>Schiro</w:t>
      </w:r>
      <w:proofErr w:type="spellEnd"/>
      <w:r w:rsidRPr="009F632B">
        <w:rPr>
          <w:rFonts w:ascii="Arial" w:hAnsi="Arial" w:cs="Arial"/>
        </w:rPr>
        <w:t xml:space="preserve"> (2013) outlines four ideologies, or beliefs that includes seeing children as thinkers, individuals with unique qualities and workers, and members of society. On the other hand, Dewey (1916) argued that the term ‘pupil’ has come to mean someone who passively absorbs knowledge rather than actively experiencing it. However, this form of engagement many young people find </w:t>
      </w:r>
      <w:r w:rsidRPr="009F632B">
        <w:rPr>
          <w:rFonts w:ascii="Arial" w:hAnsi="Arial" w:cs="Arial"/>
          <w:color w:val="000000" w:themeColor="text1"/>
        </w:rPr>
        <w:t>disengaging (</w:t>
      </w:r>
      <w:r w:rsidRPr="009F632B">
        <w:rPr>
          <w:rFonts w:ascii="Arial" w:hAnsi="Arial" w:cs="Arial"/>
          <w:color w:val="000000" w:themeColor="text1"/>
          <w:sz w:val="23"/>
          <w:szCs w:val="23"/>
          <w:shd w:val="clear" w:color="auto" w:fill="FFFFFF"/>
        </w:rPr>
        <w:t>Quay, J.</w:t>
      </w:r>
      <w:r w:rsidRPr="009F632B">
        <w:rPr>
          <w:rStyle w:val="apple-converted-space"/>
          <w:rFonts w:ascii="Arial" w:hAnsi="Arial" w:cs="Arial"/>
          <w:color w:val="000000" w:themeColor="text1"/>
          <w:sz w:val="23"/>
          <w:szCs w:val="23"/>
          <w:shd w:val="clear" w:color="auto" w:fill="FFFFFF"/>
        </w:rPr>
        <w:t> </w:t>
      </w:r>
      <w:r w:rsidRPr="009F632B">
        <w:rPr>
          <w:rFonts w:ascii="Arial" w:hAnsi="Arial" w:cs="Arial"/>
          <w:i/>
          <w:iCs/>
          <w:color w:val="000000" w:themeColor="text1"/>
          <w:sz w:val="23"/>
          <w:szCs w:val="23"/>
        </w:rPr>
        <w:t xml:space="preserve">et al., </w:t>
      </w:r>
      <w:r w:rsidRPr="009F632B">
        <w:rPr>
          <w:rFonts w:ascii="Arial" w:hAnsi="Arial" w:cs="Arial"/>
          <w:color w:val="000000" w:themeColor="text1"/>
          <w:sz w:val="23"/>
          <w:szCs w:val="23"/>
          <w:shd w:val="clear" w:color="auto" w:fill="FFFFFF"/>
        </w:rPr>
        <w:t xml:space="preserve">2022). Along with this it has been highlighted that the importance of explicit awareness of one’s own existence in </w:t>
      </w:r>
      <w:proofErr w:type="gramStart"/>
      <w:r w:rsidRPr="009F632B">
        <w:rPr>
          <w:rFonts w:ascii="Arial" w:hAnsi="Arial" w:cs="Arial"/>
          <w:color w:val="000000" w:themeColor="text1"/>
          <w:sz w:val="23"/>
          <w:szCs w:val="23"/>
          <w:shd w:val="clear" w:color="auto" w:fill="FFFFFF"/>
        </w:rPr>
        <w:t>understanding  the</w:t>
      </w:r>
      <w:proofErr w:type="gramEnd"/>
      <w:r w:rsidRPr="009F632B">
        <w:rPr>
          <w:rFonts w:ascii="Arial" w:hAnsi="Arial" w:cs="Arial"/>
          <w:color w:val="000000" w:themeColor="text1"/>
          <w:sz w:val="23"/>
          <w:szCs w:val="23"/>
          <w:shd w:val="clear" w:color="auto" w:fill="FFFFFF"/>
        </w:rPr>
        <w:t xml:space="preserve"> challenge of educational confusion and striving to develop new practices that align with engagement with achievement in a pupils learning goals (Quay, J.</w:t>
      </w:r>
      <w:r w:rsidRPr="009F632B">
        <w:rPr>
          <w:rStyle w:val="apple-converted-space"/>
          <w:rFonts w:ascii="Arial" w:hAnsi="Arial" w:cs="Arial"/>
          <w:color w:val="000000" w:themeColor="text1"/>
          <w:sz w:val="23"/>
          <w:szCs w:val="23"/>
          <w:shd w:val="clear" w:color="auto" w:fill="FFFFFF"/>
        </w:rPr>
        <w:t> </w:t>
      </w:r>
      <w:r w:rsidRPr="009F632B">
        <w:rPr>
          <w:rFonts w:ascii="Arial" w:hAnsi="Arial" w:cs="Arial"/>
          <w:i/>
          <w:iCs/>
          <w:color w:val="000000" w:themeColor="text1"/>
          <w:sz w:val="23"/>
          <w:szCs w:val="23"/>
        </w:rPr>
        <w:t xml:space="preserve">et al., </w:t>
      </w:r>
      <w:r w:rsidRPr="009F632B">
        <w:rPr>
          <w:rFonts w:ascii="Arial" w:hAnsi="Arial" w:cs="Arial"/>
          <w:color w:val="000000" w:themeColor="text1"/>
          <w:sz w:val="23"/>
          <w:szCs w:val="23"/>
          <w:shd w:val="clear" w:color="auto" w:fill="FFFFFF"/>
        </w:rPr>
        <w:t xml:space="preserve">2022).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Furthermore, Cullen (2023) states that with higher engagement levels lead to greater pupil learning and enhance the learning process. Therefore, pupils who actively in engage with their teacher’s subject matter, and lessons will improve their understanding and appreciation of the topics. Along with this the absence of real-world application in lessons can lead to pupils becoming disengaged. Being able to practice and apply what they learn can help them refocus on understanding the material (HBP, 2022). However, AI-</w:t>
      </w:r>
      <w:proofErr w:type="spellStart"/>
      <w:r w:rsidRPr="009F632B">
        <w:rPr>
          <w:rFonts w:ascii="Arial" w:hAnsi="Arial" w:cs="Arial"/>
          <w:color w:val="000000" w:themeColor="text1"/>
          <w:sz w:val="23"/>
          <w:szCs w:val="23"/>
          <w:shd w:val="clear" w:color="auto" w:fill="FFFFFF"/>
        </w:rPr>
        <w:t>Halwachi</w:t>
      </w:r>
      <w:proofErr w:type="spellEnd"/>
      <w:r w:rsidRPr="009F632B">
        <w:rPr>
          <w:rFonts w:ascii="Arial" w:hAnsi="Arial" w:cs="Arial"/>
          <w:color w:val="000000" w:themeColor="text1"/>
          <w:sz w:val="23"/>
          <w:szCs w:val="23"/>
          <w:shd w:val="clear" w:color="auto" w:fill="FFFFFF"/>
        </w:rPr>
        <w:t xml:space="preserve"> (2023) suggests that there are struggles when it comes to pupils applying their knowledge, skills and abstract concepts to real world situations. This gap can lead to pupil’s lack of motivation, confusion and disengagement. </w:t>
      </w:r>
      <w:proofErr w:type="gramStart"/>
      <w:r w:rsidRPr="009F632B">
        <w:rPr>
          <w:rFonts w:ascii="Arial" w:hAnsi="Arial" w:cs="Arial"/>
          <w:color w:val="000000" w:themeColor="text1"/>
          <w:sz w:val="23"/>
          <w:szCs w:val="23"/>
          <w:shd w:val="clear" w:color="auto" w:fill="FFFFFF"/>
        </w:rPr>
        <w:t>Thus</w:t>
      </w:r>
      <w:proofErr w:type="gramEnd"/>
      <w:r w:rsidRPr="009F632B">
        <w:rPr>
          <w:rFonts w:ascii="Arial" w:hAnsi="Arial" w:cs="Arial"/>
          <w:color w:val="000000" w:themeColor="text1"/>
          <w:sz w:val="23"/>
          <w:szCs w:val="23"/>
          <w:shd w:val="clear" w:color="auto" w:fill="FFFFFF"/>
        </w:rPr>
        <w:t xml:space="preserve"> it is important to use real- world examples and tackling real world problems within lessons can make learning more meaningful for learners, it can spark excitement in gaining insight into real world problems (Cox, 2021). In addition to this, Dewey advocates for a holistic approach to pedagogy, emphasises that experimental learning should be </w:t>
      </w:r>
      <w:proofErr w:type="spellStart"/>
      <w:r w:rsidRPr="009F632B">
        <w:rPr>
          <w:rFonts w:ascii="Arial" w:hAnsi="Arial" w:cs="Arial"/>
          <w:color w:val="000000" w:themeColor="text1"/>
          <w:sz w:val="23"/>
          <w:szCs w:val="23"/>
          <w:shd w:val="clear" w:color="auto" w:fill="FFFFFF"/>
        </w:rPr>
        <w:t>apart</w:t>
      </w:r>
      <w:proofErr w:type="spellEnd"/>
      <w:r w:rsidRPr="009F632B">
        <w:rPr>
          <w:rFonts w:ascii="Arial" w:hAnsi="Arial" w:cs="Arial"/>
          <w:color w:val="000000" w:themeColor="text1"/>
          <w:sz w:val="23"/>
          <w:szCs w:val="23"/>
          <w:shd w:val="clear" w:color="auto" w:fill="FFFFFF"/>
        </w:rPr>
        <w:t xml:space="preserve"> of the educational process, where pupils are encouraged to combine their knowledge with practical </w:t>
      </w:r>
      <w:r w:rsidRPr="009F632B">
        <w:rPr>
          <w:rFonts w:ascii="Arial" w:hAnsi="Arial" w:cs="Arial"/>
          <w:color w:val="000000" w:themeColor="text1"/>
          <w:sz w:val="23"/>
          <w:szCs w:val="23"/>
          <w:shd w:val="clear" w:color="auto" w:fill="FFFFFF"/>
        </w:rPr>
        <w:lastRenderedPageBreak/>
        <w:t xml:space="preserve">experiences (Structural Learning, 2023). As well as providing meaningful experiences that contributes to pupil’s development. In spite of this, pupils require a controlled environment for better learning, engagement and therefore success. But when real life connections and examples are incorporated into lessons, pupils understand why they are learning is useful not just within the classroom, therefore with a focused environment increases pupil meaningful learning experiences (Cronin, 2022). However, Lenz (2015) states that a hook should be for the beginning of a project or new topic, rather than for every lesson. </w:t>
      </w:r>
    </w:p>
    <w:p w:rsidR="009F632B" w:rsidRPr="009F632B" w:rsidRDefault="009F632B" w:rsidP="009F632B">
      <w:pPr>
        <w:pStyle w:val="NormalWeb"/>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Moreover, lesson hooks are a way to interest and engage pupils into the lesson, (Smith, 2019) states that lesson hooks can introduce a topic where pupils will remember it long after you taught it, so will function as a memory trigger to recall their knowledge on that specific topic. Thomas (2019) states that a hook is more than just a fun way to start a topic, it can be a doorway into a pupil’s imagination. It can give an opportunity to think about something and imagine something different and to fire a pupil’s curiosity. To concur, lesson hooks are highly effective to structure thinking and to help pupils to concentrate on the key concept being taught and to also provide context to learning objectives (Smith, 2019). McCauley., Davison., Byrne (2015) emphasise that by </w:t>
      </w:r>
      <w:proofErr w:type="gramStart"/>
      <w:r w:rsidRPr="009F632B">
        <w:rPr>
          <w:rFonts w:ascii="Arial" w:hAnsi="Arial" w:cs="Arial"/>
          <w:color w:val="000000" w:themeColor="text1"/>
          <w:sz w:val="23"/>
          <w:szCs w:val="23"/>
          <w:shd w:val="clear" w:color="auto" w:fill="FFFFFF"/>
        </w:rPr>
        <w:t>developing  strategic</w:t>
      </w:r>
      <w:proofErr w:type="gramEnd"/>
      <w:r w:rsidRPr="009F632B">
        <w:rPr>
          <w:rFonts w:ascii="Arial" w:hAnsi="Arial" w:cs="Arial"/>
          <w:color w:val="000000" w:themeColor="text1"/>
          <w:sz w:val="23"/>
          <w:szCs w:val="23"/>
          <w:shd w:val="clear" w:color="auto" w:fill="FFFFFF"/>
        </w:rPr>
        <w:t xml:space="preserve"> hooks can connect personal interest and situational interest, making lessons more long lasting and meaningful. Along with this, Cunha and Heckman (2009) state that pupils who are engaged in school are more likely to succeed academically and develop stronger cognitive skills. But it is important to note that student engagement results from a complex interplay between individual characteristics and the school environment (Finn and Rock, 1997). Building on this, delving deeper into pupil motivation by defining school engagement as a multidimensional construct, which interplay of three components that often overlap: emotional, cognitive engagement and behavioural (</w:t>
      </w:r>
      <w:proofErr w:type="spellStart"/>
      <w:r w:rsidRPr="009F632B">
        <w:rPr>
          <w:rFonts w:ascii="Arial" w:hAnsi="Arial" w:cs="Arial"/>
          <w:color w:val="000000" w:themeColor="text1"/>
          <w:sz w:val="23"/>
          <w:szCs w:val="23"/>
          <w:shd w:val="clear" w:color="auto" w:fill="FFFFFF"/>
        </w:rPr>
        <w:t>Frericks</w:t>
      </w:r>
      <w:proofErr w:type="spellEnd"/>
      <w:r w:rsidRPr="009F632B">
        <w:rPr>
          <w:rFonts w:ascii="Arial" w:hAnsi="Arial" w:cs="Arial"/>
          <w:color w:val="000000" w:themeColor="text1"/>
          <w:sz w:val="23"/>
          <w:szCs w:val="23"/>
          <w:shd w:val="clear" w:color="auto" w:fill="FFFFFF"/>
        </w:rPr>
        <w:t xml:space="preserve">., Blumenfeld and Paris., 2004). </w:t>
      </w: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Explanation of case study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According to Yin (2009) a case study is an empirical investigation that explores a phenomenon within an actual context. Case study research involves various data collection methods due to its focus on in depth exploration of phenomenon. Likewise, Crowe et al (2011) states that a case study approach proves particularly valuable when a researcher seeks comprehensive understanding of a specific issue, event or phenomenon within its authentic, real-world context. Similarly, Priya (2021) states </w:t>
      </w:r>
      <w:r w:rsidRPr="009F632B">
        <w:rPr>
          <w:rFonts w:ascii="Arial" w:hAnsi="Arial" w:cs="Arial"/>
        </w:rPr>
        <w:lastRenderedPageBreak/>
        <w:t>that a case study allows the researcher to employ an ethical, diverse and practical data collection method. However, sampling is exceedingly important in a case study, as you cannot study everyone doing everything (Miles and Huberman, 1994). Likewise, purposive sampling is optimal when it is required for a focused examination of a relatively small sample. This approach helps researchers to identify the participants who will yield the most insightful data to answer the research inquiry (</w:t>
      </w:r>
      <w:proofErr w:type="spellStart"/>
      <w:r w:rsidRPr="009F632B">
        <w:rPr>
          <w:rFonts w:ascii="Arial" w:hAnsi="Arial" w:cs="Arial"/>
        </w:rPr>
        <w:t>Nikolopoulou</w:t>
      </w:r>
      <w:proofErr w:type="spellEnd"/>
      <w:r w:rsidRPr="009F632B">
        <w:rPr>
          <w:rFonts w:ascii="Arial" w:hAnsi="Arial" w:cs="Arial"/>
        </w:rPr>
        <w:t xml:space="preserve">, 2022). In addition to this Lee and Saunders (2017) emphasise the importance of case studies in giving the voice to those whose perspectives are frequently overlooked. In spite of this, case studies focus on an </w:t>
      </w:r>
      <w:proofErr w:type="gramStart"/>
      <w:r w:rsidRPr="009F632B">
        <w:rPr>
          <w:rFonts w:ascii="Arial" w:hAnsi="Arial" w:cs="Arial"/>
        </w:rPr>
        <w:t>in depth</w:t>
      </w:r>
      <w:proofErr w:type="gramEnd"/>
      <w:r w:rsidRPr="009F632B">
        <w:rPr>
          <w:rFonts w:ascii="Arial" w:hAnsi="Arial" w:cs="Arial"/>
        </w:rPr>
        <w:t xml:space="preserve"> exploration of single cases, limiting their ability to extrapolate finding to a larger group (Drew, 2023).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Furthermore, there are three main types of a case study which are collective, intrinsic and instrumental. An instrumental case study focuses on a particular case to gain a wider appreciation of an issue or phenomenon to see the bigger picture (Stake, 1995). As well as this, an instrumental case study allows to focus on providing a deeper understanding of a </w:t>
      </w:r>
      <w:proofErr w:type="spellStart"/>
      <w:proofErr w:type="gramStart"/>
      <w:r w:rsidRPr="009F632B">
        <w:rPr>
          <w:rFonts w:ascii="Arial" w:hAnsi="Arial" w:cs="Arial"/>
        </w:rPr>
        <w:t>persons</w:t>
      </w:r>
      <w:proofErr w:type="spellEnd"/>
      <w:proofErr w:type="gramEnd"/>
      <w:r w:rsidRPr="009F632B">
        <w:rPr>
          <w:rFonts w:ascii="Arial" w:hAnsi="Arial" w:cs="Arial"/>
        </w:rPr>
        <w:t xml:space="preserve"> experience, rather than trying to apply them to everyone. And </w:t>
      </w:r>
      <w:proofErr w:type="gramStart"/>
      <w:r w:rsidRPr="009F632B">
        <w:rPr>
          <w:rFonts w:ascii="Arial" w:hAnsi="Arial" w:cs="Arial"/>
        </w:rPr>
        <w:t>therefore</w:t>
      </w:r>
      <w:proofErr w:type="gramEnd"/>
      <w:r w:rsidRPr="009F632B">
        <w:rPr>
          <w:rFonts w:ascii="Arial" w:hAnsi="Arial" w:cs="Arial"/>
        </w:rPr>
        <w:t xml:space="preserve"> will improve </w:t>
      </w:r>
      <w:r w:rsidRPr="009F632B">
        <w:rPr>
          <w:rFonts w:ascii="Arial" w:hAnsi="Arial" w:cs="Arial"/>
          <w:color w:val="000000" w:themeColor="text1"/>
        </w:rPr>
        <w:t>the overall experience of their particular life experience (</w:t>
      </w:r>
      <w:proofErr w:type="spellStart"/>
      <w:r w:rsidRPr="009F632B">
        <w:rPr>
          <w:rFonts w:ascii="Arial" w:hAnsi="Arial" w:cs="Arial"/>
          <w:color w:val="000000" w:themeColor="text1"/>
          <w:sz w:val="23"/>
          <w:szCs w:val="23"/>
          <w:shd w:val="clear" w:color="auto" w:fill="FFFFFF"/>
        </w:rPr>
        <w:t>Pozzebon</w:t>
      </w:r>
      <w:proofErr w:type="spellEnd"/>
      <w:r w:rsidRPr="009F632B">
        <w:rPr>
          <w:rFonts w:ascii="Arial" w:hAnsi="Arial" w:cs="Arial"/>
          <w:color w:val="000000" w:themeColor="text1"/>
          <w:sz w:val="23"/>
          <w:szCs w:val="23"/>
          <w:shd w:val="clear" w:color="auto" w:fill="FFFFFF"/>
        </w:rPr>
        <w:t>, Douglas and Ames, 2017).</w:t>
      </w:r>
      <w:r w:rsidRPr="009F632B">
        <w:rPr>
          <w:rFonts w:ascii="Arial" w:hAnsi="Arial" w:cs="Arial"/>
        </w:rPr>
        <w:t xml:space="preserve"> </w:t>
      </w:r>
    </w:p>
    <w:p w:rsidR="009F632B" w:rsidRPr="009F632B" w:rsidRDefault="009F632B" w:rsidP="009F632B">
      <w:pPr>
        <w:pStyle w:val="NormalWeb"/>
        <w:spacing w:line="360" w:lineRule="auto"/>
        <w:rPr>
          <w:rFonts w:ascii="Arial" w:hAnsi="Arial" w:cs="Arial"/>
        </w:rPr>
      </w:pPr>
      <w:r w:rsidRPr="009F632B">
        <w:rPr>
          <w:rFonts w:ascii="Arial" w:hAnsi="Arial" w:cs="Arial"/>
        </w:rPr>
        <w:t>Moreover, this case study focuses on pupils in a year three and four class, ages ranging from seven to nine years old. However not all pupils will be participating, only a small sample group will be the focus in this research, as smaller sample gives quicker results (</w:t>
      </w:r>
      <w:proofErr w:type="spellStart"/>
      <w:r w:rsidRPr="009F632B">
        <w:rPr>
          <w:rFonts w:ascii="Arial" w:hAnsi="Arial" w:cs="Arial"/>
        </w:rPr>
        <w:t>Indrayan</w:t>
      </w:r>
      <w:proofErr w:type="spellEnd"/>
      <w:r w:rsidRPr="009F632B">
        <w:rPr>
          <w:rFonts w:ascii="Arial" w:hAnsi="Arial" w:cs="Arial"/>
        </w:rPr>
        <w:t xml:space="preserve"> and Mishra, 2021). But there are some problems that could occur when using a small sample as it can raise the risk of mistaking a random finding for a real effect (Faber and Fonseca, 2014). But using a small sample group is efficient as researchers can tackle their research question and gain results quickly due to the limited logistical hurdles. This includes securing ethical approval, which is often streamlined compared to complex, multi centre studies (</w:t>
      </w:r>
      <w:proofErr w:type="spellStart"/>
      <w:r w:rsidRPr="009F632B">
        <w:rPr>
          <w:rFonts w:ascii="Arial" w:hAnsi="Arial" w:cs="Arial"/>
        </w:rPr>
        <w:t>Hackshaw</w:t>
      </w:r>
      <w:proofErr w:type="spellEnd"/>
      <w:r w:rsidRPr="009F632B">
        <w:rPr>
          <w:rFonts w:ascii="Arial" w:hAnsi="Arial" w:cs="Arial"/>
        </w:rPr>
        <w:t xml:space="preserve">, 2008). Arroyo and Etz (2015) state that small studies can also be valuable as they can lead to the development of alternative research methods and can lead to a richer understanding of the factors at play. </w:t>
      </w:r>
    </w:p>
    <w:p w:rsidR="009F632B" w:rsidRPr="009F632B" w:rsidRDefault="009F632B" w:rsidP="009F632B">
      <w:pPr>
        <w:pStyle w:val="NormalWeb"/>
        <w:spacing w:line="360" w:lineRule="auto"/>
        <w:rPr>
          <w:rFonts w:ascii="Arial" w:hAnsi="Arial" w:cs="Arial"/>
        </w:rPr>
      </w:pPr>
      <w:r w:rsidRPr="009F632B">
        <w:rPr>
          <w:rFonts w:ascii="Arial" w:hAnsi="Arial" w:cs="Arial"/>
        </w:rPr>
        <w:t xml:space="preserve">Purposive sampling is common in qualitative research, qualitative research uses several techniques which include observation, interviews and focus groups </w:t>
      </w:r>
      <w:r w:rsidRPr="009F632B">
        <w:rPr>
          <w:rFonts w:ascii="Arial" w:hAnsi="Arial" w:cs="Arial"/>
          <w:color w:val="000000"/>
        </w:rPr>
        <w:t xml:space="preserve">(Moser &amp; </w:t>
      </w:r>
      <w:proofErr w:type="spellStart"/>
      <w:r w:rsidRPr="009F632B">
        <w:rPr>
          <w:rFonts w:ascii="Arial" w:hAnsi="Arial" w:cs="Arial"/>
          <w:color w:val="000000"/>
        </w:rPr>
        <w:lastRenderedPageBreak/>
        <w:t>Korstjens</w:t>
      </w:r>
      <w:proofErr w:type="spellEnd"/>
      <w:r w:rsidRPr="009F632B">
        <w:rPr>
          <w:rFonts w:ascii="Arial" w:hAnsi="Arial" w:cs="Arial"/>
          <w:color w:val="000000"/>
        </w:rPr>
        <w:t>,</w:t>
      </w:r>
      <w:r w:rsidRPr="009F632B">
        <w:rPr>
          <w:rStyle w:val="apple-converted-space"/>
          <w:rFonts w:ascii="Arial" w:hAnsi="Arial" w:cs="Arial"/>
          <w:color w:val="000000"/>
        </w:rPr>
        <w:t> </w:t>
      </w:r>
      <w:r w:rsidRPr="009F632B">
        <w:rPr>
          <w:rFonts w:ascii="Arial" w:hAnsi="Arial" w:cs="Arial"/>
          <w:color w:val="000000"/>
        </w:rPr>
        <w:t>2017; Cleland,</w:t>
      </w:r>
      <w:r w:rsidRPr="009F632B">
        <w:rPr>
          <w:rStyle w:val="apple-converted-space"/>
          <w:rFonts w:ascii="Arial" w:hAnsi="Arial" w:cs="Arial"/>
          <w:color w:val="000000"/>
        </w:rPr>
        <w:t> </w:t>
      </w:r>
      <w:r w:rsidRPr="009F632B">
        <w:rPr>
          <w:rFonts w:ascii="Arial" w:hAnsi="Arial" w:cs="Arial"/>
          <w:color w:val="000000"/>
        </w:rPr>
        <w:t>2017; Foley &amp; Timonen,</w:t>
      </w:r>
      <w:r w:rsidRPr="009F632B">
        <w:rPr>
          <w:rStyle w:val="apple-converted-space"/>
          <w:rFonts w:ascii="Arial" w:hAnsi="Arial" w:cs="Arial"/>
          <w:color w:val="000000"/>
        </w:rPr>
        <w:t> </w:t>
      </w:r>
      <w:r w:rsidRPr="009F632B">
        <w:rPr>
          <w:rFonts w:ascii="Arial" w:hAnsi="Arial" w:cs="Arial"/>
          <w:color w:val="000000"/>
        </w:rPr>
        <w:t>2015).</w:t>
      </w:r>
      <w:r w:rsidRPr="009F632B">
        <w:rPr>
          <w:rFonts w:ascii="Arial" w:hAnsi="Arial" w:cs="Arial"/>
        </w:rPr>
        <w:t xml:space="preserve"> Whereas quantitative research focuses on a controlled environment for data collection, for example using a yes/no questionnaire (</w:t>
      </w:r>
      <w:proofErr w:type="spellStart"/>
      <w:r w:rsidRPr="009F632B">
        <w:rPr>
          <w:rFonts w:ascii="Arial" w:hAnsi="Arial" w:cs="Arial"/>
        </w:rPr>
        <w:t>Tenny</w:t>
      </w:r>
      <w:proofErr w:type="spellEnd"/>
      <w:r w:rsidRPr="009F632B">
        <w:rPr>
          <w:rFonts w:ascii="Arial" w:hAnsi="Arial" w:cs="Arial"/>
        </w:rPr>
        <w:t xml:space="preserve"> et al, 2022). Additionally, a simple random sample, every member of a group has an identical probability of being selected. This method minimises the risk of selection bias, ensuring a fair representation of the group in the sample (Thomas, 2022). On the other hand, the effectiveness of any sampling method relies on careful execution by the researcher. Deviations from the chosen method, such as asking the researcher asking the appropriate questions, can introduce bias (Horton, 2024). Despite of this, simple random samples offer a faster and more efficient way for researches to understand a whole group compared to collecting data from everyone (Moss, </w:t>
      </w:r>
      <w:proofErr w:type="gramStart"/>
      <w:r w:rsidRPr="009F632B">
        <w:rPr>
          <w:rFonts w:ascii="Arial" w:hAnsi="Arial" w:cs="Arial"/>
        </w:rPr>
        <w:t>2024 ;</w:t>
      </w:r>
      <w:proofErr w:type="gramEnd"/>
      <w:r w:rsidRPr="009F632B">
        <w:rPr>
          <w:rFonts w:ascii="Arial" w:hAnsi="Arial" w:cs="Arial"/>
        </w:rPr>
        <w:t xml:space="preserve"> Thomas, 2022). </w:t>
      </w:r>
    </w:p>
    <w:p w:rsidR="009F632B" w:rsidRPr="009F632B" w:rsidRDefault="009F632B" w:rsidP="009F632B">
      <w:pPr>
        <w:pStyle w:val="NormalWeb"/>
        <w:spacing w:line="360" w:lineRule="auto"/>
        <w:rPr>
          <w:rFonts w:ascii="Arial" w:hAnsi="Arial" w:cs="Arial"/>
        </w:rPr>
      </w:pPr>
    </w:p>
    <w:p w:rsidR="009F632B" w:rsidRPr="009F632B" w:rsidRDefault="009F632B" w:rsidP="009F632B">
      <w:pPr>
        <w:pStyle w:val="NormalWeb"/>
        <w:spacing w:line="360" w:lineRule="auto"/>
        <w:rPr>
          <w:rFonts w:ascii="Arial" w:hAnsi="Arial" w:cs="Arial"/>
          <w:u w:val="single"/>
        </w:rPr>
      </w:pPr>
      <w:r w:rsidRPr="009F632B">
        <w:rPr>
          <w:rFonts w:ascii="Arial" w:hAnsi="Arial" w:cs="Arial"/>
          <w:u w:val="single"/>
        </w:rPr>
        <w:t xml:space="preserve">Research method </w:t>
      </w:r>
    </w:p>
    <w:p w:rsidR="009F632B" w:rsidRPr="009F632B" w:rsidRDefault="009F632B" w:rsidP="009F632B">
      <w:pPr>
        <w:spacing w:line="360" w:lineRule="auto"/>
        <w:rPr>
          <w:rFonts w:ascii="Arial" w:hAnsi="Arial" w:cs="Arial"/>
        </w:rPr>
      </w:pPr>
      <w:r w:rsidRPr="009F632B">
        <w:rPr>
          <w:rFonts w:ascii="Arial" w:hAnsi="Arial" w:cs="Arial"/>
        </w:rPr>
        <w:t xml:space="preserve">In this research study, there was a mixed methods approach, utilizing both qualitative research from observational data from the Leuven Scale and quantitative data from a yes and no questionnaire. Using a yes and no questionnaire minimizes the cognitive burden on respondents, participants don’t need to expend significant mental effort formulating an answer, leading to faster and potentially more reliable responses (Rashid, 2024). Marshall (2005) states that despite questionnaires having their usefulness, there are limitations. As close ended formats limit participants ability to share their perspectives. Also, a questionnaire has to be clear and easy to complete for participants as there is no interviewer there to assist (Malays Fam Physician, 2006). However, </w:t>
      </w:r>
      <w:proofErr w:type="spellStart"/>
      <w:r w:rsidRPr="009F632B">
        <w:rPr>
          <w:rFonts w:ascii="Arial" w:hAnsi="Arial" w:cs="Arial"/>
        </w:rPr>
        <w:t>Phellas</w:t>
      </w:r>
      <w:proofErr w:type="spellEnd"/>
      <w:r w:rsidRPr="009F632B">
        <w:rPr>
          <w:rFonts w:ascii="Arial" w:hAnsi="Arial" w:cs="Arial"/>
        </w:rPr>
        <w:t xml:space="preserve"> et al (2012) states that by using questionnaires reduces the biasing error that could be caused by the researcher. Furthermore, to create an effective questionnaire, researches must focus on three key areas: writing clear and accurate questions that address the research objectives, structuring the questions in a way that is easy to follow for participants, and selecting an appropriate method for participants to complete the questionnaire (Bhandari, 2022). Therefore, when designing a questionnaire for pupils in a year three and four class, it was ensured the questions were age appropriate. This considered factors such as reading ability, comprehension of the term “lesson hook”, layout clarity and the overall type of questionnaire used. Likewise, Bell (2007) states that the key to an effective children’s </w:t>
      </w:r>
      <w:r w:rsidRPr="009F632B">
        <w:rPr>
          <w:rFonts w:ascii="Arial" w:hAnsi="Arial" w:cs="Arial"/>
        </w:rPr>
        <w:lastRenderedPageBreak/>
        <w:t xml:space="preserve">questionnaire lies in implicit design, keeping questions short and using straightforward sentence structures. Moreover, children require more time than adults to comprehend information (Gray, 2002; Kail, 1991). Therefore, when introducing the </w:t>
      </w:r>
      <w:proofErr w:type="gramStart"/>
      <w:r w:rsidRPr="009F632B">
        <w:rPr>
          <w:rFonts w:ascii="Arial" w:hAnsi="Arial" w:cs="Arial"/>
        </w:rPr>
        <w:t>questionnaire</w:t>
      </w:r>
      <w:proofErr w:type="gramEnd"/>
      <w:r w:rsidRPr="009F632B">
        <w:rPr>
          <w:rFonts w:ascii="Arial" w:hAnsi="Arial" w:cs="Arial"/>
        </w:rPr>
        <w:t xml:space="preserve"> it was important that there was an introduction of what a “lesson hook” is and explaining the questionnaire, as an introductory can significantly benefit the respondents understanding (Borges and Hox, 2000; </w:t>
      </w:r>
      <w:proofErr w:type="spellStart"/>
      <w:r w:rsidRPr="009F632B">
        <w:rPr>
          <w:rFonts w:ascii="Arial" w:hAnsi="Arial" w:cs="Arial"/>
        </w:rPr>
        <w:t>Holaday</w:t>
      </w:r>
      <w:proofErr w:type="spellEnd"/>
      <w:r w:rsidRPr="009F632B">
        <w:rPr>
          <w:rFonts w:ascii="Arial" w:hAnsi="Arial" w:cs="Arial"/>
        </w:rPr>
        <w:t xml:space="preserve"> and Turner-Henson, 1989). Along with this, crafting effective response options for children in questionnaires requires careful consideration. Within the questionnaire there shouldn’t be overwhelming for participants with too many choices or confusing them with unclear wording (Bell, 2007). Consequently, when creating the </w:t>
      </w:r>
      <w:proofErr w:type="gramStart"/>
      <w:r w:rsidRPr="009F632B">
        <w:rPr>
          <w:rFonts w:ascii="Arial" w:hAnsi="Arial" w:cs="Arial"/>
        </w:rPr>
        <w:t>questionnaire</w:t>
      </w:r>
      <w:proofErr w:type="gramEnd"/>
      <w:r w:rsidRPr="009F632B">
        <w:rPr>
          <w:rFonts w:ascii="Arial" w:hAnsi="Arial" w:cs="Arial"/>
        </w:rPr>
        <w:t xml:space="preserve"> it was important that it was taken into account that children might struggle to distinguish subtle differences between many options, leading to confusion (Borges and Hox, 2000). Another key aspect that was taken into account was the colours used on the questionnaire, grey is favoured in questionnaires as it is perceived as neutral and it is viewed as a colour of devoid emotional influence, minimizing the risk of biasing participants responses (</w:t>
      </w:r>
      <w:proofErr w:type="spellStart"/>
      <w:r w:rsidRPr="009F632B">
        <w:rPr>
          <w:rFonts w:ascii="Arial" w:hAnsi="Arial" w:cs="Arial"/>
        </w:rPr>
        <w:t>Hoolio</w:t>
      </w:r>
      <w:proofErr w:type="spellEnd"/>
      <w:r w:rsidRPr="009F632B">
        <w:rPr>
          <w:rFonts w:ascii="Arial" w:hAnsi="Arial" w:cs="Arial"/>
        </w:rPr>
        <w:t xml:space="preserve">, 2017).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Qualitative observation is a research method used to research a particular phenomenon or </w:t>
      </w:r>
      <w:proofErr w:type="gramStart"/>
      <w:r w:rsidRPr="009F632B">
        <w:rPr>
          <w:rFonts w:ascii="Arial" w:hAnsi="Arial" w:cs="Arial"/>
        </w:rPr>
        <w:t>quality,</w:t>
      </w:r>
      <w:proofErr w:type="gramEnd"/>
      <w:r w:rsidRPr="009F632B">
        <w:rPr>
          <w:rFonts w:ascii="Arial" w:hAnsi="Arial" w:cs="Arial"/>
        </w:rPr>
        <w:t xml:space="preserve"> the observation is based on the observer’s interpretation of what they see (George, 2023). Assessment serves as a continuous process within everyday practice, facilitating the observation, interpretation and understanding of children’s learning experiences (Drummond, 1993). As engagement in children has emerged as a potential contributor to the development of crucial cognitive processes, such as executive function and academic outcomes (Bierman et al., 2009). As well as extending to other important areas which include task orientation, emotional regulation and compliance (</w:t>
      </w:r>
      <w:proofErr w:type="spellStart"/>
      <w:r w:rsidRPr="009F632B">
        <w:rPr>
          <w:rFonts w:ascii="Arial" w:hAnsi="Arial" w:cs="Arial"/>
        </w:rPr>
        <w:t>Willford</w:t>
      </w:r>
      <w:proofErr w:type="spellEnd"/>
      <w:r w:rsidRPr="009F632B">
        <w:rPr>
          <w:rFonts w:ascii="Arial" w:hAnsi="Arial" w:cs="Arial"/>
        </w:rPr>
        <w:t xml:space="preserve"> et al., 2013). Therefore, engagement is a critical component in the learning process of education. Observing engagement duration may index sustained attention and task persistence, while the frequency of discrete behaviours (e.g., hand raising) can provide information about the child’s specific skills (Wood et al., 2016). Furthermore, the Leuven scale provides a framework for assessing the degree of children’s involvement in education settings (</w:t>
      </w:r>
      <w:proofErr w:type="spellStart"/>
      <w:r w:rsidRPr="009F632B">
        <w:rPr>
          <w:rFonts w:ascii="Arial" w:hAnsi="Arial" w:cs="Arial"/>
        </w:rPr>
        <w:t>MacRae</w:t>
      </w:r>
      <w:proofErr w:type="spellEnd"/>
      <w:r w:rsidRPr="009F632B">
        <w:rPr>
          <w:rFonts w:ascii="Arial" w:hAnsi="Arial" w:cs="Arial"/>
        </w:rPr>
        <w:t xml:space="preserve"> and Jones, 2023). The Leuven scale was used, this scale utilises a five-point system to quantify children’s engagement with lessons. Higher scores indicate more focused and persistent involvement, while lower scores reflect minimal engagement (</w:t>
      </w:r>
      <w:proofErr w:type="spellStart"/>
      <w:r w:rsidRPr="009F632B">
        <w:rPr>
          <w:rFonts w:ascii="Arial" w:hAnsi="Arial" w:cs="Arial"/>
        </w:rPr>
        <w:t>MacRae</w:t>
      </w:r>
      <w:proofErr w:type="spellEnd"/>
      <w:r w:rsidRPr="009F632B">
        <w:rPr>
          <w:rFonts w:ascii="Arial" w:hAnsi="Arial" w:cs="Arial"/>
        </w:rPr>
        <w:t xml:space="preserve"> </w:t>
      </w:r>
      <w:r w:rsidRPr="009F632B">
        <w:rPr>
          <w:rFonts w:ascii="Arial" w:hAnsi="Arial" w:cs="Arial"/>
        </w:rPr>
        <w:lastRenderedPageBreak/>
        <w:t xml:space="preserve">and Jones, 2023). In addition to this, observing children’s learning allows us to identify areas for improvement in our provision, ensuring a high -quality environment for all. These observations also empower educators to build upon individual strengths (Smidt, 2015). There’s a disconnect between what people say and how they behave. Observation offers a crucial window into reality, revealing actions that may contradict spoken words (Robson, 2002). Along with this, a semi- structured observation employs a thematic agenda to steer data collection. However, this approach embraces flexibility, allowing researchers to delve deeper and capture unforeseen details that might illuminate the core issues in more nuanced way (Cohen, Manion and Morrison., 2007). In addition, when planning to observe according to Moyles (2002), comprehensive observation recording should encompass the following: time of day, physical and contextual setting, layout (seating, desks), participants (Number, roles, activity) and chronological event order. However, observer bias, is a </w:t>
      </w:r>
      <w:proofErr w:type="spellStart"/>
      <w:r w:rsidRPr="009F632B">
        <w:rPr>
          <w:rFonts w:ascii="Arial" w:hAnsi="Arial" w:cs="Arial"/>
        </w:rPr>
        <w:t>well documented</w:t>
      </w:r>
      <w:proofErr w:type="spellEnd"/>
      <w:r w:rsidRPr="009F632B">
        <w:rPr>
          <w:rFonts w:ascii="Arial" w:hAnsi="Arial" w:cs="Arial"/>
        </w:rPr>
        <w:t xml:space="preserve"> concern (Wilkinson, 2000; Moyles 2002; Robson, 2002), can manifest in several ways such as selective attention as the observer may focus on specific aspects based on their own interests, reactivity as participants may alter their behaviour when are they are being observed, selective recording as observer might record interpretations of events and memory limitations as observer may have selective memory of what they recall observing.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Data presentation and analysis methods </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The findings of this study will be presented through a variety of data reporting methods. These methods will ensure clear communication of the key insights. Firstly, to present the data of the questionnaire will be done through a bar graph, as bar graphs are a clear way of presenting data and most people can easily understand the information they show (</w:t>
      </w:r>
      <w:proofErr w:type="spellStart"/>
      <w:r w:rsidRPr="009F632B">
        <w:rPr>
          <w:rFonts w:ascii="Arial" w:hAnsi="Arial" w:cs="Arial"/>
        </w:rPr>
        <w:t>Dragani</w:t>
      </w:r>
      <w:proofErr w:type="spellEnd"/>
      <w:r w:rsidRPr="009F632B">
        <w:rPr>
          <w:rFonts w:ascii="Arial" w:hAnsi="Arial" w:cs="Arial"/>
        </w:rPr>
        <w:t>, 2018). Along with this, bar graphs excel at revealing trends visually and allow for a quick estimation of key values (</w:t>
      </w:r>
      <w:proofErr w:type="spellStart"/>
      <w:r w:rsidRPr="009F632B">
        <w:rPr>
          <w:rFonts w:ascii="Arial" w:hAnsi="Arial" w:cs="Arial"/>
        </w:rPr>
        <w:t>Sofalof</w:t>
      </w:r>
      <w:proofErr w:type="spellEnd"/>
      <w:r w:rsidRPr="009F632B">
        <w:rPr>
          <w:rFonts w:ascii="Arial" w:hAnsi="Arial" w:cs="Arial"/>
        </w:rPr>
        <w:t xml:space="preserve">, 2015). Likewise, </w:t>
      </w:r>
      <w:proofErr w:type="spellStart"/>
      <w:r w:rsidRPr="009F632B">
        <w:rPr>
          <w:rFonts w:ascii="Arial" w:hAnsi="Arial" w:cs="Arial"/>
        </w:rPr>
        <w:t>Anesthesiol</w:t>
      </w:r>
      <w:proofErr w:type="spellEnd"/>
      <w:r w:rsidRPr="009F632B">
        <w:rPr>
          <w:rFonts w:ascii="Arial" w:hAnsi="Arial" w:cs="Arial"/>
        </w:rPr>
        <w:t xml:space="preserve"> (2022) states that visualisations are a powerful tool for presenting data trends and making it easier to interpret the statistical results. However, it is important to take into account that while the data on graphs shows some patterns, additional insight may be necessary to fully interpret their significance (Coursera, 2024). Also, </w:t>
      </w:r>
      <w:proofErr w:type="spellStart"/>
      <w:r w:rsidRPr="009F632B">
        <w:rPr>
          <w:rFonts w:ascii="Arial" w:hAnsi="Arial" w:cs="Arial"/>
        </w:rPr>
        <w:t>Tuncel</w:t>
      </w:r>
      <w:proofErr w:type="spellEnd"/>
      <w:r w:rsidRPr="009F632B">
        <w:rPr>
          <w:rFonts w:ascii="Arial" w:hAnsi="Arial" w:cs="Arial"/>
        </w:rPr>
        <w:t xml:space="preserve"> and </w:t>
      </w:r>
      <w:proofErr w:type="spellStart"/>
      <w:r w:rsidRPr="009F632B">
        <w:rPr>
          <w:rFonts w:ascii="Arial" w:hAnsi="Arial" w:cs="Arial"/>
        </w:rPr>
        <w:t>Atan</w:t>
      </w:r>
      <w:proofErr w:type="spellEnd"/>
      <w:r w:rsidRPr="009F632B">
        <w:rPr>
          <w:rFonts w:ascii="Arial" w:hAnsi="Arial" w:cs="Arial"/>
        </w:rPr>
        <w:t xml:space="preserve"> (2013) state the results section of a study </w:t>
      </w:r>
      <w:r w:rsidRPr="009F632B">
        <w:rPr>
          <w:rFonts w:ascii="Arial" w:hAnsi="Arial" w:cs="Arial"/>
        </w:rPr>
        <w:lastRenderedPageBreak/>
        <w:t xml:space="preserve">plays a critical role in ensuring readers grasp the study’s findings. </w:t>
      </w:r>
      <w:proofErr w:type="gramStart"/>
      <w:r w:rsidRPr="009F632B">
        <w:rPr>
          <w:rFonts w:ascii="Arial" w:hAnsi="Arial" w:cs="Arial"/>
        </w:rPr>
        <w:t>Therefore</w:t>
      </w:r>
      <w:proofErr w:type="gramEnd"/>
      <w:r w:rsidRPr="009F632B">
        <w:rPr>
          <w:rFonts w:ascii="Arial" w:hAnsi="Arial" w:cs="Arial"/>
        </w:rPr>
        <w:t xml:space="preserve"> effective writing is important to describe the data, it can involve interpreting the results of figures and tables, highlighting trends, and drawing connections between visual elements and the overall research question (</w:t>
      </w:r>
      <w:proofErr w:type="spellStart"/>
      <w:r w:rsidRPr="009F632B">
        <w:rPr>
          <w:rFonts w:ascii="Arial" w:hAnsi="Arial" w:cs="Arial"/>
        </w:rPr>
        <w:t>Tuncel</w:t>
      </w:r>
      <w:proofErr w:type="spellEnd"/>
      <w:r w:rsidRPr="009F632B">
        <w:rPr>
          <w:rFonts w:ascii="Arial" w:hAnsi="Arial" w:cs="Arial"/>
        </w:rPr>
        <w:t xml:space="preserve"> and </w:t>
      </w:r>
      <w:proofErr w:type="spellStart"/>
      <w:r w:rsidRPr="009F632B">
        <w:rPr>
          <w:rFonts w:ascii="Arial" w:hAnsi="Arial" w:cs="Arial"/>
        </w:rPr>
        <w:t>Atan</w:t>
      </w:r>
      <w:proofErr w:type="spellEnd"/>
      <w:r w:rsidRPr="009F632B">
        <w:rPr>
          <w:rFonts w:ascii="Arial" w:hAnsi="Arial" w:cs="Arial"/>
        </w:rPr>
        <w:t xml:space="preserve">, 2013). </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 xml:space="preserve">Moreover, another method that will be used will be using thematic analysis to present the results of an observation. Thematic analysis is a qualitive research method that involves a close examination of data to identify recurring themes, topics and patters of meaning (Caulfield, 2022). Jones (2022) states that thematic analysis, though susceptible to investigator bias that can influence identified themes and potentially reduce the validity of findings, remains a valuable tool despite it’s </w:t>
      </w:r>
      <w:proofErr w:type="gramStart"/>
      <w:r w:rsidRPr="009F632B">
        <w:rPr>
          <w:rFonts w:ascii="Arial" w:hAnsi="Arial" w:cs="Arial"/>
        </w:rPr>
        <w:t>time consuming</w:t>
      </w:r>
      <w:proofErr w:type="gramEnd"/>
      <w:r w:rsidRPr="009F632B">
        <w:rPr>
          <w:rFonts w:ascii="Arial" w:hAnsi="Arial" w:cs="Arial"/>
        </w:rPr>
        <w:t xml:space="preserve"> nature. However, this method can also lead to the discovery of unexpected themes, providing valuable insights and guiding future research (Jones, 2022). Likewise, </w:t>
      </w:r>
      <w:proofErr w:type="spellStart"/>
      <w:r w:rsidRPr="009F632B">
        <w:rPr>
          <w:rFonts w:ascii="Arial" w:hAnsi="Arial" w:cs="Arial"/>
        </w:rPr>
        <w:t>Bazeley</w:t>
      </w:r>
      <w:proofErr w:type="spellEnd"/>
      <w:r w:rsidRPr="009F632B">
        <w:rPr>
          <w:rFonts w:ascii="Arial" w:hAnsi="Arial" w:cs="Arial"/>
        </w:rPr>
        <w:t xml:space="preserve"> and</w:t>
      </w:r>
      <w:r w:rsidRPr="009F632B">
        <w:rPr>
          <w:rFonts w:ascii="Arial" w:hAnsi="Arial" w:cs="Arial"/>
          <w:color w:val="000000" w:themeColor="text1"/>
        </w:rPr>
        <w:t xml:space="preserve"> </w:t>
      </w:r>
      <w:proofErr w:type="spellStart"/>
      <w:r w:rsidRPr="009F632B">
        <w:rPr>
          <w:rFonts w:ascii="Arial" w:hAnsi="Arial" w:cs="Arial"/>
          <w:color w:val="000000" w:themeColor="text1"/>
          <w:sz w:val="23"/>
          <w:szCs w:val="23"/>
          <w:shd w:val="clear" w:color="auto" w:fill="FFFFFF"/>
        </w:rPr>
        <w:t>Khuder</w:t>
      </w:r>
      <w:proofErr w:type="spellEnd"/>
      <w:r w:rsidRPr="009F632B">
        <w:rPr>
          <w:rFonts w:ascii="Arial" w:hAnsi="Arial" w:cs="Arial"/>
          <w:color w:val="000000" w:themeColor="text1"/>
        </w:rPr>
        <w:t xml:space="preserve"> </w:t>
      </w:r>
      <w:r w:rsidRPr="009F632B">
        <w:rPr>
          <w:rFonts w:ascii="Arial" w:hAnsi="Arial" w:cs="Arial"/>
        </w:rPr>
        <w:t xml:space="preserve">(2009) states that thematic analysis enhances the precision of investigation by facilitating the recuring themes within the data.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Along with this, to gain comprehensive understanding of the research phenomenon, an integrated analysis of the questionnaire and observational data will be conducted. This process will involve systematically examining the findings from both methodologies, identifying areas of convergence and divergence. Convergence, where both data sets reveal similar patterns or themes, strengthens the overall validity and generalisability of the findings (Trochim et al, 2005). Conversely, divergence, where discrepancies exist, may provide opportunities for further exploration and more nuanced interpretation of the results (Feilding, 2009).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Ethical considerations </w:t>
      </w:r>
    </w:p>
    <w:p w:rsidR="009F632B" w:rsidRPr="009F632B" w:rsidRDefault="009F632B" w:rsidP="009F632B">
      <w:pPr>
        <w:spacing w:line="360" w:lineRule="auto"/>
        <w:rPr>
          <w:rFonts w:ascii="Arial" w:eastAsia="Times New Roman" w:hAnsi="Arial" w:cs="Arial"/>
          <w:kern w:val="0"/>
          <w:lang w:eastAsia="en-GB"/>
          <w14:ligatures w14:val="none"/>
        </w:rPr>
      </w:pPr>
    </w:p>
    <w:p w:rsidR="009F632B" w:rsidRPr="009F632B" w:rsidRDefault="009F632B" w:rsidP="009F632B">
      <w:pPr>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 xml:space="preserve">According to </w:t>
      </w:r>
      <w:proofErr w:type="spellStart"/>
      <w:r w:rsidRPr="009F632B">
        <w:rPr>
          <w:rFonts w:ascii="Arial" w:hAnsi="Arial" w:cs="Arial"/>
          <w:color w:val="000000" w:themeColor="text1"/>
        </w:rPr>
        <w:t>Bera</w:t>
      </w:r>
      <w:proofErr w:type="spellEnd"/>
      <w:r w:rsidRPr="009F632B">
        <w:rPr>
          <w:rFonts w:ascii="Arial" w:hAnsi="Arial" w:cs="Arial"/>
          <w:color w:val="000000" w:themeColor="text1"/>
        </w:rPr>
        <w:t xml:space="preserve"> (2018) researchers are expected to obtain participants voluntary informed consent at the beginning of a study. It is important for researches to remain open to the possibility that participants may wish to withdraw their consent at any time, for any reason. Furthermore, </w:t>
      </w:r>
      <w:r w:rsidRPr="009F632B">
        <w:rPr>
          <w:rFonts w:ascii="Arial" w:hAnsi="Arial" w:cs="Arial"/>
          <w:color w:val="000000" w:themeColor="text1"/>
          <w:sz w:val="23"/>
          <w:szCs w:val="23"/>
          <w:shd w:val="clear" w:color="auto" w:fill="FFFFFF"/>
        </w:rPr>
        <w:t xml:space="preserve">Saunders, Kitzinger and Kitzinger (2015) state that many ethical guidelines </w:t>
      </w:r>
      <w:proofErr w:type="spellStart"/>
      <w:r w:rsidRPr="009F632B">
        <w:rPr>
          <w:rFonts w:ascii="Arial" w:hAnsi="Arial" w:cs="Arial"/>
          <w:color w:val="000000" w:themeColor="text1"/>
          <w:sz w:val="23"/>
          <w:szCs w:val="23"/>
          <w:shd w:val="clear" w:color="auto" w:fill="FFFFFF"/>
        </w:rPr>
        <w:t>reccommend</w:t>
      </w:r>
      <w:proofErr w:type="spellEnd"/>
      <w:r w:rsidRPr="009F632B">
        <w:rPr>
          <w:rFonts w:ascii="Arial" w:hAnsi="Arial" w:cs="Arial"/>
          <w:color w:val="000000" w:themeColor="text1"/>
          <w:sz w:val="23"/>
          <w:szCs w:val="23"/>
          <w:shd w:val="clear" w:color="auto" w:fill="FFFFFF"/>
        </w:rPr>
        <w:t xml:space="preserve"> disguising the personal identities of research participants by default. However, it has been challenged that the ethics of ‘anonymity by default’, advocating for participant identification to empower individuals and the </w:t>
      </w:r>
      <w:r w:rsidRPr="009F632B">
        <w:rPr>
          <w:rFonts w:ascii="Arial" w:hAnsi="Arial" w:cs="Arial"/>
          <w:color w:val="000000" w:themeColor="text1"/>
          <w:sz w:val="23"/>
          <w:szCs w:val="23"/>
          <w:shd w:val="clear" w:color="auto" w:fill="FFFFFF"/>
        </w:rPr>
        <w:lastRenderedPageBreak/>
        <w:t xml:space="preserve">exaggeration of potential harm from lack of anonymity (Giordano et al., 2007; </w:t>
      </w:r>
      <w:proofErr w:type="spellStart"/>
      <w:r w:rsidRPr="009F632B">
        <w:rPr>
          <w:rFonts w:ascii="Arial" w:hAnsi="Arial" w:cs="Arial"/>
          <w:color w:val="000000" w:themeColor="text1"/>
          <w:sz w:val="23"/>
          <w:szCs w:val="23"/>
          <w:shd w:val="clear" w:color="auto" w:fill="FFFFFF"/>
        </w:rPr>
        <w:t>Grinyer</w:t>
      </w:r>
      <w:proofErr w:type="spellEnd"/>
      <w:r w:rsidRPr="009F632B">
        <w:rPr>
          <w:rFonts w:ascii="Arial" w:hAnsi="Arial" w:cs="Arial"/>
          <w:color w:val="000000" w:themeColor="text1"/>
          <w:sz w:val="23"/>
          <w:szCs w:val="23"/>
          <w:shd w:val="clear" w:color="auto" w:fill="FFFFFF"/>
        </w:rPr>
        <w:t xml:space="preserve">, 2002; Moore, 2012). Department of Education (No Date) state that before starting research it is crucial to get informed consent as it plays a huge role in ensuring that research is ethical. Therefore, ensuring that participants and their guardians receive accurate information about the research (Department of Education, No Date). A written consent documentation comprises an information sheet and a consent form signed by the participant (UK Data Service, 2012). </w:t>
      </w:r>
    </w:p>
    <w:p w:rsidR="009F632B" w:rsidRPr="009F632B" w:rsidRDefault="009F632B" w:rsidP="009F632B">
      <w:pPr>
        <w:spacing w:line="360" w:lineRule="auto"/>
        <w:rPr>
          <w:rFonts w:ascii="Arial" w:hAnsi="Arial" w:cs="Arial"/>
          <w:color w:val="000000" w:themeColor="text1"/>
          <w:sz w:val="23"/>
          <w:szCs w:val="23"/>
          <w:shd w:val="clear" w:color="auto" w:fill="FFFFFF"/>
        </w:rPr>
      </w:pPr>
    </w:p>
    <w:p w:rsidR="009F632B" w:rsidRPr="009F632B" w:rsidRDefault="009F632B" w:rsidP="009F632B">
      <w:pPr>
        <w:spacing w:line="360" w:lineRule="auto"/>
        <w:rPr>
          <w:rFonts w:ascii="Arial" w:hAnsi="Arial" w:cs="Arial"/>
          <w:color w:val="000000" w:themeColor="text1"/>
          <w:sz w:val="23"/>
          <w:szCs w:val="23"/>
          <w:shd w:val="clear" w:color="auto" w:fill="FFFFFF"/>
        </w:rPr>
      </w:pPr>
      <w:r w:rsidRPr="009F632B">
        <w:rPr>
          <w:rFonts w:ascii="Arial" w:hAnsi="Arial" w:cs="Arial"/>
          <w:color w:val="000000" w:themeColor="text1"/>
          <w:sz w:val="23"/>
          <w:szCs w:val="23"/>
          <w:shd w:val="clear" w:color="auto" w:fill="FFFFFF"/>
        </w:rPr>
        <w:t>Furthermore, it is essential to keep information safe and research participants anonymous from unauthorised access on a computer, it requires strong password protection for those devices (Walden University, 2024). As creating a strong and secure password will reduce the risk of anyone accessing sensitive data (</w:t>
      </w:r>
      <w:proofErr w:type="spellStart"/>
      <w:r w:rsidRPr="009F632B">
        <w:rPr>
          <w:rFonts w:ascii="Arial" w:hAnsi="Arial" w:cs="Arial"/>
          <w:color w:val="000000" w:themeColor="text1"/>
          <w:sz w:val="23"/>
          <w:szCs w:val="23"/>
          <w:shd w:val="clear" w:color="auto" w:fill="FFFFFF"/>
        </w:rPr>
        <w:t>Alkhatib</w:t>
      </w:r>
      <w:proofErr w:type="spellEnd"/>
      <w:r w:rsidRPr="009F632B">
        <w:rPr>
          <w:rFonts w:ascii="Arial" w:hAnsi="Arial" w:cs="Arial"/>
          <w:color w:val="000000" w:themeColor="text1"/>
          <w:sz w:val="23"/>
          <w:szCs w:val="23"/>
          <w:shd w:val="clear" w:color="auto" w:fill="FFFFFF"/>
        </w:rPr>
        <w:t xml:space="preserve">, Cutler and </w:t>
      </w:r>
      <w:proofErr w:type="spellStart"/>
      <w:r w:rsidRPr="009F632B">
        <w:rPr>
          <w:rFonts w:ascii="Arial" w:hAnsi="Arial" w:cs="Arial"/>
          <w:color w:val="000000" w:themeColor="text1"/>
          <w:sz w:val="23"/>
          <w:szCs w:val="23"/>
          <w:shd w:val="clear" w:color="auto" w:fill="FFFFFF"/>
        </w:rPr>
        <w:t>Guccione</w:t>
      </w:r>
      <w:proofErr w:type="spellEnd"/>
      <w:r w:rsidRPr="009F632B">
        <w:rPr>
          <w:rFonts w:ascii="Arial" w:hAnsi="Arial" w:cs="Arial"/>
          <w:color w:val="000000" w:themeColor="text1"/>
          <w:sz w:val="23"/>
          <w:szCs w:val="23"/>
          <w:shd w:val="clear" w:color="auto" w:fill="FFFFFF"/>
        </w:rPr>
        <w:t xml:space="preserve">, 2022). Along with electronic files, it was important to keep manual files and consent forms kept in a safe and secure place and locked, as under the Data Protection Act 2018 if any information in files or documents contain information that identify living individuals then this information should be handled with appropriate security and should not be kept longer than necessary.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Analysis of results</w:t>
      </w:r>
    </w:p>
    <w:p w:rsidR="009F632B" w:rsidRPr="009F632B" w:rsidRDefault="009F632B" w:rsidP="009F632B">
      <w:pPr>
        <w:spacing w:line="360" w:lineRule="auto"/>
        <w:rPr>
          <w:rFonts w:ascii="Arial" w:hAnsi="Arial" w:cs="Arial"/>
          <w:highlight w:val="yellow"/>
        </w:rPr>
      </w:pPr>
    </w:p>
    <w:p w:rsidR="009F632B" w:rsidRPr="009F632B" w:rsidRDefault="009F632B" w:rsidP="009F632B">
      <w:pPr>
        <w:spacing w:line="360" w:lineRule="auto"/>
        <w:rPr>
          <w:rFonts w:ascii="Arial" w:hAnsi="Arial" w:cs="Arial"/>
        </w:rPr>
      </w:pPr>
      <w:r w:rsidRPr="009F632B">
        <w:rPr>
          <w:rFonts w:ascii="Arial" w:hAnsi="Arial" w:cs="Arial"/>
        </w:rPr>
        <w:t xml:space="preserve">Children participants for this current study were selected from a pool of 33 children in a year three and four class, who are enrolled in School Y. As a part of this small study, six participants were randomly selected from this class ensuring there were boys and girls from each year group. To introduce a key concept within the instructional unit focused on fostering entrepreneurial skills in students, a novel approach was employed. As Gregson (2023) states that incorporating novel approaches into lessons injects creativity, fostering a more engaging learning environment. As the unit commenced, students were presented with a critical task: selecting two products for a culminating market event. However, to ignite their interest and introduce the concept of product selection in an engaging manner, they first engaged in watching a video featuring a simulated “Dragons Den” investor specifically tailored to the student audience, explaining their task at hand. </w:t>
      </w:r>
      <w:proofErr w:type="spellStart"/>
      <w:r w:rsidRPr="009F632B">
        <w:rPr>
          <w:rFonts w:ascii="Arial" w:hAnsi="Arial" w:cs="Arial"/>
        </w:rPr>
        <w:t>Tijanna</w:t>
      </w:r>
      <w:proofErr w:type="spellEnd"/>
      <w:r w:rsidRPr="009F632B">
        <w:rPr>
          <w:rFonts w:ascii="Arial" w:hAnsi="Arial" w:cs="Arial"/>
        </w:rPr>
        <w:t xml:space="preserve"> (2022) states that videos can grab a pupil’s attention and introduce lesson topics in a </w:t>
      </w:r>
      <w:r w:rsidRPr="009F632B">
        <w:rPr>
          <w:rFonts w:ascii="Arial" w:hAnsi="Arial" w:cs="Arial"/>
        </w:rPr>
        <w:lastRenderedPageBreak/>
        <w:t xml:space="preserve">visually stimulating and engaging way. This activity served as a lesson hook, drawing students into the </w:t>
      </w:r>
      <w:proofErr w:type="gramStart"/>
      <w:r w:rsidRPr="009F632B">
        <w:rPr>
          <w:rFonts w:ascii="Arial" w:hAnsi="Arial" w:cs="Arial"/>
        </w:rPr>
        <w:t>units</w:t>
      </w:r>
      <w:proofErr w:type="gramEnd"/>
      <w:r w:rsidRPr="009F632B">
        <w:rPr>
          <w:rFonts w:ascii="Arial" w:hAnsi="Arial" w:cs="Arial"/>
        </w:rPr>
        <w:t xml:space="preserve"> central theme and piquing their curiosity about the entrepreneurial process.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highlight w:val="yellow"/>
        </w:rPr>
      </w:pPr>
      <w:r w:rsidRPr="009F632B">
        <w:rPr>
          <w:rFonts w:ascii="Arial" w:hAnsi="Arial" w:cs="Arial"/>
          <w:noProof/>
          <w:u w:val="single"/>
        </w:rPr>
        <w:drawing>
          <wp:anchor distT="0" distB="0" distL="114300" distR="114300" simplePos="0" relativeHeight="251659264" behindDoc="1" locked="0" layoutInCell="1" allowOverlap="1" wp14:anchorId="5496F073" wp14:editId="3D933F3F">
            <wp:simplePos x="0" y="0"/>
            <wp:positionH relativeFrom="column">
              <wp:posOffset>221226</wp:posOffset>
            </wp:positionH>
            <wp:positionV relativeFrom="paragraph">
              <wp:posOffset>-164465</wp:posOffset>
            </wp:positionV>
            <wp:extent cx="4807585" cy="2698955"/>
            <wp:effectExtent l="0" t="0" r="18415" b="6350"/>
            <wp:wrapTight wrapText="bothSides">
              <wp:wrapPolygon edited="0">
                <wp:start x="0" y="0"/>
                <wp:lineTo x="0" y="21549"/>
                <wp:lineTo x="21626" y="21549"/>
                <wp:lineTo x="21626" y="0"/>
                <wp:lineTo x="0" y="0"/>
              </wp:wrapPolygon>
            </wp:wrapTight>
            <wp:docPr id="10868562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The graph reveals a clear trend of pupil’s feeling more engaged when a lesson hook is used in a lesson. Looking at question one and two, all six pupils said yes to liking when a lesson starts with a lesson hook and makes the lesson more interesting, as researched by </w:t>
      </w:r>
      <w:proofErr w:type="spellStart"/>
      <w:r w:rsidRPr="009F632B">
        <w:rPr>
          <w:rFonts w:ascii="Arial" w:hAnsi="Arial" w:cs="Arial"/>
        </w:rPr>
        <w:t>Diede</w:t>
      </w:r>
      <w:proofErr w:type="spellEnd"/>
      <w:r w:rsidRPr="009F632B">
        <w:rPr>
          <w:rFonts w:ascii="Arial" w:hAnsi="Arial" w:cs="Arial"/>
        </w:rPr>
        <w:t xml:space="preserve"> and </w:t>
      </w:r>
      <w:proofErr w:type="spellStart"/>
      <w:r w:rsidRPr="009F632B">
        <w:rPr>
          <w:rFonts w:ascii="Arial" w:hAnsi="Arial" w:cs="Arial"/>
        </w:rPr>
        <w:t>Risby</w:t>
      </w:r>
      <w:proofErr w:type="spellEnd"/>
      <w:r w:rsidRPr="009F632B">
        <w:rPr>
          <w:rFonts w:ascii="Arial" w:hAnsi="Arial" w:cs="Arial"/>
        </w:rPr>
        <w:t xml:space="preserve"> (2021) that effective lesson hooks equip teachers with a powerful tool to re- engage pupils and spark their interest in the upcoming content. As question three suggests, the graph shows that four pupils said yes to understanding the lesson better when starting with a lesson hook, but two pupils stated no, this could be due to pupils needing additional resources to understand what is being asked of them, as supported by the research of </w:t>
      </w:r>
      <w:proofErr w:type="spellStart"/>
      <w:r w:rsidRPr="009F632B">
        <w:rPr>
          <w:rFonts w:ascii="Arial" w:hAnsi="Arial" w:cs="Arial"/>
        </w:rPr>
        <w:t>Asees</w:t>
      </w:r>
      <w:proofErr w:type="spellEnd"/>
      <w:r w:rsidRPr="009F632B">
        <w:rPr>
          <w:rFonts w:ascii="Arial" w:hAnsi="Arial" w:cs="Arial"/>
        </w:rPr>
        <w:t xml:space="preserve"> (2023) that varied resources promote learner engagement by catering to individual differences in learning styles and abilities.  Moving onto question four, all six pupils stated that when starting with a lesson hook, it makes the learning more enjoyable, researcher </w:t>
      </w:r>
      <w:proofErr w:type="spellStart"/>
      <w:r w:rsidRPr="009F632B">
        <w:rPr>
          <w:rFonts w:ascii="Arial" w:hAnsi="Arial" w:cs="Arial"/>
        </w:rPr>
        <w:t>Cloke</w:t>
      </w:r>
      <w:proofErr w:type="spellEnd"/>
      <w:r w:rsidRPr="009F632B">
        <w:rPr>
          <w:rFonts w:ascii="Arial" w:hAnsi="Arial" w:cs="Arial"/>
        </w:rPr>
        <w:t xml:space="preserve"> (2024) found a positive correlation between strong positive emotions and enhanced learning outcomes. Looking at question five, six pupils all stated yes for </w:t>
      </w:r>
      <w:r w:rsidRPr="009F632B">
        <w:rPr>
          <w:rFonts w:ascii="Arial" w:hAnsi="Arial" w:cs="Arial"/>
        </w:rPr>
        <w:lastRenderedPageBreak/>
        <w:t xml:space="preserve">preferring when a lesson hook that is more imaginative, therefore as suggested by Miracle (2024) that engaging in imagination fosters the development of creativity, problem solving abilities and a range of other critical cognitive skills in pupils. As question six suggests, four pupils feel disappointed when there is no lesson hook at the beginning of the lesson and two pupils do not feel disappointed, this could be due to pupils feeling already genuinely interested in the lesson topic, as researched by Foster (2023) as engaged learners care about the subject matter, and demonstrate excitement or curiosity. Lastly, as question 7 shows, five pupils stated yes and find that when a lesson hook also involves group activities or talking to others more enjoyable, one pupil stated no, as researched by </w:t>
      </w:r>
      <w:proofErr w:type="spellStart"/>
      <w:r w:rsidRPr="009F632B">
        <w:rPr>
          <w:rFonts w:ascii="Arial" w:hAnsi="Arial" w:cs="Arial"/>
        </w:rPr>
        <w:t>Soloman</w:t>
      </w:r>
      <w:proofErr w:type="spellEnd"/>
      <w:r w:rsidRPr="009F632B">
        <w:rPr>
          <w:rFonts w:ascii="Arial" w:hAnsi="Arial" w:cs="Arial"/>
        </w:rPr>
        <w:t xml:space="preserve"> et al (2010) that engaging in group work fosters opportunities for social comparison, social cognition and social learning, therefore some pupils may feel they are unable to contribute in collaborative situations.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Moreover, looking at the results from observing the six different pupils, a Leuven scale was used which looked at well-being and involvement during the lesson hook. The scale ranges from 1 to 5, 1 being extremely low, 3 being moderate and 5 being extremely high. Child A’s and D’s results on the observation were 5 in both well -being and involvement as it was noted that Child A and D both were smiling throughout the video and made contributions to the class discussion afterwards regarding what type of things they will need to include in their presentation. Research by Howard (2015) highlights the positive impact of class discussion on pupils learning and that they are linked to increased pupil motivation and improved communication skills. Child B’s results show 5 in both well-being and involvement as during the video they had minimal fidgeting throughout and they were smiling. And it was noted that Child B said “I can’t wait to start” to another pupil. Along with this, when pupils were set off with their task they took a leadership role within their group. Li et al (2007) and Yamaguchi (2001) state that effective leadership serves as a crucial determinant of successful performances within collaborative group settings. Child C’s results show a 4 in well-being as they were making eye contact with the screen throughout and nodding along and also said “Is this real?” while smiling, they scored 4 in involvement as they were contributing well during the task afterwards. As researched by Carnegie Mellon University (No Date) that contributing in group activities shows engagement within the task which fosters the development of </w:t>
      </w:r>
      <w:r w:rsidRPr="009F632B">
        <w:rPr>
          <w:rFonts w:ascii="Arial" w:hAnsi="Arial" w:cs="Arial"/>
        </w:rPr>
        <w:lastRenderedPageBreak/>
        <w:t xml:space="preserve">collaborative learning skills. Child E’s results show a 3 in both well-being and involvement as they showed a general alertness and interest in the video content and task. Child F’s results show a 4 in both well-being and involvement as they recalled key points from the video such as the product can’t be food or drink related, along with this when it came to the </w:t>
      </w:r>
      <w:proofErr w:type="gramStart"/>
      <w:r w:rsidRPr="009F632B">
        <w:rPr>
          <w:rFonts w:ascii="Arial" w:hAnsi="Arial" w:cs="Arial"/>
        </w:rPr>
        <w:t>task</w:t>
      </w:r>
      <w:proofErr w:type="gramEnd"/>
      <w:r w:rsidRPr="009F632B">
        <w:rPr>
          <w:rFonts w:ascii="Arial" w:hAnsi="Arial" w:cs="Arial"/>
        </w:rPr>
        <w:t xml:space="preserve"> they showed their understanding of what was being asked. Structural Learning (2021) states that by actively recalling information can fuel an increased motivation and engagement in the learning process.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Overall, after analysing and grouping the data, there were some thematic themes identified. It was noticed that </w:t>
      </w:r>
      <w:proofErr w:type="gramStart"/>
      <w:r w:rsidRPr="009F632B">
        <w:rPr>
          <w:rFonts w:ascii="Arial" w:hAnsi="Arial" w:cs="Arial"/>
        </w:rPr>
        <w:t>overall</w:t>
      </w:r>
      <w:proofErr w:type="gramEnd"/>
      <w:r w:rsidRPr="009F632B">
        <w:rPr>
          <w:rFonts w:ascii="Arial" w:hAnsi="Arial" w:cs="Arial"/>
        </w:rPr>
        <w:t xml:space="preserve"> there was a high level of engagement and that pupils enjoy and find the lesson more interesting when the lesson starts with a lesson hook. Therefore, this shows that lesson hooks have are valuable to engaging pupils in lessons, as researched by (Smith, 2019) that lessons hooks </w:t>
      </w:r>
      <w:proofErr w:type="gramStart"/>
      <w:r w:rsidRPr="009F632B">
        <w:rPr>
          <w:rFonts w:ascii="Arial" w:hAnsi="Arial" w:cs="Arial"/>
        </w:rPr>
        <w:t>grabs</w:t>
      </w:r>
      <w:proofErr w:type="gramEnd"/>
      <w:r w:rsidRPr="009F632B">
        <w:rPr>
          <w:rFonts w:ascii="Arial" w:hAnsi="Arial" w:cs="Arial"/>
        </w:rPr>
        <w:t xml:space="preserve"> the attention of pupils and injects energy into a new learning journey. Along with this, listening to the learners is important as the Reggio </w:t>
      </w:r>
      <w:proofErr w:type="spellStart"/>
      <w:r w:rsidRPr="009F632B">
        <w:rPr>
          <w:rFonts w:ascii="Arial" w:hAnsi="Arial" w:cs="Arial"/>
        </w:rPr>
        <w:t>Emillia</w:t>
      </w:r>
      <w:proofErr w:type="spellEnd"/>
      <w:r w:rsidRPr="009F632B">
        <w:rPr>
          <w:rFonts w:ascii="Arial" w:hAnsi="Arial" w:cs="Arial"/>
        </w:rPr>
        <w:t xml:space="preserve"> approach emphasis the valuing diverse perspectives, opinions of participants, interpretations, adults and children alike, and centres around the share experience of collaborative learning (Thornton and Brunton, 2015).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Conclusion/ recommendations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r w:rsidRPr="009F632B">
        <w:rPr>
          <w:rFonts w:ascii="Arial" w:hAnsi="Arial" w:cs="Arial"/>
        </w:rPr>
        <w:t xml:space="preserve">To conclude, by employing a combination of “yes/no” questionnaires and classroom observations, the research aimed to understand how lesson hooks influenced pupil motivation and participation. The findings revealed that pupils across both year groups generally perceived lesson hooks as a positive influence on their engagement. Observations further supported this notion, with students demonstrating increased focus and participation when presented with engaging lesson introductions. </w:t>
      </w:r>
    </w:p>
    <w:p w:rsidR="009F632B" w:rsidRPr="009F632B" w:rsidRDefault="009F632B" w:rsidP="009F632B">
      <w:pPr>
        <w:spacing w:line="360" w:lineRule="auto"/>
        <w:rPr>
          <w:rFonts w:ascii="Arial" w:hAnsi="Arial" w:cs="Arial"/>
        </w:rPr>
      </w:pPr>
    </w:p>
    <w:p w:rsidR="009F632B" w:rsidRPr="009F632B" w:rsidRDefault="009F632B" w:rsidP="009F632B">
      <w:pPr>
        <w:spacing w:line="360" w:lineRule="auto"/>
        <w:rPr>
          <w:rFonts w:ascii="Arial" w:hAnsi="Arial" w:cs="Arial"/>
        </w:rPr>
      </w:pPr>
      <w:r w:rsidRPr="009F632B">
        <w:rPr>
          <w:rFonts w:ascii="Arial" w:hAnsi="Arial" w:cs="Arial"/>
        </w:rPr>
        <w:t xml:space="preserve">However, acknowledging the limitations of a “yes/no” questionnaire could have provided a richer data with open-ended questions allowing for more pupil perspectives (Shannon, 2023). Additionally, investigating the long-term impact of engaging lesson hooks on pupil achievement could provide valuable insights for </w:t>
      </w:r>
      <w:r w:rsidRPr="009F632B">
        <w:rPr>
          <w:rFonts w:ascii="Arial" w:hAnsi="Arial" w:cs="Arial"/>
        </w:rPr>
        <w:lastRenderedPageBreak/>
        <w:t xml:space="preserve">educators seeking to optimise learning experiences (Smith, 2019). By highlighting the positive impact of lesson hooks on pupil engagement, this study underscores their importance as a teaching strategy. Understanding pupil’s perceptions of lesson hooks empowers educators to tailor their instructional practices to ignite curiosity and foster a more vibrant learning environment.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rPr>
      </w:pPr>
      <w:r w:rsidRPr="009F632B">
        <w:rPr>
          <w:rFonts w:ascii="Arial" w:hAnsi="Arial" w:cs="Arial"/>
        </w:rPr>
        <w:t>Based on the findings of this study, the research timeframe could have been extended to allow for more comprehensive data collection process. Additionally, a larger sample size encompassing a broader range of participants would enhance the generalizability of findings. Furthermore, future iterations of this research could benefit from exploring the impact of diverse lesson hook types, enabling a more nuanced understanding of pupil engagement preferences (</w:t>
      </w:r>
      <w:proofErr w:type="spellStart"/>
      <w:r w:rsidRPr="009F632B">
        <w:rPr>
          <w:rFonts w:ascii="Arial" w:hAnsi="Arial" w:cs="Arial"/>
        </w:rPr>
        <w:t>Diede</w:t>
      </w:r>
      <w:proofErr w:type="spellEnd"/>
      <w:r w:rsidRPr="009F632B">
        <w:rPr>
          <w:rFonts w:ascii="Arial" w:hAnsi="Arial" w:cs="Arial"/>
        </w:rPr>
        <w:t xml:space="preserve"> and </w:t>
      </w:r>
      <w:proofErr w:type="spellStart"/>
      <w:r w:rsidRPr="009F632B">
        <w:rPr>
          <w:rFonts w:ascii="Arial" w:hAnsi="Arial" w:cs="Arial"/>
        </w:rPr>
        <w:t>Risby</w:t>
      </w:r>
      <w:proofErr w:type="spellEnd"/>
      <w:r w:rsidRPr="009F632B">
        <w:rPr>
          <w:rFonts w:ascii="Arial" w:hAnsi="Arial" w:cs="Arial"/>
        </w:rPr>
        <w:t xml:space="preserve">., 2021). Therefore, moving forward in my own practice, the incorporation of lesson hooks can serve as a valuable tool for fostering student interest and active participation in the learning process.  </w:t>
      </w: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p>
    <w:p w:rsidR="009F632B" w:rsidRPr="009F632B" w:rsidRDefault="009F632B" w:rsidP="009F632B">
      <w:pPr>
        <w:spacing w:line="360" w:lineRule="auto"/>
        <w:rPr>
          <w:rFonts w:ascii="Arial" w:hAnsi="Arial" w:cs="Arial"/>
          <w:u w:val="single"/>
        </w:rPr>
      </w:pPr>
      <w:r w:rsidRPr="009F632B">
        <w:rPr>
          <w:rFonts w:ascii="Arial" w:hAnsi="Arial" w:cs="Arial"/>
          <w:u w:val="single"/>
        </w:rPr>
        <w:t xml:space="preserve">Reference list </w:t>
      </w:r>
    </w:p>
    <w:p w:rsidR="009F632B" w:rsidRDefault="009F632B" w:rsidP="009F632B">
      <w:pPr>
        <w:rPr>
          <w:u w:val="single"/>
        </w:rPr>
      </w:pPr>
    </w:p>
    <w:p w:rsidR="009F632B" w:rsidRDefault="009F632B" w:rsidP="009F632B">
      <w:pPr>
        <w:rPr>
          <w:u w:val="single"/>
        </w:rPr>
      </w:pPr>
    </w:p>
    <w:p w:rsidR="009F632B" w:rsidRDefault="009F632B" w:rsidP="009F632B">
      <w:pPr>
        <w:rPr>
          <w:u w:val="single"/>
        </w:rPr>
      </w:pPr>
    </w:p>
    <w:p w:rsidR="009F632B" w:rsidRPr="007C4C76" w:rsidRDefault="009F632B" w:rsidP="009F632B">
      <w:pPr>
        <w:rPr>
          <w:u w:val="single"/>
        </w:rPr>
      </w:pPr>
    </w:p>
    <w:p w:rsidR="009F632B" w:rsidRDefault="009F632B" w:rsidP="00331574"/>
    <w:sectPr w:rsidR="009F632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C1000" w:rsidRDefault="000C1000" w:rsidP="00331574">
      <w:r>
        <w:separator/>
      </w:r>
    </w:p>
  </w:endnote>
  <w:endnote w:type="continuationSeparator" w:id="0">
    <w:p w:rsidR="000C1000" w:rsidRDefault="000C1000" w:rsidP="00331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C1000" w:rsidRDefault="000C1000" w:rsidP="00331574">
      <w:r>
        <w:separator/>
      </w:r>
    </w:p>
  </w:footnote>
  <w:footnote w:type="continuationSeparator" w:id="0">
    <w:p w:rsidR="000C1000" w:rsidRDefault="000C1000" w:rsidP="003315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31574" w:rsidRPr="00331574" w:rsidRDefault="00331574">
    <w:pPr>
      <w:pStyle w:val="Header"/>
      <w:rPr>
        <w:rFonts w:ascii="Arial" w:hAnsi="Arial" w:cs="Arial"/>
        <w:sz w:val="20"/>
        <w:szCs w:val="20"/>
      </w:rPr>
    </w:pPr>
    <w:proofErr w:type="spellStart"/>
    <w:r w:rsidRPr="00331574">
      <w:rPr>
        <w:rFonts w:ascii="Arial" w:hAnsi="Arial" w:cs="Arial"/>
        <w:sz w:val="20"/>
        <w:szCs w:val="20"/>
      </w:rPr>
      <w:t>Rhif</w:t>
    </w:r>
    <w:proofErr w:type="spellEnd"/>
    <w:r w:rsidRPr="00331574">
      <w:rPr>
        <w:rFonts w:ascii="Arial" w:hAnsi="Arial" w:cs="Arial"/>
        <w:sz w:val="20"/>
        <w:szCs w:val="20"/>
      </w:rPr>
      <w:t xml:space="preserve"> </w:t>
    </w:r>
    <w:proofErr w:type="spellStart"/>
    <w:r w:rsidRPr="00331574">
      <w:rPr>
        <w:rFonts w:ascii="Arial" w:hAnsi="Arial" w:cs="Arial"/>
        <w:sz w:val="20"/>
        <w:szCs w:val="20"/>
      </w:rPr>
      <w:t>Myfyriwr</w:t>
    </w:r>
    <w:proofErr w:type="spellEnd"/>
    <w:r w:rsidRPr="00331574">
      <w:rPr>
        <w:rFonts w:ascii="Arial" w:hAnsi="Arial" w:cs="Arial"/>
        <w:sz w:val="20"/>
        <w:szCs w:val="20"/>
      </w:rPr>
      <w:t xml:space="preserve"> / Student Number: 1706573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B64E7"/>
    <w:multiLevelType w:val="hybridMultilevel"/>
    <w:tmpl w:val="905A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05184"/>
    <w:multiLevelType w:val="hybridMultilevel"/>
    <w:tmpl w:val="ED34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3373E"/>
    <w:multiLevelType w:val="hybridMultilevel"/>
    <w:tmpl w:val="1A74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A6906"/>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297B81"/>
    <w:multiLevelType w:val="hybridMultilevel"/>
    <w:tmpl w:val="910C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93BCD"/>
    <w:multiLevelType w:val="hybridMultilevel"/>
    <w:tmpl w:val="EB084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851A2"/>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334A2C"/>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AB00FF"/>
    <w:multiLevelType w:val="multilevel"/>
    <w:tmpl w:val="96B07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7293270">
    <w:abstractNumId w:val="2"/>
  </w:num>
  <w:num w:numId="2" w16cid:durableId="1566525114">
    <w:abstractNumId w:val="3"/>
  </w:num>
  <w:num w:numId="3" w16cid:durableId="669647465">
    <w:abstractNumId w:val="4"/>
  </w:num>
  <w:num w:numId="4" w16cid:durableId="1999074712">
    <w:abstractNumId w:val="1"/>
  </w:num>
  <w:num w:numId="5" w16cid:durableId="1559510737">
    <w:abstractNumId w:val="0"/>
  </w:num>
  <w:num w:numId="6" w16cid:durableId="2060859959">
    <w:abstractNumId w:val="5"/>
  </w:num>
  <w:num w:numId="7" w16cid:durableId="1861579957">
    <w:abstractNumId w:val="6"/>
  </w:num>
  <w:num w:numId="8" w16cid:durableId="1208026608">
    <w:abstractNumId w:val="7"/>
  </w:num>
  <w:num w:numId="9" w16cid:durableId="17068340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574"/>
    <w:rsid w:val="000C1000"/>
    <w:rsid w:val="00331574"/>
    <w:rsid w:val="00344722"/>
    <w:rsid w:val="006F17E7"/>
    <w:rsid w:val="009F632B"/>
    <w:rsid w:val="00A4119A"/>
    <w:rsid w:val="00DC229D"/>
    <w:rsid w:val="00E70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6A8687"/>
  <w15:chartTrackingRefBased/>
  <w15:docId w15:val="{6AA2F14E-D1C9-C945-BC18-EA9BE3647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157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331574"/>
    <w:pPr>
      <w:tabs>
        <w:tab w:val="center" w:pos="4513"/>
        <w:tab w:val="right" w:pos="9026"/>
      </w:tabs>
    </w:pPr>
  </w:style>
  <w:style w:type="character" w:customStyle="1" w:styleId="HeaderChar">
    <w:name w:val="Header Char"/>
    <w:basedOn w:val="DefaultParagraphFont"/>
    <w:link w:val="Header"/>
    <w:uiPriority w:val="99"/>
    <w:rsid w:val="00331574"/>
  </w:style>
  <w:style w:type="paragraph" w:styleId="Footer">
    <w:name w:val="footer"/>
    <w:basedOn w:val="Normal"/>
    <w:link w:val="FooterChar"/>
    <w:uiPriority w:val="99"/>
    <w:unhideWhenUsed/>
    <w:rsid w:val="00331574"/>
    <w:pPr>
      <w:tabs>
        <w:tab w:val="center" w:pos="4513"/>
        <w:tab w:val="right" w:pos="9026"/>
      </w:tabs>
    </w:pPr>
  </w:style>
  <w:style w:type="character" w:customStyle="1" w:styleId="FooterChar">
    <w:name w:val="Footer Char"/>
    <w:basedOn w:val="DefaultParagraphFont"/>
    <w:link w:val="Footer"/>
    <w:uiPriority w:val="99"/>
    <w:rsid w:val="00331574"/>
  </w:style>
  <w:style w:type="paragraph" w:styleId="ListParagraph">
    <w:name w:val="List Paragraph"/>
    <w:basedOn w:val="Normal"/>
    <w:uiPriority w:val="34"/>
    <w:qFormat/>
    <w:rsid w:val="009F632B"/>
    <w:pPr>
      <w:ind w:left="720"/>
      <w:contextualSpacing/>
    </w:pPr>
  </w:style>
  <w:style w:type="character" w:customStyle="1" w:styleId="apple-converted-space">
    <w:name w:val="apple-converted-space"/>
    <w:basedOn w:val="DefaultParagraphFont"/>
    <w:rsid w:val="009F63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254489">
      <w:bodyDiv w:val="1"/>
      <w:marLeft w:val="0"/>
      <w:marRight w:val="0"/>
      <w:marTop w:val="0"/>
      <w:marBottom w:val="0"/>
      <w:divBdr>
        <w:top w:val="none" w:sz="0" w:space="0" w:color="auto"/>
        <w:left w:val="none" w:sz="0" w:space="0" w:color="auto"/>
        <w:bottom w:val="none" w:sz="0" w:space="0" w:color="auto"/>
        <w:right w:val="none" w:sz="0" w:space="0" w:color="auto"/>
      </w:divBdr>
      <w:divsChild>
        <w:div w:id="1350452797">
          <w:marLeft w:val="0"/>
          <w:marRight w:val="0"/>
          <w:marTop w:val="0"/>
          <w:marBottom w:val="0"/>
          <w:divBdr>
            <w:top w:val="none" w:sz="0" w:space="0" w:color="auto"/>
            <w:left w:val="none" w:sz="0" w:space="0" w:color="auto"/>
            <w:bottom w:val="none" w:sz="0" w:space="0" w:color="auto"/>
            <w:right w:val="none" w:sz="0" w:space="0" w:color="auto"/>
          </w:divBdr>
          <w:divsChild>
            <w:div w:id="460347614">
              <w:marLeft w:val="0"/>
              <w:marRight w:val="0"/>
              <w:marTop w:val="0"/>
              <w:marBottom w:val="0"/>
              <w:divBdr>
                <w:top w:val="none" w:sz="0" w:space="0" w:color="auto"/>
                <w:left w:val="none" w:sz="0" w:space="0" w:color="auto"/>
                <w:bottom w:val="none" w:sz="0" w:space="0" w:color="auto"/>
                <w:right w:val="none" w:sz="0" w:space="0" w:color="auto"/>
              </w:divBdr>
              <w:divsChild>
                <w:div w:id="4862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aseline="0">
                <a:effectLst/>
              </a:rPr>
              <a:t>Questionnaire Results </a:t>
            </a:r>
            <a:endParaRPr lang="en-GB" sz="1400">
              <a:effectLst/>
            </a:endParaRPr>
          </a:p>
        </c:rich>
      </c:tx>
      <c:layout>
        <c:manualLayout>
          <c:xMode val="edge"/>
          <c:yMode val="edge"/>
          <c:x val="0.33115628740833497"/>
          <c:y val="6.68276053728577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9821555745022315E-2"/>
          <c:y val="0.27712393143594483"/>
          <c:w val="0.92961814668999709"/>
          <c:h val="0.6506933508311461"/>
        </c:manualLayout>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Sheet1!$A$2:$A$8</c:f>
              <c:strCache>
                <c:ptCount val="7"/>
                <c:pt idx="0">
                  <c:v>Q1</c:v>
                </c:pt>
                <c:pt idx="1">
                  <c:v>Q2</c:v>
                </c:pt>
                <c:pt idx="2">
                  <c:v>Q3</c:v>
                </c:pt>
                <c:pt idx="3">
                  <c:v>Q4</c:v>
                </c:pt>
                <c:pt idx="4">
                  <c:v>Q5</c:v>
                </c:pt>
                <c:pt idx="5">
                  <c:v>Q6</c:v>
                </c:pt>
                <c:pt idx="6">
                  <c:v>Q7</c:v>
                </c:pt>
              </c:strCache>
            </c:strRef>
          </c:cat>
          <c:val>
            <c:numRef>
              <c:f>Sheet1!$B$2:$B$8</c:f>
              <c:numCache>
                <c:formatCode>General</c:formatCode>
                <c:ptCount val="7"/>
                <c:pt idx="0">
                  <c:v>6</c:v>
                </c:pt>
                <c:pt idx="1">
                  <c:v>6</c:v>
                </c:pt>
                <c:pt idx="2">
                  <c:v>4</c:v>
                </c:pt>
                <c:pt idx="3">
                  <c:v>6</c:v>
                </c:pt>
                <c:pt idx="4">
                  <c:v>6</c:v>
                </c:pt>
                <c:pt idx="5">
                  <c:v>4</c:v>
                </c:pt>
                <c:pt idx="6">
                  <c:v>5</c:v>
                </c:pt>
              </c:numCache>
            </c:numRef>
          </c:val>
          <c:extLst>
            <c:ext xmlns:c16="http://schemas.microsoft.com/office/drawing/2014/chart" uri="{C3380CC4-5D6E-409C-BE32-E72D297353CC}">
              <c16:uniqueId val="{00000000-9CB4-BE4A-B06F-8F435987E884}"/>
            </c:ext>
          </c:extLst>
        </c:ser>
        <c:ser>
          <c:idx val="1"/>
          <c:order val="1"/>
          <c:tx>
            <c:strRef>
              <c:f>Sheet1!$C$1</c:f>
              <c:strCache>
                <c:ptCount val="1"/>
                <c:pt idx="0">
                  <c:v>No</c:v>
                </c:pt>
              </c:strCache>
            </c:strRef>
          </c:tx>
          <c:spPr>
            <a:solidFill>
              <a:schemeClr val="accent2"/>
            </a:solidFill>
            <a:ln>
              <a:noFill/>
            </a:ln>
            <a:effectLst/>
          </c:spPr>
          <c:invertIfNegative val="0"/>
          <c:cat>
            <c:strRef>
              <c:f>Sheet1!$A$2:$A$8</c:f>
              <c:strCache>
                <c:ptCount val="7"/>
                <c:pt idx="0">
                  <c:v>Q1</c:v>
                </c:pt>
                <c:pt idx="1">
                  <c:v>Q2</c:v>
                </c:pt>
                <c:pt idx="2">
                  <c:v>Q3</c:v>
                </c:pt>
                <c:pt idx="3">
                  <c:v>Q4</c:v>
                </c:pt>
                <c:pt idx="4">
                  <c:v>Q5</c:v>
                </c:pt>
                <c:pt idx="5">
                  <c:v>Q6</c:v>
                </c:pt>
                <c:pt idx="6">
                  <c:v>Q7</c:v>
                </c:pt>
              </c:strCache>
            </c:strRef>
          </c:cat>
          <c:val>
            <c:numRef>
              <c:f>Sheet1!$C$2:$C$8</c:f>
              <c:numCache>
                <c:formatCode>General</c:formatCode>
                <c:ptCount val="7"/>
                <c:pt idx="0">
                  <c:v>0</c:v>
                </c:pt>
                <c:pt idx="1">
                  <c:v>0</c:v>
                </c:pt>
                <c:pt idx="2">
                  <c:v>2</c:v>
                </c:pt>
                <c:pt idx="3">
                  <c:v>0</c:v>
                </c:pt>
                <c:pt idx="4">
                  <c:v>0</c:v>
                </c:pt>
                <c:pt idx="5">
                  <c:v>2</c:v>
                </c:pt>
                <c:pt idx="6">
                  <c:v>1</c:v>
                </c:pt>
              </c:numCache>
            </c:numRef>
          </c:val>
          <c:extLst>
            <c:ext xmlns:c16="http://schemas.microsoft.com/office/drawing/2014/chart" uri="{C3380CC4-5D6E-409C-BE32-E72D297353CC}">
              <c16:uniqueId val="{00000001-9CB4-BE4A-B06F-8F435987E884}"/>
            </c:ext>
          </c:extLst>
        </c:ser>
        <c:dLbls>
          <c:showLegendKey val="0"/>
          <c:showVal val="0"/>
          <c:showCatName val="0"/>
          <c:showSerName val="0"/>
          <c:showPercent val="0"/>
          <c:showBubbleSize val="0"/>
        </c:dLbls>
        <c:gapWidth val="219"/>
        <c:overlap val="-27"/>
        <c:axId val="2134138463"/>
        <c:axId val="2134528079"/>
      </c:barChart>
      <c:catAx>
        <c:axId val="2134138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528079"/>
        <c:crosses val="autoZero"/>
        <c:auto val="1"/>
        <c:lblAlgn val="ctr"/>
        <c:lblOffset val="100"/>
        <c:noMultiLvlLbl val="0"/>
      </c:catAx>
      <c:valAx>
        <c:axId val="21345280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4138463"/>
        <c:crosses val="autoZero"/>
        <c:crossBetween val="between"/>
      </c:valAx>
      <c:spPr>
        <a:noFill/>
        <a:ln>
          <a:noFill/>
        </a:ln>
        <a:effectLst/>
      </c:spPr>
    </c:plotArea>
    <c:legend>
      <c:legendPos val="b"/>
      <c:layout>
        <c:manualLayout>
          <c:xMode val="edge"/>
          <c:yMode val="edge"/>
          <c:x val="0.82294246258339843"/>
          <c:y val="3.5204233327431507E-3"/>
          <c:w val="0.11747366562481217"/>
          <c:h val="0.2624956988564804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14</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dilling</dc:creator>
  <cp:keywords/>
  <dc:description/>
  <cp:lastModifiedBy>alex dilling</cp:lastModifiedBy>
  <cp:revision>5</cp:revision>
  <dcterms:created xsi:type="dcterms:W3CDTF">2024-05-06T19:25:00Z</dcterms:created>
  <dcterms:modified xsi:type="dcterms:W3CDTF">2024-05-06T21:26:00Z</dcterms:modified>
</cp:coreProperties>
</file>