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24B427C" w14:paraId="5CF8D0F2" wp14:textId="6CE4ED14">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224B427C" w:rsidR="224B427C">
        <w:rPr>
          <w:rFonts w:ascii="Arial" w:hAnsi="Arial" w:eastAsia="Arial" w:cs="Arial"/>
          <w:b w:val="1"/>
          <w:bCs w:val="1"/>
          <w:i w:val="0"/>
          <w:iCs w:val="0"/>
          <w:caps w:val="0"/>
          <w:smallCaps w:val="0"/>
          <w:noProof w:val="0"/>
          <w:color w:val="000000" w:themeColor="text1" w:themeTint="FF" w:themeShade="FF"/>
          <w:sz w:val="36"/>
          <w:szCs w:val="36"/>
          <w:lang w:val="en-US"/>
        </w:rPr>
        <w:t>STUDENT NAME: GRACE NANKYA KIWANUKA</w:t>
      </w:r>
    </w:p>
    <w:p xmlns:wp14="http://schemas.microsoft.com/office/word/2010/wordml" w:rsidP="224B427C" w14:paraId="4F67F9CD" wp14:textId="0396F5D8">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224B427C" w14:paraId="5D568061" wp14:textId="633B1A83">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224B427C" w:rsidR="224B427C">
        <w:rPr>
          <w:rFonts w:ascii="Arial" w:hAnsi="Arial" w:eastAsia="Arial" w:cs="Arial"/>
          <w:b w:val="1"/>
          <w:bCs w:val="1"/>
          <w:i w:val="0"/>
          <w:iCs w:val="0"/>
          <w:caps w:val="0"/>
          <w:smallCaps w:val="0"/>
          <w:noProof w:val="0"/>
          <w:color w:val="000000" w:themeColor="text1" w:themeTint="FF" w:themeShade="FF"/>
          <w:sz w:val="36"/>
          <w:szCs w:val="36"/>
          <w:lang w:val="en-US"/>
        </w:rPr>
        <w:t>STUDENT ID:1920908</w:t>
      </w:r>
    </w:p>
    <w:p xmlns:wp14="http://schemas.microsoft.com/office/word/2010/wordml" w:rsidP="224B427C" w14:paraId="44A92A0B" wp14:textId="127E4D6D">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224B427C" w:rsidR="224B427C">
        <w:rPr>
          <w:rFonts w:ascii="Arial" w:hAnsi="Arial" w:eastAsia="Arial" w:cs="Arial"/>
          <w:b w:val="1"/>
          <w:bCs w:val="1"/>
          <w:i w:val="0"/>
          <w:iCs w:val="0"/>
          <w:caps w:val="0"/>
          <w:smallCaps w:val="0"/>
          <w:noProof w:val="0"/>
          <w:color w:val="000000" w:themeColor="text1" w:themeTint="FF" w:themeShade="FF"/>
          <w:sz w:val="36"/>
          <w:szCs w:val="36"/>
          <w:lang w:val="en-US"/>
        </w:rPr>
        <w:t xml:space="preserve">MODULE: LIVING WITH </w:t>
      </w:r>
      <w:r w:rsidRPr="224B427C" w:rsidR="224B427C">
        <w:rPr>
          <w:rFonts w:ascii="Arial" w:hAnsi="Arial" w:eastAsia="Arial" w:cs="Arial"/>
          <w:b w:val="1"/>
          <w:bCs w:val="1"/>
          <w:i w:val="0"/>
          <w:iCs w:val="0"/>
          <w:caps w:val="0"/>
          <w:smallCaps w:val="0"/>
          <w:noProof w:val="0"/>
          <w:color w:val="000000" w:themeColor="text1" w:themeTint="FF" w:themeShade="FF"/>
          <w:sz w:val="36"/>
          <w:szCs w:val="36"/>
          <w:lang w:val="en-US"/>
        </w:rPr>
        <w:t>CARE: THE</w:t>
      </w:r>
      <w:r w:rsidRPr="224B427C" w:rsidR="224B427C">
        <w:rPr>
          <w:rFonts w:ascii="Arial" w:hAnsi="Arial" w:eastAsia="Arial" w:cs="Arial"/>
          <w:b w:val="1"/>
          <w:bCs w:val="1"/>
          <w:i w:val="0"/>
          <w:iCs w:val="0"/>
          <w:caps w:val="0"/>
          <w:smallCaps w:val="0"/>
          <w:noProof w:val="0"/>
          <w:color w:val="000000" w:themeColor="text1" w:themeTint="FF" w:themeShade="FF"/>
          <w:sz w:val="36"/>
          <w:szCs w:val="36"/>
          <w:lang w:val="en-US"/>
        </w:rPr>
        <w:t xml:space="preserve"> OLDER PERSON (BMHP6009 BIRM)</w:t>
      </w:r>
    </w:p>
    <w:p xmlns:wp14="http://schemas.microsoft.com/office/word/2010/wordml" w:rsidP="224B427C" w14:paraId="6C3A7DF8" wp14:textId="574AF06B">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224B427C" w14:paraId="7985504D" wp14:textId="6015FBDE">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224B427C" w:rsidR="224B427C">
        <w:rPr>
          <w:rFonts w:ascii="Arial" w:hAnsi="Arial" w:eastAsia="Arial" w:cs="Arial"/>
          <w:b w:val="1"/>
          <w:bCs w:val="1"/>
          <w:i w:val="0"/>
          <w:iCs w:val="0"/>
          <w:caps w:val="0"/>
          <w:smallCaps w:val="0"/>
          <w:noProof w:val="0"/>
          <w:color w:val="000000" w:themeColor="text1" w:themeTint="FF" w:themeShade="FF"/>
          <w:sz w:val="36"/>
          <w:szCs w:val="36"/>
          <w:lang w:val="en-US"/>
        </w:rPr>
        <w:t>ASSIGNMENT SECTION: TASK 2 ESSAY</w:t>
      </w:r>
    </w:p>
    <w:p xmlns:wp14="http://schemas.microsoft.com/office/word/2010/wordml" w:rsidP="224B427C" w14:paraId="2D7BE65B" wp14:textId="02E5AD62">
      <w:pPr>
        <w:pStyle w:val="Normal"/>
        <w:spacing w:before="30" w:after="160" w:line="360" w:lineRule="auto"/>
        <w:jc w:val="center"/>
        <w:rPr>
          <w:rFonts w:ascii="Arial" w:hAnsi="Arial" w:eastAsia="Arial" w:cs="Arial"/>
          <w:b w:val="1"/>
          <w:bCs w:val="1"/>
          <w:i w:val="0"/>
          <w:iCs w:val="0"/>
          <w:caps w:val="0"/>
          <w:smallCaps w:val="0"/>
          <w:noProof w:val="0"/>
          <w:color w:val="000000" w:themeColor="text1" w:themeTint="FF" w:themeShade="FF"/>
          <w:sz w:val="36"/>
          <w:szCs w:val="36"/>
          <w:lang w:val="en-US"/>
        </w:rPr>
      </w:pPr>
    </w:p>
    <w:p xmlns:wp14="http://schemas.microsoft.com/office/word/2010/wordml" w:rsidP="224B427C" w14:paraId="55857CAB" wp14:textId="41697571">
      <w:pPr>
        <w:pStyle w:val="Normal"/>
        <w:spacing w:before="30" w:after="160" w:line="360" w:lineRule="auto"/>
        <w:jc w:val="center"/>
        <w:rPr>
          <w:rFonts w:ascii="Arial" w:hAnsi="Arial" w:eastAsia="Arial" w:cs="Arial"/>
          <w:b w:val="1"/>
          <w:bCs w:val="1"/>
          <w:i w:val="0"/>
          <w:iCs w:val="0"/>
          <w:caps w:val="0"/>
          <w:smallCaps w:val="0"/>
          <w:noProof w:val="0"/>
          <w:color w:val="000000" w:themeColor="text1" w:themeTint="FF" w:themeShade="FF"/>
          <w:sz w:val="36"/>
          <w:szCs w:val="36"/>
          <w:lang w:val="en-US"/>
        </w:rPr>
      </w:pPr>
      <w:r w:rsidRPr="224B427C" w:rsidR="224B427C">
        <w:rPr>
          <w:rFonts w:ascii="Arial" w:hAnsi="Arial" w:eastAsia="Arial" w:cs="Arial"/>
          <w:b w:val="1"/>
          <w:bCs w:val="1"/>
          <w:i w:val="0"/>
          <w:iCs w:val="0"/>
          <w:caps w:val="0"/>
          <w:smallCaps w:val="0"/>
          <w:noProof w:val="0"/>
          <w:color w:val="000000" w:themeColor="text1" w:themeTint="FF" w:themeShade="FF"/>
          <w:sz w:val="36"/>
          <w:szCs w:val="36"/>
          <w:lang w:val="en-US"/>
        </w:rPr>
        <w:t>ABUSE IN THE OLDER PEOPLE IN THE UK</w:t>
      </w:r>
    </w:p>
    <w:p xmlns:wp14="http://schemas.microsoft.com/office/word/2010/wordml" w:rsidP="224B427C" w14:paraId="393850A0" wp14:textId="149F57D4">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224B427C" w:rsidR="224B427C">
        <w:rPr>
          <w:rFonts w:ascii="Arial" w:hAnsi="Arial" w:eastAsia="Arial" w:cs="Arial"/>
          <w:b w:val="1"/>
          <w:bCs w:val="1"/>
          <w:i w:val="0"/>
          <w:iCs w:val="0"/>
          <w:caps w:val="0"/>
          <w:smallCaps w:val="0"/>
          <w:noProof w:val="0"/>
          <w:color w:val="000000" w:themeColor="text1" w:themeTint="FF" w:themeShade="FF"/>
          <w:sz w:val="36"/>
          <w:szCs w:val="36"/>
          <w:lang w:val="en-US"/>
        </w:rPr>
        <w:t>LECTURER’S NAME: JOANNE</w:t>
      </w:r>
    </w:p>
    <w:p xmlns:wp14="http://schemas.microsoft.com/office/word/2010/wordml" w:rsidP="530AC812" w14:paraId="06B87E62" wp14:textId="1A7DE050">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530AC812" w:rsidR="224B427C">
        <w:rPr>
          <w:rFonts w:ascii="Arial" w:hAnsi="Arial" w:eastAsia="Arial" w:cs="Arial"/>
          <w:b w:val="1"/>
          <w:bCs w:val="1"/>
          <w:i w:val="0"/>
          <w:iCs w:val="0"/>
          <w:caps w:val="0"/>
          <w:smallCaps w:val="0"/>
          <w:noProof w:val="0"/>
          <w:color w:val="000000" w:themeColor="text1" w:themeTint="FF" w:themeShade="FF"/>
          <w:sz w:val="36"/>
          <w:szCs w:val="36"/>
          <w:lang w:val="en-US"/>
        </w:rPr>
        <w:t>DATE: 5</w:t>
      </w:r>
      <w:r w:rsidRPr="530AC812" w:rsidR="224B427C">
        <w:rPr>
          <w:rFonts w:ascii="Arial" w:hAnsi="Arial" w:eastAsia="Arial" w:cs="Arial"/>
          <w:b w:val="1"/>
          <w:bCs w:val="1"/>
          <w:i w:val="0"/>
          <w:iCs w:val="0"/>
          <w:caps w:val="0"/>
          <w:smallCaps w:val="0"/>
          <w:noProof w:val="0"/>
          <w:color w:val="000000" w:themeColor="text1" w:themeTint="FF" w:themeShade="FF"/>
          <w:sz w:val="36"/>
          <w:szCs w:val="36"/>
          <w:vertAlign w:val="superscript"/>
          <w:lang w:val="en-US"/>
        </w:rPr>
        <w:t>TH</w:t>
      </w:r>
      <w:r w:rsidRPr="530AC812" w:rsidR="224B427C">
        <w:rPr>
          <w:rFonts w:ascii="Arial" w:hAnsi="Arial" w:eastAsia="Arial" w:cs="Arial"/>
          <w:b w:val="1"/>
          <w:bCs w:val="1"/>
          <w:i w:val="0"/>
          <w:iCs w:val="0"/>
          <w:caps w:val="0"/>
          <w:smallCaps w:val="0"/>
          <w:noProof w:val="0"/>
          <w:color w:val="000000" w:themeColor="text1" w:themeTint="FF" w:themeShade="FF"/>
          <w:sz w:val="36"/>
          <w:szCs w:val="36"/>
          <w:lang w:val="en-US"/>
        </w:rPr>
        <w:t xml:space="preserve"> AUGUST 2022</w:t>
      </w:r>
    </w:p>
    <w:p xmlns:wp14="http://schemas.microsoft.com/office/word/2010/wordml" w:rsidP="224B427C" w14:paraId="0E39D015" wp14:textId="6257F2D9">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224B427C" w14:paraId="5E5787A5" wp14:textId="5E2A972C">
      <w:pPr>
        <w:pStyle w:val="Normal"/>
      </w:pPr>
    </w:p>
    <w:p w:rsidR="530AC812" w:rsidP="530AC812" w:rsidRDefault="530AC812" w14:paraId="07CBEAE0" w14:textId="286AF51C">
      <w:pPr>
        <w:pStyle w:val="Normal"/>
      </w:pPr>
    </w:p>
    <w:p w:rsidR="530AC812" w:rsidP="530AC812" w:rsidRDefault="530AC812" w14:paraId="7A949511" w14:textId="679300D4">
      <w:pPr>
        <w:pStyle w:val="Normal"/>
      </w:pPr>
    </w:p>
    <w:p w:rsidR="530AC812" w:rsidP="530AC812" w:rsidRDefault="530AC812" w14:paraId="7770F4F2" w14:textId="7214C018">
      <w:pPr>
        <w:pStyle w:val="Heading1"/>
        <w:rPr>
          <w:rFonts w:ascii="Arial" w:hAnsi="Arial" w:eastAsia="Arial" w:cs="Arial"/>
          <w:b w:val="1"/>
          <w:bCs w:val="1"/>
          <w:noProof w:val="0"/>
          <w:color w:val="000000" w:themeColor="text1" w:themeTint="FF" w:themeShade="FF"/>
          <w:sz w:val="22"/>
          <w:szCs w:val="22"/>
          <w:lang w:val="en-US"/>
        </w:rPr>
      </w:pPr>
      <w:r w:rsidRPr="530AC812" w:rsidR="530AC812">
        <w:rPr>
          <w:rFonts w:ascii="Arial" w:hAnsi="Arial" w:eastAsia="Arial" w:cs="Arial"/>
          <w:b w:val="1"/>
          <w:bCs w:val="1"/>
          <w:noProof w:val="0"/>
          <w:color w:val="000000" w:themeColor="text1" w:themeTint="FF" w:themeShade="FF"/>
          <w:sz w:val="22"/>
          <w:szCs w:val="22"/>
          <w:lang w:val="en-US"/>
        </w:rPr>
        <w:t>Introduction</w:t>
      </w:r>
    </w:p>
    <w:p w:rsidR="530AC812" w:rsidP="530AC812" w:rsidRDefault="530AC812" w14:paraId="374A0EB2" w14:textId="029C19EA">
      <w:pPr>
        <w:spacing w:line="360" w:lineRule="auto"/>
        <w:ind w:firstLine="0"/>
        <w:jc w:val="both"/>
      </w:pPr>
      <w:r w:rsidRPr="530AC812" w:rsidR="530AC812">
        <w:rPr>
          <w:rFonts w:ascii="Arial" w:hAnsi="Arial" w:eastAsia="Arial" w:cs="Arial"/>
          <w:noProof w:val="0"/>
          <w:sz w:val="22"/>
          <w:szCs w:val="22"/>
          <w:lang w:val="en-US"/>
        </w:rPr>
        <w:t>In the United Kingdom and around the world, elder abuse and neglect or elderly mistreatment are becoming more widely recognized as social problems. The United Kingdom`s population is aging that is according to statistics and projections from the Office for National Statistics. As per a recent prediction, there will be 8.6 million more people aged 65 and older in the next 50 years (</w:t>
      </w:r>
      <w:r w:rsidRPr="530AC812" w:rsidR="530AC812">
        <w:rPr>
          <w:rFonts w:ascii="Arial" w:hAnsi="Arial" w:eastAsia="Arial" w:cs="Arial"/>
          <w:noProof w:val="0"/>
          <w:color w:val="000000" w:themeColor="text1" w:themeTint="FF" w:themeShade="FF"/>
          <w:sz w:val="22"/>
          <w:szCs w:val="22"/>
          <w:lang w:val="en-US"/>
        </w:rPr>
        <w:t>Storey,2020).</w:t>
      </w:r>
      <w:r w:rsidRPr="530AC812" w:rsidR="530AC812">
        <w:rPr>
          <w:rFonts w:ascii="Arial" w:hAnsi="Arial" w:eastAsia="Arial" w:cs="Arial"/>
          <w:noProof w:val="0"/>
          <w:sz w:val="22"/>
          <w:szCs w:val="22"/>
          <w:lang w:val="en-US"/>
        </w:rPr>
        <w:t xml:space="preserve"> Our population's aging and shifting demographics are principally caused by two things. First, longer lifespans and older ages are a result of advances in life expectancy. Along with this, there has been a decline in fertility, and people are having kids later in life and in smaller numbers. For the economy, services, and society at the national and local levels, the aging population and shifting demographics presents both possibilities and difficulties </w:t>
      </w:r>
      <w:r w:rsidRPr="530AC812" w:rsidR="530AC812">
        <w:rPr>
          <w:rFonts w:ascii="Arial" w:hAnsi="Arial" w:eastAsia="Arial" w:cs="Arial"/>
          <w:noProof w:val="0"/>
          <w:color w:val="000000" w:themeColor="text1" w:themeTint="FF" w:themeShade="FF"/>
          <w:sz w:val="22"/>
          <w:szCs w:val="22"/>
          <w:lang w:val="en-US"/>
        </w:rPr>
        <w:t>(Wittenberg et al., 2019).</w:t>
      </w:r>
    </w:p>
    <w:p w:rsidR="530AC812" w:rsidP="530AC812" w:rsidRDefault="530AC812" w14:paraId="0E78A1CB" w14:textId="052F5568">
      <w:pPr>
        <w:spacing w:line="360" w:lineRule="auto"/>
      </w:pPr>
      <w:r w:rsidRPr="530AC812" w:rsidR="530AC812">
        <w:rPr>
          <w:rFonts w:ascii="Arial" w:hAnsi="Arial" w:eastAsia="Arial" w:cs="Arial"/>
          <w:b w:val="1"/>
          <w:bCs w:val="1"/>
          <w:noProof w:val="0"/>
          <w:sz w:val="22"/>
          <w:szCs w:val="22"/>
          <w:lang w:val="en-US"/>
        </w:rPr>
        <w:t>Abuse and Neglect of the Elderly in the UK</w:t>
      </w:r>
    </w:p>
    <w:p w:rsidR="530AC812" w:rsidP="530AC812" w:rsidRDefault="530AC812" w14:paraId="3F74877A" w14:textId="77F3078E">
      <w:pPr>
        <w:spacing w:line="360" w:lineRule="auto"/>
        <w:ind w:firstLine="0"/>
        <w:jc w:val="both"/>
      </w:pPr>
      <w:r w:rsidRPr="530AC812" w:rsidR="530AC812">
        <w:rPr>
          <w:rFonts w:ascii="Arial" w:hAnsi="Arial" w:eastAsia="Arial" w:cs="Arial"/>
          <w:noProof w:val="0"/>
          <w:sz w:val="22"/>
          <w:szCs w:val="22"/>
          <w:lang w:val="en-US"/>
        </w:rPr>
        <w:t>In the United Kingdom, someone above the age of 65 may be regarded as being older. Though, it is difficult to apply a precise description because people age biologically at various rates; as a result, a person who is 75 years old can be in better health than a person who is 60 years old. An older person is often someone who is over the age of 65. Frailty instead of age has a stronger influence on how likely they are to need care and support (</w:t>
      </w:r>
      <w:r w:rsidRPr="530AC812" w:rsidR="530AC812">
        <w:rPr>
          <w:rFonts w:ascii="Arial" w:hAnsi="Arial" w:eastAsia="Arial" w:cs="Arial"/>
          <w:noProof w:val="0"/>
          <w:color w:val="000000" w:themeColor="text1" w:themeTint="FF" w:themeShade="FF"/>
          <w:sz w:val="22"/>
          <w:szCs w:val="22"/>
          <w:lang w:val="en-US"/>
        </w:rPr>
        <w:t>Simmons, Wenemark &amp; Ludvigsson 2021:1-4).</w:t>
      </w:r>
    </w:p>
    <w:p w:rsidR="530AC812" w:rsidP="530AC812" w:rsidRDefault="530AC812" w14:paraId="7C59446A" w14:textId="45979765">
      <w:pPr>
        <w:spacing w:line="360" w:lineRule="auto"/>
        <w:ind w:firstLine="0"/>
        <w:jc w:val="both"/>
      </w:pPr>
      <w:r w:rsidRPr="530AC812" w:rsidR="530AC812">
        <w:rPr>
          <w:rFonts w:ascii="Arial" w:hAnsi="Arial" w:eastAsia="Arial" w:cs="Arial"/>
          <w:noProof w:val="0"/>
          <w:sz w:val="22"/>
          <w:szCs w:val="22"/>
          <w:lang w:val="en-US"/>
        </w:rPr>
        <w:t xml:space="preserve">The population of the UK is aging. The main factors for this are rising life expectancy and decreased fertility. People 65 and over are expected to make up 24 percent of the population in the UK by 2043, increasing the elderly population (17.4 million people). The percentage of people with 75 years and older is expected to increase from 8% in 2018 to 13% in 2043, while the percentage of those with 85 </w:t>
      </w:r>
      <w:proofErr w:type="spellStart"/>
      <w:r w:rsidRPr="530AC812" w:rsidR="530AC812">
        <w:rPr>
          <w:rFonts w:ascii="Arial" w:hAnsi="Arial" w:eastAsia="Arial" w:cs="Arial"/>
          <w:noProof w:val="0"/>
          <w:sz w:val="22"/>
          <w:szCs w:val="22"/>
          <w:lang w:val="en-US"/>
        </w:rPr>
        <w:t>yeats</w:t>
      </w:r>
      <w:proofErr w:type="spellEnd"/>
      <w:r w:rsidRPr="530AC812" w:rsidR="530AC812">
        <w:rPr>
          <w:rFonts w:ascii="Arial" w:hAnsi="Arial" w:eastAsia="Arial" w:cs="Arial"/>
          <w:noProof w:val="0"/>
          <w:sz w:val="22"/>
          <w:szCs w:val="22"/>
          <w:lang w:val="en-US"/>
        </w:rPr>
        <w:t xml:space="preserve"> and more is expected to increase from 2% to 4%. A total of 12.3 million people, or around 19% of the population of the UK, were 65 years of age or older in 2019. While the overall population of the UK only grew by 7% between 2009 and 2019, the number of people in this age bracket surged by 23%. In the UK, there will likely be 7.5 million more people who are 65 or older in 50 years </w:t>
      </w:r>
      <w:r w:rsidRPr="530AC812" w:rsidR="530AC812">
        <w:rPr>
          <w:rFonts w:ascii="Arial" w:hAnsi="Arial" w:eastAsia="Arial" w:cs="Arial"/>
          <w:noProof w:val="0"/>
          <w:color w:val="000000" w:themeColor="text1" w:themeTint="FF" w:themeShade="FF"/>
          <w:sz w:val="22"/>
          <w:szCs w:val="22"/>
          <w:lang w:val="en-US"/>
        </w:rPr>
        <w:t xml:space="preserve">(Zhou, </w:t>
      </w:r>
      <w:proofErr w:type="spellStart"/>
      <w:r w:rsidRPr="530AC812" w:rsidR="530AC812">
        <w:rPr>
          <w:rFonts w:ascii="Arial" w:hAnsi="Arial" w:eastAsia="Arial" w:cs="Arial"/>
          <w:noProof w:val="0"/>
          <w:color w:val="000000" w:themeColor="text1" w:themeTint="FF" w:themeShade="FF"/>
          <w:sz w:val="22"/>
          <w:szCs w:val="22"/>
          <w:lang w:val="en-US"/>
        </w:rPr>
        <w:t>Oyegoke</w:t>
      </w:r>
      <w:proofErr w:type="spellEnd"/>
      <w:r w:rsidRPr="530AC812" w:rsidR="530AC812">
        <w:rPr>
          <w:rFonts w:ascii="Arial" w:hAnsi="Arial" w:eastAsia="Arial" w:cs="Arial"/>
          <w:noProof w:val="0"/>
          <w:color w:val="000000" w:themeColor="text1" w:themeTint="FF" w:themeShade="FF"/>
          <w:sz w:val="22"/>
          <w:szCs w:val="22"/>
          <w:lang w:val="en-US"/>
        </w:rPr>
        <w:t xml:space="preserve"> &amp; Sun, 2020:572-589).</w:t>
      </w:r>
    </w:p>
    <w:p w:rsidR="530AC812" w:rsidP="530AC812" w:rsidRDefault="530AC812" w14:paraId="561E6094" w14:textId="09340C54">
      <w:pPr>
        <w:spacing w:line="360" w:lineRule="auto"/>
        <w:ind w:firstLine="0"/>
        <w:jc w:val="both"/>
      </w:pPr>
      <w:r w:rsidRPr="530AC812" w:rsidR="530AC812">
        <w:rPr>
          <w:rFonts w:ascii="Arial" w:hAnsi="Arial" w:eastAsia="Arial" w:cs="Arial"/>
          <w:noProof w:val="0"/>
          <w:sz w:val="22"/>
          <w:szCs w:val="22"/>
          <w:lang w:val="en-US"/>
        </w:rPr>
        <w:t xml:space="preserve">The demographic structure in the UK has witnessed significant changes in terms of both age and ethnic composition. Looking forwards 25 years to 2041, the baby boomers of the 1960s (now in their 50s) will have transitioned into older age, and by 2066, an additional 8.6 million estimated UK inhabitants would be 65 or older, bringing the total to 20.4 million and accounting for 26 percent of the country's population </w:t>
      </w:r>
      <w:r w:rsidRPr="530AC812" w:rsidR="530AC812">
        <w:rPr>
          <w:rFonts w:ascii="Arial" w:hAnsi="Arial" w:eastAsia="Arial" w:cs="Arial"/>
          <w:noProof w:val="0"/>
          <w:color w:val="000000" w:themeColor="text1" w:themeTint="FF" w:themeShade="FF"/>
          <w:sz w:val="22"/>
          <w:szCs w:val="22"/>
          <w:lang w:val="en-US"/>
        </w:rPr>
        <w:t>(Clark-Daniels, Daniels &amp; Baum hover 2019:970-977)</w:t>
      </w:r>
      <w:r w:rsidRPr="530AC812" w:rsidR="530AC812">
        <w:rPr>
          <w:rFonts w:ascii="Arial" w:hAnsi="Arial" w:eastAsia="Arial" w:cs="Arial"/>
          <w:noProof w:val="0"/>
          <w:sz w:val="22"/>
          <w:szCs w:val="22"/>
          <w:lang w:val="en-US"/>
        </w:rPr>
        <w:t xml:space="preserve">. The population of London as it </w:t>
      </w:r>
      <w:r w:rsidRPr="530AC812" w:rsidR="530AC812">
        <w:rPr>
          <w:rFonts w:ascii="Arial" w:hAnsi="Arial" w:eastAsia="Arial" w:cs="Arial"/>
          <w:noProof w:val="0"/>
          <w:sz w:val="22"/>
          <w:szCs w:val="22"/>
          <w:lang w:val="en-US"/>
        </w:rPr>
        <w:t>is today</w:t>
      </w:r>
      <w:r w:rsidRPr="530AC812" w:rsidR="530AC812">
        <w:rPr>
          <w:rFonts w:ascii="Arial" w:hAnsi="Arial" w:eastAsia="Arial" w:cs="Arial"/>
          <w:noProof w:val="0"/>
          <w:sz w:val="22"/>
          <w:szCs w:val="22"/>
          <w:lang w:val="en-US"/>
        </w:rPr>
        <w:t xml:space="preserve"> roughly equal to this growth in numbers. The age group of 85 years and older will experience the fastest increase. There were 1.6 million people over the age of 85 years as of the middle of 2016 (representing 2% of the total population); by the middle of 2041, this number is anticipated to double to 3.2 million (representing 4% of the population); by the middle of 2066, it is anticipated to triple, reaching 5.1 million (representing 7% of the total population) in the UK. The population between the ages of 16 and 64, however, is only expected to grow by 2% during the next 25 years and by 5% by 2066 </w:t>
      </w:r>
      <w:r w:rsidRPr="530AC812" w:rsidR="530AC812">
        <w:rPr>
          <w:rFonts w:ascii="Arial" w:hAnsi="Arial" w:eastAsia="Arial" w:cs="Arial"/>
          <w:noProof w:val="0"/>
          <w:color w:val="000000" w:themeColor="text1" w:themeTint="FF" w:themeShade="FF"/>
          <w:sz w:val="22"/>
          <w:szCs w:val="22"/>
          <w:lang w:val="en-US"/>
        </w:rPr>
        <w:t>(Zonneveld et al., 2020: 432-444)</w:t>
      </w:r>
    </w:p>
    <w:p w:rsidR="530AC812" w:rsidP="530AC812" w:rsidRDefault="530AC812" w14:paraId="439B005E" w14:textId="3E746A6C">
      <w:pPr>
        <w:spacing w:line="360" w:lineRule="auto"/>
        <w:ind w:firstLine="0"/>
        <w:jc w:val="both"/>
      </w:pPr>
      <w:r w:rsidRPr="530AC812" w:rsidR="530AC812">
        <w:rPr>
          <w:rFonts w:ascii="Arial" w:hAnsi="Arial" w:eastAsia="Arial" w:cs="Arial"/>
          <w:noProof w:val="0"/>
          <w:sz w:val="22"/>
          <w:szCs w:val="22"/>
          <w:lang w:val="en-US"/>
        </w:rPr>
        <w:t>In the UK, older individuals are more prevalent in rural and coastal locations than in metropolitan areas, indicating that the older population is not distributed fairly throughout localities. The 10 local authorities in England with the greatest proportion of residents 65 and older are all near the coast, with five of them located in the Southwest where more than 21.6 percent of the population are aged 65 years and over (</w:t>
      </w:r>
      <w:r w:rsidRPr="530AC812" w:rsidR="530AC812">
        <w:rPr>
          <w:rFonts w:ascii="Arial" w:hAnsi="Arial" w:eastAsia="Arial" w:cs="Arial"/>
          <w:noProof w:val="0"/>
          <w:color w:val="000000" w:themeColor="text1" w:themeTint="FF" w:themeShade="FF"/>
          <w:sz w:val="22"/>
          <w:szCs w:val="22"/>
          <w:lang w:val="en-US"/>
        </w:rPr>
        <w:t>Rigon et al. 2021:289).</w:t>
      </w:r>
      <w:r w:rsidRPr="530AC812" w:rsidR="530AC812">
        <w:rPr>
          <w:rFonts w:ascii="Arial" w:hAnsi="Arial" w:eastAsia="Arial" w:cs="Arial"/>
          <w:noProof w:val="0"/>
          <w:sz w:val="22"/>
          <w:szCs w:val="22"/>
          <w:lang w:val="en-US"/>
        </w:rPr>
        <w:t xml:space="preserve"> Nine of the ten local authorities with the lowest percentage of residents 65 and older are in the Greater London area (where less than 11.6 percent of the population are aged 65 years and over). For people 85 years of age and older, similar patterns are also visible </w:t>
      </w:r>
      <w:r w:rsidRPr="530AC812" w:rsidR="530AC812">
        <w:rPr>
          <w:rFonts w:ascii="Arial" w:hAnsi="Arial" w:eastAsia="Arial" w:cs="Arial"/>
          <w:noProof w:val="0"/>
          <w:color w:val="000000" w:themeColor="text1" w:themeTint="FF" w:themeShade="FF"/>
          <w:sz w:val="22"/>
          <w:szCs w:val="22"/>
          <w:lang w:val="en-US"/>
        </w:rPr>
        <w:t xml:space="preserve">(Zhou, </w:t>
      </w:r>
      <w:proofErr w:type="spellStart"/>
      <w:r w:rsidRPr="530AC812" w:rsidR="530AC812">
        <w:rPr>
          <w:rFonts w:ascii="Arial" w:hAnsi="Arial" w:eastAsia="Arial" w:cs="Arial"/>
          <w:noProof w:val="0"/>
          <w:color w:val="000000" w:themeColor="text1" w:themeTint="FF" w:themeShade="FF"/>
          <w:sz w:val="22"/>
          <w:szCs w:val="22"/>
          <w:lang w:val="en-US"/>
        </w:rPr>
        <w:t>Oyegoke&amp;Sun</w:t>
      </w:r>
      <w:proofErr w:type="spellEnd"/>
      <w:r w:rsidRPr="530AC812" w:rsidR="530AC812">
        <w:rPr>
          <w:rFonts w:ascii="Arial" w:hAnsi="Arial" w:eastAsia="Arial" w:cs="Arial"/>
          <w:noProof w:val="0"/>
          <w:color w:val="000000" w:themeColor="text1" w:themeTint="FF" w:themeShade="FF"/>
          <w:sz w:val="22"/>
          <w:szCs w:val="22"/>
          <w:lang w:val="en-US"/>
        </w:rPr>
        <w:t>, 2020:572-589). Some of the challenges of the elderly people regarding abuse and neglect includes the following;</w:t>
      </w:r>
    </w:p>
    <w:p w:rsidR="530AC812" w:rsidP="530AC812" w:rsidRDefault="530AC812" w14:paraId="3F0BB731" w14:textId="64E2FCCC">
      <w:pPr>
        <w:spacing w:line="360" w:lineRule="auto"/>
        <w:jc w:val="both"/>
      </w:pPr>
      <w:r w:rsidRPr="530AC812" w:rsidR="530AC812">
        <w:rPr>
          <w:rFonts w:ascii="Arial" w:hAnsi="Arial" w:eastAsia="Arial" w:cs="Arial"/>
          <w:b w:val="1"/>
          <w:bCs w:val="1"/>
          <w:noProof w:val="0"/>
          <w:sz w:val="22"/>
          <w:szCs w:val="22"/>
          <w:lang w:val="en-US"/>
        </w:rPr>
        <w:t>Morbidity of Elderly:</w:t>
      </w:r>
      <w:r w:rsidRPr="530AC812" w:rsidR="530AC812">
        <w:rPr>
          <w:rFonts w:ascii="Arial" w:hAnsi="Arial" w:eastAsia="Arial" w:cs="Arial"/>
          <w:noProof w:val="0"/>
          <w:sz w:val="22"/>
          <w:szCs w:val="22"/>
          <w:lang w:val="en-US"/>
        </w:rPr>
        <w:t xml:space="preserve"> Elderly people frequently suffer from ailments like arthritis, hypertension, hearing loss, poor eyesight, diabetes, and varicose veins. These chronic illnesses are more prevalent in women and tend to get worse as people age. The elderly </w:t>
      </w:r>
      <w:bookmarkStart w:name="_Int_0TO9gSSg" w:id="411275001"/>
      <w:r w:rsidRPr="530AC812" w:rsidR="530AC812">
        <w:rPr>
          <w:rFonts w:ascii="Arial" w:hAnsi="Arial" w:eastAsia="Arial" w:cs="Arial"/>
          <w:noProof w:val="0"/>
          <w:sz w:val="22"/>
          <w:szCs w:val="22"/>
          <w:lang w:val="en-US"/>
        </w:rPr>
        <w:t>have</w:t>
      </w:r>
      <w:bookmarkEnd w:id="411275001"/>
      <w:r w:rsidRPr="530AC812" w:rsidR="530AC812">
        <w:rPr>
          <w:rFonts w:ascii="Arial" w:hAnsi="Arial" w:eastAsia="Arial" w:cs="Arial"/>
          <w:noProof w:val="0"/>
          <w:sz w:val="22"/>
          <w:szCs w:val="22"/>
          <w:lang w:val="en-US"/>
        </w:rPr>
        <w:t xml:space="preserve"> a lot of problems during the hot summer. The number of sunstroke-related deaths in May each year is higher among elderly people than among children </w:t>
      </w:r>
      <w:r w:rsidRPr="530AC812" w:rsidR="530AC812">
        <w:rPr>
          <w:rFonts w:ascii="Arial" w:hAnsi="Arial" w:eastAsia="Arial" w:cs="Arial"/>
          <w:noProof w:val="0"/>
          <w:color w:val="000000" w:themeColor="text1" w:themeTint="FF" w:themeShade="FF"/>
          <w:sz w:val="22"/>
          <w:szCs w:val="22"/>
          <w:lang w:val="en-US"/>
        </w:rPr>
        <w:t>(Waldock, 2018:163-170).</w:t>
      </w:r>
    </w:p>
    <w:p w:rsidR="530AC812" w:rsidP="530AC812" w:rsidRDefault="530AC812" w14:paraId="14C4D1CA" w14:textId="444EA073">
      <w:pPr>
        <w:spacing w:line="360" w:lineRule="auto"/>
        <w:jc w:val="both"/>
      </w:pPr>
      <w:r w:rsidRPr="530AC812" w:rsidR="530AC812">
        <w:rPr>
          <w:rFonts w:ascii="Arial" w:hAnsi="Arial" w:eastAsia="Arial" w:cs="Arial"/>
          <w:b w:val="1"/>
          <w:bCs w:val="1"/>
          <w:noProof w:val="0"/>
          <w:sz w:val="22"/>
          <w:szCs w:val="22"/>
          <w:lang w:val="en-US"/>
        </w:rPr>
        <w:t>Insufficient nutrition:</w:t>
      </w:r>
      <w:r w:rsidRPr="530AC812" w:rsidR="530AC812">
        <w:rPr>
          <w:rFonts w:ascii="Arial" w:hAnsi="Arial" w:eastAsia="Arial" w:cs="Arial"/>
          <w:noProof w:val="0"/>
          <w:sz w:val="22"/>
          <w:szCs w:val="22"/>
          <w:lang w:val="en-US"/>
        </w:rPr>
        <w:t xml:space="preserve"> Poor nutrition, which include issues like iron deficiency, protein deficit, calcium insufficiency, blindness brought on by under nutrition, anemia, etc., affect most elderly poor people </w:t>
      </w:r>
      <w:r w:rsidRPr="530AC812" w:rsidR="530AC812">
        <w:rPr>
          <w:rFonts w:ascii="Arial" w:hAnsi="Arial" w:eastAsia="Arial" w:cs="Arial"/>
          <w:noProof w:val="0"/>
          <w:color w:val="000000" w:themeColor="text1" w:themeTint="FF" w:themeShade="FF"/>
          <w:sz w:val="22"/>
          <w:szCs w:val="22"/>
          <w:lang w:val="en-US"/>
        </w:rPr>
        <w:t>(Wildenbos, Peute &amp; Jaspers, 2018:66-75).</w:t>
      </w:r>
    </w:p>
    <w:p w:rsidR="530AC812" w:rsidP="530AC812" w:rsidRDefault="530AC812" w14:paraId="26F7FBA6" w14:textId="2164F3F8">
      <w:pPr>
        <w:spacing w:line="360" w:lineRule="auto"/>
        <w:jc w:val="both"/>
      </w:pPr>
      <w:r w:rsidRPr="530AC812" w:rsidR="530AC812">
        <w:rPr>
          <w:rFonts w:ascii="Arial" w:hAnsi="Arial" w:eastAsia="Arial" w:cs="Arial"/>
          <w:b w:val="1"/>
          <w:bCs w:val="1"/>
          <w:noProof w:val="0"/>
          <w:sz w:val="22"/>
          <w:szCs w:val="22"/>
          <w:lang w:val="en-US"/>
        </w:rPr>
        <w:t>Financial insolvency:</w:t>
      </w:r>
      <w:r w:rsidRPr="530AC812" w:rsidR="530AC812">
        <w:rPr>
          <w:rFonts w:ascii="Arial" w:hAnsi="Arial" w:eastAsia="Arial" w:cs="Arial"/>
          <w:noProof w:val="0"/>
          <w:sz w:val="22"/>
          <w:szCs w:val="22"/>
          <w:lang w:val="en-US"/>
        </w:rPr>
        <w:t xml:space="preserve"> Due to the legal transfer of their wealth, assets, and properties to their children, the elderly </w:t>
      </w:r>
      <w:bookmarkStart w:name="_Int_g0IJpQ6t" w:id="2042068901"/>
      <w:r w:rsidRPr="530AC812" w:rsidR="530AC812">
        <w:rPr>
          <w:rFonts w:ascii="Arial" w:hAnsi="Arial" w:eastAsia="Arial" w:cs="Arial"/>
          <w:noProof w:val="0"/>
          <w:sz w:val="22"/>
          <w:szCs w:val="22"/>
          <w:lang w:val="en-US"/>
        </w:rPr>
        <w:t>are</w:t>
      </w:r>
      <w:bookmarkEnd w:id="2042068901"/>
      <w:r w:rsidRPr="530AC812" w:rsidR="530AC812">
        <w:rPr>
          <w:rFonts w:ascii="Arial" w:hAnsi="Arial" w:eastAsia="Arial" w:cs="Arial"/>
          <w:noProof w:val="0"/>
          <w:sz w:val="22"/>
          <w:szCs w:val="22"/>
          <w:lang w:val="en-US"/>
        </w:rPr>
        <w:t xml:space="preserve"> financially insolvent and lack the emergency funds necessary to meet their fundamental necessities, including decent burial. Elders in such a scenario have a social and moral obligation to formally register all their assets, properties, and other belongings to their children and transfer their fortune. Therefore, everyone who retires without a monthly pension must rely on their offspring to meet their fundamental necessities </w:t>
      </w:r>
      <w:r w:rsidRPr="530AC812" w:rsidR="530AC812">
        <w:rPr>
          <w:rFonts w:ascii="Arial" w:hAnsi="Arial" w:eastAsia="Arial" w:cs="Arial"/>
          <w:noProof w:val="0"/>
          <w:color w:val="000000" w:themeColor="text1" w:themeTint="FF" w:themeShade="FF"/>
          <w:sz w:val="22"/>
          <w:szCs w:val="22"/>
          <w:lang w:val="en-US"/>
        </w:rPr>
        <w:t>(Waldock, 2018:163-170).</w:t>
      </w:r>
    </w:p>
    <w:p w:rsidR="530AC812" w:rsidP="530AC812" w:rsidRDefault="530AC812" w14:paraId="6D29F757" w14:textId="56BA9C62">
      <w:pPr>
        <w:spacing w:line="360" w:lineRule="auto"/>
        <w:jc w:val="both"/>
      </w:pPr>
      <w:r w:rsidRPr="530AC812" w:rsidR="530AC812">
        <w:rPr>
          <w:rFonts w:ascii="Arial" w:hAnsi="Arial" w:eastAsia="Arial" w:cs="Arial"/>
          <w:b w:val="1"/>
          <w:bCs w:val="1"/>
          <w:noProof w:val="0"/>
          <w:sz w:val="22"/>
          <w:szCs w:val="22"/>
          <w:lang w:val="en-US"/>
        </w:rPr>
        <w:t>Elderly people's abuse:</w:t>
      </w:r>
      <w:r w:rsidRPr="530AC812" w:rsidR="530AC812">
        <w:rPr>
          <w:rFonts w:ascii="Arial" w:hAnsi="Arial" w:eastAsia="Arial" w:cs="Arial"/>
          <w:noProof w:val="0"/>
          <w:sz w:val="22"/>
          <w:szCs w:val="22"/>
          <w:lang w:val="en-US"/>
        </w:rPr>
        <w:t xml:space="preserve"> In Tamil Nadu, elders are victimized by violence in a rate of 28%; 80% of these elders have never made the public aware of the abuse and dangers posed by their kids </w:t>
      </w:r>
      <w:r w:rsidRPr="530AC812" w:rsidR="530AC812">
        <w:rPr>
          <w:rFonts w:ascii="Arial" w:hAnsi="Arial" w:eastAsia="Arial" w:cs="Arial"/>
          <w:noProof w:val="0"/>
          <w:color w:val="000000" w:themeColor="text1" w:themeTint="FF" w:themeShade="FF"/>
          <w:sz w:val="22"/>
          <w:szCs w:val="22"/>
          <w:lang w:val="en-US"/>
        </w:rPr>
        <w:t>(Wildenbos, Peute &amp; Jaspers, 2018:66-75)</w:t>
      </w:r>
    </w:p>
    <w:p w:rsidR="530AC812" w:rsidP="530AC812" w:rsidRDefault="530AC812" w14:paraId="77F4E275" w14:textId="3C324533">
      <w:pPr>
        <w:spacing w:line="360" w:lineRule="auto"/>
        <w:ind w:firstLine="0"/>
        <w:jc w:val="both"/>
      </w:pPr>
      <w:r w:rsidRPr="530AC812" w:rsidR="530AC812">
        <w:rPr>
          <w:rFonts w:ascii="Arial" w:hAnsi="Arial" w:eastAsia="Arial" w:cs="Arial"/>
          <w:noProof w:val="0"/>
          <w:sz w:val="22"/>
          <w:szCs w:val="22"/>
          <w:lang w:val="en-US"/>
        </w:rPr>
        <w:t xml:space="preserve">The pandemic leads to Job market gaps, with firms and public services short skilled workers. Healthcare and social services are under pressure, financing social housing and public services, especially during a recession. The COVID-19 pandemic was associated sporadically with decreased quality of life and elevated depression, as well as a decline in social life and face-to-face social connections. Accessibility issues, sleep issues, and a decline in physical activity were also reported </w:t>
      </w:r>
      <w:r w:rsidRPr="530AC812" w:rsidR="530AC812">
        <w:rPr>
          <w:rFonts w:ascii="Arial" w:hAnsi="Arial" w:eastAsia="Arial" w:cs="Arial"/>
          <w:noProof w:val="0"/>
          <w:color w:val="000000" w:themeColor="text1" w:themeTint="FF" w:themeShade="FF"/>
          <w:sz w:val="22"/>
          <w:szCs w:val="22"/>
          <w:lang w:val="en-US"/>
        </w:rPr>
        <w:t>(Kwong et al., 2021:334-343)</w:t>
      </w:r>
      <w:r w:rsidRPr="530AC812" w:rsidR="530AC812">
        <w:rPr>
          <w:rFonts w:ascii="Arial" w:hAnsi="Arial" w:eastAsia="Arial" w:cs="Arial"/>
          <w:noProof w:val="0"/>
          <w:sz w:val="22"/>
          <w:szCs w:val="22"/>
          <w:lang w:val="en-US"/>
        </w:rPr>
        <w:t>. The pandemic has the following effects on elderly people in the United Kingdom:</w:t>
      </w:r>
    </w:p>
    <w:p w:rsidR="530AC812" w:rsidP="530AC812" w:rsidRDefault="530AC812" w14:paraId="77901F34" w14:textId="314FDF34">
      <w:pPr>
        <w:spacing w:line="360" w:lineRule="auto"/>
        <w:jc w:val="both"/>
      </w:pPr>
      <w:r w:rsidRPr="530AC812" w:rsidR="530AC812">
        <w:rPr>
          <w:rFonts w:ascii="Arial" w:hAnsi="Arial" w:eastAsia="Arial" w:cs="Arial"/>
          <w:b w:val="1"/>
          <w:bCs w:val="1"/>
          <w:noProof w:val="0"/>
          <w:sz w:val="22"/>
          <w:szCs w:val="22"/>
          <w:lang w:val="en-US"/>
        </w:rPr>
        <w:t>Healthcare:</w:t>
      </w:r>
      <w:r w:rsidRPr="530AC812" w:rsidR="530AC812">
        <w:rPr>
          <w:rFonts w:ascii="Arial" w:hAnsi="Arial" w:eastAsia="Arial" w:cs="Arial"/>
          <w:noProof w:val="0"/>
          <w:sz w:val="22"/>
          <w:szCs w:val="22"/>
          <w:lang w:val="en-US"/>
        </w:rPr>
        <w:t xml:space="preserve"> There will be a larger demand for medical services, especially geriatric wards and pricey specialty procedures like hip replacements. This will result in increased expenses as well as the potential for a staffing shortage.</w:t>
      </w:r>
    </w:p>
    <w:p w:rsidR="530AC812" w:rsidP="530AC812" w:rsidRDefault="530AC812" w14:paraId="777F22EC" w14:textId="0760287D">
      <w:pPr>
        <w:spacing w:line="360" w:lineRule="auto"/>
        <w:jc w:val="both"/>
      </w:pPr>
      <w:r w:rsidRPr="530AC812" w:rsidR="530AC812">
        <w:rPr>
          <w:rFonts w:ascii="Arial" w:hAnsi="Arial" w:eastAsia="Arial" w:cs="Arial"/>
          <w:b w:val="1"/>
          <w:bCs w:val="1"/>
          <w:noProof w:val="0"/>
          <w:sz w:val="22"/>
          <w:szCs w:val="22"/>
          <w:lang w:val="en-US"/>
        </w:rPr>
        <w:t>Welfare services:</w:t>
      </w:r>
      <w:r w:rsidRPr="530AC812" w:rsidR="530AC812">
        <w:rPr>
          <w:rFonts w:ascii="Arial" w:hAnsi="Arial" w:eastAsia="Arial" w:cs="Arial"/>
          <w:noProof w:val="0"/>
          <w:sz w:val="22"/>
          <w:szCs w:val="22"/>
          <w:lang w:val="en-US"/>
        </w:rPr>
        <w:t xml:space="preserve"> an aging population will require more services like home care and meals on wheels. This will cost more and call for more workers </w:t>
      </w:r>
      <w:r w:rsidRPr="530AC812" w:rsidR="530AC812">
        <w:rPr>
          <w:rFonts w:ascii="Arial" w:hAnsi="Arial" w:eastAsia="Arial" w:cs="Arial"/>
          <w:noProof w:val="0"/>
          <w:color w:val="000000" w:themeColor="text1" w:themeTint="FF" w:themeShade="FF"/>
          <w:sz w:val="22"/>
          <w:szCs w:val="22"/>
          <w:lang w:val="en-US"/>
        </w:rPr>
        <w:t>(Bows 2019:1234-1253).</w:t>
      </w:r>
    </w:p>
    <w:p w:rsidR="530AC812" w:rsidP="530AC812" w:rsidRDefault="530AC812" w14:paraId="301A1E51" w14:textId="3E960A01">
      <w:pPr>
        <w:spacing w:line="360" w:lineRule="auto"/>
        <w:jc w:val="both"/>
      </w:pPr>
      <w:r w:rsidRPr="530AC812" w:rsidR="530AC812">
        <w:rPr>
          <w:rFonts w:ascii="Arial" w:hAnsi="Arial" w:eastAsia="Arial" w:cs="Arial"/>
          <w:b w:val="1"/>
          <w:bCs w:val="1"/>
          <w:noProof w:val="0"/>
          <w:sz w:val="22"/>
          <w:szCs w:val="22"/>
          <w:lang w:val="en-US"/>
        </w:rPr>
        <w:t>Housing concerns</w:t>
      </w:r>
      <w:r w:rsidRPr="530AC812" w:rsidR="530AC812">
        <w:rPr>
          <w:rFonts w:ascii="Arial" w:hAnsi="Arial" w:eastAsia="Arial" w:cs="Arial"/>
          <w:noProof w:val="0"/>
          <w:sz w:val="22"/>
          <w:szCs w:val="22"/>
          <w:lang w:val="en-US"/>
        </w:rPr>
        <w:t xml:space="preserve">:  Due to the rise in demand for retirement communities, housing challenges will also arise. These are pricey and can result in an increase in the taxes that working people must pay </w:t>
      </w:r>
      <w:r w:rsidRPr="530AC812" w:rsidR="530AC812">
        <w:rPr>
          <w:rFonts w:ascii="Arial" w:hAnsi="Arial" w:eastAsia="Arial" w:cs="Arial"/>
          <w:noProof w:val="0"/>
          <w:color w:val="000000" w:themeColor="text1" w:themeTint="FF" w:themeShade="FF"/>
          <w:sz w:val="22"/>
          <w:szCs w:val="22"/>
          <w:lang w:val="en-US"/>
        </w:rPr>
        <w:t>(O’Brien et al. 2018:291-299).</w:t>
      </w:r>
    </w:p>
    <w:p w:rsidR="530AC812" w:rsidP="530AC812" w:rsidRDefault="530AC812" w14:paraId="2D2D7C4E" w14:textId="655796EA">
      <w:pPr>
        <w:spacing w:line="360" w:lineRule="auto"/>
        <w:jc w:val="both"/>
      </w:pPr>
      <w:r w:rsidRPr="530AC812" w:rsidR="530AC812">
        <w:rPr>
          <w:rFonts w:ascii="Arial" w:hAnsi="Arial" w:eastAsia="Arial" w:cs="Arial"/>
          <w:b w:val="1"/>
          <w:bCs w:val="1"/>
          <w:noProof w:val="0"/>
          <w:sz w:val="22"/>
          <w:szCs w:val="22"/>
          <w:lang w:val="en-US"/>
        </w:rPr>
        <w:t>Economic costs:</w:t>
      </w:r>
      <w:r w:rsidRPr="530AC812" w:rsidR="530AC812">
        <w:rPr>
          <w:rFonts w:ascii="Arial" w:hAnsi="Arial" w:eastAsia="Arial" w:cs="Arial"/>
          <w:noProof w:val="0"/>
          <w:sz w:val="22"/>
          <w:szCs w:val="22"/>
          <w:lang w:val="en-US"/>
        </w:rPr>
        <w:t xml:space="preserve">  in addition to rising health and social service prices, pension costs may also rise. As a result, pension values may decline, worsening pensioner poverty, or tax hikes may be necessary to fund the demands of the growing population of seniors </w:t>
      </w:r>
      <w:r w:rsidRPr="530AC812" w:rsidR="530AC812">
        <w:rPr>
          <w:rFonts w:ascii="Arial" w:hAnsi="Arial" w:eastAsia="Arial" w:cs="Arial"/>
          <w:noProof w:val="0"/>
          <w:color w:val="000000" w:themeColor="text1" w:themeTint="FF" w:themeShade="FF"/>
          <w:sz w:val="22"/>
          <w:szCs w:val="22"/>
          <w:lang w:val="en-US"/>
        </w:rPr>
        <w:t xml:space="preserve">(Fraga </w:t>
      </w:r>
      <w:r w:rsidRPr="530AC812" w:rsidR="530AC812">
        <w:rPr>
          <w:rFonts w:ascii="Arial" w:hAnsi="Arial" w:eastAsia="Arial" w:cs="Arial"/>
          <w:noProof w:val="0"/>
          <w:color w:val="000000" w:themeColor="text1" w:themeTint="FF" w:themeShade="FF"/>
          <w:sz w:val="22"/>
          <w:szCs w:val="22"/>
          <w:lang w:val="en-US"/>
        </w:rPr>
        <w:t>Dominguez, Storey</w:t>
      </w:r>
      <w:r w:rsidRPr="530AC812" w:rsidR="530AC812">
        <w:rPr>
          <w:rFonts w:ascii="Arial" w:hAnsi="Arial" w:eastAsia="Arial" w:cs="Arial"/>
          <w:noProof w:val="0"/>
          <w:color w:val="000000" w:themeColor="text1" w:themeTint="FF" w:themeShade="FF"/>
          <w:sz w:val="22"/>
          <w:szCs w:val="22"/>
          <w:lang w:val="en-US"/>
        </w:rPr>
        <w:t xml:space="preserve"> &amp; </w:t>
      </w:r>
      <w:proofErr w:type="spellStart"/>
      <w:r w:rsidRPr="530AC812" w:rsidR="530AC812">
        <w:rPr>
          <w:rFonts w:ascii="Arial" w:hAnsi="Arial" w:eastAsia="Arial" w:cs="Arial"/>
          <w:noProof w:val="0"/>
          <w:color w:val="000000" w:themeColor="text1" w:themeTint="FF" w:themeShade="FF"/>
          <w:sz w:val="22"/>
          <w:szCs w:val="22"/>
          <w:lang w:val="en-US"/>
        </w:rPr>
        <w:t>Glorney</w:t>
      </w:r>
      <w:proofErr w:type="spellEnd"/>
      <w:r w:rsidRPr="530AC812" w:rsidR="530AC812">
        <w:rPr>
          <w:rFonts w:ascii="Arial" w:hAnsi="Arial" w:eastAsia="Arial" w:cs="Arial"/>
          <w:noProof w:val="0"/>
          <w:color w:val="000000" w:themeColor="text1" w:themeTint="FF" w:themeShade="FF"/>
          <w:sz w:val="22"/>
          <w:szCs w:val="22"/>
          <w:lang w:val="en-US"/>
        </w:rPr>
        <w:t xml:space="preserve"> 2022).</w:t>
      </w:r>
    </w:p>
    <w:p w:rsidR="530AC812" w:rsidP="530AC812" w:rsidRDefault="530AC812" w14:paraId="22490946" w14:textId="1624A377">
      <w:pPr>
        <w:spacing w:line="360" w:lineRule="auto"/>
        <w:ind w:firstLine="0"/>
        <w:jc w:val="both"/>
      </w:pPr>
      <w:r w:rsidRPr="530AC812" w:rsidR="530AC812">
        <w:rPr>
          <w:rFonts w:ascii="Arial" w:hAnsi="Arial" w:eastAsia="Arial" w:cs="Arial"/>
          <w:noProof w:val="0"/>
          <w:sz w:val="22"/>
          <w:szCs w:val="22"/>
          <w:lang w:val="en-US"/>
        </w:rPr>
        <w:t xml:space="preserve">In the UK, the government now oversees the organization of the health and social care systems. The following are the current situation of community-based healthcare in the UK as well as the key influences driving service expansion </w:t>
      </w:r>
      <w:r w:rsidRPr="530AC812" w:rsidR="530AC812">
        <w:rPr>
          <w:rFonts w:ascii="Arial" w:hAnsi="Arial" w:eastAsia="Arial" w:cs="Arial"/>
          <w:noProof w:val="0"/>
          <w:color w:val="000000" w:themeColor="text1" w:themeTint="FF" w:themeShade="FF"/>
          <w:sz w:val="22"/>
          <w:szCs w:val="22"/>
          <w:lang w:val="en-US"/>
        </w:rPr>
        <w:t>(Bone et al., 2018:329-336)</w:t>
      </w:r>
    </w:p>
    <w:p w:rsidR="530AC812" w:rsidP="530AC812" w:rsidRDefault="530AC812" w14:paraId="11AE72DC" w14:textId="12B99B92">
      <w:pPr>
        <w:spacing w:line="360" w:lineRule="auto"/>
        <w:jc w:val="both"/>
      </w:pPr>
      <w:r w:rsidRPr="530AC812" w:rsidR="530AC812">
        <w:rPr>
          <w:rFonts w:ascii="Arial" w:hAnsi="Arial" w:eastAsia="Arial" w:cs="Arial"/>
          <w:b w:val="1"/>
          <w:bCs w:val="1"/>
          <w:noProof w:val="0"/>
          <w:sz w:val="22"/>
          <w:szCs w:val="22"/>
          <w:lang w:val="en-US"/>
        </w:rPr>
        <w:t>General practice and primary care:</w:t>
      </w:r>
      <w:r w:rsidRPr="530AC812" w:rsidR="530AC812">
        <w:rPr>
          <w:rFonts w:ascii="Arial" w:hAnsi="Arial" w:eastAsia="Arial" w:cs="Arial"/>
          <w:noProof w:val="0"/>
          <w:sz w:val="22"/>
          <w:szCs w:val="22"/>
          <w:lang w:val="en-US"/>
        </w:rPr>
        <w:t xml:space="preserve"> The primary care provider, or patient's initial point of contact in the UK healthcare system, is the general practitioner. General practitioners now frequently participate in bigger, interdisciplinary teams. A practice manager, nurse practitioners with limited prescription privileges, and practice nurses who frequently have expertise in the management of chronic conditions like diabetes are typically included on these teams. Community nurses and health visitors could be associated with or share space with a group of practices </w:t>
      </w:r>
      <w:r w:rsidRPr="530AC812" w:rsidR="530AC812">
        <w:rPr>
          <w:rFonts w:ascii="Arial" w:hAnsi="Arial" w:eastAsia="Arial" w:cs="Arial"/>
          <w:noProof w:val="0"/>
          <w:color w:val="000000" w:themeColor="text1" w:themeTint="FF" w:themeShade="FF"/>
          <w:sz w:val="22"/>
          <w:szCs w:val="22"/>
          <w:lang w:val="en-US"/>
        </w:rPr>
        <w:t>(Bone et al., 2018).</w:t>
      </w:r>
      <w:r w:rsidRPr="530AC812" w:rsidR="530AC812">
        <w:rPr>
          <w:rFonts w:ascii="Arial" w:hAnsi="Arial" w:eastAsia="Arial" w:cs="Arial"/>
          <w:noProof w:val="0"/>
          <w:sz w:val="22"/>
          <w:szCs w:val="22"/>
          <w:lang w:val="en-US"/>
        </w:rPr>
        <w:t xml:space="preserve"> </w:t>
      </w:r>
    </w:p>
    <w:p w:rsidR="530AC812" w:rsidP="530AC812" w:rsidRDefault="530AC812" w14:paraId="3E8AF0FC" w14:textId="2B007E98">
      <w:pPr>
        <w:spacing w:line="360" w:lineRule="auto"/>
        <w:jc w:val="both"/>
      </w:pPr>
      <w:r w:rsidRPr="530AC812" w:rsidR="530AC812">
        <w:rPr>
          <w:rFonts w:ascii="Arial" w:hAnsi="Arial" w:eastAsia="Arial" w:cs="Arial"/>
          <w:b w:val="1"/>
          <w:bCs w:val="1"/>
          <w:noProof w:val="0"/>
          <w:sz w:val="22"/>
          <w:szCs w:val="22"/>
          <w:lang w:val="en-US"/>
        </w:rPr>
        <w:t xml:space="preserve">Specialist secondary care for older people: </w:t>
      </w:r>
      <w:r w:rsidRPr="530AC812" w:rsidR="530AC812">
        <w:rPr>
          <w:rFonts w:ascii="Arial" w:hAnsi="Arial" w:eastAsia="Arial" w:cs="Arial"/>
          <w:noProof w:val="0"/>
          <w:sz w:val="22"/>
          <w:szCs w:val="22"/>
          <w:lang w:val="en-US"/>
        </w:rPr>
        <w:t xml:space="preserve">Multidisciplinary teams with competence in nursing, social work, and therapy were also associated to some community assignments. Primary care teams, who increasingly include practice-based psychologists in their team and have direct access to psychological support and are mostly responsible for the mental health of older individuals. Community mental health teams, which include community psychiatric nurses and old-age psychiatry specialists, offer specialized support and a referral point of over 65 years of age is also required </w:t>
      </w:r>
      <w:r w:rsidRPr="530AC812" w:rsidR="530AC812">
        <w:rPr>
          <w:rFonts w:ascii="Arial" w:hAnsi="Arial" w:eastAsia="Arial" w:cs="Arial"/>
          <w:noProof w:val="0"/>
          <w:color w:val="000000" w:themeColor="text1" w:themeTint="FF" w:themeShade="FF"/>
          <w:sz w:val="22"/>
          <w:szCs w:val="22"/>
          <w:lang w:val="en-US"/>
        </w:rPr>
        <w:t>(Chokkanathan,2018).</w:t>
      </w:r>
    </w:p>
    <w:p w:rsidR="530AC812" w:rsidP="530AC812" w:rsidRDefault="530AC812" w14:paraId="25C23E3E" w14:textId="5088A60A">
      <w:pPr>
        <w:spacing w:line="360" w:lineRule="auto"/>
        <w:jc w:val="both"/>
      </w:pPr>
      <w:r w:rsidRPr="530AC812" w:rsidR="530AC812">
        <w:rPr>
          <w:rFonts w:ascii="Arial" w:hAnsi="Arial" w:eastAsia="Arial" w:cs="Arial"/>
          <w:b w:val="1"/>
          <w:bCs w:val="1"/>
          <w:noProof w:val="0"/>
          <w:sz w:val="22"/>
          <w:szCs w:val="22"/>
          <w:lang w:val="en-US"/>
        </w:rPr>
        <w:t xml:space="preserve">Integrated health and social care: </w:t>
      </w:r>
      <w:r w:rsidRPr="530AC812" w:rsidR="530AC812">
        <w:rPr>
          <w:rFonts w:ascii="Arial" w:hAnsi="Arial" w:eastAsia="Arial" w:cs="Arial"/>
          <w:noProof w:val="0"/>
          <w:sz w:val="22"/>
          <w:szCs w:val="22"/>
          <w:lang w:val="en-US"/>
        </w:rPr>
        <w:t>Integrated care has been suggested as a major avenue for care improvement at the policy level. The objectives of a more integrated healthcare system can be summed up as greater self-management, better primary and secondary prevention, optimizing medication management, lowering unexpected admissions, and general management improvement for physical, mental, and end-of-life care (</w:t>
      </w:r>
      <w:r w:rsidRPr="530AC812" w:rsidR="530AC812">
        <w:rPr>
          <w:rFonts w:ascii="Arial" w:hAnsi="Arial" w:eastAsia="Arial" w:cs="Arial"/>
          <w:noProof w:val="0"/>
          <w:color w:val="000000" w:themeColor="text1" w:themeTint="FF" w:themeShade="FF"/>
          <w:sz w:val="22"/>
          <w:szCs w:val="22"/>
          <w:lang w:val="en-US"/>
        </w:rPr>
        <w:t xml:space="preserve">Van </w:t>
      </w:r>
      <w:proofErr w:type="spellStart"/>
      <w:r w:rsidRPr="530AC812" w:rsidR="530AC812">
        <w:rPr>
          <w:rFonts w:ascii="Arial" w:hAnsi="Arial" w:eastAsia="Arial" w:cs="Arial"/>
          <w:noProof w:val="0"/>
          <w:color w:val="000000" w:themeColor="text1" w:themeTint="FF" w:themeShade="FF"/>
          <w:sz w:val="22"/>
          <w:szCs w:val="22"/>
          <w:lang w:val="en-US"/>
        </w:rPr>
        <w:t>Royen</w:t>
      </w:r>
      <w:proofErr w:type="spellEnd"/>
      <w:r w:rsidRPr="530AC812" w:rsidR="530AC812">
        <w:rPr>
          <w:rFonts w:ascii="Arial" w:hAnsi="Arial" w:eastAsia="Arial" w:cs="Arial"/>
          <w:noProof w:val="0"/>
          <w:color w:val="000000" w:themeColor="text1" w:themeTint="FF" w:themeShade="FF"/>
          <w:sz w:val="22"/>
          <w:szCs w:val="22"/>
          <w:lang w:val="en-US"/>
        </w:rPr>
        <w:t xml:space="preserve"> et al.2020).</w:t>
      </w:r>
    </w:p>
    <w:p w:rsidR="530AC812" w:rsidP="530AC812" w:rsidRDefault="530AC812" w14:paraId="18227E46" w14:textId="6EF6700B">
      <w:pPr>
        <w:spacing w:line="360" w:lineRule="auto"/>
        <w:jc w:val="both"/>
      </w:pPr>
      <w:r w:rsidRPr="530AC812" w:rsidR="530AC812">
        <w:rPr>
          <w:rFonts w:ascii="Arial" w:hAnsi="Arial" w:eastAsia="Arial" w:cs="Arial"/>
          <w:b w:val="1"/>
          <w:bCs w:val="1"/>
          <w:noProof w:val="0"/>
          <w:sz w:val="22"/>
          <w:szCs w:val="22"/>
          <w:lang w:val="en-US"/>
        </w:rPr>
        <w:t>Intermediate care services:</w:t>
      </w:r>
      <w:r w:rsidRPr="530AC812" w:rsidR="530AC812">
        <w:rPr>
          <w:rFonts w:ascii="Arial" w:hAnsi="Arial" w:eastAsia="Arial" w:cs="Arial"/>
          <w:noProof w:val="0"/>
          <w:sz w:val="22"/>
          <w:szCs w:val="22"/>
          <w:lang w:val="en-US"/>
        </w:rPr>
        <w:t xml:space="preserve"> A variety of rehabilitation and care programs are included in intermediate care, which is intended to help patients delay or avoid entering residential care as well as enable early discharge from the hospital after admission. Hospital at home and quick response nursing programs that offer intensive, at home nursing care are two examples of integrated care services </w:t>
      </w:r>
      <w:r w:rsidRPr="530AC812" w:rsidR="530AC812">
        <w:rPr>
          <w:rFonts w:ascii="Arial" w:hAnsi="Arial" w:eastAsia="Arial" w:cs="Arial"/>
          <w:noProof w:val="0"/>
          <w:color w:val="000000" w:themeColor="text1" w:themeTint="FF" w:themeShade="FF"/>
          <w:sz w:val="22"/>
          <w:szCs w:val="22"/>
          <w:lang w:val="en-US"/>
        </w:rPr>
        <w:t>(Bone et al., 2018).</w:t>
      </w:r>
    </w:p>
    <w:p w:rsidR="530AC812" w:rsidP="530AC812" w:rsidRDefault="530AC812" w14:paraId="7D541D62" w14:textId="522D23F1">
      <w:pPr>
        <w:spacing w:line="360" w:lineRule="auto"/>
        <w:ind w:firstLine="0"/>
        <w:jc w:val="both"/>
      </w:pPr>
      <w:r w:rsidRPr="530AC812" w:rsidR="530AC812">
        <w:rPr>
          <w:rFonts w:ascii="Arial" w:hAnsi="Arial" w:eastAsia="Arial" w:cs="Arial"/>
          <w:noProof w:val="0"/>
          <w:sz w:val="22"/>
          <w:szCs w:val="22"/>
          <w:lang w:val="en-US"/>
        </w:rPr>
        <w:t>The Government granted the Infection Control Fund until March 2021 at a cost of £1.1 billion and offered local authorities with access to £4.6 billion in unrestricted subsidies to support the social care sector during the epidemic. Along with this, the government has promised local government a projected extra £3 billion in help for COVID-19 pressures in Financial Years 21/22</w:t>
      </w:r>
      <w:r w:rsidRPr="530AC812" w:rsidR="530AC812">
        <w:rPr>
          <w:rFonts w:ascii="Arial" w:hAnsi="Arial" w:eastAsia="Arial" w:cs="Arial"/>
          <w:noProof w:val="0"/>
          <w:color w:val="000000" w:themeColor="text1" w:themeTint="FF" w:themeShade="FF"/>
          <w:sz w:val="22"/>
          <w:szCs w:val="22"/>
          <w:lang w:val="en-US"/>
        </w:rPr>
        <w:t>(Dow et al. 2020).</w:t>
      </w:r>
      <w:r w:rsidRPr="530AC812" w:rsidR="530AC812">
        <w:rPr>
          <w:rFonts w:ascii="Arial" w:hAnsi="Arial" w:eastAsia="Arial" w:cs="Arial"/>
          <w:noProof w:val="0"/>
          <w:sz w:val="22"/>
          <w:szCs w:val="22"/>
          <w:lang w:val="en-US"/>
        </w:rPr>
        <w:t xml:space="preserve"> Before the extension of the Contain Outbreak Management Fund for those authorities under the highest level of restriction from December, which could be worth over £200 million a month, the Government has committed a total of nearly £7.2 billion for local councils this year. This needs fully dedicated support (Department of Health and Social Care 2020).</w:t>
      </w:r>
    </w:p>
    <w:p w:rsidR="530AC812" w:rsidP="530AC812" w:rsidRDefault="530AC812" w14:paraId="265702B5" w14:textId="3164F186">
      <w:pPr>
        <w:spacing w:line="360" w:lineRule="auto"/>
        <w:ind w:firstLine="0"/>
        <w:jc w:val="both"/>
      </w:pPr>
      <w:r w:rsidRPr="530AC812" w:rsidR="530AC812">
        <w:rPr>
          <w:rFonts w:ascii="Arial" w:hAnsi="Arial" w:eastAsia="Arial" w:cs="Arial"/>
          <w:noProof w:val="0"/>
          <w:sz w:val="22"/>
          <w:szCs w:val="22"/>
          <w:lang w:val="en-US"/>
        </w:rPr>
        <w:t xml:space="preserve">The Government confirmed that local authorities will have access to nearly £1 billion in additional funding for social care in FY 21/22 at the 2020 Spending Review. The $1 billion social care grant announced last year, which has been retained, is supplemented by this funding. As a result, councils will be able to continue providing care services while meeting escalating demand and recovering from the effects of COVID-19. We anticipate that local governments will develop the ability of the local market and collaborate with care providers to establish a fair rate of pay based on the dynamics of the local market </w:t>
      </w:r>
      <w:r w:rsidRPr="530AC812" w:rsidR="530AC812">
        <w:rPr>
          <w:rFonts w:ascii="Arial" w:hAnsi="Arial" w:eastAsia="Arial" w:cs="Arial"/>
          <w:noProof w:val="0"/>
          <w:color w:val="000000" w:themeColor="text1" w:themeTint="FF" w:themeShade="FF"/>
          <w:sz w:val="22"/>
          <w:szCs w:val="22"/>
          <w:lang w:val="en-US"/>
        </w:rPr>
        <w:t>(Ayalon et al., 2021).</w:t>
      </w:r>
    </w:p>
    <w:p w:rsidR="530AC812" w:rsidP="530AC812" w:rsidRDefault="530AC812" w14:paraId="61D55535" w14:textId="1C1619BB">
      <w:pPr>
        <w:spacing w:line="360" w:lineRule="auto"/>
        <w:ind w:firstLine="0"/>
        <w:jc w:val="both"/>
      </w:pPr>
      <w:r w:rsidRPr="530AC812" w:rsidR="530AC812">
        <w:rPr>
          <w:rFonts w:ascii="Arial" w:hAnsi="Arial" w:eastAsia="Arial" w:cs="Arial"/>
          <w:noProof w:val="0"/>
          <w:sz w:val="22"/>
          <w:szCs w:val="22"/>
          <w:lang w:val="en-US"/>
        </w:rPr>
        <w:t xml:space="preserve">The Government acknowledges the dedication that the social care workforce displayed throughout the epidemic, and we have collaborated with other organizations to create a wellbeing package that includes practical, emotional, and psychological assistance for the social care workforce. It continues to commission and fund a variety of training options because they want to offer the workforce meaningful opportunities for career advancement </w:t>
      </w:r>
      <w:r w:rsidRPr="530AC812" w:rsidR="530AC812">
        <w:rPr>
          <w:rFonts w:ascii="Arial" w:hAnsi="Arial" w:eastAsia="Arial" w:cs="Arial"/>
          <w:noProof w:val="0"/>
          <w:color w:val="000000" w:themeColor="text1" w:themeTint="FF" w:themeShade="FF"/>
          <w:sz w:val="22"/>
          <w:szCs w:val="22"/>
          <w:lang w:val="en-US"/>
        </w:rPr>
        <w:t>(Comas-Herrera, 2020:365-372).</w:t>
      </w:r>
    </w:p>
    <w:p w:rsidR="530AC812" w:rsidP="530AC812" w:rsidRDefault="530AC812" w14:paraId="29FB2A11" w14:textId="43EF38A9">
      <w:pPr>
        <w:spacing w:line="360" w:lineRule="auto"/>
        <w:ind w:firstLine="0"/>
        <w:jc w:val="both"/>
      </w:pPr>
      <w:r w:rsidRPr="530AC812" w:rsidR="530AC812">
        <w:rPr>
          <w:rFonts w:ascii="Arial" w:hAnsi="Arial" w:eastAsia="Arial" w:cs="Arial"/>
          <w:noProof w:val="0"/>
          <w:sz w:val="22"/>
          <w:szCs w:val="22"/>
          <w:lang w:val="en-US"/>
        </w:rPr>
        <w:t xml:space="preserve">The Better Care Fund (BCF), which promotes increased collaboration between health and social care partners at the local level, is another way that the government has continued to support the integration of health and social care </w:t>
      </w:r>
      <w:r w:rsidRPr="530AC812" w:rsidR="530AC812">
        <w:rPr>
          <w:rFonts w:ascii="Arial" w:hAnsi="Arial" w:eastAsia="Arial" w:cs="Arial"/>
          <w:noProof w:val="0"/>
          <w:color w:val="000000" w:themeColor="text1" w:themeTint="FF" w:themeShade="FF"/>
          <w:sz w:val="22"/>
          <w:szCs w:val="22"/>
          <w:lang w:val="en-US"/>
        </w:rPr>
        <w:t xml:space="preserve">(Mohd </w:t>
      </w:r>
      <w:proofErr w:type="spellStart"/>
      <w:r w:rsidRPr="530AC812" w:rsidR="530AC812">
        <w:rPr>
          <w:rFonts w:ascii="Arial" w:hAnsi="Arial" w:eastAsia="Arial" w:cs="Arial"/>
          <w:noProof w:val="0"/>
          <w:color w:val="000000" w:themeColor="text1" w:themeTint="FF" w:themeShade="FF"/>
          <w:sz w:val="22"/>
          <w:szCs w:val="22"/>
          <w:lang w:val="en-US"/>
        </w:rPr>
        <w:t>Mydin</w:t>
      </w:r>
      <w:proofErr w:type="spellEnd"/>
      <w:r w:rsidRPr="530AC812" w:rsidR="530AC812">
        <w:rPr>
          <w:rFonts w:ascii="Arial" w:hAnsi="Arial" w:eastAsia="Arial" w:cs="Arial"/>
          <w:noProof w:val="0"/>
          <w:color w:val="000000" w:themeColor="text1" w:themeTint="FF" w:themeShade="FF"/>
          <w:sz w:val="22"/>
          <w:szCs w:val="22"/>
          <w:lang w:val="en-US"/>
        </w:rPr>
        <w:t xml:space="preserve"> et al.2022:719-741).</w:t>
      </w:r>
      <w:r w:rsidRPr="530AC812" w:rsidR="530AC812">
        <w:rPr>
          <w:rFonts w:ascii="Arial" w:hAnsi="Arial" w:eastAsia="Arial" w:cs="Arial"/>
          <w:noProof w:val="0"/>
          <w:sz w:val="22"/>
          <w:szCs w:val="22"/>
          <w:lang w:val="en-US"/>
        </w:rPr>
        <w:t>The National Health Service (NHS) contribution to the BCF is rising by 5.3 percent in 2021–22 in accordance with the NHS Long Term Plan settlement, as stated in the BCF 2020–21 Policy Statement, which was issued on December 3rd. Additionally, we are keeping the grant amount for the upgraded Better Care Fund (</w:t>
      </w:r>
      <w:proofErr w:type="spellStart"/>
      <w:r w:rsidRPr="530AC812" w:rsidR="530AC812">
        <w:rPr>
          <w:rFonts w:ascii="Arial" w:hAnsi="Arial" w:eastAsia="Arial" w:cs="Arial"/>
          <w:noProof w:val="0"/>
          <w:sz w:val="22"/>
          <w:szCs w:val="22"/>
          <w:lang w:val="en-US"/>
        </w:rPr>
        <w:t>iBCF</w:t>
      </w:r>
      <w:proofErr w:type="spellEnd"/>
      <w:r w:rsidRPr="530AC812" w:rsidR="530AC812">
        <w:rPr>
          <w:rFonts w:ascii="Arial" w:hAnsi="Arial" w:eastAsia="Arial" w:cs="Arial"/>
          <w:noProof w:val="0"/>
          <w:sz w:val="22"/>
          <w:szCs w:val="22"/>
          <w:lang w:val="en-US"/>
        </w:rPr>
        <w:t xml:space="preserve">) at £2.077 billion. The £573 million Disabled Facilities Grant will also be maintained </w:t>
      </w:r>
      <w:r w:rsidRPr="530AC812" w:rsidR="530AC812">
        <w:rPr>
          <w:rFonts w:ascii="Arial" w:hAnsi="Arial" w:eastAsia="Arial" w:cs="Arial"/>
          <w:noProof w:val="0"/>
          <w:color w:val="000000" w:themeColor="text1" w:themeTint="FF" w:themeShade="FF"/>
          <w:sz w:val="22"/>
          <w:szCs w:val="22"/>
          <w:lang w:val="en-US"/>
        </w:rPr>
        <w:t>(Bows &amp; Bows 2018:567-583)</w:t>
      </w:r>
      <w:r w:rsidRPr="530AC812" w:rsidR="530AC812">
        <w:rPr>
          <w:rFonts w:ascii="Arial" w:hAnsi="Arial" w:eastAsia="Arial" w:cs="Arial"/>
          <w:noProof w:val="0"/>
          <w:sz w:val="22"/>
          <w:szCs w:val="22"/>
          <w:lang w:val="en-US"/>
        </w:rPr>
        <w:t>.</w:t>
      </w:r>
    </w:p>
    <w:p w:rsidR="530AC812" w:rsidP="530AC812" w:rsidRDefault="530AC812" w14:paraId="169446C6" w14:textId="2214AEE8">
      <w:pPr>
        <w:spacing w:line="360" w:lineRule="auto"/>
        <w:ind w:firstLine="0"/>
        <w:jc w:val="both"/>
      </w:pPr>
      <w:r w:rsidRPr="530AC812" w:rsidR="530AC812">
        <w:rPr>
          <w:rFonts w:ascii="Arial" w:hAnsi="Arial" w:eastAsia="Arial" w:cs="Arial"/>
          <w:noProof w:val="0"/>
          <w:sz w:val="22"/>
          <w:szCs w:val="22"/>
          <w:lang w:val="en-US"/>
        </w:rPr>
        <w:t xml:space="preserve">In general, the evolving aging explanation of aging is the one that is most frequently accepted. Evolutionary sequence theory focuses on the failure of natural selection to impact late-life features, in contrast to the earlier programmed theory of evolution and aging, which sought to explain why evolution would promote aging </w:t>
      </w:r>
      <w:r w:rsidRPr="530AC812" w:rsidR="530AC812">
        <w:rPr>
          <w:rFonts w:ascii="Arial" w:hAnsi="Arial" w:eastAsia="Arial" w:cs="Arial"/>
          <w:noProof w:val="0"/>
          <w:color w:val="000000" w:themeColor="text1" w:themeTint="FF" w:themeShade="FF"/>
          <w:sz w:val="22"/>
          <w:szCs w:val="22"/>
          <w:lang w:val="en-US"/>
        </w:rPr>
        <w:t>(Trevisan et al., 2019).</w:t>
      </w:r>
      <w:r w:rsidRPr="530AC812" w:rsidR="530AC812">
        <w:rPr>
          <w:rFonts w:ascii="Arial" w:hAnsi="Arial" w:eastAsia="Arial" w:cs="Arial"/>
          <w:noProof w:val="0"/>
          <w:sz w:val="22"/>
          <w:szCs w:val="22"/>
          <w:lang w:val="en-US"/>
        </w:rPr>
        <w:t xml:space="preserve"> Below are examples of aging theories;</w:t>
      </w:r>
    </w:p>
    <w:p w:rsidR="530AC812" w:rsidP="530AC812" w:rsidRDefault="530AC812" w14:paraId="3416908E" w14:textId="7F69301D">
      <w:pPr>
        <w:spacing w:line="360" w:lineRule="auto"/>
        <w:jc w:val="both"/>
      </w:pPr>
      <w:r w:rsidRPr="530AC812" w:rsidR="530AC812">
        <w:rPr>
          <w:rFonts w:ascii="Arial" w:hAnsi="Arial" w:eastAsia="Arial" w:cs="Arial"/>
          <w:b w:val="1"/>
          <w:bCs w:val="1"/>
          <w:noProof w:val="0"/>
          <w:sz w:val="22"/>
          <w:szCs w:val="22"/>
          <w:lang w:val="en-US"/>
        </w:rPr>
        <w:t>Disengagement Theory:</w:t>
      </w:r>
      <w:r w:rsidRPr="530AC812" w:rsidR="530AC812">
        <w:rPr>
          <w:rFonts w:ascii="Arial" w:hAnsi="Arial" w:eastAsia="Arial" w:cs="Arial"/>
          <w:noProof w:val="0"/>
          <w:sz w:val="22"/>
          <w:szCs w:val="22"/>
          <w:lang w:val="en-US"/>
        </w:rPr>
        <w:t xml:space="preserve"> refers to an irreversible process in which many of a person's interactions with other people in society are severed and those that remain are changed. Separation may be partial or total and may be initiated by the elderly individual or group. Older people have been found to be less engaged in life than younger adults </w:t>
      </w:r>
      <w:r w:rsidRPr="530AC812" w:rsidR="530AC812">
        <w:rPr>
          <w:rFonts w:ascii="Arial" w:hAnsi="Arial" w:eastAsia="Arial" w:cs="Arial"/>
          <w:noProof w:val="0"/>
          <w:color w:val="000000" w:themeColor="text1" w:themeTint="FF" w:themeShade="FF"/>
          <w:sz w:val="22"/>
          <w:szCs w:val="22"/>
          <w:lang w:val="en-US"/>
        </w:rPr>
        <w:t xml:space="preserve">(Leung, </w:t>
      </w:r>
      <w:proofErr w:type="spellStart"/>
      <w:r w:rsidRPr="530AC812" w:rsidR="530AC812">
        <w:rPr>
          <w:rFonts w:ascii="Arial" w:hAnsi="Arial" w:eastAsia="Arial" w:cs="Arial"/>
          <w:noProof w:val="0"/>
          <w:color w:val="000000" w:themeColor="text1" w:themeTint="FF" w:themeShade="FF"/>
          <w:sz w:val="22"/>
          <w:szCs w:val="22"/>
          <w:lang w:val="en-US"/>
        </w:rPr>
        <w:t>Molassiotis</w:t>
      </w:r>
      <w:proofErr w:type="spellEnd"/>
      <w:r w:rsidRPr="530AC812" w:rsidR="530AC812">
        <w:rPr>
          <w:rFonts w:ascii="Arial" w:hAnsi="Arial" w:eastAsia="Arial" w:cs="Arial"/>
          <w:noProof w:val="0"/>
          <w:color w:val="000000" w:themeColor="text1" w:themeTint="FF" w:themeShade="FF"/>
          <w:sz w:val="22"/>
          <w:szCs w:val="22"/>
          <w:lang w:val="en-US"/>
        </w:rPr>
        <w:t xml:space="preserve"> &amp; Carino 2021:1536).</w:t>
      </w:r>
    </w:p>
    <w:p w:rsidR="530AC812" w:rsidP="530AC812" w:rsidRDefault="530AC812" w14:paraId="7274E047" w14:textId="48D9661F">
      <w:pPr>
        <w:spacing w:line="360" w:lineRule="auto"/>
        <w:jc w:val="both"/>
      </w:pPr>
      <w:r w:rsidRPr="530AC812" w:rsidR="530AC812">
        <w:rPr>
          <w:rFonts w:ascii="Arial" w:hAnsi="Arial" w:eastAsia="Arial" w:cs="Arial"/>
          <w:b w:val="1"/>
          <w:bCs w:val="1"/>
          <w:noProof w:val="0"/>
          <w:sz w:val="22"/>
          <w:szCs w:val="22"/>
          <w:lang w:val="en-US"/>
        </w:rPr>
        <w:t>Activity Theory:</w:t>
      </w:r>
      <w:r w:rsidRPr="530AC812" w:rsidR="530AC812">
        <w:rPr>
          <w:rFonts w:ascii="Arial" w:hAnsi="Arial" w:eastAsia="Arial" w:cs="Arial"/>
          <w:noProof w:val="0"/>
          <w:sz w:val="22"/>
          <w:szCs w:val="22"/>
          <w:lang w:val="en-US"/>
        </w:rPr>
        <w:t xml:space="preserve"> is another theory that explains how people become psychosocially older. The need of continuing social interaction is emphasized by activity theory. This idea holds that a person's self-concept and the roles they actively play are related. For example, retiring may not be as detrimental if a person actively maintains other responsibilities including familial, recreational, volunteer, and community duties </w:t>
      </w:r>
      <w:r w:rsidRPr="530AC812" w:rsidR="530AC812">
        <w:rPr>
          <w:rFonts w:ascii="Arial" w:hAnsi="Arial" w:eastAsia="Arial" w:cs="Arial"/>
          <w:noProof w:val="0"/>
          <w:color w:val="000000" w:themeColor="text1" w:themeTint="FF" w:themeShade="FF"/>
          <w:sz w:val="22"/>
          <w:szCs w:val="22"/>
          <w:lang w:val="en-US"/>
        </w:rPr>
        <w:t>(</w:t>
      </w:r>
      <w:proofErr w:type="spellStart"/>
      <w:r w:rsidRPr="530AC812" w:rsidR="530AC812">
        <w:rPr>
          <w:rFonts w:ascii="Arial" w:hAnsi="Arial" w:eastAsia="Arial" w:cs="Arial"/>
          <w:noProof w:val="0"/>
          <w:color w:val="000000" w:themeColor="text1" w:themeTint="FF" w:themeShade="FF"/>
          <w:sz w:val="22"/>
          <w:szCs w:val="22"/>
          <w:lang w:val="en-US"/>
        </w:rPr>
        <w:t>DeLiema</w:t>
      </w:r>
      <w:proofErr w:type="spellEnd"/>
      <w:r w:rsidRPr="530AC812" w:rsidR="530AC812">
        <w:rPr>
          <w:rFonts w:ascii="Arial" w:hAnsi="Arial" w:eastAsia="Arial" w:cs="Arial"/>
          <w:noProof w:val="0"/>
          <w:color w:val="000000" w:themeColor="text1" w:themeTint="FF" w:themeShade="FF"/>
          <w:sz w:val="22"/>
          <w:szCs w:val="22"/>
          <w:lang w:val="en-US"/>
        </w:rPr>
        <w:t xml:space="preserve"> 2018:706-718).</w:t>
      </w:r>
    </w:p>
    <w:p w:rsidR="530AC812" w:rsidP="530AC812" w:rsidRDefault="530AC812" w14:paraId="5BE7178A" w14:textId="59851FF9">
      <w:pPr>
        <w:pStyle w:val="Normal"/>
        <w:spacing w:line="360" w:lineRule="auto"/>
        <w:jc w:val="both"/>
        <w:rPr>
          <w:rFonts w:ascii="Arial" w:hAnsi="Arial" w:eastAsia="Arial" w:cs="Arial"/>
          <w:b w:val="1"/>
          <w:bCs w:val="1"/>
          <w:noProof w:val="0"/>
          <w:color w:val="000000" w:themeColor="text1" w:themeTint="FF" w:themeShade="FF"/>
          <w:sz w:val="22"/>
          <w:szCs w:val="22"/>
          <w:lang w:val="en-US"/>
        </w:rPr>
      </w:pPr>
      <w:r w:rsidRPr="530AC812" w:rsidR="530AC812">
        <w:rPr>
          <w:rFonts w:ascii="Arial" w:hAnsi="Arial" w:eastAsia="Arial" w:cs="Arial"/>
          <w:b w:val="1"/>
          <w:bCs w:val="1"/>
          <w:noProof w:val="0"/>
          <w:color w:val="000000" w:themeColor="text1" w:themeTint="FF" w:themeShade="FF"/>
          <w:sz w:val="22"/>
          <w:szCs w:val="22"/>
          <w:lang w:val="en-US"/>
        </w:rPr>
        <w:t>Conclusions</w:t>
      </w:r>
    </w:p>
    <w:p w:rsidR="530AC812" w:rsidP="530AC812" w:rsidRDefault="530AC812" w14:paraId="7CBA238B" w14:textId="019489C7">
      <w:pPr>
        <w:spacing w:line="360" w:lineRule="auto"/>
        <w:jc w:val="both"/>
      </w:pPr>
      <w:r w:rsidRPr="530AC812" w:rsidR="530AC812">
        <w:rPr>
          <w:rFonts w:ascii="Arial" w:hAnsi="Arial" w:eastAsia="Arial" w:cs="Arial"/>
          <w:noProof w:val="0"/>
          <w:sz w:val="22"/>
          <w:szCs w:val="22"/>
          <w:lang w:val="en-US"/>
        </w:rPr>
        <w:t>These final comments conclude that elderly persons can often be unfairly perceived as needy, weak, and in need of rescue. Elderly individuals frequently struggle with complex interpersonal or societal situations for which there may not be a straightforward remedy. Working toward an abuse-free future would require better prevention with early intervention, greater choice with a louder voice, addressing disparities and enhancing access to community resources, as well as more support for those with long-term needs. If these hopes came true, a lot of the abuse described in this study might be addressed and avoided in the future.</w:t>
      </w:r>
    </w:p>
    <w:p w:rsidR="530AC812" w:rsidP="530AC812" w:rsidRDefault="530AC812" w14:paraId="051A75EB" w14:textId="613256B3">
      <w:pPr>
        <w:spacing w:line="360" w:lineRule="auto"/>
        <w:jc w:val="both"/>
      </w:pPr>
      <w:r w:rsidRPr="530AC812" w:rsidR="530AC812">
        <w:rPr>
          <w:rFonts w:ascii="Arial" w:hAnsi="Arial" w:eastAsia="Arial" w:cs="Arial"/>
          <w:noProof w:val="0"/>
          <w:sz w:val="22"/>
          <w:szCs w:val="22"/>
          <w:lang w:val="en-US"/>
        </w:rPr>
        <w:t>There has been a need for data regarding the number of elderly victims of abuse. While we wait for the facts to come to light, this has had the effect of giving a reason why services have been lacking. We now have knowledge that older individuals are mistreated, an indicator of those at risk, and a growing comprehension of the causes of abuse. Response-related research is much less developed. We should now decide which responses are effective. We owe this to individuals who had the bravery to share their stories, to other senior citizens, to the numerous practitioners who were left to come up with their own solutions and would undoubtedly benefit from an evidence base on which to build practice and services.</w:t>
      </w:r>
    </w:p>
    <w:p w:rsidR="530AC812" w:rsidP="530AC812" w:rsidRDefault="530AC812" w14:paraId="072A2E28" w14:textId="203BC9D7">
      <w:pPr>
        <w:spacing w:line="360" w:lineRule="auto"/>
      </w:pPr>
      <w:r>
        <w:br/>
      </w:r>
    </w:p>
    <w:p w:rsidR="530AC812" w:rsidP="530AC812" w:rsidRDefault="530AC812" w14:paraId="1787596D" w14:textId="608FF8CF">
      <w:pPr>
        <w:spacing w:line="360" w:lineRule="auto"/>
        <w:jc w:val="both"/>
      </w:pPr>
      <w:r w:rsidRPr="530AC812" w:rsidR="530AC812">
        <w:rPr>
          <w:rFonts w:ascii="Arial" w:hAnsi="Arial" w:eastAsia="Arial" w:cs="Arial"/>
          <w:noProof w:val="0"/>
          <w:sz w:val="22"/>
          <w:szCs w:val="22"/>
          <w:lang w:val="en-US"/>
        </w:rPr>
        <w:t xml:space="preserve"> </w:t>
      </w:r>
    </w:p>
    <w:p w:rsidR="530AC812" w:rsidP="530AC812" w:rsidRDefault="530AC812" w14:paraId="5E87BEDF" w14:textId="093FDAA8">
      <w:pPr>
        <w:pStyle w:val="Normal"/>
        <w:spacing w:line="360" w:lineRule="auto"/>
        <w:jc w:val="both"/>
        <w:rPr>
          <w:rFonts w:ascii="Arial" w:hAnsi="Arial" w:eastAsia="Arial" w:cs="Arial"/>
          <w:noProof w:val="0"/>
          <w:sz w:val="22"/>
          <w:szCs w:val="22"/>
          <w:lang w:val="en-US"/>
        </w:rPr>
      </w:pPr>
    </w:p>
    <w:p w:rsidR="530AC812" w:rsidP="530AC812" w:rsidRDefault="530AC812" w14:paraId="5A10EEE3" w14:textId="7416F8BC">
      <w:pPr>
        <w:pStyle w:val="Normal"/>
        <w:spacing w:line="360" w:lineRule="auto"/>
        <w:jc w:val="both"/>
        <w:rPr>
          <w:rFonts w:ascii="Arial" w:hAnsi="Arial" w:eastAsia="Arial" w:cs="Arial"/>
          <w:noProof w:val="0"/>
          <w:sz w:val="22"/>
          <w:szCs w:val="22"/>
          <w:lang w:val="en-US"/>
        </w:rPr>
      </w:pPr>
    </w:p>
    <w:p w:rsidR="530AC812" w:rsidP="530AC812" w:rsidRDefault="530AC812" w14:paraId="77B72B7F" w14:textId="612B6840">
      <w:pPr>
        <w:pStyle w:val="Heading1"/>
        <w:rPr>
          <w:rFonts w:ascii="Arial" w:hAnsi="Arial" w:eastAsia="Arial" w:cs="Arial"/>
          <w:b w:val="1"/>
          <w:bCs w:val="1"/>
          <w:noProof w:val="0"/>
          <w:color w:val="000000" w:themeColor="text1" w:themeTint="FF" w:themeShade="FF"/>
          <w:sz w:val="22"/>
          <w:szCs w:val="22"/>
          <w:lang w:val="en-US"/>
        </w:rPr>
      </w:pPr>
      <w:r w:rsidRPr="530AC812" w:rsidR="530AC812">
        <w:rPr>
          <w:rFonts w:ascii="Arial" w:hAnsi="Arial" w:eastAsia="Arial" w:cs="Arial"/>
          <w:b w:val="1"/>
          <w:bCs w:val="1"/>
          <w:noProof w:val="0"/>
          <w:color w:val="000000" w:themeColor="text1" w:themeTint="FF" w:themeShade="FF"/>
          <w:sz w:val="22"/>
          <w:szCs w:val="22"/>
          <w:lang w:val="en-US"/>
        </w:rPr>
        <w:t>References</w:t>
      </w:r>
    </w:p>
    <w:p w:rsidR="530AC812" w:rsidP="530AC812" w:rsidRDefault="530AC812" w14:paraId="48E64EAC" w14:textId="3022FD33">
      <w:pPr>
        <w:pStyle w:val="Normal"/>
        <w:rPr>
          <w:noProof w:val="0"/>
          <w:lang w:val="en-US"/>
        </w:rPr>
      </w:pPr>
    </w:p>
    <w:p w:rsidR="530AC812" w:rsidP="530AC812" w:rsidRDefault="530AC812" w14:paraId="6B8A6B39" w14:textId="42C6C661">
      <w:pPr>
        <w:spacing w:line="360" w:lineRule="auto"/>
        <w:ind w:left="1134" w:hanging="1134"/>
        <w:jc w:val="both"/>
      </w:pPr>
      <w:r w:rsidRPr="530AC812" w:rsidR="530AC812">
        <w:rPr>
          <w:rFonts w:ascii="Arial" w:hAnsi="Arial" w:eastAsia="Arial" w:cs="Arial"/>
          <w:noProof w:val="0"/>
          <w:color w:val="000000" w:themeColor="text1" w:themeTint="FF" w:themeShade="FF"/>
          <w:sz w:val="22"/>
          <w:szCs w:val="22"/>
          <w:lang w:val="en-US"/>
        </w:rPr>
        <w:t xml:space="preserve">Ayalon, L., Chasteen, A., Diehl, M., Levy, B.R., Neupert, S.D., Rothermund, K., Tesch-Römer, C. and Wahl, H.W., 2021. Aging in times of the COVID-19 pandemic: Avoiding ageism and fostering intergenerational solidarity. </w:t>
      </w:r>
      <w:r w:rsidRPr="530AC812" w:rsidR="530AC812">
        <w:rPr>
          <w:rFonts w:ascii="Arial" w:hAnsi="Arial" w:eastAsia="Arial" w:cs="Arial"/>
          <w:i w:val="1"/>
          <w:iCs w:val="1"/>
          <w:noProof w:val="0"/>
          <w:color w:val="000000" w:themeColor="text1" w:themeTint="FF" w:themeShade="FF"/>
          <w:sz w:val="22"/>
          <w:szCs w:val="22"/>
          <w:lang w:val="en-US"/>
        </w:rPr>
        <w:t>The Journals of Gerontology: Series B</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76</w:t>
      </w:r>
      <w:r w:rsidRPr="530AC812" w:rsidR="530AC812">
        <w:rPr>
          <w:rFonts w:ascii="Arial" w:hAnsi="Arial" w:eastAsia="Arial" w:cs="Arial"/>
          <w:noProof w:val="0"/>
          <w:color w:val="000000" w:themeColor="text1" w:themeTint="FF" w:themeShade="FF"/>
          <w:sz w:val="22"/>
          <w:szCs w:val="22"/>
          <w:lang w:val="en-US"/>
        </w:rPr>
        <w:t xml:space="preserve">(2), </w:t>
      </w:r>
      <w:bookmarkStart w:name="_Int_vmD68jxh" w:id="1883947431"/>
      <w:r w:rsidRPr="530AC812" w:rsidR="530AC812">
        <w:rPr>
          <w:rFonts w:ascii="Arial" w:hAnsi="Arial" w:eastAsia="Arial" w:cs="Arial"/>
          <w:noProof w:val="0"/>
          <w:color w:val="000000" w:themeColor="text1" w:themeTint="FF" w:themeShade="FF"/>
          <w:sz w:val="22"/>
          <w:szCs w:val="22"/>
          <w:lang w:val="en-US"/>
        </w:rPr>
        <w:t>pp.e</w:t>
      </w:r>
      <w:bookmarkEnd w:id="1883947431"/>
      <w:r w:rsidRPr="530AC812" w:rsidR="530AC812">
        <w:rPr>
          <w:rFonts w:ascii="Arial" w:hAnsi="Arial" w:eastAsia="Arial" w:cs="Arial"/>
          <w:noProof w:val="0"/>
          <w:color w:val="000000" w:themeColor="text1" w:themeTint="FF" w:themeShade="FF"/>
          <w:sz w:val="22"/>
          <w:szCs w:val="22"/>
          <w:lang w:val="en-US"/>
        </w:rPr>
        <w:t>49-e52.</w:t>
      </w:r>
    </w:p>
    <w:p w:rsidR="530AC812" w:rsidP="530AC812" w:rsidRDefault="530AC812" w14:paraId="46A1A14C" w14:textId="78DA22C3">
      <w:pPr>
        <w:spacing w:line="360" w:lineRule="auto"/>
        <w:ind w:left="1134" w:hanging="1134"/>
        <w:jc w:val="both"/>
      </w:pPr>
      <w:r w:rsidRPr="530AC812" w:rsidR="530AC812">
        <w:rPr>
          <w:rFonts w:ascii="Arial" w:hAnsi="Arial" w:eastAsia="Arial" w:cs="Arial"/>
          <w:noProof w:val="0"/>
          <w:color w:val="000000" w:themeColor="text1" w:themeTint="FF" w:themeShade="FF"/>
          <w:sz w:val="22"/>
          <w:szCs w:val="22"/>
          <w:lang w:val="en-US"/>
        </w:rPr>
        <w:t xml:space="preserve">Bone, A.E., Gomes, B., Etkind, S.N., Verne, J., Murtagh, F.E., Evans, C.J. and Higginson, I.J., 2018. What is the impact of population ageing on the future provision of end-of-life care? Population-based projections of place of death. </w:t>
      </w:r>
      <w:r w:rsidRPr="530AC812" w:rsidR="530AC812">
        <w:rPr>
          <w:rFonts w:ascii="Arial" w:hAnsi="Arial" w:eastAsia="Arial" w:cs="Arial"/>
          <w:i w:val="1"/>
          <w:iCs w:val="1"/>
          <w:noProof w:val="0"/>
          <w:color w:val="000000" w:themeColor="text1" w:themeTint="FF" w:themeShade="FF"/>
          <w:sz w:val="22"/>
          <w:szCs w:val="22"/>
          <w:lang w:val="en-US"/>
        </w:rPr>
        <w:t>Palliative medicine</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32</w:t>
      </w:r>
      <w:r w:rsidRPr="530AC812" w:rsidR="530AC812">
        <w:rPr>
          <w:rFonts w:ascii="Arial" w:hAnsi="Arial" w:eastAsia="Arial" w:cs="Arial"/>
          <w:noProof w:val="0"/>
          <w:color w:val="000000" w:themeColor="text1" w:themeTint="FF" w:themeShade="FF"/>
          <w:sz w:val="22"/>
          <w:szCs w:val="22"/>
          <w:lang w:val="en-US"/>
        </w:rPr>
        <w:t>(2), pp.329-336.</w:t>
      </w:r>
    </w:p>
    <w:p w:rsidR="530AC812" w:rsidP="530AC812" w:rsidRDefault="530AC812" w14:paraId="5C8BBF69" w14:textId="7F79AD68">
      <w:pPr>
        <w:spacing w:line="360" w:lineRule="auto"/>
        <w:ind w:left="1134" w:hanging="1134"/>
        <w:jc w:val="both"/>
      </w:pPr>
      <w:r w:rsidRPr="530AC812" w:rsidR="530AC812">
        <w:rPr>
          <w:rFonts w:ascii="Arial" w:hAnsi="Arial" w:eastAsia="Arial" w:cs="Arial"/>
          <w:noProof w:val="0"/>
          <w:color w:val="000000" w:themeColor="text1" w:themeTint="FF" w:themeShade="FF"/>
          <w:sz w:val="22"/>
          <w:szCs w:val="22"/>
          <w:lang w:val="en-US"/>
        </w:rPr>
        <w:t xml:space="preserve">Bows, H., 2018. Sexual violence against older people: A review of the empirical literature. </w:t>
      </w:r>
      <w:r w:rsidRPr="530AC812" w:rsidR="530AC812">
        <w:rPr>
          <w:rFonts w:ascii="Arial" w:hAnsi="Arial" w:eastAsia="Arial" w:cs="Arial"/>
          <w:i w:val="1"/>
          <w:iCs w:val="1"/>
          <w:noProof w:val="0"/>
          <w:color w:val="000000" w:themeColor="text1" w:themeTint="FF" w:themeShade="FF"/>
          <w:sz w:val="22"/>
          <w:szCs w:val="22"/>
          <w:lang w:val="en-US"/>
        </w:rPr>
        <w:t>Trauma, Violence, &amp; Abuse</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19</w:t>
      </w:r>
      <w:r w:rsidRPr="530AC812" w:rsidR="530AC812">
        <w:rPr>
          <w:rFonts w:ascii="Arial" w:hAnsi="Arial" w:eastAsia="Arial" w:cs="Arial"/>
          <w:noProof w:val="0"/>
          <w:color w:val="000000" w:themeColor="text1" w:themeTint="FF" w:themeShade="FF"/>
          <w:sz w:val="22"/>
          <w:szCs w:val="22"/>
          <w:lang w:val="en-US"/>
        </w:rPr>
        <w:t>(5), pp.567-583.</w:t>
      </w:r>
    </w:p>
    <w:p w:rsidR="530AC812" w:rsidP="530AC812" w:rsidRDefault="530AC812" w14:paraId="2A69ABC3" w14:textId="1E55D7DF">
      <w:pPr>
        <w:spacing w:line="360" w:lineRule="auto"/>
        <w:ind w:left="1134" w:hanging="1134"/>
      </w:pPr>
      <w:r w:rsidRPr="530AC812" w:rsidR="530AC812">
        <w:rPr>
          <w:rFonts w:ascii="Arial" w:hAnsi="Arial" w:eastAsia="Arial" w:cs="Arial"/>
          <w:noProof w:val="0"/>
          <w:color w:val="000000" w:themeColor="text1" w:themeTint="FF" w:themeShade="FF"/>
          <w:sz w:val="22"/>
          <w:szCs w:val="22"/>
          <w:lang w:val="en-US"/>
        </w:rPr>
        <w:t xml:space="preserve">Bows, H., 2019. Domestic homicide of older people (2010–15): A comparative analysis of intimate-partner homicide and parricide cases in the UK. </w:t>
      </w:r>
      <w:r w:rsidRPr="530AC812" w:rsidR="530AC812">
        <w:rPr>
          <w:rFonts w:ascii="Arial" w:hAnsi="Arial" w:eastAsia="Arial" w:cs="Arial"/>
          <w:i w:val="1"/>
          <w:iCs w:val="1"/>
          <w:noProof w:val="0"/>
          <w:color w:val="000000" w:themeColor="text1" w:themeTint="FF" w:themeShade="FF"/>
          <w:sz w:val="22"/>
          <w:szCs w:val="22"/>
          <w:lang w:val="en-US"/>
        </w:rPr>
        <w:t>The British Journal of Social Work</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49</w:t>
      </w:r>
      <w:r w:rsidRPr="530AC812" w:rsidR="530AC812">
        <w:rPr>
          <w:rFonts w:ascii="Arial" w:hAnsi="Arial" w:eastAsia="Arial" w:cs="Arial"/>
          <w:noProof w:val="0"/>
          <w:color w:val="000000" w:themeColor="text1" w:themeTint="FF" w:themeShade="FF"/>
          <w:sz w:val="22"/>
          <w:szCs w:val="22"/>
          <w:lang w:val="en-US"/>
        </w:rPr>
        <w:t>(5), pp.1234-1253.</w:t>
      </w:r>
    </w:p>
    <w:p w:rsidR="530AC812" w:rsidP="530AC812" w:rsidRDefault="530AC812" w14:paraId="3EB6CC96" w14:textId="09818BA9">
      <w:pPr>
        <w:spacing w:line="360" w:lineRule="auto"/>
        <w:ind w:left="1134" w:hanging="1134"/>
        <w:jc w:val="both"/>
      </w:pPr>
      <w:r w:rsidRPr="530AC812" w:rsidR="530AC812">
        <w:rPr>
          <w:rFonts w:ascii="Arial" w:hAnsi="Arial" w:eastAsia="Arial" w:cs="Arial"/>
          <w:noProof w:val="0"/>
          <w:color w:val="000000" w:themeColor="text1" w:themeTint="FF" w:themeShade="FF"/>
          <w:sz w:val="20"/>
          <w:szCs w:val="20"/>
          <w:lang w:val="en-US"/>
        </w:rPr>
        <w:t xml:space="preserve">Chandan, J.S., Thomas, T., Gokhale, K.M., Bandyopadhyay, S., Taylor, J. and Nirantharakumar, K., 2019. The burden of mental ill health associated with childhood maltreatment in the UK, using The Health Improvement Network database: a population-based retrospective cohort study. </w:t>
      </w:r>
      <w:r w:rsidRPr="530AC812" w:rsidR="530AC812">
        <w:rPr>
          <w:rFonts w:ascii="Arial" w:hAnsi="Arial" w:eastAsia="Arial" w:cs="Arial"/>
          <w:i w:val="1"/>
          <w:iCs w:val="1"/>
          <w:noProof w:val="0"/>
          <w:color w:val="000000" w:themeColor="text1" w:themeTint="FF" w:themeShade="FF"/>
          <w:sz w:val="20"/>
          <w:szCs w:val="20"/>
          <w:lang w:val="en-US"/>
        </w:rPr>
        <w:t>The Lancet Psychiatry</w:t>
      </w:r>
      <w:r w:rsidRPr="530AC812" w:rsidR="530AC812">
        <w:rPr>
          <w:rFonts w:ascii="Arial" w:hAnsi="Arial" w:eastAsia="Arial" w:cs="Arial"/>
          <w:noProof w:val="0"/>
          <w:color w:val="000000" w:themeColor="text1" w:themeTint="FF" w:themeShade="FF"/>
          <w:sz w:val="20"/>
          <w:szCs w:val="20"/>
          <w:lang w:val="en-US"/>
        </w:rPr>
        <w:t xml:space="preserve">, </w:t>
      </w:r>
      <w:r w:rsidRPr="530AC812" w:rsidR="530AC812">
        <w:rPr>
          <w:rFonts w:ascii="Arial" w:hAnsi="Arial" w:eastAsia="Arial" w:cs="Arial"/>
          <w:i w:val="1"/>
          <w:iCs w:val="1"/>
          <w:noProof w:val="0"/>
          <w:color w:val="000000" w:themeColor="text1" w:themeTint="FF" w:themeShade="FF"/>
          <w:sz w:val="20"/>
          <w:szCs w:val="20"/>
          <w:lang w:val="en-US"/>
        </w:rPr>
        <w:t>6</w:t>
      </w:r>
      <w:r w:rsidRPr="530AC812" w:rsidR="530AC812">
        <w:rPr>
          <w:rFonts w:ascii="Arial" w:hAnsi="Arial" w:eastAsia="Arial" w:cs="Arial"/>
          <w:noProof w:val="0"/>
          <w:color w:val="000000" w:themeColor="text1" w:themeTint="FF" w:themeShade="FF"/>
          <w:sz w:val="20"/>
          <w:szCs w:val="20"/>
          <w:lang w:val="en-US"/>
        </w:rPr>
        <w:t>(11), pp.926-934.</w:t>
      </w:r>
    </w:p>
    <w:p w:rsidR="530AC812" w:rsidP="530AC812" w:rsidRDefault="530AC812" w14:paraId="10894F57" w14:textId="485EE576">
      <w:pPr>
        <w:spacing w:line="360" w:lineRule="auto"/>
        <w:ind w:left="1134" w:hanging="1134"/>
      </w:pPr>
      <w:r w:rsidRPr="530AC812" w:rsidR="530AC812">
        <w:rPr>
          <w:rFonts w:ascii="Arial" w:hAnsi="Arial" w:eastAsia="Arial" w:cs="Arial"/>
          <w:noProof w:val="0"/>
          <w:color w:val="000000" w:themeColor="text1" w:themeTint="FF" w:themeShade="FF"/>
          <w:sz w:val="22"/>
          <w:szCs w:val="22"/>
          <w:lang w:val="en-US"/>
        </w:rPr>
        <w:t xml:space="preserve">Chokkanathan, S., 2018. Prevalence and correlates of elder mistreatment in Singapore. </w:t>
      </w:r>
      <w:r w:rsidRPr="530AC812" w:rsidR="530AC812">
        <w:rPr>
          <w:rFonts w:ascii="Arial" w:hAnsi="Arial" w:eastAsia="Arial" w:cs="Arial"/>
          <w:i w:val="1"/>
          <w:iCs w:val="1"/>
          <w:noProof w:val="0"/>
          <w:color w:val="000000" w:themeColor="text1" w:themeTint="FF" w:themeShade="FF"/>
          <w:sz w:val="22"/>
          <w:szCs w:val="22"/>
          <w:lang w:val="en-US"/>
        </w:rPr>
        <w:t>Journal of Elder Abuse &amp; Neglect</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30</w:t>
      </w:r>
      <w:r w:rsidRPr="530AC812" w:rsidR="530AC812">
        <w:rPr>
          <w:rFonts w:ascii="Arial" w:hAnsi="Arial" w:eastAsia="Arial" w:cs="Arial"/>
          <w:noProof w:val="0"/>
          <w:color w:val="000000" w:themeColor="text1" w:themeTint="FF" w:themeShade="FF"/>
          <w:sz w:val="22"/>
          <w:szCs w:val="22"/>
          <w:lang w:val="en-US"/>
        </w:rPr>
        <w:t>(4), pp.271-283.</w:t>
      </w:r>
    </w:p>
    <w:p w:rsidR="530AC812" w:rsidP="530AC812" w:rsidRDefault="530AC812" w14:paraId="1FDBEBE4" w14:textId="51EE63A7">
      <w:pPr>
        <w:spacing w:line="360" w:lineRule="auto"/>
        <w:ind w:left="1134" w:hanging="1134"/>
      </w:pPr>
      <w:r w:rsidRPr="530AC812" w:rsidR="530AC812">
        <w:rPr>
          <w:rFonts w:ascii="Arial" w:hAnsi="Arial" w:eastAsia="Arial" w:cs="Arial"/>
          <w:noProof w:val="0"/>
          <w:color w:val="000000" w:themeColor="text1" w:themeTint="FF" w:themeShade="FF"/>
          <w:sz w:val="22"/>
          <w:szCs w:val="22"/>
          <w:lang w:val="en-US"/>
        </w:rPr>
        <w:t xml:space="preserve">Clark-Daniels, C.L., Daniels, R.S. and Baumhover, L.A., 2019. Abuse and neglect of the elderly: are emergency department personnel aware of mandatory reporting </w:t>
      </w:r>
      <w:bookmarkStart w:name="_Int_TKFr3r8L" w:id="669100170"/>
      <w:r w:rsidRPr="530AC812" w:rsidR="530AC812">
        <w:rPr>
          <w:rFonts w:ascii="Arial" w:hAnsi="Arial" w:eastAsia="Arial" w:cs="Arial"/>
          <w:noProof w:val="0"/>
          <w:color w:val="000000" w:themeColor="text1" w:themeTint="FF" w:themeShade="FF"/>
          <w:sz w:val="22"/>
          <w:szCs w:val="22"/>
          <w:lang w:val="en-US"/>
        </w:rPr>
        <w:t>laws?.</w:t>
      </w:r>
      <w:bookmarkEnd w:id="669100170"/>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Annals of emergency medicine</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19</w:t>
      </w:r>
      <w:r w:rsidRPr="530AC812" w:rsidR="530AC812">
        <w:rPr>
          <w:rFonts w:ascii="Arial" w:hAnsi="Arial" w:eastAsia="Arial" w:cs="Arial"/>
          <w:noProof w:val="0"/>
          <w:color w:val="000000" w:themeColor="text1" w:themeTint="FF" w:themeShade="FF"/>
          <w:sz w:val="22"/>
          <w:szCs w:val="22"/>
          <w:lang w:val="en-US"/>
        </w:rPr>
        <w:t>(9), pp.970-977.</w:t>
      </w:r>
    </w:p>
    <w:p w:rsidR="530AC812" w:rsidP="530AC812" w:rsidRDefault="530AC812" w14:paraId="002B8056" w14:textId="0E238C51">
      <w:pPr>
        <w:spacing w:line="360" w:lineRule="auto"/>
        <w:ind w:left="1134" w:hanging="1134"/>
        <w:jc w:val="both"/>
      </w:pPr>
      <w:r w:rsidRPr="530AC812" w:rsidR="530AC812">
        <w:rPr>
          <w:rFonts w:ascii="Arial" w:hAnsi="Arial" w:eastAsia="Arial" w:cs="Arial"/>
          <w:noProof w:val="0"/>
          <w:color w:val="000000" w:themeColor="text1" w:themeTint="FF" w:themeShade="FF"/>
          <w:sz w:val="22"/>
          <w:szCs w:val="22"/>
          <w:lang w:val="en-US"/>
        </w:rPr>
        <w:t xml:space="preserve">Comas-Herrera, A., Fernandez, J.L., Hancock, R., Hatton, C., Knapp, M., McDaid, D., Malley, J., Wistow, G. and Wittenberg, R., 2020. COVID-19: Implications for the support of people with social care needs in England. </w:t>
      </w:r>
      <w:r w:rsidRPr="530AC812" w:rsidR="530AC812">
        <w:rPr>
          <w:rFonts w:ascii="Arial" w:hAnsi="Arial" w:eastAsia="Arial" w:cs="Arial"/>
          <w:i w:val="1"/>
          <w:iCs w:val="1"/>
          <w:noProof w:val="0"/>
          <w:color w:val="000000" w:themeColor="text1" w:themeTint="FF" w:themeShade="FF"/>
          <w:sz w:val="22"/>
          <w:szCs w:val="22"/>
          <w:lang w:val="en-US"/>
        </w:rPr>
        <w:t>Journal of aging &amp; social policy</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32</w:t>
      </w:r>
      <w:r w:rsidRPr="530AC812" w:rsidR="530AC812">
        <w:rPr>
          <w:rFonts w:ascii="Arial" w:hAnsi="Arial" w:eastAsia="Arial" w:cs="Arial"/>
          <w:noProof w:val="0"/>
          <w:color w:val="000000" w:themeColor="text1" w:themeTint="FF" w:themeShade="FF"/>
          <w:sz w:val="22"/>
          <w:szCs w:val="22"/>
          <w:lang w:val="en-US"/>
        </w:rPr>
        <w:t>(4-5), pp.365-372.</w:t>
      </w:r>
    </w:p>
    <w:p w:rsidR="530AC812" w:rsidP="530AC812" w:rsidRDefault="530AC812" w14:paraId="72AFC899" w14:textId="49D6E627">
      <w:pPr>
        <w:spacing w:line="360" w:lineRule="auto"/>
        <w:ind w:left="1134" w:hanging="1134"/>
        <w:jc w:val="both"/>
      </w:pPr>
      <w:r w:rsidRPr="530AC812" w:rsidR="530AC812">
        <w:rPr>
          <w:rFonts w:ascii="Arial" w:hAnsi="Arial" w:eastAsia="Arial" w:cs="Arial"/>
          <w:noProof w:val="0"/>
          <w:color w:val="000000" w:themeColor="text1" w:themeTint="FF" w:themeShade="FF"/>
          <w:sz w:val="22"/>
          <w:szCs w:val="22"/>
          <w:lang w:val="en-US"/>
        </w:rPr>
        <w:t xml:space="preserve">DeLiema, M., 2018. Elder fraud and financial exploitation: Application of routine activity theory. </w:t>
      </w:r>
      <w:r w:rsidRPr="530AC812" w:rsidR="530AC812">
        <w:rPr>
          <w:rFonts w:ascii="Arial" w:hAnsi="Arial" w:eastAsia="Arial" w:cs="Arial"/>
          <w:i w:val="1"/>
          <w:iCs w:val="1"/>
          <w:noProof w:val="0"/>
          <w:color w:val="000000" w:themeColor="text1" w:themeTint="FF" w:themeShade="FF"/>
          <w:sz w:val="22"/>
          <w:szCs w:val="22"/>
          <w:lang w:val="en-US"/>
        </w:rPr>
        <w:t>The Gerontologist</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58</w:t>
      </w:r>
      <w:r w:rsidRPr="530AC812" w:rsidR="530AC812">
        <w:rPr>
          <w:rFonts w:ascii="Arial" w:hAnsi="Arial" w:eastAsia="Arial" w:cs="Arial"/>
          <w:noProof w:val="0"/>
          <w:color w:val="000000" w:themeColor="text1" w:themeTint="FF" w:themeShade="FF"/>
          <w:sz w:val="22"/>
          <w:szCs w:val="22"/>
          <w:lang w:val="en-US"/>
        </w:rPr>
        <w:t>(4), pp.706-718.</w:t>
      </w:r>
    </w:p>
    <w:p w:rsidR="530AC812" w:rsidP="530AC812" w:rsidRDefault="530AC812" w14:paraId="0D150E35" w14:textId="51BB873B">
      <w:pPr>
        <w:spacing w:line="360" w:lineRule="auto"/>
        <w:ind w:left="1134" w:hanging="1134"/>
      </w:pPr>
      <w:r w:rsidRPr="530AC812" w:rsidR="530AC812">
        <w:rPr>
          <w:rFonts w:ascii="Arial" w:hAnsi="Arial" w:eastAsia="Arial" w:cs="Arial"/>
          <w:noProof w:val="0"/>
          <w:sz w:val="22"/>
          <w:szCs w:val="22"/>
          <w:lang w:val="en-US"/>
        </w:rPr>
        <w:t xml:space="preserve">Department of Health and Social Care. (2020). </w:t>
      </w:r>
      <w:r w:rsidRPr="530AC812" w:rsidR="530AC812">
        <w:rPr>
          <w:rFonts w:ascii="Arial" w:hAnsi="Arial" w:eastAsia="Arial" w:cs="Arial"/>
          <w:i w:val="1"/>
          <w:iCs w:val="1"/>
          <w:noProof w:val="0"/>
          <w:sz w:val="22"/>
          <w:szCs w:val="22"/>
          <w:lang w:val="en-US"/>
        </w:rPr>
        <w:t xml:space="preserve">Care and support statutory guidance: Safeguarding. </w:t>
      </w:r>
      <w:r w:rsidRPr="530AC812" w:rsidR="530AC812">
        <w:rPr>
          <w:rFonts w:ascii="Arial" w:hAnsi="Arial" w:eastAsia="Arial" w:cs="Arial"/>
          <w:noProof w:val="0"/>
          <w:sz w:val="22"/>
          <w:szCs w:val="22"/>
          <w:lang w:val="en-US"/>
        </w:rPr>
        <w:t xml:space="preserve">Retrieved March 28, 2021, </w:t>
      </w:r>
      <w:hyperlink w:anchor="safeguarding-1" r:id="Ref36bbd44a3b4ae2">
        <w:r w:rsidRPr="530AC812" w:rsidR="530AC812">
          <w:rPr>
            <w:rStyle w:val="Hyperlink"/>
            <w:rFonts w:ascii="Arial" w:hAnsi="Arial" w:eastAsia="Arial" w:cs="Arial"/>
            <w:strike w:val="0"/>
            <w:dstrike w:val="0"/>
            <w:noProof w:val="0"/>
            <w:sz w:val="22"/>
            <w:szCs w:val="22"/>
            <w:lang w:val="en-US"/>
          </w:rPr>
          <w:t>https://www.gov.uk/government/publications/care-act-statutory-guidance/care-and-support-statutory-guidance#safeguarding-1</w:t>
        </w:r>
      </w:hyperlink>
    </w:p>
    <w:p w:rsidR="530AC812" w:rsidP="530AC812" w:rsidRDefault="530AC812" w14:paraId="0471E00D" w14:textId="3EFF7241">
      <w:pPr>
        <w:spacing w:line="360" w:lineRule="auto"/>
        <w:ind w:left="1134" w:hanging="1134"/>
      </w:pPr>
      <w:r w:rsidRPr="530AC812" w:rsidR="530AC812">
        <w:rPr>
          <w:rFonts w:ascii="Arial" w:hAnsi="Arial" w:eastAsia="Arial" w:cs="Arial"/>
          <w:noProof w:val="0"/>
          <w:color w:val="000000" w:themeColor="text1" w:themeTint="FF" w:themeShade="FF"/>
          <w:sz w:val="22"/>
          <w:szCs w:val="22"/>
          <w:lang w:val="en-US"/>
        </w:rPr>
        <w:t xml:space="preserve">Dow, B., Gahan, L., </w:t>
      </w:r>
      <w:proofErr w:type="spellStart"/>
      <w:r w:rsidRPr="530AC812" w:rsidR="530AC812">
        <w:rPr>
          <w:rFonts w:ascii="Arial" w:hAnsi="Arial" w:eastAsia="Arial" w:cs="Arial"/>
          <w:noProof w:val="0"/>
          <w:color w:val="000000" w:themeColor="text1" w:themeTint="FF" w:themeShade="FF"/>
          <w:sz w:val="22"/>
          <w:szCs w:val="22"/>
          <w:lang w:val="en-US"/>
        </w:rPr>
        <w:t>Gaffy</w:t>
      </w:r>
      <w:proofErr w:type="spellEnd"/>
      <w:r w:rsidRPr="530AC812" w:rsidR="530AC812">
        <w:rPr>
          <w:rFonts w:ascii="Arial" w:hAnsi="Arial" w:eastAsia="Arial" w:cs="Arial"/>
          <w:noProof w:val="0"/>
          <w:color w:val="000000" w:themeColor="text1" w:themeTint="FF" w:themeShade="FF"/>
          <w:sz w:val="22"/>
          <w:szCs w:val="22"/>
          <w:lang w:val="en-US"/>
        </w:rPr>
        <w:t xml:space="preserve">, E., Joosten, M., </w:t>
      </w:r>
      <w:proofErr w:type="spellStart"/>
      <w:r w:rsidRPr="530AC812" w:rsidR="530AC812">
        <w:rPr>
          <w:rFonts w:ascii="Arial" w:hAnsi="Arial" w:eastAsia="Arial" w:cs="Arial"/>
          <w:noProof w:val="0"/>
          <w:color w:val="000000" w:themeColor="text1" w:themeTint="FF" w:themeShade="FF"/>
          <w:sz w:val="22"/>
          <w:szCs w:val="22"/>
          <w:lang w:val="en-US"/>
        </w:rPr>
        <w:t>Vrantsidis</w:t>
      </w:r>
      <w:proofErr w:type="spellEnd"/>
      <w:r w:rsidRPr="530AC812" w:rsidR="530AC812">
        <w:rPr>
          <w:rFonts w:ascii="Arial" w:hAnsi="Arial" w:eastAsia="Arial" w:cs="Arial"/>
          <w:noProof w:val="0"/>
          <w:color w:val="000000" w:themeColor="text1" w:themeTint="FF" w:themeShade="FF"/>
          <w:sz w:val="22"/>
          <w:szCs w:val="22"/>
          <w:lang w:val="en-US"/>
        </w:rPr>
        <w:t xml:space="preserve">, F., &amp; Jarred, M. (2020). Barriers to disclosing elder abuse and </w:t>
      </w:r>
      <w:bookmarkStart w:name="_Int_zTR9O3BD" w:id="846328943"/>
      <w:r w:rsidRPr="530AC812" w:rsidR="530AC812">
        <w:rPr>
          <w:rFonts w:ascii="Arial" w:hAnsi="Arial" w:eastAsia="Arial" w:cs="Arial"/>
          <w:noProof w:val="0"/>
          <w:color w:val="000000" w:themeColor="text1" w:themeTint="FF" w:themeShade="FF"/>
          <w:sz w:val="22"/>
          <w:szCs w:val="22"/>
          <w:lang w:val="en-US"/>
        </w:rPr>
        <w:t>taking action</w:t>
      </w:r>
      <w:bookmarkEnd w:id="846328943"/>
      <w:r w:rsidRPr="530AC812" w:rsidR="530AC812">
        <w:rPr>
          <w:rFonts w:ascii="Arial" w:hAnsi="Arial" w:eastAsia="Arial" w:cs="Arial"/>
          <w:noProof w:val="0"/>
          <w:color w:val="000000" w:themeColor="text1" w:themeTint="FF" w:themeShade="FF"/>
          <w:sz w:val="22"/>
          <w:szCs w:val="22"/>
          <w:lang w:val="en-US"/>
        </w:rPr>
        <w:t xml:space="preserve"> in Australia. </w:t>
      </w:r>
      <w:r w:rsidRPr="530AC812" w:rsidR="530AC812">
        <w:rPr>
          <w:rFonts w:ascii="Arial" w:hAnsi="Arial" w:eastAsia="Arial" w:cs="Arial"/>
          <w:i w:val="1"/>
          <w:iCs w:val="1"/>
          <w:noProof w:val="0"/>
          <w:color w:val="000000" w:themeColor="text1" w:themeTint="FF" w:themeShade="FF"/>
          <w:sz w:val="22"/>
          <w:szCs w:val="22"/>
          <w:lang w:val="en-US"/>
        </w:rPr>
        <w:t>Journal of Family Violence, 35</w:t>
      </w:r>
      <w:r w:rsidRPr="530AC812" w:rsidR="530AC812">
        <w:rPr>
          <w:rFonts w:ascii="Arial" w:hAnsi="Arial" w:eastAsia="Arial" w:cs="Arial"/>
          <w:noProof w:val="0"/>
          <w:color w:val="000000" w:themeColor="text1" w:themeTint="FF" w:themeShade="FF"/>
          <w:sz w:val="22"/>
          <w:szCs w:val="22"/>
          <w:lang w:val="en-US"/>
        </w:rPr>
        <w:t xml:space="preserve">(8), 853–861. </w:t>
      </w:r>
      <w:hyperlink r:id="Rcae56d11110541e4">
        <w:r w:rsidRPr="530AC812" w:rsidR="530AC812">
          <w:rPr>
            <w:rStyle w:val="Hyperlink"/>
            <w:rFonts w:ascii="Arial" w:hAnsi="Arial" w:eastAsia="Arial" w:cs="Arial"/>
            <w:strike w:val="0"/>
            <w:dstrike w:val="0"/>
            <w:noProof w:val="0"/>
            <w:sz w:val="22"/>
            <w:szCs w:val="22"/>
            <w:lang w:val="en-US"/>
          </w:rPr>
          <w:t>https://doi.org/10.1007/s10896-019-00084-w</w:t>
        </w:r>
      </w:hyperlink>
    </w:p>
    <w:p w:rsidR="530AC812" w:rsidP="530AC812" w:rsidRDefault="530AC812" w14:paraId="12454893" w14:textId="37141CEA">
      <w:pPr>
        <w:spacing w:line="360" w:lineRule="auto"/>
        <w:ind w:left="1134" w:hanging="1134"/>
      </w:pPr>
      <w:r w:rsidRPr="530AC812" w:rsidR="530AC812">
        <w:rPr>
          <w:rFonts w:ascii="Arial" w:hAnsi="Arial" w:eastAsia="Arial" w:cs="Arial"/>
          <w:noProof w:val="0"/>
          <w:color w:val="000000" w:themeColor="text1" w:themeTint="FF" w:themeShade="FF"/>
          <w:sz w:val="22"/>
          <w:szCs w:val="22"/>
          <w:lang w:val="en-US"/>
        </w:rPr>
        <w:t xml:space="preserve">Fraga Dominguez, S., Storey, J.E. and Glorney, E., 2022. Characterizing elder abuse in the UK: A description of cases reported to a national helpline. </w:t>
      </w:r>
      <w:r w:rsidRPr="530AC812" w:rsidR="530AC812">
        <w:rPr>
          <w:rFonts w:ascii="Arial" w:hAnsi="Arial" w:eastAsia="Arial" w:cs="Arial"/>
          <w:i w:val="1"/>
          <w:iCs w:val="1"/>
          <w:noProof w:val="0"/>
          <w:color w:val="000000" w:themeColor="text1" w:themeTint="FF" w:themeShade="FF"/>
          <w:sz w:val="22"/>
          <w:szCs w:val="22"/>
          <w:lang w:val="en-US"/>
        </w:rPr>
        <w:t>Journal of applied gerontology</w:t>
      </w:r>
      <w:r w:rsidRPr="530AC812" w:rsidR="530AC812">
        <w:rPr>
          <w:rFonts w:ascii="Arial" w:hAnsi="Arial" w:eastAsia="Arial" w:cs="Arial"/>
          <w:noProof w:val="0"/>
          <w:color w:val="000000" w:themeColor="text1" w:themeTint="FF" w:themeShade="FF"/>
          <w:sz w:val="22"/>
          <w:szCs w:val="22"/>
          <w:lang w:val="en-US"/>
        </w:rPr>
        <w:t>, p.07334648221109513.</w:t>
      </w:r>
    </w:p>
    <w:p w:rsidR="530AC812" w:rsidP="530AC812" w:rsidRDefault="530AC812" w14:paraId="3F72C45D" w14:textId="7723561D">
      <w:pPr>
        <w:spacing w:line="360" w:lineRule="auto"/>
        <w:ind w:left="1134" w:hanging="1134"/>
        <w:jc w:val="both"/>
      </w:pPr>
      <w:r w:rsidRPr="530AC812" w:rsidR="530AC812">
        <w:rPr>
          <w:rFonts w:ascii="Arial" w:hAnsi="Arial" w:eastAsia="Arial" w:cs="Arial"/>
          <w:noProof w:val="0"/>
          <w:color w:val="000000" w:themeColor="text1" w:themeTint="FF" w:themeShade="FF"/>
          <w:sz w:val="22"/>
          <w:szCs w:val="22"/>
          <w:lang w:val="en-US"/>
        </w:rPr>
        <w:t xml:space="preserve">Kwong, A.S., Pearson, R.M., Adams, M.J., Northstone, K., Tilling, K., Smith, D., Fawns-Ritchie, C., Bould, H., Warne, N., Zammit, S. and Gunnell, D.J., 2021. Mental health before and during the COVID-19 pandemic in two longitudinal UK population cohorts. </w:t>
      </w:r>
      <w:r w:rsidRPr="530AC812" w:rsidR="530AC812">
        <w:rPr>
          <w:rFonts w:ascii="Arial" w:hAnsi="Arial" w:eastAsia="Arial" w:cs="Arial"/>
          <w:i w:val="1"/>
          <w:iCs w:val="1"/>
          <w:noProof w:val="0"/>
          <w:color w:val="000000" w:themeColor="text1" w:themeTint="FF" w:themeShade="FF"/>
          <w:sz w:val="22"/>
          <w:szCs w:val="22"/>
          <w:lang w:val="en-US"/>
        </w:rPr>
        <w:t>The British Journal of Psychiatry</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218</w:t>
      </w:r>
      <w:r w:rsidRPr="530AC812" w:rsidR="530AC812">
        <w:rPr>
          <w:rFonts w:ascii="Arial" w:hAnsi="Arial" w:eastAsia="Arial" w:cs="Arial"/>
          <w:noProof w:val="0"/>
          <w:color w:val="000000" w:themeColor="text1" w:themeTint="FF" w:themeShade="FF"/>
          <w:sz w:val="22"/>
          <w:szCs w:val="22"/>
          <w:lang w:val="en-US"/>
        </w:rPr>
        <w:t>(6), pp.334-343.</w:t>
      </w:r>
    </w:p>
    <w:p w:rsidR="530AC812" w:rsidP="530AC812" w:rsidRDefault="530AC812" w14:paraId="4965AC68" w14:textId="490BFAAA">
      <w:pPr>
        <w:spacing w:line="360" w:lineRule="auto"/>
        <w:ind w:left="1134" w:hanging="1134"/>
        <w:jc w:val="both"/>
      </w:pPr>
      <w:r w:rsidRPr="530AC812" w:rsidR="530AC812">
        <w:rPr>
          <w:rFonts w:ascii="Arial" w:hAnsi="Arial" w:eastAsia="Arial" w:cs="Arial"/>
          <w:noProof w:val="0"/>
          <w:color w:val="000000" w:themeColor="text1" w:themeTint="FF" w:themeShade="FF"/>
          <w:sz w:val="22"/>
          <w:szCs w:val="22"/>
          <w:lang w:val="en-US"/>
        </w:rPr>
        <w:t xml:space="preserve">Leung, A.Y., Molassiotis, A. and Carino, D.A., 2021. A Challenge to Healthy Aging: Limited Social Participation in Old Age. </w:t>
      </w:r>
      <w:r w:rsidRPr="530AC812" w:rsidR="530AC812">
        <w:rPr>
          <w:rFonts w:ascii="Arial" w:hAnsi="Arial" w:eastAsia="Arial" w:cs="Arial"/>
          <w:i w:val="1"/>
          <w:iCs w:val="1"/>
          <w:noProof w:val="0"/>
          <w:color w:val="000000" w:themeColor="text1" w:themeTint="FF" w:themeShade="FF"/>
          <w:sz w:val="22"/>
          <w:szCs w:val="22"/>
          <w:lang w:val="en-US"/>
        </w:rPr>
        <w:t>Aging and disease</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12</w:t>
      </w:r>
      <w:r w:rsidRPr="530AC812" w:rsidR="530AC812">
        <w:rPr>
          <w:rFonts w:ascii="Arial" w:hAnsi="Arial" w:eastAsia="Arial" w:cs="Arial"/>
          <w:noProof w:val="0"/>
          <w:color w:val="000000" w:themeColor="text1" w:themeTint="FF" w:themeShade="FF"/>
          <w:sz w:val="22"/>
          <w:szCs w:val="22"/>
          <w:lang w:val="en-US"/>
        </w:rPr>
        <w:t>(7), p.1536.</w:t>
      </w:r>
    </w:p>
    <w:p w:rsidR="530AC812" w:rsidP="530AC812" w:rsidRDefault="530AC812" w14:paraId="2FC49299" w14:textId="644C1FBD">
      <w:pPr>
        <w:spacing w:line="360" w:lineRule="auto"/>
        <w:ind w:left="1134" w:hanging="1134"/>
      </w:pPr>
      <w:r w:rsidRPr="530AC812" w:rsidR="530AC812">
        <w:rPr>
          <w:rFonts w:ascii="Arial" w:hAnsi="Arial" w:eastAsia="Arial" w:cs="Arial"/>
          <w:noProof w:val="0"/>
          <w:color w:val="000000" w:themeColor="text1" w:themeTint="FF" w:themeShade="FF"/>
          <w:sz w:val="22"/>
          <w:szCs w:val="22"/>
          <w:lang w:val="en-US"/>
        </w:rPr>
        <w:t xml:space="preserve">Mohd Mydin, F.H., Wan Yuen, C., Othman, S., Mohd Hairi, N.N., Mohd Hairi, F., Ali, Z. and Abdul Aziz, S., 2022. Evaluating the effectiveness of I-NEED program: improving nurses’ detection and management of elder abuse and neglect—a 6-month prospective study. </w:t>
      </w:r>
      <w:r w:rsidRPr="530AC812" w:rsidR="530AC812">
        <w:rPr>
          <w:rFonts w:ascii="Arial" w:hAnsi="Arial" w:eastAsia="Arial" w:cs="Arial"/>
          <w:i w:val="1"/>
          <w:iCs w:val="1"/>
          <w:noProof w:val="0"/>
          <w:color w:val="000000" w:themeColor="text1" w:themeTint="FF" w:themeShade="FF"/>
          <w:sz w:val="22"/>
          <w:szCs w:val="22"/>
          <w:lang w:val="en-US"/>
        </w:rPr>
        <w:t>Journal of interpersonal violence</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37</w:t>
      </w:r>
      <w:r w:rsidRPr="530AC812" w:rsidR="530AC812">
        <w:rPr>
          <w:rFonts w:ascii="Arial" w:hAnsi="Arial" w:eastAsia="Arial" w:cs="Arial"/>
          <w:noProof w:val="0"/>
          <w:color w:val="000000" w:themeColor="text1" w:themeTint="FF" w:themeShade="FF"/>
          <w:sz w:val="22"/>
          <w:szCs w:val="22"/>
          <w:lang w:val="en-US"/>
        </w:rPr>
        <w:t>(1-2), pp.NP719-NP741.</w:t>
      </w:r>
    </w:p>
    <w:p w:rsidR="530AC812" w:rsidP="530AC812" w:rsidRDefault="530AC812" w14:paraId="166F27EA" w14:textId="58E4F81A">
      <w:pPr>
        <w:spacing w:line="360" w:lineRule="auto"/>
        <w:ind w:left="1134" w:hanging="1134"/>
      </w:pPr>
      <w:r w:rsidRPr="530AC812" w:rsidR="530AC812">
        <w:rPr>
          <w:rFonts w:ascii="Arial" w:hAnsi="Arial" w:eastAsia="Arial" w:cs="Arial"/>
          <w:noProof w:val="0"/>
          <w:color w:val="000000" w:themeColor="text1" w:themeTint="FF" w:themeShade="FF"/>
          <w:sz w:val="22"/>
          <w:szCs w:val="22"/>
          <w:lang w:val="en-US"/>
        </w:rPr>
        <w:t xml:space="preserve">O’Brien, J.G., Riain, A.N., Collins, C., Long, V. and O’Neill, D., 2018. Elder abuse and neglect: A survey of Irish general practitioners. </w:t>
      </w:r>
      <w:r w:rsidRPr="530AC812" w:rsidR="530AC812">
        <w:rPr>
          <w:rFonts w:ascii="Arial" w:hAnsi="Arial" w:eastAsia="Arial" w:cs="Arial"/>
          <w:i w:val="1"/>
          <w:iCs w:val="1"/>
          <w:noProof w:val="0"/>
          <w:color w:val="000000" w:themeColor="text1" w:themeTint="FF" w:themeShade="FF"/>
          <w:sz w:val="22"/>
          <w:szCs w:val="22"/>
          <w:lang w:val="en-US"/>
        </w:rPr>
        <w:t>Journal of elder abuse &amp; neglect</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26</w:t>
      </w:r>
      <w:r w:rsidRPr="530AC812" w:rsidR="530AC812">
        <w:rPr>
          <w:rFonts w:ascii="Arial" w:hAnsi="Arial" w:eastAsia="Arial" w:cs="Arial"/>
          <w:noProof w:val="0"/>
          <w:color w:val="000000" w:themeColor="text1" w:themeTint="FF" w:themeShade="FF"/>
          <w:sz w:val="22"/>
          <w:szCs w:val="22"/>
          <w:lang w:val="en-US"/>
        </w:rPr>
        <w:t>(3), pp.291-299.</w:t>
      </w:r>
    </w:p>
    <w:p w:rsidR="530AC812" w:rsidP="530AC812" w:rsidRDefault="530AC812" w14:paraId="5D6BB4F3" w14:textId="09ED4D1D">
      <w:pPr>
        <w:spacing w:line="360" w:lineRule="auto"/>
        <w:ind w:left="1134" w:hanging="1134"/>
      </w:pPr>
      <w:r w:rsidRPr="530AC812" w:rsidR="530AC812">
        <w:rPr>
          <w:rFonts w:ascii="Arial" w:hAnsi="Arial" w:eastAsia="Arial" w:cs="Arial"/>
          <w:noProof w:val="0"/>
          <w:color w:val="000000" w:themeColor="text1" w:themeTint="FF" w:themeShade="FF"/>
          <w:sz w:val="22"/>
          <w:szCs w:val="22"/>
          <w:lang w:val="en-US"/>
        </w:rPr>
        <w:t xml:space="preserve">Rigon, S., Dascal-Weichhendler, H., Rothschild-Meir, S. and Bravo, R.G., 2021. Elder Abuse and Neglect 18. </w:t>
      </w:r>
      <w:r w:rsidRPr="530AC812" w:rsidR="530AC812">
        <w:rPr>
          <w:rFonts w:ascii="Arial" w:hAnsi="Arial" w:eastAsia="Arial" w:cs="Arial"/>
          <w:i w:val="1"/>
          <w:iCs w:val="1"/>
          <w:noProof w:val="0"/>
          <w:color w:val="000000" w:themeColor="text1" w:themeTint="FF" w:themeShade="FF"/>
          <w:sz w:val="22"/>
          <w:szCs w:val="22"/>
          <w:lang w:val="en-US"/>
        </w:rPr>
        <w:t>The Role of Family Physicians in Older People Care</w:t>
      </w:r>
      <w:r w:rsidRPr="530AC812" w:rsidR="530AC812">
        <w:rPr>
          <w:rFonts w:ascii="Arial" w:hAnsi="Arial" w:eastAsia="Arial" w:cs="Arial"/>
          <w:noProof w:val="0"/>
          <w:color w:val="000000" w:themeColor="text1" w:themeTint="FF" w:themeShade="FF"/>
          <w:sz w:val="22"/>
          <w:szCs w:val="22"/>
          <w:lang w:val="en-US"/>
        </w:rPr>
        <w:t>, p.289.</w:t>
      </w:r>
    </w:p>
    <w:p w:rsidR="530AC812" w:rsidP="530AC812" w:rsidRDefault="530AC812" w14:paraId="4ADAAFE7" w14:textId="6C00D0D2">
      <w:pPr>
        <w:spacing w:line="360" w:lineRule="auto"/>
        <w:ind w:left="1134" w:hanging="1134"/>
      </w:pPr>
      <w:r w:rsidRPr="530AC812" w:rsidR="530AC812">
        <w:rPr>
          <w:rFonts w:ascii="Arial" w:hAnsi="Arial" w:eastAsia="Arial" w:cs="Arial"/>
          <w:noProof w:val="0"/>
          <w:color w:val="000000" w:themeColor="text1" w:themeTint="FF" w:themeShade="FF"/>
          <w:sz w:val="22"/>
          <w:szCs w:val="22"/>
          <w:lang w:val="en-US"/>
        </w:rPr>
        <w:t xml:space="preserve">Simmons, J., Wenemark, M. and Ludvigsson, M., 2021. Development and validation of REAGERA-P, a new questionnaire to evaluate health care provider preparedness to identify and manage elder abuse. </w:t>
      </w:r>
      <w:r w:rsidRPr="530AC812" w:rsidR="530AC812">
        <w:rPr>
          <w:rFonts w:ascii="Arial" w:hAnsi="Arial" w:eastAsia="Arial" w:cs="Arial"/>
          <w:i w:val="1"/>
          <w:iCs w:val="1"/>
          <w:noProof w:val="0"/>
          <w:color w:val="000000" w:themeColor="text1" w:themeTint="FF" w:themeShade="FF"/>
          <w:sz w:val="22"/>
          <w:szCs w:val="22"/>
          <w:lang w:val="en-US"/>
        </w:rPr>
        <w:t>BMC health services research</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21</w:t>
      </w:r>
      <w:r w:rsidRPr="530AC812" w:rsidR="530AC812">
        <w:rPr>
          <w:rFonts w:ascii="Arial" w:hAnsi="Arial" w:eastAsia="Arial" w:cs="Arial"/>
          <w:noProof w:val="0"/>
          <w:color w:val="000000" w:themeColor="text1" w:themeTint="FF" w:themeShade="FF"/>
          <w:sz w:val="22"/>
          <w:szCs w:val="22"/>
          <w:lang w:val="en-US"/>
        </w:rPr>
        <w:t>(1), pp.1-14.</w:t>
      </w:r>
    </w:p>
    <w:p w:rsidR="530AC812" w:rsidP="530AC812" w:rsidRDefault="530AC812" w14:paraId="47F1BCD0" w14:textId="5EBA4EFD">
      <w:pPr>
        <w:spacing w:line="360" w:lineRule="auto"/>
        <w:ind w:left="1134" w:hanging="1134"/>
      </w:pPr>
      <w:r w:rsidRPr="530AC812" w:rsidR="530AC812">
        <w:rPr>
          <w:rFonts w:ascii="Arial" w:hAnsi="Arial" w:eastAsia="Arial" w:cs="Arial"/>
          <w:noProof w:val="0"/>
          <w:color w:val="000000" w:themeColor="text1" w:themeTint="FF" w:themeShade="FF"/>
          <w:sz w:val="22"/>
          <w:szCs w:val="22"/>
          <w:lang w:val="en-US"/>
        </w:rPr>
        <w:t xml:space="preserve">Storey, J.E., 2020. Risk factors for elder abuse and neglect: A review of the literature. </w:t>
      </w:r>
      <w:r w:rsidRPr="530AC812" w:rsidR="530AC812">
        <w:rPr>
          <w:rFonts w:ascii="Arial" w:hAnsi="Arial" w:eastAsia="Arial" w:cs="Arial"/>
          <w:i w:val="1"/>
          <w:iCs w:val="1"/>
          <w:noProof w:val="0"/>
          <w:color w:val="000000" w:themeColor="text1" w:themeTint="FF" w:themeShade="FF"/>
          <w:sz w:val="22"/>
          <w:szCs w:val="22"/>
          <w:lang w:val="en-US"/>
        </w:rPr>
        <w:t>Aggression and violent behavior</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50</w:t>
      </w:r>
      <w:r w:rsidRPr="530AC812" w:rsidR="530AC812">
        <w:rPr>
          <w:rFonts w:ascii="Arial" w:hAnsi="Arial" w:eastAsia="Arial" w:cs="Arial"/>
          <w:noProof w:val="0"/>
          <w:color w:val="000000" w:themeColor="text1" w:themeTint="FF" w:themeShade="FF"/>
          <w:sz w:val="22"/>
          <w:szCs w:val="22"/>
          <w:lang w:val="en-US"/>
        </w:rPr>
        <w:t>, p.101339.</w:t>
      </w:r>
    </w:p>
    <w:p w:rsidR="530AC812" w:rsidP="530AC812" w:rsidRDefault="530AC812" w14:paraId="693EB470" w14:textId="4AC2CF48">
      <w:pPr>
        <w:spacing w:line="360" w:lineRule="auto"/>
        <w:ind w:left="1134" w:hanging="1134"/>
        <w:jc w:val="both"/>
      </w:pPr>
      <w:r w:rsidRPr="530AC812" w:rsidR="530AC812">
        <w:rPr>
          <w:rFonts w:ascii="Arial" w:hAnsi="Arial" w:eastAsia="Arial" w:cs="Arial"/>
          <w:noProof w:val="0"/>
          <w:color w:val="000000" w:themeColor="text1" w:themeTint="FF" w:themeShade="FF"/>
          <w:sz w:val="22"/>
          <w:szCs w:val="22"/>
          <w:lang w:val="en-US"/>
        </w:rPr>
        <w:t xml:space="preserve">Trevisan, K., Cristina-Pereira, R., Silva-Amaral, D. and Aversi-Ferreira, T.A., 2019. Theories of Aging and the Prevalence of Alzheimer’s Disease. </w:t>
      </w:r>
      <w:r w:rsidRPr="530AC812" w:rsidR="530AC812">
        <w:rPr>
          <w:rFonts w:ascii="Arial" w:hAnsi="Arial" w:eastAsia="Arial" w:cs="Arial"/>
          <w:i w:val="1"/>
          <w:iCs w:val="1"/>
          <w:noProof w:val="0"/>
          <w:color w:val="000000" w:themeColor="text1" w:themeTint="FF" w:themeShade="FF"/>
          <w:sz w:val="22"/>
          <w:szCs w:val="22"/>
          <w:lang w:val="en-US"/>
        </w:rPr>
        <w:t>BioMed research international</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2019</w:t>
      </w:r>
      <w:r w:rsidRPr="530AC812" w:rsidR="530AC812">
        <w:rPr>
          <w:rFonts w:ascii="Arial" w:hAnsi="Arial" w:eastAsia="Arial" w:cs="Arial"/>
          <w:noProof w:val="0"/>
          <w:color w:val="000000" w:themeColor="text1" w:themeTint="FF" w:themeShade="FF"/>
          <w:sz w:val="22"/>
          <w:szCs w:val="22"/>
          <w:lang w:val="en-US"/>
        </w:rPr>
        <w:t>.</w:t>
      </w:r>
    </w:p>
    <w:p w:rsidR="530AC812" w:rsidP="530AC812" w:rsidRDefault="530AC812" w14:paraId="56813270" w14:textId="13D32AC4">
      <w:pPr>
        <w:spacing w:line="360" w:lineRule="auto"/>
        <w:ind w:left="1134" w:hanging="1134"/>
      </w:pPr>
      <w:r w:rsidRPr="530AC812" w:rsidR="530AC812">
        <w:rPr>
          <w:rFonts w:ascii="Arial" w:hAnsi="Arial" w:eastAsia="Arial" w:cs="Arial"/>
          <w:noProof w:val="0"/>
          <w:sz w:val="22"/>
          <w:szCs w:val="22"/>
          <w:lang w:val="en-US"/>
        </w:rPr>
        <w:t xml:space="preserve">UK Government. Anti-social </w:t>
      </w:r>
      <w:r w:rsidRPr="530AC812" w:rsidR="530AC812">
        <w:rPr>
          <w:rFonts w:ascii="Arial" w:hAnsi="Arial" w:eastAsia="Arial" w:cs="Arial"/>
          <w:noProof w:val="0"/>
          <w:sz w:val="22"/>
          <w:szCs w:val="22"/>
          <w:lang w:val="en-US"/>
        </w:rPr>
        <w:t>Behavior</w:t>
      </w:r>
      <w:r w:rsidRPr="530AC812" w:rsidR="530AC812">
        <w:rPr>
          <w:rFonts w:ascii="Arial" w:hAnsi="Arial" w:eastAsia="Arial" w:cs="Arial"/>
          <w:noProof w:val="0"/>
          <w:sz w:val="22"/>
          <w:szCs w:val="22"/>
          <w:lang w:val="en-US"/>
        </w:rPr>
        <w:t xml:space="preserve">, Crime and Policing Act 2020. Part 10: Forced Marriage. 2020. </w:t>
      </w:r>
      <w:hyperlink r:id="R26054838555a4f26">
        <w:r w:rsidRPr="530AC812" w:rsidR="530AC812">
          <w:rPr>
            <w:rStyle w:val="Hyperlink"/>
            <w:rFonts w:ascii="Arial" w:hAnsi="Arial" w:eastAsia="Arial" w:cs="Arial"/>
            <w:strike w:val="0"/>
            <w:dstrike w:val="0"/>
            <w:noProof w:val="0"/>
            <w:sz w:val="22"/>
            <w:szCs w:val="22"/>
            <w:lang w:val="en-US"/>
          </w:rPr>
          <w:t>https://www.legislation.gov.uk/ukpga/2020/12/part/10/enacted</w:t>
        </w:r>
      </w:hyperlink>
    </w:p>
    <w:p w:rsidR="530AC812" w:rsidP="530AC812" w:rsidRDefault="530AC812" w14:paraId="372CFA47" w14:textId="11763E7B">
      <w:pPr>
        <w:spacing w:line="360" w:lineRule="auto"/>
        <w:ind w:left="1134" w:hanging="1134"/>
      </w:pPr>
      <w:r w:rsidRPr="530AC812" w:rsidR="530AC812">
        <w:rPr>
          <w:rFonts w:ascii="Arial" w:hAnsi="Arial" w:eastAsia="Arial" w:cs="Arial"/>
          <w:noProof w:val="0"/>
          <w:color w:val="000000" w:themeColor="text1" w:themeTint="FF" w:themeShade="FF"/>
          <w:sz w:val="22"/>
          <w:szCs w:val="22"/>
          <w:lang w:val="en-US"/>
        </w:rPr>
        <w:t xml:space="preserve">Van Royen, K., Van Royen, P., De Donder, L. and Gobbens, R.J., 2020. Elder abuse assessment tools and interventions for use in the home environment: A scoping review. </w:t>
      </w:r>
      <w:r w:rsidRPr="530AC812" w:rsidR="530AC812">
        <w:rPr>
          <w:rFonts w:ascii="Arial" w:hAnsi="Arial" w:eastAsia="Arial" w:cs="Arial"/>
          <w:i w:val="1"/>
          <w:iCs w:val="1"/>
          <w:noProof w:val="0"/>
          <w:color w:val="000000" w:themeColor="text1" w:themeTint="FF" w:themeShade="FF"/>
          <w:sz w:val="22"/>
          <w:szCs w:val="22"/>
          <w:lang w:val="en-US"/>
        </w:rPr>
        <w:t>Clinical interventions in aging</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15</w:t>
      </w:r>
      <w:r w:rsidRPr="530AC812" w:rsidR="530AC812">
        <w:rPr>
          <w:rFonts w:ascii="Arial" w:hAnsi="Arial" w:eastAsia="Arial" w:cs="Arial"/>
          <w:noProof w:val="0"/>
          <w:color w:val="000000" w:themeColor="text1" w:themeTint="FF" w:themeShade="FF"/>
          <w:sz w:val="22"/>
          <w:szCs w:val="22"/>
          <w:lang w:val="en-US"/>
        </w:rPr>
        <w:t>, p.1793.</w:t>
      </w:r>
    </w:p>
    <w:p w:rsidR="530AC812" w:rsidP="530AC812" w:rsidRDefault="530AC812" w14:paraId="3A74BBA9" w14:textId="29B9D137">
      <w:pPr>
        <w:spacing w:line="360" w:lineRule="auto"/>
        <w:ind w:left="1134" w:hanging="1134"/>
        <w:jc w:val="both"/>
      </w:pPr>
      <w:r w:rsidRPr="530AC812" w:rsidR="530AC812">
        <w:rPr>
          <w:rFonts w:ascii="Arial" w:hAnsi="Arial" w:eastAsia="Arial" w:cs="Arial"/>
          <w:noProof w:val="0"/>
          <w:color w:val="000000" w:themeColor="text1" w:themeTint="FF" w:themeShade="FF"/>
          <w:sz w:val="22"/>
          <w:szCs w:val="22"/>
          <w:lang w:val="en-US"/>
        </w:rPr>
        <w:t xml:space="preserve">Waldock, K.A.M., Hayes, M., Watt, P.W. and Maxwell, N.S., 2018. Physiological and perceptual responses in the elderly to simulated daily living activities in UK summer climatic conditions. </w:t>
      </w:r>
      <w:r w:rsidRPr="530AC812" w:rsidR="530AC812">
        <w:rPr>
          <w:rFonts w:ascii="Arial" w:hAnsi="Arial" w:eastAsia="Arial" w:cs="Arial"/>
          <w:i w:val="1"/>
          <w:iCs w:val="1"/>
          <w:noProof w:val="0"/>
          <w:color w:val="000000" w:themeColor="text1" w:themeTint="FF" w:themeShade="FF"/>
          <w:sz w:val="22"/>
          <w:szCs w:val="22"/>
          <w:lang w:val="en-US"/>
        </w:rPr>
        <w:t>Public Health</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161</w:t>
      </w:r>
      <w:r w:rsidRPr="530AC812" w:rsidR="530AC812">
        <w:rPr>
          <w:rFonts w:ascii="Arial" w:hAnsi="Arial" w:eastAsia="Arial" w:cs="Arial"/>
          <w:noProof w:val="0"/>
          <w:color w:val="000000" w:themeColor="text1" w:themeTint="FF" w:themeShade="FF"/>
          <w:sz w:val="22"/>
          <w:szCs w:val="22"/>
          <w:lang w:val="en-US"/>
        </w:rPr>
        <w:t>, pp.163-170.</w:t>
      </w:r>
    </w:p>
    <w:p w:rsidR="530AC812" w:rsidP="530AC812" w:rsidRDefault="530AC812" w14:paraId="4C15D9BC" w14:textId="084204A4">
      <w:pPr>
        <w:spacing w:line="360" w:lineRule="auto"/>
        <w:ind w:left="1134" w:hanging="1134"/>
        <w:jc w:val="both"/>
      </w:pPr>
      <w:proofErr w:type="spellStart"/>
      <w:r w:rsidRPr="530AC812" w:rsidR="530AC812">
        <w:rPr>
          <w:rFonts w:ascii="Arial" w:hAnsi="Arial" w:eastAsia="Arial" w:cs="Arial"/>
          <w:noProof w:val="0"/>
          <w:color w:val="000000" w:themeColor="text1" w:themeTint="FF" w:themeShade="FF"/>
          <w:sz w:val="22"/>
          <w:szCs w:val="22"/>
          <w:lang w:val="en-US"/>
        </w:rPr>
        <w:t>Wildenbos</w:t>
      </w:r>
      <w:proofErr w:type="spellEnd"/>
      <w:r w:rsidRPr="530AC812" w:rsidR="530AC812">
        <w:rPr>
          <w:rFonts w:ascii="Arial" w:hAnsi="Arial" w:eastAsia="Arial" w:cs="Arial"/>
          <w:noProof w:val="0"/>
          <w:color w:val="000000" w:themeColor="text1" w:themeTint="FF" w:themeShade="FF"/>
          <w:sz w:val="22"/>
          <w:szCs w:val="22"/>
          <w:lang w:val="en-US"/>
        </w:rPr>
        <w:t xml:space="preserve">, G.A., </w:t>
      </w:r>
      <w:proofErr w:type="spellStart"/>
      <w:r w:rsidRPr="530AC812" w:rsidR="530AC812">
        <w:rPr>
          <w:rFonts w:ascii="Arial" w:hAnsi="Arial" w:eastAsia="Arial" w:cs="Arial"/>
          <w:noProof w:val="0"/>
          <w:color w:val="000000" w:themeColor="text1" w:themeTint="FF" w:themeShade="FF"/>
          <w:sz w:val="22"/>
          <w:szCs w:val="22"/>
          <w:lang w:val="en-US"/>
        </w:rPr>
        <w:t>Peute</w:t>
      </w:r>
      <w:proofErr w:type="spellEnd"/>
      <w:r w:rsidRPr="530AC812" w:rsidR="530AC812">
        <w:rPr>
          <w:rFonts w:ascii="Arial" w:hAnsi="Arial" w:eastAsia="Arial" w:cs="Arial"/>
          <w:noProof w:val="0"/>
          <w:color w:val="000000" w:themeColor="text1" w:themeTint="FF" w:themeShade="FF"/>
          <w:sz w:val="22"/>
          <w:szCs w:val="22"/>
          <w:lang w:val="en-US"/>
        </w:rPr>
        <w:t xml:space="preserve">, L. and Jaspers, M., 2018. Aging barriers influencing mobile health usability for older adults: A </w:t>
      </w:r>
      <w:bookmarkStart w:name="_Int_EHfgjSxR" w:id="743108319"/>
      <w:r w:rsidRPr="530AC812" w:rsidR="530AC812">
        <w:rPr>
          <w:rFonts w:ascii="Arial" w:hAnsi="Arial" w:eastAsia="Arial" w:cs="Arial"/>
          <w:noProof w:val="0"/>
          <w:color w:val="000000" w:themeColor="text1" w:themeTint="FF" w:themeShade="FF"/>
          <w:sz w:val="22"/>
          <w:szCs w:val="22"/>
          <w:lang w:val="en-US"/>
        </w:rPr>
        <w:t>literature based</w:t>
      </w:r>
      <w:bookmarkEnd w:id="743108319"/>
      <w:r w:rsidRPr="530AC812" w:rsidR="530AC812">
        <w:rPr>
          <w:rFonts w:ascii="Arial" w:hAnsi="Arial" w:eastAsia="Arial" w:cs="Arial"/>
          <w:noProof w:val="0"/>
          <w:color w:val="000000" w:themeColor="text1" w:themeTint="FF" w:themeShade="FF"/>
          <w:sz w:val="22"/>
          <w:szCs w:val="22"/>
          <w:lang w:val="en-US"/>
        </w:rPr>
        <w:t xml:space="preserve"> framework (MOLD-US). </w:t>
      </w:r>
      <w:r w:rsidRPr="530AC812" w:rsidR="530AC812">
        <w:rPr>
          <w:rFonts w:ascii="Arial" w:hAnsi="Arial" w:eastAsia="Arial" w:cs="Arial"/>
          <w:i w:val="1"/>
          <w:iCs w:val="1"/>
          <w:noProof w:val="0"/>
          <w:color w:val="000000" w:themeColor="text1" w:themeTint="FF" w:themeShade="FF"/>
          <w:sz w:val="22"/>
          <w:szCs w:val="22"/>
          <w:lang w:val="en-US"/>
        </w:rPr>
        <w:t>International journal of medical informatics</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114</w:t>
      </w:r>
      <w:r w:rsidRPr="530AC812" w:rsidR="530AC812">
        <w:rPr>
          <w:rFonts w:ascii="Arial" w:hAnsi="Arial" w:eastAsia="Arial" w:cs="Arial"/>
          <w:noProof w:val="0"/>
          <w:color w:val="000000" w:themeColor="text1" w:themeTint="FF" w:themeShade="FF"/>
          <w:sz w:val="22"/>
          <w:szCs w:val="22"/>
          <w:lang w:val="en-US"/>
        </w:rPr>
        <w:t>, pp.66-75.</w:t>
      </w:r>
    </w:p>
    <w:p w:rsidR="530AC812" w:rsidP="530AC812" w:rsidRDefault="530AC812" w14:paraId="1446F795" w14:textId="6CC92F3C">
      <w:pPr>
        <w:spacing w:line="360" w:lineRule="auto"/>
        <w:ind w:left="1134" w:hanging="1134"/>
        <w:jc w:val="both"/>
      </w:pPr>
      <w:r w:rsidRPr="530AC812" w:rsidR="530AC812">
        <w:rPr>
          <w:rFonts w:ascii="Arial" w:hAnsi="Arial" w:eastAsia="Arial" w:cs="Arial"/>
          <w:noProof w:val="0"/>
          <w:color w:val="000000" w:themeColor="text1" w:themeTint="FF" w:themeShade="FF"/>
          <w:sz w:val="22"/>
          <w:szCs w:val="22"/>
          <w:lang w:val="en-US"/>
        </w:rPr>
        <w:t xml:space="preserve">Wittenberg, R., Hu, B., Barraza-Araiza, L. and Rehill, A., 2019. Projections of older people with dementia and costs of dementia care in the United Kingdom, 2019–2040. </w:t>
      </w:r>
      <w:r w:rsidRPr="530AC812" w:rsidR="530AC812">
        <w:rPr>
          <w:rFonts w:ascii="Arial" w:hAnsi="Arial" w:eastAsia="Arial" w:cs="Arial"/>
          <w:i w:val="1"/>
          <w:iCs w:val="1"/>
          <w:noProof w:val="0"/>
          <w:color w:val="000000" w:themeColor="text1" w:themeTint="FF" w:themeShade="FF"/>
          <w:sz w:val="22"/>
          <w:szCs w:val="22"/>
          <w:lang w:val="en-US"/>
        </w:rPr>
        <w:t>London: London School of Economics</w:t>
      </w:r>
      <w:r w:rsidRPr="530AC812" w:rsidR="530AC812">
        <w:rPr>
          <w:rFonts w:ascii="Arial" w:hAnsi="Arial" w:eastAsia="Arial" w:cs="Arial"/>
          <w:noProof w:val="0"/>
          <w:color w:val="000000" w:themeColor="text1" w:themeTint="FF" w:themeShade="FF"/>
          <w:sz w:val="22"/>
          <w:szCs w:val="22"/>
          <w:lang w:val="en-US"/>
        </w:rPr>
        <w:t>.</w:t>
      </w:r>
    </w:p>
    <w:p w:rsidR="530AC812" w:rsidP="530AC812" w:rsidRDefault="530AC812" w14:paraId="668F1E4A" w14:textId="10A25E29">
      <w:pPr>
        <w:spacing w:line="360" w:lineRule="auto"/>
        <w:ind w:left="1134" w:hanging="1134"/>
        <w:jc w:val="both"/>
      </w:pPr>
      <w:r w:rsidRPr="530AC812" w:rsidR="530AC812">
        <w:rPr>
          <w:rFonts w:ascii="Arial" w:hAnsi="Arial" w:eastAsia="Arial" w:cs="Arial"/>
          <w:noProof w:val="0"/>
          <w:color w:val="000000" w:themeColor="text1" w:themeTint="FF" w:themeShade="FF"/>
          <w:sz w:val="22"/>
          <w:szCs w:val="22"/>
          <w:lang w:val="en-US"/>
        </w:rPr>
        <w:t xml:space="preserve">Zhou, W., Oyegoke, A.S. and Sun, M., 2020. Adaptations for aging at home in the UK: An evaluation of current practice. </w:t>
      </w:r>
      <w:r w:rsidRPr="530AC812" w:rsidR="530AC812">
        <w:rPr>
          <w:rFonts w:ascii="Arial" w:hAnsi="Arial" w:eastAsia="Arial" w:cs="Arial"/>
          <w:i w:val="1"/>
          <w:iCs w:val="1"/>
          <w:noProof w:val="0"/>
          <w:color w:val="000000" w:themeColor="text1" w:themeTint="FF" w:themeShade="FF"/>
          <w:sz w:val="22"/>
          <w:szCs w:val="22"/>
          <w:lang w:val="en-US"/>
        </w:rPr>
        <w:t>Journal of Aging &amp; Social Policy</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32</w:t>
      </w:r>
      <w:r w:rsidRPr="530AC812" w:rsidR="530AC812">
        <w:rPr>
          <w:rFonts w:ascii="Arial" w:hAnsi="Arial" w:eastAsia="Arial" w:cs="Arial"/>
          <w:noProof w:val="0"/>
          <w:color w:val="000000" w:themeColor="text1" w:themeTint="FF" w:themeShade="FF"/>
          <w:sz w:val="22"/>
          <w:szCs w:val="22"/>
          <w:lang w:val="en-US"/>
        </w:rPr>
        <w:t>(6), pp.572-589.</w:t>
      </w:r>
    </w:p>
    <w:p w:rsidR="530AC812" w:rsidP="530AC812" w:rsidRDefault="530AC812" w14:paraId="5F776358" w14:textId="37EC9822">
      <w:pPr>
        <w:spacing w:line="360" w:lineRule="auto"/>
        <w:ind w:left="1134" w:hanging="1134"/>
        <w:jc w:val="both"/>
      </w:pPr>
      <w:r w:rsidRPr="530AC812" w:rsidR="530AC812">
        <w:rPr>
          <w:rFonts w:ascii="Arial" w:hAnsi="Arial" w:eastAsia="Arial" w:cs="Arial"/>
          <w:noProof w:val="0"/>
          <w:color w:val="000000" w:themeColor="text1" w:themeTint="FF" w:themeShade="FF"/>
          <w:sz w:val="22"/>
          <w:szCs w:val="22"/>
          <w:lang w:val="en-US"/>
        </w:rPr>
        <w:t xml:space="preserve">Zonneveld, H.I., Pruim, R.H., Bos, D., Vrooman, H.A., Muetzel, R.L., Hofman, A., Rombouts, S.A., van der Lugt, A., Niessen, W.J., Ikram, M.A. and Vernooij, M.W., 2019. Patterns of functional connectivity in an aging population: The Rotterdam Study. </w:t>
      </w:r>
      <w:r w:rsidRPr="530AC812" w:rsidR="530AC812">
        <w:rPr>
          <w:rFonts w:ascii="Arial" w:hAnsi="Arial" w:eastAsia="Arial" w:cs="Arial"/>
          <w:i w:val="1"/>
          <w:iCs w:val="1"/>
          <w:noProof w:val="0"/>
          <w:color w:val="000000" w:themeColor="text1" w:themeTint="FF" w:themeShade="FF"/>
          <w:sz w:val="22"/>
          <w:szCs w:val="22"/>
          <w:lang w:val="en-US"/>
        </w:rPr>
        <w:t>Neuroimage</w:t>
      </w:r>
      <w:r w:rsidRPr="530AC812" w:rsidR="530AC812">
        <w:rPr>
          <w:rFonts w:ascii="Arial" w:hAnsi="Arial" w:eastAsia="Arial" w:cs="Arial"/>
          <w:noProof w:val="0"/>
          <w:color w:val="000000" w:themeColor="text1" w:themeTint="FF" w:themeShade="FF"/>
          <w:sz w:val="22"/>
          <w:szCs w:val="22"/>
          <w:lang w:val="en-US"/>
        </w:rPr>
        <w:t xml:space="preserve">, </w:t>
      </w:r>
      <w:r w:rsidRPr="530AC812" w:rsidR="530AC812">
        <w:rPr>
          <w:rFonts w:ascii="Arial" w:hAnsi="Arial" w:eastAsia="Arial" w:cs="Arial"/>
          <w:i w:val="1"/>
          <w:iCs w:val="1"/>
          <w:noProof w:val="0"/>
          <w:color w:val="000000" w:themeColor="text1" w:themeTint="FF" w:themeShade="FF"/>
          <w:sz w:val="22"/>
          <w:szCs w:val="22"/>
          <w:lang w:val="en-US"/>
        </w:rPr>
        <w:t>189</w:t>
      </w:r>
      <w:r w:rsidRPr="530AC812" w:rsidR="530AC812">
        <w:rPr>
          <w:rFonts w:ascii="Arial" w:hAnsi="Arial" w:eastAsia="Arial" w:cs="Arial"/>
          <w:noProof w:val="0"/>
          <w:color w:val="000000" w:themeColor="text1" w:themeTint="FF" w:themeShade="FF"/>
          <w:sz w:val="22"/>
          <w:szCs w:val="22"/>
          <w:lang w:val="en-US"/>
        </w:rPr>
        <w:t>, pp.432-444.</w:t>
      </w:r>
    </w:p>
    <w:p w:rsidR="530AC812" w:rsidP="530AC812" w:rsidRDefault="530AC812" w14:paraId="65F23D2D" w14:textId="76B3A19F">
      <w:pPr>
        <w:pStyle w:val="Normal"/>
      </w:pPr>
    </w:p>
    <w:p w:rsidR="530AC812" w:rsidP="530AC812" w:rsidRDefault="530AC812" w14:paraId="576D6D17" w14:textId="6921C90E">
      <w:pPr>
        <w:pStyle w:val="Normal"/>
      </w:pPr>
    </w:p>
    <w:p w:rsidR="530AC812" w:rsidP="530AC812" w:rsidRDefault="530AC812" w14:paraId="7A4CF09D" w14:textId="72048E5D">
      <w:pPr>
        <w:pStyle w:val="Normal"/>
      </w:pPr>
    </w:p>
    <w:p w:rsidR="530AC812" w:rsidP="530AC812" w:rsidRDefault="530AC812" w14:paraId="652DE9B5" w14:textId="3D058E32">
      <w:pPr>
        <w:pStyle w:val="Normal"/>
      </w:pPr>
    </w:p>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n5ifmZ9pUEm14j" int2:id="sTUEVJig">
      <int2:state int2:type="LegacyProofing" int2:value="Rejected"/>
    </int2:textHash>
    <int2:textHash int2:hashCode="miqL492h+TyJNC" int2:id="MpWL5VM8">
      <int2:state int2:type="LegacyProofing" int2:value="Rejected"/>
    </int2:textHash>
    <int2:textHash int2:hashCode="Xq+3Fn8jTwDBk9" int2:id="2juVdysn">
      <int2:state int2:type="LegacyProofing" int2:value="Rejected"/>
    </int2:textHash>
    <int2:textHash int2:hashCode="eoMnuc07q+2vYH" int2:id="QfZQZk7z">
      <int2:state int2:type="LegacyProofing" int2:value="Rejected"/>
    </int2:textHash>
    <int2:textHash int2:hashCode="+sL3Z7URk4aGsG" int2:id="gtEjAiWw">
      <int2:state int2:type="LegacyProofing" int2:value="Rejected"/>
    </int2:textHash>
    <int2:textHash int2:hashCode="DHiDFb0HXPZoWf" int2:id="MKbgxK5d">
      <int2:state int2:type="LegacyProofing" int2:value="Rejected"/>
    </int2:textHash>
    <int2:textHash int2:hashCode="rXA9Qb8clMHrOo" int2:id="r0Fc82p3">
      <int2:state int2:type="LegacyProofing" int2:value="Rejected"/>
    </int2:textHash>
    <int2:textHash int2:hashCode="GBzoPSh5hWeppc" int2:id="xJIAbPoN">
      <int2:state int2:type="LegacyProofing" int2:value="Rejected"/>
    </int2:textHash>
    <int2:textHash int2:hashCode="ssTy0WRftaXEVg" int2:id="gVUjyfmW">
      <int2:state int2:type="LegacyProofing" int2:value="Rejected"/>
    </int2:textHash>
    <int2:textHash int2:hashCode="0eYVf/sPyJ/hIg" int2:id="QtJJAuYd">
      <int2:state int2:type="LegacyProofing" int2:value="Rejected"/>
    </int2:textHash>
    <int2:textHash int2:hashCode="xzRv2TdLtwGEKl" int2:id="S855288i">
      <int2:state int2:type="LegacyProofing" int2:value="Rejected"/>
    </int2:textHash>
    <int2:textHash int2:hashCode="hOfHPQOzvUoFeL" int2:id="1iDMEvna">
      <int2:state int2:type="LegacyProofing" int2:value="Rejected"/>
    </int2:textHash>
    <int2:textHash int2:hashCode="/hHuqQ2+DccTUy" int2:id="Ovd9ah4x">
      <int2:state int2:type="LegacyProofing" int2:value="Rejected"/>
    </int2:textHash>
    <int2:textHash int2:hashCode="ByCibriaRAGrD5" int2:id="gDugN3Qx">
      <int2:state int2:type="LegacyProofing" int2:value="Rejected"/>
    </int2:textHash>
    <int2:textHash int2:hashCode="ytkySbFw3vehVW" int2:id="25TfmNPD">
      <int2:state int2:type="LegacyProofing" int2:value="Rejected"/>
    </int2:textHash>
    <int2:textHash int2:hashCode="aObUYNN/EvXYk4" int2:id="DLKD0VYl">
      <int2:state int2:type="LegacyProofing" int2:value="Rejected"/>
    </int2:textHash>
    <int2:textHash int2:hashCode="yEGLm97NmP34uv" int2:id="tIgsH8wY">
      <int2:state int2:type="LegacyProofing" int2:value="Rejected"/>
    </int2:textHash>
    <int2:textHash int2:hashCode="gxT5UAV2nNoFMi" int2:id="JLZ65Yl7">
      <int2:state int2:type="LegacyProofing" int2:value="Rejected"/>
    </int2:textHash>
    <int2:textHash int2:hashCode="+kl2r/uDkd1uIu" int2:id="kHj1eIXn">
      <int2:state int2:type="LegacyProofing" int2:value="Rejected"/>
    </int2:textHash>
    <int2:textHash int2:hashCode="e1NRVJzpPBPx6H" int2:id="ANSQNBsk">
      <int2:state int2:type="LegacyProofing" int2:value="Rejected"/>
    </int2:textHash>
    <int2:textHash int2:hashCode="fk1NXMV6S+jqD8" int2:id="CDH2k0RW">
      <int2:state int2:type="LegacyProofing" int2:value="Rejected"/>
    </int2:textHash>
    <int2:textHash int2:hashCode="ymObVY5M8ro9Eq" int2:id="EMY22Uob">
      <int2:state int2:type="LegacyProofing" int2:value="Rejected"/>
    </int2:textHash>
    <int2:bookmark int2:bookmarkName="_Int_zTR9O3BD" int2:invalidationBookmarkName="" int2:hashCode="pNeJoFY/QecK1l" int2:id="QGftKTqS">
      <int2:state int2:type="LegacyProofing" int2:value="Rejected"/>
    </int2:bookmark>
    <int2:bookmark int2:bookmarkName="_Int_EHfgjSxR" int2:invalidationBookmarkName="" int2:hashCode="mqLxDICEWQzyrV" int2:id="B37Fv5nK">
      <int2:state int2:type="LegacyProofing" int2:value="Rejected"/>
    </int2:bookmark>
    <int2:bookmark int2:bookmarkName="_Int_TKFr3r8L" int2:invalidationBookmarkName="" int2:hashCode="pmbB76b6ItewDs" int2:id="wEmKV5hB">
      <int2:state int2:type="LegacyProofing" int2:value="Rejected"/>
    </int2:bookmark>
    <int2:bookmark int2:bookmarkName="_Int_vmD68jxh" int2:invalidationBookmarkName="" int2:hashCode="nxAdZHLxi0Tc8m" int2:id="hODHFLMy">
      <int2:state int2:type="LegacyProofing" int2:value="Rejected"/>
    </int2:bookmark>
    <int2:bookmark int2:bookmarkName="_Int_0TO9gSSg" int2:invalidationBookmarkName="" int2:hashCode="/4fOpKSLdzQqLb" int2:id="Wo2puxel">
      <int2:state int2:type="LegacyProofing" int2:value="Rejected"/>
    </int2:bookmark>
    <int2:bookmark int2:bookmarkName="_Int_g0IJpQ6t" int2:invalidationBookmarkName="" int2:hashCode="X55YArurxx+Sdf" int2:id="xCrdfsHh">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F4A37B"/>
    <w:rsid w:val="0366983C"/>
    <w:rsid w:val="04F8B5AA"/>
    <w:rsid w:val="05596F44"/>
    <w:rsid w:val="05596F44"/>
    <w:rsid w:val="08E05160"/>
    <w:rsid w:val="08E05160"/>
    <w:rsid w:val="0A7C21C1"/>
    <w:rsid w:val="102F1495"/>
    <w:rsid w:val="224B427C"/>
    <w:rsid w:val="241DB940"/>
    <w:rsid w:val="24970DD1"/>
    <w:rsid w:val="2AC6B53B"/>
    <w:rsid w:val="2AF4A37B"/>
    <w:rsid w:val="2CDED58B"/>
    <w:rsid w:val="2F653144"/>
    <w:rsid w:val="31B246AE"/>
    <w:rsid w:val="31FA32F5"/>
    <w:rsid w:val="334E170F"/>
    <w:rsid w:val="33960356"/>
    <w:rsid w:val="34E9E770"/>
    <w:rsid w:val="3685B7D1"/>
    <w:rsid w:val="3685B7D1"/>
    <w:rsid w:val="36D7570B"/>
    <w:rsid w:val="38218832"/>
    <w:rsid w:val="39154B25"/>
    <w:rsid w:val="39BD5893"/>
    <w:rsid w:val="3B61167A"/>
    <w:rsid w:val="3BF70DB5"/>
    <w:rsid w:val="3BF70DB5"/>
    <w:rsid w:val="40CA7ED8"/>
    <w:rsid w:val="4B2D399F"/>
    <w:rsid w:val="4E2DA3FC"/>
    <w:rsid w:val="507D0A1E"/>
    <w:rsid w:val="52DA3EBB"/>
    <w:rsid w:val="52DA3EBB"/>
    <w:rsid w:val="530AC812"/>
    <w:rsid w:val="549CE580"/>
    <w:rsid w:val="55F8B720"/>
    <w:rsid w:val="57948781"/>
    <w:rsid w:val="57948781"/>
    <w:rsid w:val="59FCF580"/>
    <w:rsid w:val="6256031E"/>
    <w:rsid w:val="6256031E"/>
    <w:rsid w:val="6579629E"/>
    <w:rsid w:val="69467BAC"/>
    <w:rsid w:val="6BBCE6A3"/>
    <w:rsid w:val="6CA2AC9E"/>
    <w:rsid w:val="71264F01"/>
    <w:rsid w:val="74949626"/>
    <w:rsid w:val="7563C8E9"/>
    <w:rsid w:val="7C24A9A7"/>
    <w:rsid w:val="7C24A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4A37B"/>
  <w15:chartTrackingRefBased/>
  <w15:docId w15:val="{76048CD3-EBC7-451E-A65A-6A30603E9A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publications/care-act-statutory-guidance/care-and-support-statutory-guidance" TargetMode="External" Id="Ref36bbd44a3b4ae2" /><Relationship Type="http://schemas.openxmlformats.org/officeDocument/2006/relationships/hyperlink" Target="https://doi.org/10.1007/s10896-019-00084-w" TargetMode="External" Id="Rcae56d11110541e4" /><Relationship Type="http://schemas.openxmlformats.org/officeDocument/2006/relationships/hyperlink" Target="https://www.legislation.gov.uk/ukpga/2020/12/part/10/enacted" TargetMode="External" Id="R26054838555a4f26" /><Relationship Type="http://schemas.microsoft.com/office/2020/10/relationships/intelligence" Target="/word/intelligence2.xml" Id="R200a8f4da3604b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Grace Kiwanuka (1920908)</dc:creator>
  <keywords/>
  <dc:description/>
  <lastModifiedBy>Grace Kiwanuka (1920908)</lastModifiedBy>
  <revision>3</revision>
  <dcterms:created xsi:type="dcterms:W3CDTF">2022-07-04T09:39:12.9730394Z</dcterms:created>
  <dcterms:modified xsi:type="dcterms:W3CDTF">2022-08-04T17:03:01.6933836Z</dcterms:modified>
</coreProperties>
</file>