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8BC26" w14:textId="77777777" w:rsidR="00123662" w:rsidRDefault="00123662" w:rsidP="00736765">
      <w:pPr>
        <w:ind w:firstLine="0"/>
        <w:rPr>
          <w:b/>
        </w:rPr>
      </w:pPr>
      <w:bookmarkStart w:id="0" w:name="_Hlk163053958"/>
    </w:p>
    <w:p w14:paraId="63827E4E" w14:textId="77777777" w:rsidR="0040197F" w:rsidRDefault="0040197F" w:rsidP="00736765">
      <w:pPr>
        <w:ind w:firstLine="0"/>
        <w:rPr>
          <w:b/>
        </w:rPr>
      </w:pPr>
    </w:p>
    <w:p w14:paraId="2336DD44" w14:textId="77777777" w:rsidR="007970BE" w:rsidRDefault="007970BE" w:rsidP="00736765">
      <w:pPr>
        <w:ind w:firstLine="0"/>
        <w:rPr>
          <w:b/>
        </w:rPr>
      </w:pPr>
    </w:p>
    <w:p w14:paraId="64DA73F7" w14:textId="77777777" w:rsidR="004802AB" w:rsidRDefault="004802AB" w:rsidP="00736765">
      <w:pPr>
        <w:ind w:firstLine="0"/>
        <w:rPr>
          <w:b/>
        </w:rPr>
      </w:pPr>
      <w:bookmarkStart w:id="1" w:name="_Hlk162882859"/>
    </w:p>
    <w:p w14:paraId="3063DF81" w14:textId="63F0ED87" w:rsidR="00051F83" w:rsidRDefault="00051F83" w:rsidP="00736765">
      <w:bookmarkStart w:id="2" w:name="_Hlk169107884"/>
    </w:p>
    <w:p w14:paraId="043FB8A1" w14:textId="2AC3F588" w:rsidR="006A0452" w:rsidRPr="0098644E" w:rsidRDefault="006A0452" w:rsidP="00736765">
      <w:pPr>
        <w:ind w:firstLine="0"/>
        <w:jc w:val="center"/>
        <w:rPr>
          <w:rFonts w:asciiTheme="minorHAnsi" w:hAnsiTheme="minorHAnsi" w:cstheme="minorHAnsi"/>
          <w:b/>
          <w:bCs/>
          <w:sz w:val="44"/>
          <w:szCs w:val="44"/>
        </w:rPr>
      </w:pPr>
      <w:r w:rsidRPr="0098644E">
        <w:rPr>
          <w:rFonts w:asciiTheme="minorHAnsi" w:hAnsiTheme="minorHAnsi" w:cstheme="minorHAnsi"/>
          <w:b/>
          <w:bCs/>
          <w:sz w:val="44"/>
          <w:szCs w:val="44"/>
        </w:rPr>
        <w:t>Strategic Analysis and Sustainable Growth</w:t>
      </w:r>
    </w:p>
    <w:p w14:paraId="27B5787D" w14:textId="23DD4428" w:rsidR="00123662" w:rsidRPr="0092338D" w:rsidRDefault="00123662" w:rsidP="00736765">
      <w:pPr>
        <w:ind w:firstLine="0"/>
        <w:jc w:val="center"/>
        <w:rPr>
          <w:rFonts w:cs="Times New Roman"/>
          <w:szCs w:val="24"/>
        </w:rPr>
      </w:pPr>
    </w:p>
    <w:p w14:paraId="4FFDF8C1" w14:textId="673762AD" w:rsidR="00123662" w:rsidRPr="0092338D" w:rsidRDefault="00123662" w:rsidP="0098644E">
      <w:pPr>
        <w:ind w:firstLine="0"/>
        <w:rPr>
          <w:rFonts w:cs="Times New Roman"/>
          <w:szCs w:val="24"/>
        </w:rPr>
      </w:pPr>
    </w:p>
    <w:bookmarkEnd w:id="2"/>
    <w:p w14:paraId="5D3CF2A2" w14:textId="77777777" w:rsidR="00123662" w:rsidRPr="0092338D" w:rsidRDefault="00123662" w:rsidP="00736765">
      <w:pPr>
        <w:rPr>
          <w:rFonts w:cs="Times New Roman"/>
          <w:b/>
          <w:szCs w:val="24"/>
        </w:rPr>
      </w:pPr>
    </w:p>
    <w:p w14:paraId="3B721F47" w14:textId="77777777" w:rsidR="00123662" w:rsidRPr="0092338D" w:rsidRDefault="00123662" w:rsidP="00736765">
      <w:pPr>
        <w:rPr>
          <w:rFonts w:cs="Times New Roman"/>
          <w:b/>
          <w:szCs w:val="24"/>
        </w:rPr>
      </w:pPr>
    </w:p>
    <w:p w14:paraId="2426A955" w14:textId="77777777" w:rsidR="00123662" w:rsidRDefault="00123662" w:rsidP="00736765">
      <w:pPr>
        <w:rPr>
          <w:rFonts w:cs="Times New Roman"/>
          <w:b/>
          <w:szCs w:val="24"/>
        </w:rPr>
      </w:pPr>
    </w:p>
    <w:p w14:paraId="315ED322" w14:textId="77777777" w:rsidR="00DC3070" w:rsidRDefault="00DC3070" w:rsidP="00736765">
      <w:pPr>
        <w:rPr>
          <w:rFonts w:cs="Times New Roman"/>
          <w:b/>
          <w:szCs w:val="24"/>
        </w:rPr>
      </w:pPr>
    </w:p>
    <w:p w14:paraId="2ADD8230" w14:textId="77777777" w:rsidR="00A934DE" w:rsidRPr="0092338D" w:rsidRDefault="00A934DE" w:rsidP="00736765">
      <w:pPr>
        <w:rPr>
          <w:rFonts w:cs="Times New Roman"/>
          <w:b/>
          <w:szCs w:val="24"/>
        </w:rPr>
      </w:pPr>
    </w:p>
    <w:p w14:paraId="40F30FA9" w14:textId="77777777" w:rsidR="0098644E" w:rsidRDefault="0098644E" w:rsidP="00736765">
      <w:pPr>
        <w:rPr>
          <w:rFonts w:cs="Times New Roman"/>
          <w:b/>
          <w:szCs w:val="24"/>
        </w:rPr>
      </w:pPr>
      <w:r>
        <w:rPr>
          <w:rFonts w:cs="Times New Roman"/>
          <w:b/>
          <w:szCs w:val="24"/>
        </w:rPr>
        <w:t xml:space="preserve">                                                                 </w:t>
      </w:r>
    </w:p>
    <w:p w14:paraId="41F9AD16" w14:textId="77777777" w:rsidR="0098644E" w:rsidRDefault="0098644E" w:rsidP="00736765">
      <w:pPr>
        <w:rPr>
          <w:rFonts w:cs="Times New Roman"/>
          <w:b/>
          <w:szCs w:val="24"/>
        </w:rPr>
      </w:pPr>
    </w:p>
    <w:p w14:paraId="07EB7E58" w14:textId="77777777" w:rsidR="0098644E" w:rsidRDefault="0098644E" w:rsidP="00736765">
      <w:pPr>
        <w:rPr>
          <w:rFonts w:cs="Times New Roman"/>
          <w:b/>
          <w:szCs w:val="24"/>
        </w:rPr>
      </w:pPr>
    </w:p>
    <w:p w14:paraId="7A3AE0BE" w14:textId="42559D89" w:rsidR="00123662" w:rsidRPr="0098644E" w:rsidRDefault="0098644E" w:rsidP="00736765">
      <w:pPr>
        <w:rPr>
          <w:rFonts w:asciiTheme="minorHAnsi" w:hAnsiTheme="minorHAnsi" w:cstheme="minorHAnsi"/>
          <w:b/>
          <w:sz w:val="28"/>
          <w:szCs w:val="28"/>
        </w:rPr>
      </w:pPr>
      <w:r w:rsidRPr="0098644E">
        <w:rPr>
          <w:rFonts w:asciiTheme="minorHAnsi" w:hAnsiTheme="minorHAnsi" w:cstheme="minorHAnsi"/>
          <w:b/>
          <w:sz w:val="28"/>
          <w:szCs w:val="28"/>
        </w:rPr>
        <w:t xml:space="preserve">                                                                            Madalina Blaglosov 2207678</w:t>
      </w:r>
    </w:p>
    <w:p w14:paraId="5D96BA1B" w14:textId="77777777" w:rsidR="006F5ADF" w:rsidRDefault="006F5ADF" w:rsidP="00736765">
      <w:pPr>
        <w:pStyle w:val="TOCHeading"/>
        <w:spacing w:line="360" w:lineRule="auto"/>
        <w:rPr>
          <w:rFonts w:ascii="Times New Roman" w:eastAsiaTheme="minorHAnsi" w:hAnsi="Times New Roman" w:cstheme="minorBidi"/>
          <w:color w:val="auto"/>
          <w:sz w:val="24"/>
          <w:szCs w:val="22"/>
          <w:lang w:val="en-GB"/>
        </w:rPr>
      </w:pPr>
    </w:p>
    <w:p w14:paraId="7A22D6E8" w14:textId="77777777" w:rsidR="006F5ADF" w:rsidRDefault="006F5ADF" w:rsidP="00736765"/>
    <w:p w14:paraId="70A330B0" w14:textId="77777777" w:rsidR="008346BE" w:rsidRDefault="008346BE" w:rsidP="00736765"/>
    <w:p w14:paraId="0C0B3D00" w14:textId="77777777" w:rsidR="008346BE" w:rsidRDefault="008346BE" w:rsidP="00736765"/>
    <w:p w14:paraId="1532A59B" w14:textId="77777777" w:rsidR="008346BE" w:rsidRDefault="008346BE" w:rsidP="00736765"/>
    <w:p w14:paraId="67369557" w14:textId="77777777" w:rsidR="0040197F" w:rsidRPr="006F5ADF" w:rsidRDefault="0040197F" w:rsidP="00736765"/>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B22C0C" w:rsidRDefault="00123662" w:rsidP="00736765">
          <w:pPr>
            <w:pStyle w:val="TOCHeading"/>
            <w:spacing w:line="360" w:lineRule="auto"/>
            <w:jc w:val="center"/>
            <w:rPr>
              <w:rFonts w:ascii="Times New Roman" w:hAnsi="Times New Roman" w:cs="Times New Roman"/>
              <w:color w:val="auto"/>
              <w:sz w:val="24"/>
            </w:rPr>
          </w:pPr>
          <w:r w:rsidRPr="00B22C0C">
            <w:rPr>
              <w:rFonts w:ascii="Times New Roman" w:hAnsi="Times New Roman" w:cs="Times New Roman"/>
              <w:color w:val="auto"/>
              <w:sz w:val="24"/>
            </w:rPr>
            <w:t>Table of Contents</w:t>
          </w:r>
        </w:p>
        <w:p w14:paraId="3D80645B" w14:textId="23059B12" w:rsidR="0040197F" w:rsidRDefault="00001058" w:rsidP="00736765">
          <w:pPr>
            <w:pStyle w:val="TOC1"/>
            <w:rPr>
              <w:rFonts w:asciiTheme="minorHAnsi" w:eastAsiaTheme="minorEastAsia" w:hAnsiTheme="minorHAnsi"/>
              <w:noProof/>
              <w:kern w:val="2"/>
              <w:szCs w:val="24"/>
              <w:lang/>
              <w14:ligatures w14:val="standardContextual"/>
            </w:rPr>
          </w:pPr>
          <w:r w:rsidRPr="0092338D">
            <w:fldChar w:fldCharType="begin"/>
          </w:r>
          <w:r w:rsidR="00123662" w:rsidRPr="0092338D">
            <w:instrText xml:space="preserve"> TOC \o "1-3" \h \z \u </w:instrText>
          </w:r>
          <w:r w:rsidRPr="0092338D">
            <w:fldChar w:fldCharType="separate"/>
          </w:r>
          <w:hyperlink w:anchor="_Toc192978941" w:history="1">
            <w:r w:rsidR="0040197F" w:rsidRPr="00A97F67">
              <w:rPr>
                <w:rStyle w:val="Hyperlink"/>
                <w:iCs/>
                <w:noProof/>
              </w:rPr>
              <w:t>Executive Summary</w:t>
            </w:r>
            <w:r w:rsidR="0040197F">
              <w:rPr>
                <w:noProof/>
                <w:webHidden/>
              </w:rPr>
              <w:tab/>
            </w:r>
            <w:r w:rsidR="0040197F">
              <w:rPr>
                <w:noProof/>
                <w:webHidden/>
              </w:rPr>
              <w:fldChar w:fldCharType="begin"/>
            </w:r>
            <w:r w:rsidR="0040197F">
              <w:rPr>
                <w:noProof/>
                <w:webHidden/>
              </w:rPr>
              <w:instrText xml:space="preserve"> PAGEREF _Toc192978941 \h </w:instrText>
            </w:r>
            <w:r w:rsidR="0040197F">
              <w:rPr>
                <w:noProof/>
                <w:webHidden/>
              </w:rPr>
            </w:r>
            <w:r w:rsidR="0040197F">
              <w:rPr>
                <w:noProof/>
                <w:webHidden/>
              </w:rPr>
              <w:fldChar w:fldCharType="separate"/>
            </w:r>
            <w:r w:rsidR="0040197F">
              <w:rPr>
                <w:noProof/>
                <w:webHidden/>
              </w:rPr>
              <w:t>4</w:t>
            </w:r>
            <w:r w:rsidR="0040197F">
              <w:rPr>
                <w:noProof/>
                <w:webHidden/>
              </w:rPr>
              <w:fldChar w:fldCharType="end"/>
            </w:r>
          </w:hyperlink>
        </w:p>
        <w:p w14:paraId="0196CBA8" w14:textId="6CD827E7" w:rsidR="0040197F" w:rsidRDefault="0040197F" w:rsidP="00736765">
          <w:pPr>
            <w:pStyle w:val="TOC1"/>
            <w:rPr>
              <w:rFonts w:asciiTheme="minorHAnsi" w:eastAsiaTheme="minorEastAsia" w:hAnsiTheme="minorHAnsi"/>
              <w:noProof/>
              <w:kern w:val="2"/>
              <w:szCs w:val="24"/>
              <w:lang/>
              <w14:ligatures w14:val="standardContextual"/>
            </w:rPr>
          </w:pPr>
          <w:hyperlink w:anchor="_Toc192978942" w:history="1">
            <w:r w:rsidRPr="00A97F67">
              <w:rPr>
                <w:rStyle w:val="Hyperlink"/>
                <w:noProof/>
              </w:rPr>
              <w:t>1</w:t>
            </w:r>
            <w:r>
              <w:rPr>
                <w:rFonts w:asciiTheme="minorHAnsi" w:eastAsiaTheme="minorEastAsia" w:hAnsiTheme="minorHAnsi"/>
                <w:noProof/>
                <w:kern w:val="2"/>
                <w:szCs w:val="24"/>
                <w:lang/>
                <w14:ligatures w14:val="standardContextual"/>
              </w:rPr>
              <w:tab/>
            </w:r>
            <w:r w:rsidRPr="00A97F67">
              <w:rPr>
                <w:rStyle w:val="Hyperlink"/>
                <w:noProof/>
              </w:rPr>
              <w:t>Introduction</w:t>
            </w:r>
            <w:r>
              <w:rPr>
                <w:noProof/>
                <w:webHidden/>
              </w:rPr>
              <w:tab/>
            </w:r>
            <w:r>
              <w:rPr>
                <w:noProof/>
                <w:webHidden/>
              </w:rPr>
              <w:fldChar w:fldCharType="begin"/>
            </w:r>
            <w:r>
              <w:rPr>
                <w:noProof/>
                <w:webHidden/>
              </w:rPr>
              <w:instrText xml:space="preserve"> PAGEREF _Toc192978942 \h </w:instrText>
            </w:r>
            <w:r>
              <w:rPr>
                <w:noProof/>
                <w:webHidden/>
              </w:rPr>
            </w:r>
            <w:r>
              <w:rPr>
                <w:noProof/>
                <w:webHidden/>
              </w:rPr>
              <w:fldChar w:fldCharType="separate"/>
            </w:r>
            <w:r>
              <w:rPr>
                <w:noProof/>
                <w:webHidden/>
              </w:rPr>
              <w:t>5</w:t>
            </w:r>
            <w:r>
              <w:rPr>
                <w:noProof/>
                <w:webHidden/>
              </w:rPr>
              <w:fldChar w:fldCharType="end"/>
            </w:r>
          </w:hyperlink>
        </w:p>
        <w:p w14:paraId="110FA248" w14:textId="6AEEBE87" w:rsidR="0040197F" w:rsidRDefault="0040197F" w:rsidP="00736765">
          <w:pPr>
            <w:pStyle w:val="TOC1"/>
            <w:rPr>
              <w:rFonts w:asciiTheme="minorHAnsi" w:eastAsiaTheme="minorEastAsia" w:hAnsiTheme="minorHAnsi"/>
              <w:noProof/>
              <w:kern w:val="2"/>
              <w:szCs w:val="24"/>
              <w:lang/>
              <w14:ligatures w14:val="standardContextual"/>
            </w:rPr>
          </w:pPr>
          <w:hyperlink w:anchor="_Toc192978943" w:history="1">
            <w:r w:rsidRPr="00A97F67">
              <w:rPr>
                <w:rStyle w:val="Hyperlink"/>
                <w:noProof/>
              </w:rPr>
              <w:t>2</w:t>
            </w:r>
            <w:r>
              <w:rPr>
                <w:rFonts w:asciiTheme="minorHAnsi" w:eastAsiaTheme="minorEastAsia" w:hAnsiTheme="minorHAnsi"/>
                <w:noProof/>
                <w:kern w:val="2"/>
                <w:szCs w:val="24"/>
                <w:lang/>
                <w14:ligatures w14:val="standardContextual"/>
              </w:rPr>
              <w:tab/>
            </w:r>
            <w:r w:rsidRPr="00A97F67">
              <w:rPr>
                <w:rStyle w:val="Hyperlink"/>
                <w:noProof/>
              </w:rPr>
              <w:t>External Analysis</w:t>
            </w:r>
            <w:r>
              <w:rPr>
                <w:noProof/>
                <w:webHidden/>
              </w:rPr>
              <w:tab/>
            </w:r>
            <w:r>
              <w:rPr>
                <w:noProof/>
                <w:webHidden/>
              </w:rPr>
              <w:fldChar w:fldCharType="begin"/>
            </w:r>
            <w:r>
              <w:rPr>
                <w:noProof/>
                <w:webHidden/>
              </w:rPr>
              <w:instrText xml:space="preserve"> PAGEREF _Toc192978943 \h </w:instrText>
            </w:r>
            <w:r>
              <w:rPr>
                <w:noProof/>
                <w:webHidden/>
              </w:rPr>
            </w:r>
            <w:r>
              <w:rPr>
                <w:noProof/>
                <w:webHidden/>
              </w:rPr>
              <w:fldChar w:fldCharType="separate"/>
            </w:r>
            <w:r>
              <w:rPr>
                <w:noProof/>
                <w:webHidden/>
              </w:rPr>
              <w:t>5</w:t>
            </w:r>
            <w:r>
              <w:rPr>
                <w:noProof/>
                <w:webHidden/>
              </w:rPr>
              <w:fldChar w:fldCharType="end"/>
            </w:r>
          </w:hyperlink>
        </w:p>
        <w:p w14:paraId="1FD16B1E" w14:textId="036A5FCC"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44" w:history="1">
            <w:r w:rsidRPr="00A97F67">
              <w:rPr>
                <w:rStyle w:val="Hyperlink"/>
                <w:noProof/>
              </w:rPr>
              <w:t>2.1</w:t>
            </w:r>
            <w:r>
              <w:rPr>
                <w:rFonts w:asciiTheme="minorHAnsi" w:eastAsiaTheme="minorEastAsia" w:hAnsiTheme="minorHAnsi"/>
                <w:noProof/>
                <w:kern w:val="2"/>
                <w:szCs w:val="24"/>
                <w:lang/>
                <w14:ligatures w14:val="standardContextual"/>
              </w:rPr>
              <w:tab/>
            </w:r>
            <w:r w:rsidRPr="00A97F67">
              <w:rPr>
                <w:rStyle w:val="Hyperlink"/>
                <w:noProof/>
              </w:rPr>
              <w:t>PESTEL Analysis</w:t>
            </w:r>
            <w:r>
              <w:rPr>
                <w:noProof/>
                <w:webHidden/>
              </w:rPr>
              <w:tab/>
            </w:r>
            <w:r>
              <w:rPr>
                <w:noProof/>
                <w:webHidden/>
              </w:rPr>
              <w:fldChar w:fldCharType="begin"/>
            </w:r>
            <w:r>
              <w:rPr>
                <w:noProof/>
                <w:webHidden/>
              </w:rPr>
              <w:instrText xml:space="preserve"> PAGEREF _Toc192978944 \h </w:instrText>
            </w:r>
            <w:r>
              <w:rPr>
                <w:noProof/>
                <w:webHidden/>
              </w:rPr>
            </w:r>
            <w:r>
              <w:rPr>
                <w:noProof/>
                <w:webHidden/>
              </w:rPr>
              <w:fldChar w:fldCharType="separate"/>
            </w:r>
            <w:r>
              <w:rPr>
                <w:noProof/>
                <w:webHidden/>
              </w:rPr>
              <w:t>5</w:t>
            </w:r>
            <w:r>
              <w:rPr>
                <w:noProof/>
                <w:webHidden/>
              </w:rPr>
              <w:fldChar w:fldCharType="end"/>
            </w:r>
          </w:hyperlink>
        </w:p>
        <w:p w14:paraId="40071D67" w14:textId="214C4F98"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45" w:history="1">
            <w:r w:rsidRPr="00A97F67">
              <w:rPr>
                <w:rStyle w:val="Hyperlink"/>
                <w:noProof/>
              </w:rPr>
              <w:t>2.2</w:t>
            </w:r>
            <w:r>
              <w:rPr>
                <w:rFonts w:asciiTheme="minorHAnsi" w:eastAsiaTheme="minorEastAsia" w:hAnsiTheme="minorHAnsi"/>
                <w:noProof/>
                <w:kern w:val="2"/>
                <w:szCs w:val="24"/>
                <w:lang/>
                <w14:ligatures w14:val="standardContextual"/>
              </w:rPr>
              <w:tab/>
            </w:r>
            <w:r w:rsidRPr="00A97F67">
              <w:rPr>
                <w:rStyle w:val="Hyperlink"/>
                <w:noProof/>
              </w:rPr>
              <w:t>Porter’s Five Forces</w:t>
            </w:r>
            <w:r>
              <w:rPr>
                <w:noProof/>
                <w:webHidden/>
              </w:rPr>
              <w:tab/>
            </w:r>
            <w:r>
              <w:rPr>
                <w:noProof/>
                <w:webHidden/>
              </w:rPr>
              <w:fldChar w:fldCharType="begin"/>
            </w:r>
            <w:r>
              <w:rPr>
                <w:noProof/>
                <w:webHidden/>
              </w:rPr>
              <w:instrText xml:space="preserve"> PAGEREF _Toc192978945 \h </w:instrText>
            </w:r>
            <w:r>
              <w:rPr>
                <w:noProof/>
                <w:webHidden/>
              </w:rPr>
            </w:r>
            <w:r>
              <w:rPr>
                <w:noProof/>
                <w:webHidden/>
              </w:rPr>
              <w:fldChar w:fldCharType="separate"/>
            </w:r>
            <w:r>
              <w:rPr>
                <w:noProof/>
                <w:webHidden/>
              </w:rPr>
              <w:t>7</w:t>
            </w:r>
            <w:r>
              <w:rPr>
                <w:noProof/>
                <w:webHidden/>
              </w:rPr>
              <w:fldChar w:fldCharType="end"/>
            </w:r>
          </w:hyperlink>
        </w:p>
        <w:p w14:paraId="6BFFBCCA" w14:textId="57A3FF2B"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46" w:history="1">
            <w:r w:rsidRPr="00A97F67">
              <w:rPr>
                <w:rStyle w:val="Hyperlink"/>
                <w:noProof/>
              </w:rPr>
              <w:t>2.3</w:t>
            </w:r>
            <w:r>
              <w:rPr>
                <w:rFonts w:asciiTheme="minorHAnsi" w:eastAsiaTheme="minorEastAsia" w:hAnsiTheme="minorHAnsi"/>
                <w:noProof/>
                <w:kern w:val="2"/>
                <w:szCs w:val="24"/>
                <w:lang/>
                <w14:ligatures w14:val="standardContextual"/>
              </w:rPr>
              <w:tab/>
            </w:r>
            <w:r w:rsidRPr="00A97F67">
              <w:rPr>
                <w:rStyle w:val="Hyperlink"/>
                <w:noProof/>
              </w:rPr>
              <w:t>Key Economic Trends</w:t>
            </w:r>
            <w:r>
              <w:rPr>
                <w:noProof/>
                <w:webHidden/>
              </w:rPr>
              <w:tab/>
            </w:r>
            <w:r>
              <w:rPr>
                <w:noProof/>
                <w:webHidden/>
              </w:rPr>
              <w:fldChar w:fldCharType="begin"/>
            </w:r>
            <w:r>
              <w:rPr>
                <w:noProof/>
                <w:webHidden/>
              </w:rPr>
              <w:instrText xml:space="preserve"> PAGEREF _Toc192978946 \h </w:instrText>
            </w:r>
            <w:r>
              <w:rPr>
                <w:noProof/>
                <w:webHidden/>
              </w:rPr>
            </w:r>
            <w:r>
              <w:rPr>
                <w:noProof/>
                <w:webHidden/>
              </w:rPr>
              <w:fldChar w:fldCharType="separate"/>
            </w:r>
            <w:r>
              <w:rPr>
                <w:noProof/>
                <w:webHidden/>
              </w:rPr>
              <w:t>7</w:t>
            </w:r>
            <w:r>
              <w:rPr>
                <w:noProof/>
                <w:webHidden/>
              </w:rPr>
              <w:fldChar w:fldCharType="end"/>
            </w:r>
          </w:hyperlink>
        </w:p>
        <w:p w14:paraId="4CFA74BD" w14:textId="2B78C621" w:rsidR="0040197F" w:rsidRDefault="0040197F" w:rsidP="00736765">
          <w:pPr>
            <w:pStyle w:val="TOC1"/>
            <w:tabs>
              <w:tab w:val="left" w:pos="851"/>
            </w:tabs>
            <w:ind w:firstLine="44"/>
            <w:rPr>
              <w:rFonts w:asciiTheme="minorHAnsi" w:eastAsiaTheme="minorEastAsia" w:hAnsiTheme="minorHAnsi"/>
              <w:noProof/>
              <w:kern w:val="2"/>
              <w:szCs w:val="24"/>
              <w:lang/>
              <w14:ligatures w14:val="standardContextual"/>
            </w:rPr>
          </w:pPr>
          <w:hyperlink w:anchor="_Toc192978947" w:history="1">
            <w:r w:rsidRPr="00A97F67">
              <w:rPr>
                <w:rStyle w:val="Hyperlink"/>
                <w:noProof/>
              </w:rPr>
              <w:t>3</w:t>
            </w:r>
            <w:r>
              <w:rPr>
                <w:rFonts w:asciiTheme="minorHAnsi" w:eastAsiaTheme="minorEastAsia" w:hAnsiTheme="minorHAnsi"/>
                <w:noProof/>
                <w:kern w:val="2"/>
                <w:szCs w:val="24"/>
                <w:lang/>
                <w14:ligatures w14:val="standardContextual"/>
              </w:rPr>
              <w:tab/>
            </w:r>
            <w:r w:rsidRPr="00A97F67">
              <w:rPr>
                <w:rStyle w:val="Hyperlink"/>
                <w:noProof/>
              </w:rPr>
              <w:t>Internal Analysis</w:t>
            </w:r>
            <w:r>
              <w:rPr>
                <w:noProof/>
                <w:webHidden/>
              </w:rPr>
              <w:tab/>
            </w:r>
            <w:r>
              <w:rPr>
                <w:noProof/>
                <w:webHidden/>
              </w:rPr>
              <w:fldChar w:fldCharType="begin"/>
            </w:r>
            <w:r>
              <w:rPr>
                <w:noProof/>
                <w:webHidden/>
              </w:rPr>
              <w:instrText xml:space="preserve"> PAGEREF _Toc192978947 \h </w:instrText>
            </w:r>
            <w:r>
              <w:rPr>
                <w:noProof/>
                <w:webHidden/>
              </w:rPr>
            </w:r>
            <w:r>
              <w:rPr>
                <w:noProof/>
                <w:webHidden/>
              </w:rPr>
              <w:fldChar w:fldCharType="separate"/>
            </w:r>
            <w:r>
              <w:rPr>
                <w:noProof/>
                <w:webHidden/>
              </w:rPr>
              <w:t>8</w:t>
            </w:r>
            <w:r>
              <w:rPr>
                <w:noProof/>
                <w:webHidden/>
              </w:rPr>
              <w:fldChar w:fldCharType="end"/>
            </w:r>
          </w:hyperlink>
        </w:p>
        <w:p w14:paraId="3F5D4B1B" w14:textId="344C0653"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48" w:history="1">
            <w:r w:rsidRPr="00A97F67">
              <w:rPr>
                <w:rStyle w:val="Hyperlink"/>
                <w:noProof/>
              </w:rPr>
              <w:t>3.1</w:t>
            </w:r>
            <w:r>
              <w:rPr>
                <w:rFonts w:asciiTheme="minorHAnsi" w:eastAsiaTheme="minorEastAsia" w:hAnsiTheme="minorHAnsi"/>
                <w:noProof/>
                <w:kern w:val="2"/>
                <w:szCs w:val="24"/>
                <w:lang/>
                <w14:ligatures w14:val="standardContextual"/>
              </w:rPr>
              <w:tab/>
            </w:r>
            <w:r w:rsidRPr="00A97F67">
              <w:rPr>
                <w:rStyle w:val="Hyperlink"/>
                <w:noProof/>
              </w:rPr>
              <w:t>Resource-Based View (RBV) Analysis</w:t>
            </w:r>
            <w:r>
              <w:rPr>
                <w:noProof/>
                <w:webHidden/>
              </w:rPr>
              <w:tab/>
            </w:r>
            <w:r>
              <w:rPr>
                <w:noProof/>
                <w:webHidden/>
              </w:rPr>
              <w:fldChar w:fldCharType="begin"/>
            </w:r>
            <w:r>
              <w:rPr>
                <w:noProof/>
                <w:webHidden/>
              </w:rPr>
              <w:instrText xml:space="preserve"> PAGEREF _Toc192978948 \h </w:instrText>
            </w:r>
            <w:r>
              <w:rPr>
                <w:noProof/>
                <w:webHidden/>
              </w:rPr>
            </w:r>
            <w:r>
              <w:rPr>
                <w:noProof/>
                <w:webHidden/>
              </w:rPr>
              <w:fldChar w:fldCharType="separate"/>
            </w:r>
            <w:r>
              <w:rPr>
                <w:noProof/>
                <w:webHidden/>
              </w:rPr>
              <w:t>8</w:t>
            </w:r>
            <w:r>
              <w:rPr>
                <w:noProof/>
                <w:webHidden/>
              </w:rPr>
              <w:fldChar w:fldCharType="end"/>
            </w:r>
          </w:hyperlink>
        </w:p>
        <w:p w14:paraId="7917197B" w14:textId="67273A3E"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49" w:history="1">
            <w:r w:rsidRPr="00A97F67">
              <w:rPr>
                <w:rStyle w:val="Hyperlink"/>
                <w:noProof/>
              </w:rPr>
              <w:t>3.2</w:t>
            </w:r>
            <w:r>
              <w:rPr>
                <w:rFonts w:asciiTheme="minorHAnsi" w:eastAsiaTheme="minorEastAsia" w:hAnsiTheme="minorHAnsi"/>
                <w:noProof/>
                <w:kern w:val="2"/>
                <w:szCs w:val="24"/>
                <w:lang/>
                <w14:ligatures w14:val="standardContextual"/>
              </w:rPr>
              <w:tab/>
            </w:r>
            <w:r w:rsidRPr="00A97F67">
              <w:rPr>
                <w:rStyle w:val="Hyperlink"/>
                <w:noProof/>
              </w:rPr>
              <w:t>Value Chain Analysis</w:t>
            </w:r>
            <w:r>
              <w:rPr>
                <w:noProof/>
                <w:webHidden/>
              </w:rPr>
              <w:tab/>
            </w:r>
            <w:r>
              <w:rPr>
                <w:noProof/>
                <w:webHidden/>
              </w:rPr>
              <w:fldChar w:fldCharType="begin"/>
            </w:r>
            <w:r>
              <w:rPr>
                <w:noProof/>
                <w:webHidden/>
              </w:rPr>
              <w:instrText xml:space="preserve"> PAGEREF _Toc192978949 \h </w:instrText>
            </w:r>
            <w:r>
              <w:rPr>
                <w:noProof/>
                <w:webHidden/>
              </w:rPr>
            </w:r>
            <w:r>
              <w:rPr>
                <w:noProof/>
                <w:webHidden/>
              </w:rPr>
              <w:fldChar w:fldCharType="separate"/>
            </w:r>
            <w:r>
              <w:rPr>
                <w:noProof/>
                <w:webHidden/>
              </w:rPr>
              <w:t>9</w:t>
            </w:r>
            <w:r>
              <w:rPr>
                <w:noProof/>
                <w:webHidden/>
              </w:rPr>
              <w:fldChar w:fldCharType="end"/>
            </w:r>
          </w:hyperlink>
        </w:p>
        <w:p w14:paraId="06397940" w14:textId="44009CA1"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0" w:history="1">
            <w:r w:rsidRPr="00A97F67">
              <w:rPr>
                <w:rStyle w:val="Hyperlink"/>
                <w:noProof/>
              </w:rPr>
              <w:t>3.3</w:t>
            </w:r>
            <w:r>
              <w:rPr>
                <w:rFonts w:asciiTheme="minorHAnsi" w:eastAsiaTheme="minorEastAsia" w:hAnsiTheme="minorHAnsi"/>
                <w:noProof/>
                <w:kern w:val="2"/>
                <w:szCs w:val="24"/>
                <w:lang/>
                <w14:ligatures w14:val="standardContextual"/>
              </w:rPr>
              <w:tab/>
            </w:r>
            <w:r w:rsidRPr="00A97F67">
              <w:rPr>
                <w:rStyle w:val="Hyperlink"/>
                <w:noProof/>
              </w:rPr>
              <w:t>SWOT Analysis</w:t>
            </w:r>
            <w:r>
              <w:rPr>
                <w:noProof/>
                <w:webHidden/>
              </w:rPr>
              <w:tab/>
            </w:r>
            <w:r>
              <w:rPr>
                <w:noProof/>
                <w:webHidden/>
              </w:rPr>
              <w:fldChar w:fldCharType="begin"/>
            </w:r>
            <w:r>
              <w:rPr>
                <w:noProof/>
                <w:webHidden/>
              </w:rPr>
              <w:instrText xml:space="preserve"> PAGEREF _Toc192978950 \h </w:instrText>
            </w:r>
            <w:r>
              <w:rPr>
                <w:noProof/>
                <w:webHidden/>
              </w:rPr>
            </w:r>
            <w:r>
              <w:rPr>
                <w:noProof/>
                <w:webHidden/>
              </w:rPr>
              <w:fldChar w:fldCharType="separate"/>
            </w:r>
            <w:r>
              <w:rPr>
                <w:noProof/>
                <w:webHidden/>
              </w:rPr>
              <w:t>10</w:t>
            </w:r>
            <w:r>
              <w:rPr>
                <w:noProof/>
                <w:webHidden/>
              </w:rPr>
              <w:fldChar w:fldCharType="end"/>
            </w:r>
          </w:hyperlink>
        </w:p>
        <w:p w14:paraId="65ED3F93" w14:textId="38F1EC46" w:rsidR="0040197F" w:rsidRDefault="0040197F" w:rsidP="00736765">
          <w:pPr>
            <w:pStyle w:val="TOC1"/>
            <w:tabs>
              <w:tab w:val="left" w:pos="851"/>
            </w:tabs>
            <w:ind w:firstLine="44"/>
            <w:rPr>
              <w:rFonts w:asciiTheme="minorHAnsi" w:eastAsiaTheme="minorEastAsia" w:hAnsiTheme="minorHAnsi"/>
              <w:noProof/>
              <w:kern w:val="2"/>
              <w:szCs w:val="24"/>
              <w:lang/>
              <w14:ligatures w14:val="standardContextual"/>
            </w:rPr>
          </w:pPr>
          <w:hyperlink w:anchor="_Toc192978951" w:history="1">
            <w:r w:rsidRPr="00A97F67">
              <w:rPr>
                <w:rStyle w:val="Hyperlink"/>
                <w:noProof/>
              </w:rPr>
              <w:t>4</w:t>
            </w:r>
            <w:r>
              <w:rPr>
                <w:rFonts w:asciiTheme="minorHAnsi" w:eastAsiaTheme="minorEastAsia" w:hAnsiTheme="minorHAnsi"/>
                <w:noProof/>
                <w:kern w:val="2"/>
                <w:szCs w:val="24"/>
                <w:lang/>
                <w14:ligatures w14:val="standardContextual"/>
              </w:rPr>
              <w:tab/>
            </w:r>
            <w:r w:rsidRPr="00A97F67">
              <w:rPr>
                <w:rStyle w:val="Hyperlink"/>
                <w:noProof/>
              </w:rPr>
              <w:t>Strategy Formulation and Competitive Positioning</w:t>
            </w:r>
            <w:r>
              <w:rPr>
                <w:noProof/>
                <w:webHidden/>
              </w:rPr>
              <w:tab/>
            </w:r>
            <w:r>
              <w:rPr>
                <w:noProof/>
                <w:webHidden/>
              </w:rPr>
              <w:fldChar w:fldCharType="begin"/>
            </w:r>
            <w:r>
              <w:rPr>
                <w:noProof/>
                <w:webHidden/>
              </w:rPr>
              <w:instrText xml:space="preserve"> PAGEREF _Toc192978951 \h </w:instrText>
            </w:r>
            <w:r>
              <w:rPr>
                <w:noProof/>
                <w:webHidden/>
              </w:rPr>
            </w:r>
            <w:r>
              <w:rPr>
                <w:noProof/>
                <w:webHidden/>
              </w:rPr>
              <w:fldChar w:fldCharType="separate"/>
            </w:r>
            <w:r>
              <w:rPr>
                <w:noProof/>
                <w:webHidden/>
              </w:rPr>
              <w:t>11</w:t>
            </w:r>
            <w:r>
              <w:rPr>
                <w:noProof/>
                <w:webHidden/>
              </w:rPr>
              <w:fldChar w:fldCharType="end"/>
            </w:r>
          </w:hyperlink>
        </w:p>
        <w:p w14:paraId="59ACD480" w14:textId="796DC32E"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2" w:history="1">
            <w:r w:rsidRPr="00A97F67">
              <w:rPr>
                <w:rStyle w:val="Hyperlink"/>
                <w:noProof/>
              </w:rPr>
              <w:t>4.1</w:t>
            </w:r>
            <w:r>
              <w:rPr>
                <w:rFonts w:asciiTheme="minorHAnsi" w:eastAsiaTheme="minorEastAsia" w:hAnsiTheme="minorHAnsi"/>
                <w:noProof/>
                <w:kern w:val="2"/>
                <w:szCs w:val="24"/>
                <w:lang/>
                <w14:ligatures w14:val="standardContextual"/>
              </w:rPr>
              <w:tab/>
            </w:r>
            <w:r w:rsidRPr="00A97F67">
              <w:rPr>
                <w:rStyle w:val="Hyperlink"/>
                <w:noProof/>
              </w:rPr>
              <w:t>Current Strategic Positioning</w:t>
            </w:r>
            <w:r>
              <w:rPr>
                <w:noProof/>
                <w:webHidden/>
              </w:rPr>
              <w:tab/>
            </w:r>
            <w:r>
              <w:rPr>
                <w:noProof/>
                <w:webHidden/>
              </w:rPr>
              <w:fldChar w:fldCharType="begin"/>
            </w:r>
            <w:r>
              <w:rPr>
                <w:noProof/>
                <w:webHidden/>
              </w:rPr>
              <w:instrText xml:space="preserve"> PAGEREF _Toc192978952 \h </w:instrText>
            </w:r>
            <w:r>
              <w:rPr>
                <w:noProof/>
                <w:webHidden/>
              </w:rPr>
            </w:r>
            <w:r>
              <w:rPr>
                <w:noProof/>
                <w:webHidden/>
              </w:rPr>
              <w:fldChar w:fldCharType="separate"/>
            </w:r>
            <w:r>
              <w:rPr>
                <w:noProof/>
                <w:webHidden/>
              </w:rPr>
              <w:t>11</w:t>
            </w:r>
            <w:r>
              <w:rPr>
                <w:noProof/>
                <w:webHidden/>
              </w:rPr>
              <w:fldChar w:fldCharType="end"/>
            </w:r>
          </w:hyperlink>
        </w:p>
        <w:p w14:paraId="56611421" w14:textId="0FDEE11F"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3" w:history="1">
            <w:r w:rsidRPr="00A97F67">
              <w:rPr>
                <w:rStyle w:val="Hyperlink"/>
                <w:noProof/>
              </w:rPr>
              <w:t>4.2</w:t>
            </w:r>
            <w:r>
              <w:rPr>
                <w:rFonts w:asciiTheme="minorHAnsi" w:eastAsiaTheme="minorEastAsia" w:hAnsiTheme="minorHAnsi"/>
                <w:noProof/>
                <w:kern w:val="2"/>
                <w:szCs w:val="24"/>
                <w:lang/>
                <w14:ligatures w14:val="standardContextual"/>
              </w:rPr>
              <w:tab/>
            </w:r>
            <w:r w:rsidRPr="00A97F67">
              <w:rPr>
                <w:rStyle w:val="Hyperlink"/>
                <w:noProof/>
              </w:rPr>
              <w:t>Growth Strategies (Ansoff’s Matrix)</w:t>
            </w:r>
            <w:r>
              <w:rPr>
                <w:noProof/>
                <w:webHidden/>
              </w:rPr>
              <w:tab/>
            </w:r>
            <w:r>
              <w:rPr>
                <w:noProof/>
                <w:webHidden/>
              </w:rPr>
              <w:fldChar w:fldCharType="begin"/>
            </w:r>
            <w:r>
              <w:rPr>
                <w:noProof/>
                <w:webHidden/>
              </w:rPr>
              <w:instrText xml:space="preserve"> PAGEREF _Toc192978953 \h </w:instrText>
            </w:r>
            <w:r>
              <w:rPr>
                <w:noProof/>
                <w:webHidden/>
              </w:rPr>
            </w:r>
            <w:r>
              <w:rPr>
                <w:noProof/>
                <w:webHidden/>
              </w:rPr>
              <w:fldChar w:fldCharType="separate"/>
            </w:r>
            <w:r>
              <w:rPr>
                <w:noProof/>
                <w:webHidden/>
              </w:rPr>
              <w:t>12</w:t>
            </w:r>
            <w:r>
              <w:rPr>
                <w:noProof/>
                <w:webHidden/>
              </w:rPr>
              <w:fldChar w:fldCharType="end"/>
            </w:r>
          </w:hyperlink>
        </w:p>
        <w:p w14:paraId="654E29D3" w14:textId="77EF6503"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4" w:history="1">
            <w:r w:rsidRPr="00A97F67">
              <w:rPr>
                <w:rStyle w:val="Hyperlink"/>
                <w:noProof/>
              </w:rPr>
              <w:t>4.3</w:t>
            </w:r>
            <w:r>
              <w:rPr>
                <w:rFonts w:asciiTheme="minorHAnsi" w:eastAsiaTheme="minorEastAsia" w:hAnsiTheme="minorHAnsi"/>
                <w:noProof/>
                <w:kern w:val="2"/>
                <w:szCs w:val="24"/>
                <w:lang/>
                <w14:ligatures w14:val="standardContextual"/>
              </w:rPr>
              <w:tab/>
            </w:r>
            <w:r w:rsidRPr="00A97F67">
              <w:rPr>
                <w:rStyle w:val="Hyperlink"/>
                <w:noProof/>
              </w:rPr>
              <w:t>Mergers and Acquisitions (MandA)</w:t>
            </w:r>
            <w:r>
              <w:rPr>
                <w:noProof/>
                <w:webHidden/>
              </w:rPr>
              <w:tab/>
            </w:r>
            <w:r>
              <w:rPr>
                <w:noProof/>
                <w:webHidden/>
              </w:rPr>
              <w:fldChar w:fldCharType="begin"/>
            </w:r>
            <w:r>
              <w:rPr>
                <w:noProof/>
                <w:webHidden/>
              </w:rPr>
              <w:instrText xml:space="preserve"> PAGEREF _Toc192978954 \h </w:instrText>
            </w:r>
            <w:r>
              <w:rPr>
                <w:noProof/>
                <w:webHidden/>
              </w:rPr>
            </w:r>
            <w:r>
              <w:rPr>
                <w:noProof/>
                <w:webHidden/>
              </w:rPr>
              <w:fldChar w:fldCharType="separate"/>
            </w:r>
            <w:r>
              <w:rPr>
                <w:noProof/>
                <w:webHidden/>
              </w:rPr>
              <w:t>12</w:t>
            </w:r>
            <w:r>
              <w:rPr>
                <w:noProof/>
                <w:webHidden/>
              </w:rPr>
              <w:fldChar w:fldCharType="end"/>
            </w:r>
          </w:hyperlink>
        </w:p>
        <w:p w14:paraId="02A77CD1" w14:textId="5C1EF9E6" w:rsidR="0040197F" w:rsidRDefault="0040197F" w:rsidP="00736765">
          <w:pPr>
            <w:pStyle w:val="TOC1"/>
            <w:tabs>
              <w:tab w:val="left" w:pos="851"/>
            </w:tabs>
            <w:ind w:firstLine="44"/>
            <w:rPr>
              <w:rFonts w:asciiTheme="minorHAnsi" w:eastAsiaTheme="minorEastAsia" w:hAnsiTheme="minorHAnsi"/>
              <w:noProof/>
              <w:kern w:val="2"/>
              <w:szCs w:val="24"/>
              <w:lang/>
              <w14:ligatures w14:val="standardContextual"/>
            </w:rPr>
          </w:pPr>
          <w:hyperlink w:anchor="_Toc192978955" w:history="1">
            <w:r w:rsidRPr="00A97F67">
              <w:rPr>
                <w:rStyle w:val="Hyperlink"/>
                <w:noProof/>
              </w:rPr>
              <w:t>5</w:t>
            </w:r>
            <w:r>
              <w:rPr>
                <w:rFonts w:asciiTheme="minorHAnsi" w:eastAsiaTheme="minorEastAsia" w:hAnsiTheme="minorHAnsi"/>
                <w:noProof/>
                <w:kern w:val="2"/>
                <w:szCs w:val="24"/>
                <w:lang/>
                <w14:ligatures w14:val="standardContextual"/>
              </w:rPr>
              <w:tab/>
            </w:r>
            <w:r w:rsidRPr="00A97F67">
              <w:rPr>
                <w:rStyle w:val="Hyperlink"/>
                <w:noProof/>
              </w:rPr>
              <w:t>Sustainability and Strategic Recommendations</w:t>
            </w:r>
            <w:r>
              <w:rPr>
                <w:noProof/>
                <w:webHidden/>
              </w:rPr>
              <w:tab/>
            </w:r>
            <w:r>
              <w:rPr>
                <w:noProof/>
                <w:webHidden/>
              </w:rPr>
              <w:fldChar w:fldCharType="begin"/>
            </w:r>
            <w:r>
              <w:rPr>
                <w:noProof/>
                <w:webHidden/>
              </w:rPr>
              <w:instrText xml:space="preserve"> PAGEREF _Toc192978955 \h </w:instrText>
            </w:r>
            <w:r>
              <w:rPr>
                <w:noProof/>
                <w:webHidden/>
              </w:rPr>
            </w:r>
            <w:r>
              <w:rPr>
                <w:noProof/>
                <w:webHidden/>
              </w:rPr>
              <w:fldChar w:fldCharType="separate"/>
            </w:r>
            <w:r>
              <w:rPr>
                <w:noProof/>
                <w:webHidden/>
              </w:rPr>
              <w:t>13</w:t>
            </w:r>
            <w:r>
              <w:rPr>
                <w:noProof/>
                <w:webHidden/>
              </w:rPr>
              <w:fldChar w:fldCharType="end"/>
            </w:r>
          </w:hyperlink>
        </w:p>
        <w:p w14:paraId="6E6C0662" w14:textId="181F59D7"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6" w:history="1">
            <w:r w:rsidRPr="00A97F67">
              <w:rPr>
                <w:rStyle w:val="Hyperlink"/>
                <w:noProof/>
              </w:rPr>
              <w:t>5.1</w:t>
            </w:r>
            <w:r>
              <w:rPr>
                <w:rFonts w:asciiTheme="minorHAnsi" w:eastAsiaTheme="minorEastAsia" w:hAnsiTheme="minorHAnsi"/>
                <w:noProof/>
                <w:kern w:val="2"/>
                <w:szCs w:val="24"/>
                <w:lang/>
                <w14:ligatures w14:val="standardContextual"/>
              </w:rPr>
              <w:tab/>
            </w:r>
            <w:r w:rsidRPr="00A97F67">
              <w:rPr>
                <w:rStyle w:val="Hyperlink"/>
                <w:noProof/>
              </w:rPr>
              <w:t>Sustainability Initiatives and Strategic Implications</w:t>
            </w:r>
            <w:r>
              <w:rPr>
                <w:noProof/>
                <w:webHidden/>
              </w:rPr>
              <w:tab/>
            </w:r>
            <w:r>
              <w:rPr>
                <w:noProof/>
                <w:webHidden/>
              </w:rPr>
              <w:fldChar w:fldCharType="begin"/>
            </w:r>
            <w:r>
              <w:rPr>
                <w:noProof/>
                <w:webHidden/>
              </w:rPr>
              <w:instrText xml:space="preserve"> PAGEREF _Toc192978956 \h </w:instrText>
            </w:r>
            <w:r>
              <w:rPr>
                <w:noProof/>
                <w:webHidden/>
              </w:rPr>
            </w:r>
            <w:r>
              <w:rPr>
                <w:noProof/>
                <w:webHidden/>
              </w:rPr>
              <w:fldChar w:fldCharType="separate"/>
            </w:r>
            <w:r>
              <w:rPr>
                <w:noProof/>
                <w:webHidden/>
              </w:rPr>
              <w:t>13</w:t>
            </w:r>
            <w:r>
              <w:rPr>
                <w:noProof/>
                <w:webHidden/>
              </w:rPr>
              <w:fldChar w:fldCharType="end"/>
            </w:r>
          </w:hyperlink>
        </w:p>
        <w:p w14:paraId="413DE11A" w14:textId="34EF18FC" w:rsidR="0040197F" w:rsidRDefault="0040197F" w:rsidP="00736765">
          <w:pPr>
            <w:pStyle w:val="TOC2"/>
            <w:tabs>
              <w:tab w:val="left" w:pos="851"/>
              <w:tab w:val="right" w:leader="dot" w:pos="9350"/>
            </w:tabs>
            <w:ind w:firstLine="44"/>
            <w:rPr>
              <w:rFonts w:asciiTheme="minorHAnsi" w:eastAsiaTheme="minorEastAsia" w:hAnsiTheme="minorHAnsi"/>
              <w:noProof/>
              <w:kern w:val="2"/>
              <w:szCs w:val="24"/>
              <w:lang/>
              <w14:ligatures w14:val="standardContextual"/>
            </w:rPr>
          </w:pPr>
          <w:hyperlink w:anchor="_Toc192978957" w:history="1">
            <w:r w:rsidRPr="00A97F67">
              <w:rPr>
                <w:rStyle w:val="Hyperlink"/>
                <w:noProof/>
              </w:rPr>
              <w:t>5.2</w:t>
            </w:r>
            <w:r>
              <w:rPr>
                <w:rFonts w:asciiTheme="minorHAnsi" w:eastAsiaTheme="minorEastAsia" w:hAnsiTheme="minorHAnsi"/>
                <w:noProof/>
                <w:kern w:val="2"/>
                <w:szCs w:val="24"/>
                <w:lang/>
                <w14:ligatures w14:val="standardContextual"/>
              </w:rPr>
              <w:tab/>
            </w:r>
            <w:r w:rsidRPr="00A97F67">
              <w:rPr>
                <w:rStyle w:val="Hyperlink"/>
                <w:noProof/>
              </w:rPr>
              <w:t>Strategic Recommendations</w:t>
            </w:r>
            <w:r>
              <w:rPr>
                <w:noProof/>
                <w:webHidden/>
              </w:rPr>
              <w:tab/>
            </w:r>
            <w:r>
              <w:rPr>
                <w:noProof/>
                <w:webHidden/>
              </w:rPr>
              <w:fldChar w:fldCharType="begin"/>
            </w:r>
            <w:r>
              <w:rPr>
                <w:noProof/>
                <w:webHidden/>
              </w:rPr>
              <w:instrText xml:space="preserve"> PAGEREF _Toc192978957 \h </w:instrText>
            </w:r>
            <w:r>
              <w:rPr>
                <w:noProof/>
                <w:webHidden/>
              </w:rPr>
            </w:r>
            <w:r>
              <w:rPr>
                <w:noProof/>
                <w:webHidden/>
              </w:rPr>
              <w:fldChar w:fldCharType="separate"/>
            </w:r>
            <w:r>
              <w:rPr>
                <w:noProof/>
                <w:webHidden/>
              </w:rPr>
              <w:t>13</w:t>
            </w:r>
            <w:r>
              <w:rPr>
                <w:noProof/>
                <w:webHidden/>
              </w:rPr>
              <w:fldChar w:fldCharType="end"/>
            </w:r>
          </w:hyperlink>
        </w:p>
        <w:p w14:paraId="7DF18AD1" w14:textId="313A8830" w:rsidR="0040197F" w:rsidRDefault="0040197F" w:rsidP="00736765">
          <w:pPr>
            <w:pStyle w:val="TOC1"/>
            <w:tabs>
              <w:tab w:val="left" w:pos="851"/>
            </w:tabs>
            <w:ind w:firstLine="44"/>
            <w:rPr>
              <w:rFonts w:asciiTheme="minorHAnsi" w:eastAsiaTheme="minorEastAsia" w:hAnsiTheme="minorHAnsi"/>
              <w:noProof/>
              <w:kern w:val="2"/>
              <w:szCs w:val="24"/>
              <w:lang/>
              <w14:ligatures w14:val="standardContextual"/>
            </w:rPr>
          </w:pPr>
          <w:hyperlink w:anchor="_Toc192978958" w:history="1">
            <w:r w:rsidRPr="00A97F67">
              <w:rPr>
                <w:rStyle w:val="Hyperlink"/>
                <w:noProof/>
              </w:rPr>
              <w:t>6</w:t>
            </w:r>
            <w:r>
              <w:rPr>
                <w:rFonts w:asciiTheme="minorHAnsi" w:eastAsiaTheme="minorEastAsia" w:hAnsiTheme="minorHAnsi"/>
                <w:noProof/>
                <w:kern w:val="2"/>
                <w:szCs w:val="24"/>
                <w:lang/>
                <w14:ligatures w14:val="standardContextual"/>
              </w:rPr>
              <w:tab/>
            </w:r>
            <w:r w:rsidRPr="00A97F67">
              <w:rPr>
                <w:rStyle w:val="Hyperlink"/>
                <w:noProof/>
              </w:rPr>
              <w:t>Conclusion</w:t>
            </w:r>
            <w:r>
              <w:rPr>
                <w:noProof/>
                <w:webHidden/>
              </w:rPr>
              <w:tab/>
            </w:r>
            <w:r>
              <w:rPr>
                <w:noProof/>
                <w:webHidden/>
              </w:rPr>
              <w:fldChar w:fldCharType="begin"/>
            </w:r>
            <w:r>
              <w:rPr>
                <w:noProof/>
                <w:webHidden/>
              </w:rPr>
              <w:instrText xml:space="preserve"> PAGEREF _Toc192978958 \h </w:instrText>
            </w:r>
            <w:r>
              <w:rPr>
                <w:noProof/>
                <w:webHidden/>
              </w:rPr>
            </w:r>
            <w:r>
              <w:rPr>
                <w:noProof/>
                <w:webHidden/>
              </w:rPr>
              <w:fldChar w:fldCharType="separate"/>
            </w:r>
            <w:r>
              <w:rPr>
                <w:noProof/>
                <w:webHidden/>
              </w:rPr>
              <w:t>14</w:t>
            </w:r>
            <w:r>
              <w:rPr>
                <w:noProof/>
                <w:webHidden/>
              </w:rPr>
              <w:fldChar w:fldCharType="end"/>
            </w:r>
          </w:hyperlink>
        </w:p>
        <w:p w14:paraId="3667751A" w14:textId="5D3EA93C" w:rsidR="0040197F" w:rsidRDefault="0040197F" w:rsidP="00736765">
          <w:pPr>
            <w:pStyle w:val="TOC1"/>
            <w:tabs>
              <w:tab w:val="left" w:pos="851"/>
            </w:tabs>
            <w:ind w:firstLine="44"/>
            <w:rPr>
              <w:rFonts w:asciiTheme="minorHAnsi" w:eastAsiaTheme="minorEastAsia" w:hAnsiTheme="minorHAnsi"/>
              <w:noProof/>
              <w:kern w:val="2"/>
              <w:szCs w:val="24"/>
              <w:lang/>
              <w14:ligatures w14:val="standardContextual"/>
            </w:rPr>
          </w:pPr>
          <w:hyperlink w:anchor="_Toc192978959" w:history="1">
            <w:r w:rsidRPr="00A97F67">
              <w:rPr>
                <w:rStyle w:val="Hyperlink"/>
                <w:noProof/>
              </w:rPr>
              <w:t>References</w:t>
            </w:r>
            <w:r>
              <w:rPr>
                <w:noProof/>
                <w:webHidden/>
              </w:rPr>
              <w:tab/>
            </w:r>
            <w:r>
              <w:rPr>
                <w:noProof/>
                <w:webHidden/>
              </w:rPr>
              <w:fldChar w:fldCharType="begin"/>
            </w:r>
            <w:r>
              <w:rPr>
                <w:noProof/>
                <w:webHidden/>
              </w:rPr>
              <w:instrText xml:space="preserve"> PAGEREF _Toc192978959 \h </w:instrText>
            </w:r>
            <w:r>
              <w:rPr>
                <w:noProof/>
                <w:webHidden/>
              </w:rPr>
            </w:r>
            <w:r>
              <w:rPr>
                <w:noProof/>
                <w:webHidden/>
              </w:rPr>
              <w:fldChar w:fldCharType="separate"/>
            </w:r>
            <w:r>
              <w:rPr>
                <w:noProof/>
                <w:webHidden/>
              </w:rPr>
              <w:t>15</w:t>
            </w:r>
            <w:r>
              <w:rPr>
                <w:noProof/>
                <w:webHidden/>
              </w:rPr>
              <w:fldChar w:fldCharType="end"/>
            </w:r>
          </w:hyperlink>
        </w:p>
        <w:p w14:paraId="30FBF449" w14:textId="2FF3B745" w:rsidR="001D7B63" w:rsidRDefault="00001058" w:rsidP="00736765">
          <w:pPr>
            <w:ind w:firstLine="0"/>
          </w:pPr>
          <w:r w:rsidRPr="0092338D">
            <w:rPr>
              <w:b/>
              <w:bCs/>
              <w:noProof/>
            </w:rPr>
            <w:lastRenderedPageBreak/>
            <w:fldChar w:fldCharType="end"/>
          </w:r>
        </w:p>
      </w:sdtContent>
    </w:sdt>
    <w:bookmarkEnd w:id="1" w:displacedByCustomXml="prev"/>
    <w:bookmarkEnd w:id="0" w:displacedByCustomXml="prev"/>
    <w:p w14:paraId="5352A3D1" w14:textId="5624E4C5" w:rsidR="00736765" w:rsidRDefault="00736765">
      <w:pPr>
        <w:spacing w:before="0" w:after="200" w:line="276" w:lineRule="auto"/>
        <w:ind w:firstLine="0"/>
        <w:jc w:val="left"/>
        <w:rPr>
          <w:rFonts w:eastAsiaTheme="majorEastAsia" w:cstheme="majorBidi"/>
          <w:b/>
          <w:iCs/>
          <w:szCs w:val="32"/>
        </w:rPr>
      </w:pPr>
      <w:bookmarkStart w:id="3" w:name="_Toc192978941"/>
    </w:p>
    <w:p w14:paraId="2EA92B2C" w14:textId="29B657CA" w:rsidR="00732E31" w:rsidRPr="00CE2F2F" w:rsidRDefault="00732E31" w:rsidP="00736765">
      <w:pPr>
        <w:pStyle w:val="Heading1"/>
        <w:numPr>
          <w:ilvl w:val="0"/>
          <w:numId w:val="0"/>
        </w:numPr>
        <w:jc w:val="center"/>
        <w:rPr>
          <w:rFonts w:ascii="Arial" w:hAnsi="Arial" w:cs="Arial"/>
          <w:i w:val="0"/>
          <w:iCs/>
        </w:rPr>
      </w:pPr>
      <w:r w:rsidRPr="00CE2F2F">
        <w:rPr>
          <w:rFonts w:ascii="Arial" w:hAnsi="Arial" w:cs="Arial"/>
          <w:i w:val="0"/>
          <w:iCs/>
        </w:rPr>
        <w:t>Executive Summary</w:t>
      </w:r>
      <w:bookmarkEnd w:id="3"/>
    </w:p>
    <w:p w14:paraId="389360B0" w14:textId="0AE08F44" w:rsidR="001D7B63" w:rsidRPr="00CE2F2F" w:rsidRDefault="003646A0" w:rsidP="00CE2F2F">
      <w:pPr>
        <w:rPr>
          <w:rFonts w:ascii="Arial" w:hAnsi="Arial" w:cs="Arial"/>
          <w:szCs w:val="24"/>
        </w:rPr>
      </w:pPr>
      <w:r w:rsidRPr="00CE2F2F">
        <w:rPr>
          <w:rFonts w:ascii="Arial" w:hAnsi="Arial" w:cs="Arial"/>
          <w:szCs w:val="24"/>
        </w:rPr>
        <w:t xml:space="preserve">This report critically examines Sainsbury’s strategic position, competition, internal capabilities and sustainability. Competing in a highly competitive UK grocery sector, the company must balance cost </w:t>
      </w:r>
      <w:r w:rsidR="003B3DBA" w:rsidRPr="00CE2F2F">
        <w:rPr>
          <w:rFonts w:ascii="Arial" w:hAnsi="Arial" w:cs="Arial"/>
          <w:szCs w:val="24"/>
        </w:rPr>
        <w:t>leadership</w:t>
      </w:r>
      <w:r w:rsidRPr="00CE2F2F">
        <w:rPr>
          <w:rFonts w:ascii="Arial" w:hAnsi="Arial" w:cs="Arial"/>
          <w:szCs w:val="24"/>
        </w:rPr>
        <w:t xml:space="preserve"> and differentiation to retain market share. Strategic adaptation becomes the need of the day owing to external challenges like inflation, supply chain disruptions and changes in consumer behaviour. While </w:t>
      </w:r>
      <w:r w:rsidR="003B3DBA" w:rsidRPr="00CE2F2F">
        <w:rPr>
          <w:rFonts w:ascii="Arial" w:hAnsi="Arial" w:cs="Arial"/>
          <w:szCs w:val="24"/>
        </w:rPr>
        <w:t>Sainsbury’s strengths are digital transformation, brand equity,</w:t>
      </w:r>
      <w:r w:rsidRPr="00CE2F2F">
        <w:rPr>
          <w:rFonts w:ascii="Arial" w:hAnsi="Arial" w:cs="Arial"/>
          <w:szCs w:val="24"/>
        </w:rPr>
        <w:t xml:space="preserve"> and sustainability efforts, profit is being weighed down by rising costs and competition. Among other key recommendations, supply chain sustainability should be improved</w:t>
      </w:r>
      <w:r w:rsidR="003B3DBA" w:rsidRPr="00CE2F2F">
        <w:rPr>
          <w:rFonts w:ascii="Arial" w:hAnsi="Arial" w:cs="Arial"/>
          <w:szCs w:val="24"/>
        </w:rPr>
        <w:t>,</w:t>
      </w:r>
      <w:r w:rsidRPr="00CE2F2F">
        <w:rPr>
          <w:rFonts w:ascii="Arial" w:hAnsi="Arial" w:cs="Arial"/>
          <w:szCs w:val="24"/>
        </w:rPr>
        <w:t xml:space="preserve"> and digital operations should be expanded and considered to begin international growth. Sainsbury’s can support the company’s competitive advantage and </w:t>
      </w:r>
      <w:r w:rsidR="003B3DBA" w:rsidRPr="00CE2F2F">
        <w:rPr>
          <w:rFonts w:ascii="Arial" w:hAnsi="Arial" w:cs="Arial"/>
          <w:szCs w:val="24"/>
        </w:rPr>
        <w:t>long-term</w:t>
      </w:r>
      <w:r w:rsidRPr="00CE2F2F">
        <w:rPr>
          <w:rFonts w:ascii="Arial" w:hAnsi="Arial" w:cs="Arial"/>
          <w:szCs w:val="24"/>
        </w:rPr>
        <w:t xml:space="preserve"> success </w:t>
      </w:r>
      <w:r w:rsidR="003B3DBA" w:rsidRPr="00CE2F2F">
        <w:rPr>
          <w:rFonts w:ascii="Arial" w:hAnsi="Arial" w:cs="Arial"/>
          <w:szCs w:val="24"/>
        </w:rPr>
        <w:t>by</w:t>
      </w:r>
      <w:r w:rsidRPr="00CE2F2F">
        <w:rPr>
          <w:rFonts w:ascii="Arial" w:hAnsi="Arial" w:cs="Arial"/>
          <w:szCs w:val="24"/>
        </w:rPr>
        <w:t xml:space="preserve"> integrating sustainability into its core strategy.</w:t>
      </w:r>
    </w:p>
    <w:p w14:paraId="0AEC84A4" w14:textId="77777777" w:rsidR="00732E31" w:rsidRDefault="00732E31" w:rsidP="00736765">
      <w:pPr>
        <w:ind w:firstLine="0"/>
      </w:pPr>
    </w:p>
    <w:p w14:paraId="08100230" w14:textId="77777777" w:rsidR="004603F1" w:rsidRDefault="004603F1" w:rsidP="00736765">
      <w:pPr>
        <w:ind w:firstLine="0"/>
      </w:pPr>
    </w:p>
    <w:p w14:paraId="080E370A" w14:textId="77777777" w:rsidR="004603F1" w:rsidRDefault="004603F1" w:rsidP="00736765">
      <w:pPr>
        <w:ind w:firstLine="0"/>
      </w:pPr>
    </w:p>
    <w:p w14:paraId="1C435C08" w14:textId="77777777" w:rsidR="004603F1" w:rsidRPr="00B621A2" w:rsidRDefault="004603F1" w:rsidP="00736765">
      <w:pPr>
        <w:ind w:firstLine="0"/>
      </w:pPr>
    </w:p>
    <w:p w14:paraId="0B07A13C" w14:textId="77777777" w:rsidR="004603F1" w:rsidRDefault="004603F1" w:rsidP="00736765">
      <w:pPr>
        <w:spacing w:before="0" w:after="200"/>
        <w:ind w:firstLine="0"/>
        <w:jc w:val="left"/>
        <w:rPr>
          <w:rFonts w:eastAsiaTheme="majorEastAsia" w:cstheme="majorBidi"/>
          <w:b/>
          <w:i/>
          <w:szCs w:val="32"/>
        </w:rPr>
      </w:pPr>
      <w:bookmarkStart w:id="4" w:name="_Hlk167797372"/>
      <w:r>
        <w:br w:type="page"/>
      </w:r>
    </w:p>
    <w:p w14:paraId="081CA556" w14:textId="21820F4B" w:rsidR="00C96C63" w:rsidRPr="00CE2F2F" w:rsidRDefault="00407885" w:rsidP="00736765">
      <w:pPr>
        <w:pStyle w:val="Heading1"/>
        <w:rPr>
          <w:rFonts w:ascii="Arial" w:hAnsi="Arial" w:cs="Arial"/>
          <w:sz w:val="22"/>
          <w:szCs w:val="22"/>
        </w:rPr>
      </w:pPr>
      <w:bookmarkStart w:id="5" w:name="_Toc192978942"/>
      <w:r w:rsidRPr="00CE2F2F">
        <w:rPr>
          <w:rFonts w:ascii="Arial" w:hAnsi="Arial" w:cs="Arial"/>
          <w:sz w:val="22"/>
          <w:szCs w:val="22"/>
        </w:rPr>
        <w:lastRenderedPageBreak/>
        <w:t>Introduction</w:t>
      </w:r>
      <w:bookmarkEnd w:id="5"/>
    </w:p>
    <w:p w14:paraId="7B216FE7" w14:textId="0D739D98" w:rsidR="00632646" w:rsidRPr="00CE2F2F" w:rsidRDefault="003B3DBA" w:rsidP="00736765">
      <w:pPr>
        <w:rPr>
          <w:rFonts w:ascii="Arial" w:hAnsi="Arial" w:cs="Arial"/>
          <w:sz w:val="22"/>
          <w:lang w:val="en-US"/>
        </w:rPr>
      </w:pPr>
      <w:r w:rsidRPr="00CE2F2F">
        <w:rPr>
          <w:rFonts w:ascii="Arial" w:hAnsi="Arial" w:cs="Arial"/>
          <w:sz w:val="22"/>
        </w:rPr>
        <w:t>Sainsbury’s is the largest supermarket chain in the UK, with 1,400 stores and millions of customers weekly</w:t>
      </w:r>
      <w:r w:rsidR="00440BE9" w:rsidRPr="00CE2F2F">
        <w:rPr>
          <w:rFonts w:ascii="Arial" w:hAnsi="Arial" w:cs="Arial"/>
          <w:sz w:val="22"/>
          <w:lang w:val="en-US"/>
        </w:rPr>
        <w:t xml:space="preserve"> (Yang et al., 2023)</w:t>
      </w:r>
      <w:r w:rsidRPr="00CE2F2F">
        <w:rPr>
          <w:rFonts w:ascii="Arial" w:hAnsi="Arial" w:cs="Arial"/>
          <w:sz w:val="22"/>
        </w:rPr>
        <w:t>. It is a highly competitive market and plays a key role in competing with Tesco, ASDA, and rising discounters such as Aldi and Lidl. Due to its strategic positioning, supply chain management and sustainability efforts, the company is a good subject for strategic analysis. The UK grocery sector is highly volatile, inflationary pressured and has changed consumer preferences, which requires businesses to react quickly. To remain competitive, Sainsbury’s should balance cost leadership and differentiation and tackle the sustainability problems</w:t>
      </w:r>
      <w:r w:rsidR="00440BE9" w:rsidRPr="00CE2F2F">
        <w:rPr>
          <w:rFonts w:ascii="Arial" w:hAnsi="Arial" w:cs="Arial"/>
          <w:sz w:val="22"/>
          <w:lang w:val="en-US"/>
        </w:rPr>
        <w:t xml:space="preserve"> (Solanki et al., 2024)</w:t>
      </w:r>
      <w:r w:rsidRPr="00CE2F2F">
        <w:rPr>
          <w:rFonts w:ascii="Arial" w:hAnsi="Arial" w:cs="Arial"/>
          <w:sz w:val="22"/>
        </w:rPr>
        <w:t xml:space="preserve">. </w:t>
      </w:r>
      <w:r w:rsidR="00A00861" w:rsidRPr="00CE2F2F">
        <w:rPr>
          <w:rFonts w:ascii="Arial" w:hAnsi="Arial" w:cs="Arial"/>
          <w:sz w:val="22"/>
        </w:rPr>
        <w:t>The rising operational costs, supplier constraints, and digital transformation pressures complement the situation</w:t>
      </w:r>
      <w:r w:rsidRPr="00CE2F2F">
        <w:rPr>
          <w:rFonts w:ascii="Arial" w:hAnsi="Arial" w:cs="Arial"/>
          <w:sz w:val="22"/>
        </w:rPr>
        <w:t>. An analysis of Sainsbury’s competitive landscape, internal capabilities</w:t>
      </w:r>
      <w:r w:rsidR="00A00861" w:rsidRPr="00CE2F2F">
        <w:rPr>
          <w:rFonts w:ascii="Arial" w:hAnsi="Arial" w:cs="Arial"/>
          <w:sz w:val="22"/>
        </w:rPr>
        <w:t>, and sustainability initiatives will help us understand how Sainsbury</w:t>
      </w:r>
      <w:r w:rsidRPr="00CE2F2F">
        <w:rPr>
          <w:rFonts w:ascii="Arial" w:hAnsi="Arial" w:cs="Arial"/>
          <w:sz w:val="22"/>
        </w:rPr>
        <w:t xml:space="preserve"> can cope with these challenges and maintain long-term growth in an increasingly dynamic market.</w:t>
      </w:r>
    </w:p>
    <w:p w14:paraId="0E8ADAAB" w14:textId="20D2646E" w:rsidR="006222C9" w:rsidRPr="00CE2F2F" w:rsidRDefault="006222C9" w:rsidP="00736765">
      <w:pPr>
        <w:pStyle w:val="Heading1"/>
        <w:rPr>
          <w:rFonts w:ascii="Arial" w:hAnsi="Arial" w:cs="Arial"/>
          <w:sz w:val="22"/>
          <w:szCs w:val="22"/>
        </w:rPr>
      </w:pPr>
      <w:bookmarkStart w:id="6" w:name="_Toc192978943"/>
      <w:r w:rsidRPr="00CE2F2F">
        <w:rPr>
          <w:rFonts w:ascii="Arial" w:hAnsi="Arial" w:cs="Arial"/>
          <w:sz w:val="22"/>
          <w:szCs w:val="22"/>
        </w:rPr>
        <w:t>External Analysis</w:t>
      </w:r>
      <w:bookmarkEnd w:id="6"/>
    </w:p>
    <w:p w14:paraId="7FF37FAD" w14:textId="343743B0" w:rsidR="006222C9" w:rsidRPr="00CE2F2F" w:rsidRDefault="006222C9" w:rsidP="00736765">
      <w:pPr>
        <w:pStyle w:val="Heading2"/>
        <w:rPr>
          <w:rFonts w:ascii="Arial" w:hAnsi="Arial" w:cs="Arial"/>
          <w:sz w:val="22"/>
          <w:szCs w:val="22"/>
        </w:rPr>
      </w:pPr>
      <w:bookmarkStart w:id="7" w:name="_Toc192978944"/>
      <w:r w:rsidRPr="00CE2F2F">
        <w:rPr>
          <w:rFonts w:ascii="Arial" w:hAnsi="Arial" w:cs="Arial"/>
          <w:sz w:val="22"/>
          <w:szCs w:val="22"/>
        </w:rPr>
        <w:t>PESTEL Analysis</w:t>
      </w:r>
      <w:bookmarkEnd w:id="7"/>
    </w:p>
    <w:p w14:paraId="7D305867" w14:textId="0C508A1A" w:rsidR="003B3DBA" w:rsidRPr="00CE2F2F" w:rsidRDefault="003B3DBA" w:rsidP="00736765">
      <w:pPr>
        <w:rPr>
          <w:rFonts w:ascii="Arial" w:hAnsi="Arial" w:cs="Arial"/>
          <w:sz w:val="22"/>
        </w:rPr>
      </w:pPr>
      <w:r w:rsidRPr="00CE2F2F">
        <w:rPr>
          <w:rFonts w:ascii="Arial" w:hAnsi="Arial" w:cs="Arial"/>
          <w:sz w:val="22"/>
        </w:rPr>
        <w:t>Sainsbury's retail environment is dynamic and influenced by macro factors such as the economy</w:t>
      </w:r>
      <w:r w:rsidR="00440BE9" w:rsidRPr="00CE2F2F">
        <w:rPr>
          <w:rFonts w:ascii="Arial" w:hAnsi="Arial" w:cs="Arial"/>
          <w:sz w:val="22"/>
          <w:lang w:val="en-US"/>
        </w:rPr>
        <w:t xml:space="preserve"> (Scarr et al., 2024)</w:t>
      </w:r>
      <w:r w:rsidRPr="00CE2F2F">
        <w:rPr>
          <w:rFonts w:ascii="Arial" w:hAnsi="Arial" w:cs="Arial"/>
          <w:sz w:val="22"/>
        </w:rPr>
        <w:t xml:space="preserve">. After Brexit, post policies still create political disruption to supply chains and increase import costs. </w:t>
      </w:r>
      <w:r w:rsidR="00A00861" w:rsidRPr="00CE2F2F">
        <w:rPr>
          <w:rFonts w:ascii="Arial" w:hAnsi="Arial" w:cs="Arial"/>
          <w:sz w:val="22"/>
        </w:rPr>
        <w:t>Introducing</w:t>
      </w:r>
      <w:r w:rsidRPr="00CE2F2F">
        <w:rPr>
          <w:rFonts w:ascii="Arial" w:hAnsi="Arial" w:cs="Arial"/>
          <w:sz w:val="22"/>
        </w:rPr>
        <w:t xml:space="preserve"> new border cheques in 2024 will create a financial strain and </w:t>
      </w:r>
      <w:r w:rsidR="00A00861" w:rsidRPr="00CE2F2F">
        <w:rPr>
          <w:rFonts w:ascii="Arial" w:hAnsi="Arial" w:cs="Arial"/>
          <w:sz w:val="22"/>
        </w:rPr>
        <w:t>impact</w:t>
      </w:r>
      <w:r w:rsidRPr="00CE2F2F">
        <w:rPr>
          <w:rFonts w:ascii="Arial" w:hAnsi="Arial" w:cs="Arial"/>
          <w:sz w:val="22"/>
        </w:rPr>
        <w:t xml:space="preserve"> pricing strategies. In addition, minimum wage increases make operational costs rise, leaving Sainsbury’s to cut operational costs and optimise efficiency. High inflation has also made consumers more economically vulnerable, </w:t>
      </w:r>
      <w:r w:rsidR="00A00861" w:rsidRPr="00CE2F2F">
        <w:rPr>
          <w:rFonts w:ascii="Arial" w:hAnsi="Arial" w:cs="Arial"/>
          <w:sz w:val="22"/>
        </w:rPr>
        <w:t>so</w:t>
      </w:r>
      <w:r w:rsidRPr="00CE2F2F">
        <w:rPr>
          <w:rFonts w:ascii="Arial" w:hAnsi="Arial" w:cs="Arial"/>
          <w:sz w:val="22"/>
        </w:rPr>
        <w:t xml:space="preserve"> they </w:t>
      </w:r>
      <w:r w:rsidR="00A00861" w:rsidRPr="00CE2F2F">
        <w:rPr>
          <w:rFonts w:ascii="Arial" w:hAnsi="Arial" w:cs="Arial"/>
          <w:sz w:val="22"/>
        </w:rPr>
        <w:t>shop</w:t>
      </w:r>
      <w:r w:rsidRPr="00CE2F2F">
        <w:rPr>
          <w:rFonts w:ascii="Arial" w:hAnsi="Arial" w:cs="Arial"/>
          <w:sz w:val="22"/>
        </w:rPr>
        <w:t xml:space="preserve"> increasingly at Aldi and Lidl. Sainsbury’s expands Aldi Price Match</w:t>
      </w:r>
      <w:r w:rsidR="00A00861" w:rsidRPr="00CE2F2F">
        <w:rPr>
          <w:rFonts w:ascii="Arial" w:hAnsi="Arial" w:cs="Arial"/>
          <w:sz w:val="22"/>
        </w:rPr>
        <w:t xml:space="preserve"> and bolsters its </w:t>
      </w:r>
      <w:r w:rsidRPr="00CE2F2F">
        <w:rPr>
          <w:rFonts w:ascii="Arial" w:hAnsi="Arial" w:cs="Arial"/>
          <w:sz w:val="22"/>
        </w:rPr>
        <w:t>brand value range</w:t>
      </w:r>
      <w:r w:rsidR="00440BE9" w:rsidRPr="00CE2F2F">
        <w:rPr>
          <w:rFonts w:ascii="Arial" w:hAnsi="Arial" w:cs="Arial"/>
          <w:sz w:val="22"/>
          <w:lang w:val="en-US"/>
        </w:rPr>
        <w:t xml:space="preserve"> (Scarr et al., 2024)</w:t>
      </w:r>
      <w:r w:rsidRPr="00CE2F2F">
        <w:rPr>
          <w:rFonts w:ascii="Arial" w:hAnsi="Arial" w:cs="Arial"/>
          <w:sz w:val="22"/>
        </w:rPr>
        <w:t xml:space="preserve">. Margins have also been hit due to rising energy costs, meaning that stores must be designed to be energy efficient. Consumer demand for </w:t>
      </w:r>
      <w:r w:rsidR="00A00861" w:rsidRPr="00CE2F2F">
        <w:rPr>
          <w:rFonts w:ascii="Arial" w:hAnsi="Arial" w:cs="Arial"/>
          <w:sz w:val="22"/>
        </w:rPr>
        <w:t>health-conscious and plant-based products has socialled,</w:t>
      </w:r>
      <w:r w:rsidRPr="00CE2F2F">
        <w:rPr>
          <w:rFonts w:ascii="Arial" w:hAnsi="Arial" w:cs="Arial"/>
          <w:sz w:val="22"/>
        </w:rPr>
        <w:t xml:space="preserve"> and Sainsbury’s has responded by expanding its Plant Pioneers range. </w:t>
      </w:r>
    </w:p>
    <w:p w14:paraId="49BEDD16" w14:textId="77777777" w:rsidR="00492590" w:rsidRDefault="00492590" w:rsidP="00736765">
      <w:pPr>
        <w:keepNext/>
        <w:ind w:firstLine="0"/>
        <w:jc w:val="center"/>
      </w:pPr>
      <w:r>
        <w:rPr>
          <w:noProof/>
        </w:rPr>
        <w:lastRenderedPageBreak/>
        <w:drawing>
          <wp:inline distT="0" distB="0" distL="0" distR="0" wp14:anchorId="3BF9E078" wp14:editId="31B5674C">
            <wp:extent cx="3581400" cy="2533650"/>
            <wp:effectExtent l="76200" t="76200" r="114300" b="114300"/>
            <wp:docPr id="1925389590" name="Picture 1"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0" cy="2533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0BBE60" w14:textId="4C6172E1" w:rsidR="00492590" w:rsidRPr="00492590" w:rsidRDefault="00492590" w:rsidP="00736765">
      <w:pPr>
        <w:pStyle w:val="Caption"/>
        <w:spacing w:line="360" w:lineRule="auto"/>
        <w:ind w:firstLine="0"/>
        <w:jc w:val="center"/>
        <w:rPr>
          <w:color w:val="000000" w:themeColor="text1"/>
        </w:rPr>
      </w:pPr>
      <w:r w:rsidRPr="00492590">
        <w:rPr>
          <w:color w:val="000000" w:themeColor="text1"/>
        </w:rPr>
        <w:t xml:space="preserve">Figure </w:t>
      </w:r>
      <w:r w:rsidRPr="00492590">
        <w:rPr>
          <w:color w:val="000000" w:themeColor="text1"/>
        </w:rPr>
        <w:fldChar w:fldCharType="begin"/>
      </w:r>
      <w:r w:rsidRPr="00492590">
        <w:rPr>
          <w:color w:val="000000" w:themeColor="text1"/>
        </w:rPr>
        <w:instrText xml:space="preserve"> SEQ Figure \* ARABIC </w:instrText>
      </w:r>
      <w:r w:rsidRPr="00492590">
        <w:rPr>
          <w:color w:val="000000" w:themeColor="text1"/>
        </w:rPr>
        <w:fldChar w:fldCharType="separate"/>
      </w:r>
      <w:r>
        <w:rPr>
          <w:noProof/>
          <w:color w:val="000000" w:themeColor="text1"/>
        </w:rPr>
        <w:t>1</w:t>
      </w:r>
      <w:r w:rsidRPr="00492590">
        <w:rPr>
          <w:color w:val="000000" w:themeColor="text1"/>
        </w:rPr>
        <w:fldChar w:fldCharType="end"/>
      </w:r>
      <w:r w:rsidRPr="00492590">
        <w:rPr>
          <w:color w:val="000000" w:themeColor="text1"/>
        </w:rPr>
        <w:t xml:space="preserve"> PESTEL Analysis</w:t>
      </w:r>
    </w:p>
    <w:p w14:paraId="66DDEF5A" w14:textId="4A478953" w:rsidR="006222C9" w:rsidRPr="00CE2F2F" w:rsidRDefault="003B3DBA" w:rsidP="00736765">
      <w:pPr>
        <w:rPr>
          <w:rFonts w:ascii="Arial" w:hAnsi="Arial" w:cs="Arial"/>
          <w:sz w:val="22"/>
        </w:rPr>
      </w:pPr>
      <w:r w:rsidRPr="00CE2F2F">
        <w:rPr>
          <w:rFonts w:ascii="Arial" w:hAnsi="Arial" w:cs="Arial"/>
          <w:sz w:val="22"/>
        </w:rPr>
        <w:t xml:space="preserve">So much investment continues </w:t>
      </w:r>
      <w:r w:rsidR="00A00861" w:rsidRPr="00CE2F2F">
        <w:rPr>
          <w:rFonts w:ascii="Arial" w:hAnsi="Arial" w:cs="Arial"/>
          <w:sz w:val="22"/>
        </w:rPr>
        <w:t>in e-commerce to drive customers to shop online, as digital sales account for a</w:t>
      </w:r>
      <w:r w:rsidRPr="00CE2F2F">
        <w:rPr>
          <w:rFonts w:ascii="Arial" w:hAnsi="Arial" w:cs="Arial"/>
          <w:sz w:val="22"/>
        </w:rPr>
        <w:t xml:space="preserve"> substantial portion of revenue for any business. Sainsbury’s has technology advancing </w:t>
      </w:r>
      <w:r w:rsidR="00A00861" w:rsidRPr="00CE2F2F">
        <w:rPr>
          <w:rFonts w:ascii="Arial" w:hAnsi="Arial" w:cs="Arial"/>
          <w:sz w:val="22"/>
        </w:rPr>
        <w:t>AI-based</w:t>
      </w:r>
      <w:r w:rsidRPr="00CE2F2F">
        <w:rPr>
          <w:rFonts w:ascii="Arial" w:hAnsi="Arial" w:cs="Arial"/>
          <w:sz w:val="22"/>
        </w:rPr>
        <w:t xml:space="preserve"> ‘demand forecasting’ and autonomous checkout systems to eliminate inefficiencies</w:t>
      </w:r>
      <w:r w:rsidR="00440BE9" w:rsidRPr="00CE2F2F">
        <w:rPr>
          <w:rFonts w:ascii="Arial" w:hAnsi="Arial" w:cs="Arial"/>
          <w:sz w:val="22"/>
          <w:lang w:val="en-US"/>
        </w:rPr>
        <w:t xml:space="preserve"> (Samadzadeh, 2024)</w:t>
      </w:r>
      <w:r w:rsidRPr="00CE2F2F">
        <w:rPr>
          <w:rFonts w:ascii="Arial" w:hAnsi="Arial" w:cs="Arial"/>
          <w:sz w:val="22"/>
        </w:rPr>
        <w:t xml:space="preserve">. </w:t>
      </w:r>
      <w:r w:rsidR="00A00861" w:rsidRPr="00CE2F2F">
        <w:rPr>
          <w:rFonts w:ascii="Arial" w:hAnsi="Arial" w:cs="Arial"/>
          <w:sz w:val="22"/>
        </w:rPr>
        <w:t>Digital transformation efforts such as increased data analytics and loyalty programs improve an intensely competitive market</w:t>
      </w:r>
      <w:r w:rsidRPr="00CE2F2F">
        <w:rPr>
          <w:rFonts w:ascii="Arial" w:hAnsi="Arial" w:cs="Arial"/>
          <w:sz w:val="22"/>
        </w:rPr>
        <w:t xml:space="preserve">. Retailers are </w:t>
      </w:r>
      <w:r w:rsidR="00A00861" w:rsidRPr="00CE2F2F">
        <w:rPr>
          <w:rFonts w:ascii="Arial" w:hAnsi="Arial" w:cs="Arial"/>
          <w:sz w:val="22"/>
        </w:rPr>
        <w:t>more pressured</w:t>
      </w:r>
      <w:r w:rsidRPr="00CE2F2F">
        <w:rPr>
          <w:rFonts w:ascii="Arial" w:hAnsi="Arial" w:cs="Arial"/>
          <w:sz w:val="22"/>
        </w:rPr>
        <w:t xml:space="preserve"> to follow sustainability regulations due to the increasing environmental pressure. Supermarkets are required to manage packaging sustainability in new waste disposal policies</w:t>
      </w:r>
      <w:r w:rsidR="00A00861" w:rsidRPr="00CE2F2F">
        <w:rPr>
          <w:rFonts w:ascii="Arial" w:hAnsi="Arial" w:cs="Arial"/>
          <w:sz w:val="22"/>
        </w:rPr>
        <w:t>, and the company’s net zero target for</w:t>
      </w:r>
      <w:r w:rsidRPr="00CE2F2F">
        <w:rPr>
          <w:rFonts w:ascii="Arial" w:hAnsi="Arial" w:cs="Arial"/>
          <w:sz w:val="22"/>
        </w:rPr>
        <w:t xml:space="preserve"> 2040 requires huge investments in renewable energy and supply chain sustainability</w:t>
      </w:r>
      <w:r w:rsidR="00440BE9" w:rsidRPr="00CE2F2F">
        <w:rPr>
          <w:rFonts w:ascii="Arial" w:hAnsi="Arial" w:cs="Arial"/>
          <w:sz w:val="22"/>
          <w:lang w:val="en-US"/>
        </w:rPr>
        <w:t xml:space="preserve"> (Rusanen, 2023)</w:t>
      </w:r>
      <w:r w:rsidRPr="00CE2F2F">
        <w:rPr>
          <w:rFonts w:ascii="Arial" w:hAnsi="Arial" w:cs="Arial"/>
          <w:sz w:val="22"/>
        </w:rPr>
        <w:t>. Therefore, regulations, such as changes to high-fat, sugar, and salt (HFSS) products</w:t>
      </w:r>
      <w:r w:rsidR="00A00861" w:rsidRPr="00CE2F2F">
        <w:rPr>
          <w:rFonts w:ascii="Arial" w:hAnsi="Arial" w:cs="Arial"/>
          <w:sz w:val="22"/>
        </w:rPr>
        <w:t>,</w:t>
      </w:r>
      <w:r w:rsidRPr="00CE2F2F">
        <w:rPr>
          <w:rFonts w:ascii="Arial" w:hAnsi="Arial" w:cs="Arial"/>
          <w:sz w:val="22"/>
        </w:rPr>
        <w:t xml:space="preserve"> </w:t>
      </w:r>
      <w:r w:rsidR="00A00861" w:rsidRPr="00CE2F2F">
        <w:rPr>
          <w:rFonts w:ascii="Arial" w:hAnsi="Arial" w:cs="Arial"/>
          <w:sz w:val="22"/>
        </w:rPr>
        <w:t>must</w:t>
      </w:r>
      <w:r w:rsidRPr="00CE2F2F">
        <w:rPr>
          <w:rFonts w:ascii="Arial" w:hAnsi="Arial" w:cs="Arial"/>
          <w:sz w:val="22"/>
        </w:rPr>
        <w:t xml:space="preserve"> be adapted to </w:t>
      </w:r>
      <w:r w:rsidR="00A00861" w:rsidRPr="00CE2F2F">
        <w:rPr>
          <w:rFonts w:ascii="Arial" w:hAnsi="Arial" w:cs="Arial"/>
          <w:sz w:val="22"/>
        </w:rPr>
        <w:t>legal requirements, formulation,</w:t>
      </w:r>
      <w:r w:rsidRPr="00CE2F2F">
        <w:rPr>
          <w:rFonts w:ascii="Arial" w:hAnsi="Arial" w:cs="Arial"/>
          <w:sz w:val="22"/>
        </w:rPr>
        <w:t xml:space="preserve"> and advertising strategies. The operational complexity includes compliance with data protection and labour laws as well.</w:t>
      </w:r>
    </w:p>
    <w:p w14:paraId="6B344003" w14:textId="66EFAF95" w:rsidR="006222C9" w:rsidRPr="00CE2F2F" w:rsidRDefault="006222C9" w:rsidP="00736765">
      <w:pPr>
        <w:pStyle w:val="Heading2"/>
        <w:rPr>
          <w:rFonts w:ascii="Arial" w:hAnsi="Arial" w:cs="Arial"/>
          <w:sz w:val="22"/>
          <w:szCs w:val="22"/>
        </w:rPr>
      </w:pPr>
      <w:bookmarkStart w:id="8" w:name="_Toc192978945"/>
      <w:r w:rsidRPr="00CE2F2F">
        <w:rPr>
          <w:rFonts w:ascii="Arial" w:hAnsi="Arial" w:cs="Arial"/>
          <w:sz w:val="22"/>
          <w:szCs w:val="22"/>
        </w:rPr>
        <w:t>Porter’s Five Forces</w:t>
      </w:r>
      <w:bookmarkEnd w:id="8"/>
    </w:p>
    <w:p w14:paraId="3403CFD9" w14:textId="2DFE98DF" w:rsidR="006222C9" w:rsidRPr="00CE2F2F" w:rsidRDefault="003B3DBA" w:rsidP="00736765">
      <w:pPr>
        <w:rPr>
          <w:rFonts w:ascii="Arial" w:hAnsi="Arial" w:cs="Arial"/>
          <w:sz w:val="22"/>
        </w:rPr>
      </w:pPr>
      <w:r w:rsidRPr="00CE2F2F">
        <w:rPr>
          <w:rFonts w:ascii="Arial" w:hAnsi="Arial" w:cs="Arial"/>
          <w:sz w:val="22"/>
        </w:rPr>
        <w:t>However, rapid grocery delivery startups present a challenge to the threat of new entrants, which is low because of high capital investment requirements</w:t>
      </w:r>
      <w:r w:rsidR="00440BE9" w:rsidRPr="00CE2F2F">
        <w:rPr>
          <w:rFonts w:ascii="Arial" w:hAnsi="Arial" w:cs="Arial"/>
          <w:sz w:val="22"/>
          <w:lang w:val="en-US"/>
        </w:rPr>
        <w:t xml:space="preserve"> (</w:t>
      </w:r>
      <w:proofErr w:type="spellStart"/>
      <w:r w:rsidR="00440BE9" w:rsidRPr="00CE2F2F">
        <w:rPr>
          <w:rFonts w:ascii="Arial" w:hAnsi="Arial" w:cs="Arial"/>
          <w:sz w:val="22"/>
          <w:lang w:val="en-US"/>
        </w:rPr>
        <w:t>Sahidi</w:t>
      </w:r>
      <w:proofErr w:type="spellEnd"/>
      <w:r w:rsidR="00440BE9" w:rsidRPr="00CE2F2F">
        <w:rPr>
          <w:rFonts w:ascii="Arial" w:hAnsi="Arial" w:cs="Arial"/>
          <w:sz w:val="22"/>
          <w:lang w:val="en-US"/>
        </w:rPr>
        <w:t xml:space="preserve"> and Nadda, 2025)</w:t>
      </w:r>
      <w:r w:rsidRPr="00CE2F2F">
        <w:rPr>
          <w:rFonts w:ascii="Arial" w:hAnsi="Arial" w:cs="Arial"/>
          <w:sz w:val="22"/>
        </w:rPr>
        <w:t xml:space="preserve">. </w:t>
      </w:r>
      <w:r w:rsidR="00A00861" w:rsidRPr="00CE2F2F">
        <w:rPr>
          <w:rFonts w:ascii="Arial" w:hAnsi="Arial" w:cs="Arial"/>
          <w:sz w:val="22"/>
        </w:rPr>
        <w:t>Due to import restrictions and rising costs, supplier power has increased, particularly in fresh food</w:t>
      </w:r>
      <w:r w:rsidRPr="00CE2F2F">
        <w:rPr>
          <w:rFonts w:ascii="Arial" w:hAnsi="Arial" w:cs="Arial"/>
          <w:sz w:val="22"/>
        </w:rPr>
        <w:t>. This is mitigated by Sainsbury’s</w:t>
      </w:r>
      <w:r w:rsidR="00A00861" w:rsidRPr="00CE2F2F">
        <w:rPr>
          <w:rFonts w:ascii="Arial" w:hAnsi="Arial" w:cs="Arial"/>
          <w:sz w:val="22"/>
        </w:rPr>
        <w:t>, which secures long-term</w:t>
      </w:r>
      <w:r w:rsidRPr="00CE2F2F">
        <w:rPr>
          <w:rFonts w:ascii="Arial" w:hAnsi="Arial" w:cs="Arial"/>
          <w:sz w:val="22"/>
        </w:rPr>
        <w:t xml:space="preserve"> contracts with local suppliers. The </w:t>
      </w:r>
      <w:r w:rsidR="00A00861" w:rsidRPr="00CE2F2F">
        <w:rPr>
          <w:rFonts w:ascii="Arial" w:hAnsi="Arial" w:cs="Arial"/>
          <w:sz w:val="22"/>
        </w:rPr>
        <w:t>price-sensitive consumers are switching brands frequently. Thus,</w:t>
      </w:r>
      <w:r w:rsidRPr="00CE2F2F">
        <w:rPr>
          <w:rFonts w:ascii="Arial" w:hAnsi="Arial" w:cs="Arial"/>
          <w:sz w:val="22"/>
        </w:rPr>
        <w:t xml:space="preserve"> buyer power is high. Sainsbury’s has been forced to maintain aggressive pricing strategies as the Aldi, Lidl and price comparison tools have expanded. Meeting the challenge of substitutes is coming through </w:t>
      </w:r>
      <w:r w:rsidRPr="00CE2F2F">
        <w:rPr>
          <w:rFonts w:ascii="Arial" w:hAnsi="Arial" w:cs="Arial"/>
          <w:sz w:val="22"/>
        </w:rPr>
        <w:lastRenderedPageBreak/>
        <w:t>meal kit services and food delivery platforms capturing spending at traditional supermarkets as the former rise in popularity</w:t>
      </w:r>
      <w:r w:rsidR="00440BE9" w:rsidRPr="00CE2F2F">
        <w:rPr>
          <w:rFonts w:ascii="Arial" w:hAnsi="Arial" w:cs="Arial"/>
          <w:sz w:val="22"/>
          <w:lang w:val="en-US"/>
        </w:rPr>
        <w:t xml:space="preserve"> (</w:t>
      </w:r>
      <w:proofErr w:type="spellStart"/>
      <w:r w:rsidR="00440BE9" w:rsidRPr="00CE2F2F">
        <w:rPr>
          <w:rFonts w:ascii="Arial" w:hAnsi="Arial" w:cs="Arial"/>
          <w:sz w:val="22"/>
          <w:lang w:val="en-US"/>
        </w:rPr>
        <w:t>Rop</w:t>
      </w:r>
      <w:proofErr w:type="spellEnd"/>
      <w:r w:rsidR="00440BE9" w:rsidRPr="00CE2F2F">
        <w:rPr>
          <w:rFonts w:ascii="Arial" w:hAnsi="Arial" w:cs="Arial"/>
          <w:sz w:val="22"/>
          <w:lang w:val="en-US"/>
        </w:rPr>
        <w:t>, 2023)</w:t>
      </w:r>
      <w:r w:rsidRPr="00CE2F2F">
        <w:rPr>
          <w:rFonts w:ascii="Arial" w:hAnsi="Arial" w:cs="Arial"/>
          <w:sz w:val="22"/>
        </w:rPr>
        <w:t xml:space="preserve">. There is intense </w:t>
      </w:r>
      <w:r w:rsidR="00A00861" w:rsidRPr="00CE2F2F">
        <w:rPr>
          <w:rFonts w:ascii="Arial" w:hAnsi="Arial" w:cs="Arial"/>
          <w:sz w:val="22"/>
        </w:rPr>
        <w:t>competition between Tesco, ASDA,</w:t>
      </w:r>
      <w:r w:rsidRPr="00CE2F2F">
        <w:rPr>
          <w:rFonts w:ascii="Arial" w:hAnsi="Arial" w:cs="Arial"/>
          <w:sz w:val="22"/>
        </w:rPr>
        <w:t xml:space="preserve"> and discounters in price wars. The main part of Sainsbury’s differentiation strategy is still based on </w:t>
      </w:r>
      <w:r w:rsidR="00A00861" w:rsidRPr="00CE2F2F">
        <w:rPr>
          <w:rFonts w:ascii="Arial" w:hAnsi="Arial" w:cs="Arial"/>
          <w:sz w:val="22"/>
        </w:rPr>
        <w:t>selling</w:t>
      </w:r>
      <w:r w:rsidRPr="00CE2F2F">
        <w:rPr>
          <w:rFonts w:ascii="Arial" w:hAnsi="Arial" w:cs="Arial"/>
          <w:sz w:val="22"/>
        </w:rPr>
        <w:t xml:space="preserve"> premium products and convenience.</w:t>
      </w:r>
    </w:p>
    <w:p w14:paraId="1467DD5E" w14:textId="77777777" w:rsidR="00492590" w:rsidRDefault="00492590" w:rsidP="00736765">
      <w:pPr>
        <w:keepNext/>
        <w:ind w:firstLine="0"/>
        <w:jc w:val="center"/>
      </w:pPr>
      <w:r>
        <w:rPr>
          <w:noProof/>
        </w:rPr>
        <w:drawing>
          <wp:inline distT="0" distB="0" distL="0" distR="0" wp14:anchorId="0F91F895" wp14:editId="4B5A17E9">
            <wp:extent cx="3244850" cy="2647950"/>
            <wp:effectExtent l="76200" t="76200" r="107950" b="114300"/>
            <wp:docPr id="712060934" name="Picture 2" descr="Porter's Five Forces Revisited: Are There Really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Revisited: Are There Really Five Forc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8272" cy="26507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7B3725" w14:textId="1ABD5EA8" w:rsidR="00492590" w:rsidRPr="00492590" w:rsidRDefault="00492590" w:rsidP="00736765">
      <w:pPr>
        <w:pStyle w:val="Caption"/>
        <w:spacing w:line="360" w:lineRule="auto"/>
        <w:ind w:firstLine="0"/>
        <w:jc w:val="center"/>
        <w:rPr>
          <w:color w:val="000000" w:themeColor="text1"/>
        </w:rPr>
      </w:pPr>
      <w:r w:rsidRPr="00492590">
        <w:rPr>
          <w:color w:val="000000" w:themeColor="text1"/>
        </w:rPr>
        <w:t xml:space="preserve">Figure </w:t>
      </w:r>
      <w:r w:rsidRPr="00492590">
        <w:rPr>
          <w:color w:val="000000" w:themeColor="text1"/>
        </w:rPr>
        <w:fldChar w:fldCharType="begin"/>
      </w:r>
      <w:r w:rsidRPr="00492590">
        <w:rPr>
          <w:color w:val="000000" w:themeColor="text1"/>
        </w:rPr>
        <w:instrText xml:space="preserve"> SEQ Figure \* ARABIC </w:instrText>
      </w:r>
      <w:r w:rsidRPr="00492590">
        <w:rPr>
          <w:color w:val="000000" w:themeColor="text1"/>
        </w:rPr>
        <w:fldChar w:fldCharType="separate"/>
      </w:r>
      <w:r>
        <w:rPr>
          <w:noProof/>
          <w:color w:val="000000" w:themeColor="text1"/>
        </w:rPr>
        <w:t>2</w:t>
      </w:r>
      <w:r w:rsidRPr="00492590">
        <w:rPr>
          <w:color w:val="000000" w:themeColor="text1"/>
        </w:rPr>
        <w:fldChar w:fldCharType="end"/>
      </w:r>
      <w:r w:rsidRPr="00492590">
        <w:rPr>
          <w:color w:val="000000" w:themeColor="text1"/>
        </w:rPr>
        <w:t xml:space="preserve"> Porter's Five Forces</w:t>
      </w:r>
    </w:p>
    <w:p w14:paraId="11498D07" w14:textId="07C5F797" w:rsidR="006222C9" w:rsidRPr="00CE2F2F" w:rsidRDefault="006222C9" w:rsidP="00736765">
      <w:pPr>
        <w:pStyle w:val="Heading2"/>
        <w:rPr>
          <w:rFonts w:ascii="Arial" w:hAnsi="Arial" w:cs="Arial"/>
          <w:sz w:val="22"/>
          <w:szCs w:val="22"/>
        </w:rPr>
      </w:pPr>
      <w:bookmarkStart w:id="9" w:name="_Toc192978946"/>
      <w:r w:rsidRPr="00CE2F2F">
        <w:rPr>
          <w:rFonts w:ascii="Arial" w:hAnsi="Arial" w:cs="Arial"/>
          <w:sz w:val="22"/>
          <w:szCs w:val="22"/>
        </w:rPr>
        <w:t>Key Economic Trends</w:t>
      </w:r>
      <w:bookmarkEnd w:id="9"/>
    </w:p>
    <w:p w14:paraId="68503587" w14:textId="70C908C2" w:rsidR="006F27F0" w:rsidRPr="00CE2F2F" w:rsidRDefault="00A00861" w:rsidP="00736765">
      <w:pPr>
        <w:rPr>
          <w:rFonts w:ascii="Arial" w:hAnsi="Arial" w:cs="Arial"/>
          <w:sz w:val="22"/>
          <w:lang w:val="en-US"/>
        </w:rPr>
      </w:pPr>
      <w:r w:rsidRPr="00CE2F2F">
        <w:rPr>
          <w:rFonts w:ascii="Arial" w:hAnsi="Arial" w:cs="Arial"/>
          <w:sz w:val="22"/>
        </w:rPr>
        <w:t xml:space="preserve">The UK retail sector faces </w:t>
      </w:r>
      <w:r w:rsidR="003B3DBA" w:rsidRPr="00CE2F2F">
        <w:rPr>
          <w:rFonts w:ascii="Arial" w:hAnsi="Arial" w:cs="Arial"/>
          <w:sz w:val="22"/>
        </w:rPr>
        <w:t xml:space="preserve">economic uncertainty, changing consumer behaviour and </w:t>
      </w:r>
      <w:r w:rsidRPr="00CE2F2F">
        <w:rPr>
          <w:rFonts w:ascii="Arial" w:hAnsi="Arial" w:cs="Arial"/>
          <w:sz w:val="22"/>
        </w:rPr>
        <w:t>sustainability issues</w:t>
      </w:r>
      <w:r w:rsidR="00440BE9" w:rsidRPr="00CE2F2F">
        <w:rPr>
          <w:rFonts w:ascii="Arial" w:hAnsi="Arial" w:cs="Arial"/>
          <w:sz w:val="22"/>
          <w:lang w:val="en-US"/>
        </w:rPr>
        <w:t xml:space="preserve"> (</w:t>
      </w:r>
      <w:proofErr w:type="spellStart"/>
      <w:r w:rsidR="00440BE9" w:rsidRPr="00CE2F2F">
        <w:rPr>
          <w:rFonts w:ascii="Arial" w:hAnsi="Arial" w:cs="Arial"/>
          <w:sz w:val="22"/>
          <w:lang w:val="en-US"/>
        </w:rPr>
        <w:t>Osiyevskyy</w:t>
      </w:r>
      <w:proofErr w:type="spellEnd"/>
      <w:r w:rsidR="00440BE9" w:rsidRPr="00CE2F2F">
        <w:rPr>
          <w:rFonts w:ascii="Arial" w:hAnsi="Arial" w:cs="Arial"/>
          <w:sz w:val="22"/>
          <w:lang w:val="en-US"/>
        </w:rPr>
        <w:t xml:space="preserve"> et al., 2024)</w:t>
      </w:r>
      <w:r w:rsidR="003B3DBA" w:rsidRPr="00CE2F2F">
        <w:rPr>
          <w:rFonts w:ascii="Arial" w:hAnsi="Arial" w:cs="Arial"/>
          <w:sz w:val="22"/>
        </w:rPr>
        <w:t xml:space="preserve">. </w:t>
      </w:r>
      <w:r w:rsidRPr="00CE2F2F">
        <w:rPr>
          <w:rFonts w:ascii="Arial" w:hAnsi="Arial" w:cs="Arial"/>
          <w:sz w:val="22"/>
        </w:rPr>
        <w:t>The affordability of the master plan is becoming a key issue due to rising living costs</w:t>
      </w:r>
      <w:r w:rsidR="003B3DBA" w:rsidRPr="00CE2F2F">
        <w:rPr>
          <w:rFonts w:ascii="Arial" w:hAnsi="Arial" w:cs="Arial"/>
          <w:sz w:val="22"/>
        </w:rPr>
        <w:t xml:space="preserve">, making pricing strategy crucial. Digital transformation investments and investments in e-commerce are </w:t>
      </w:r>
      <w:r w:rsidRPr="00CE2F2F">
        <w:rPr>
          <w:rFonts w:ascii="Arial" w:hAnsi="Arial" w:cs="Arial"/>
          <w:sz w:val="22"/>
        </w:rPr>
        <w:t>increasingly</w:t>
      </w:r>
      <w:r w:rsidR="003B3DBA" w:rsidRPr="00CE2F2F">
        <w:rPr>
          <w:rFonts w:ascii="Arial" w:hAnsi="Arial" w:cs="Arial"/>
          <w:sz w:val="22"/>
        </w:rPr>
        <w:t xml:space="preserve"> essential for competitiveness. </w:t>
      </w:r>
      <w:r w:rsidR="00A87963" w:rsidRPr="00CE2F2F">
        <w:rPr>
          <w:rFonts w:ascii="Arial" w:hAnsi="Arial" w:cs="Arial"/>
          <w:sz w:val="22"/>
        </w:rPr>
        <w:t>Regulatory</w:t>
      </w:r>
      <w:r w:rsidR="003B3DBA" w:rsidRPr="00CE2F2F">
        <w:rPr>
          <w:rFonts w:ascii="Arial" w:hAnsi="Arial" w:cs="Arial"/>
          <w:sz w:val="22"/>
        </w:rPr>
        <w:t xml:space="preserve"> compliance and green innovations stay connected to the dominant force of Sustainability</w:t>
      </w:r>
      <w:r w:rsidR="00440BE9" w:rsidRPr="00CE2F2F">
        <w:rPr>
          <w:rFonts w:ascii="Arial" w:hAnsi="Arial" w:cs="Arial"/>
          <w:sz w:val="22"/>
          <w:lang w:val="en-US"/>
        </w:rPr>
        <w:t xml:space="preserve"> (Ndlovu, 2024)</w:t>
      </w:r>
      <w:r w:rsidR="003B3DBA" w:rsidRPr="00CE2F2F">
        <w:rPr>
          <w:rFonts w:ascii="Arial" w:hAnsi="Arial" w:cs="Arial"/>
          <w:sz w:val="22"/>
        </w:rPr>
        <w:t xml:space="preserve">. The leadership role </w:t>
      </w:r>
      <w:r w:rsidRPr="00CE2F2F">
        <w:rPr>
          <w:rFonts w:ascii="Arial" w:hAnsi="Arial" w:cs="Arial"/>
          <w:sz w:val="22"/>
        </w:rPr>
        <w:t>Sainsbury plays when it comes to sustainable retail has been evidenced by its commitment to net zero emissions</w:t>
      </w:r>
      <w:r w:rsidR="003B3DBA" w:rsidRPr="00CE2F2F">
        <w:rPr>
          <w:rFonts w:ascii="Arial" w:hAnsi="Arial" w:cs="Arial"/>
          <w:sz w:val="22"/>
        </w:rPr>
        <w:t xml:space="preserve"> and </w:t>
      </w:r>
      <w:r w:rsidRPr="00CE2F2F">
        <w:rPr>
          <w:rFonts w:ascii="Arial" w:hAnsi="Arial" w:cs="Arial"/>
          <w:sz w:val="22"/>
        </w:rPr>
        <w:t>reducing</w:t>
      </w:r>
      <w:r w:rsidR="003B3DBA" w:rsidRPr="00CE2F2F">
        <w:rPr>
          <w:rFonts w:ascii="Arial" w:hAnsi="Arial" w:cs="Arial"/>
          <w:sz w:val="22"/>
        </w:rPr>
        <w:t xml:space="preserve"> plastic waste.</w:t>
      </w:r>
    </w:p>
    <w:p w14:paraId="44C85470" w14:textId="30CEAC96" w:rsidR="006222C9" w:rsidRPr="00CE2F2F" w:rsidRDefault="006222C9" w:rsidP="00736765">
      <w:pPr>
        <w:pStyle w:val="Heading1"/>
        <w:rPr>
          <w:rFonts w:ascii="Arial" w:hAnsi="Arial" w:cs="Arial"/>
          <w:sz w:val="22"/>
          <w:szCs w:val="22"/>
        </w:rPr>
      </w:pPr>
      <w:bookmarkStart w:id="10" w:name="_Toc192978947"/>
      <w:r w:rsidRPr="00CE2F2F">
        <w:rPr>
          <w:rFonts w:ascii="Arial" w:hAnsi="Arial" w:cs="Arial"/>
          <w:sz w:val="22"/>
          <w:szCs w:val="22"/>
        </w:rPr>
        <w:t>Internal Analysis</w:t>
      </w:r>
      <w:bookmarkEnd w:id="10"/>
    </w:p>
    <w:p w14:paraId="545C2C38" w14:textId="3C96C6AA" w:rsidR="006222C9" w:rsidRPr="00CE2F2F" w:rsidRDefault="006222C9" w:rsidP="00736765">
      <w:pPr>
        <w:pStyle w:val="Heading2"/>
        <w:rPr>
          <w:rFonts w:ascii="Arial" w:hAnsi="Arial" w:cs="Arial"/>
          <w:sz w:val="22"/>
          <w:szCs w:val="22"/>
        </w:rPr>
      </w:pPr>
      <w:bookmarkStart w:id="11" w:name="_Toc192978948"/>
      <w:r w:rsidRPr="00CE2F2F">
        <w:rPr>
          <w:rFonts w:ascii="Arial" w:hAnsi="Arial" w:cs="Arial"/>
          <w:sz w:val="22"/>
          <w:szCs w:val="22"/>
        </w:rPr>
        <w:t>Resource-Based View (RBV) Analysis</w:t>
      </w:r>
      <w:bookmarkEnd w:id="11"/>
    </w:p>
    <w:p w14:paraId="5C0C0D5C" w14:textId="16C43761" w:rsidR="003B3DBA" w:rsidRPr="00CE2F2F" w:rsidRDefault="003B3DBA" w:rsidP="00736765">
      <w:pPr>
        <w:rPr>
          <w:rFonts w:ascii="Arial" w:hAnsi="Arial" w:cs="Arial"/>
          <w:sz w:val="22"/>
          <w:lang w:val="en-US"/>
        </w:rPr>
      </w:pPr>
      <w:r w:rsidRPr="00CE2F2F">
        <w:rPr>
          <w:rFonts w:ascii="Arial" w:hAnsi="Arial" w:cs="Arial"/>
          <w:sz w:val="22"/>
        </w:rPr>
        <w:t xml:space="preserve">Sainsbury’s has </w:t>
      </w:r>
      <w:r w:rsidR="00A87963" w:rsidRPr="00CE2F2F">
        <w:rPr>
          <w:rFonts w:ascii="Arial" w:hAnsi="Arial" w:cs="Arial"/>
          <w:sz w:val="22"/>
        </w:rPr>
        <w:t xml:space="preserve">good </w:t>
      </w:r>
      <w:r w:rsidRPr="00CE2F2F">
        <w:rPr>
          <w:rFonts w:ascii="Arial" w:hAnsi="Arial" w:cs="Arial"/>
          <w:sz w:val="22"/>
        </w:rPr>
        <w:t xml:space="preserve">resources and capabilities, which </w:t>
      </w:r>
      <w:r w:rsidR="00A00861" w:rsidRPr="00CE2F2F">
        <w:rPr>
          <w:rFonts w:ascii="Arial" w:hAnsi="Arial" w:cs="Arial"/>
          <w:sz w:val="22"/>
        </w:rPr>
        <w:t>will help it</w:t>
      </w:r>
      <w:r w:rsidRPr="00CE2F2F">
        <w:rPr>
          <w:rFonts w:ascii="Arial" w:hAnsi="Arial" w:cs="Arial"/>
          <w:sz w:val="22"/>
        </w:rPr>
        <w:t xml:space="preserve"> </w:t>
      </w:r>
      <w:r w:rsidR="00A00861" w:rsidRPr="00CE2F2F">
        <w:rPr>
          <w:rFonts w:ascii="Arial" w:hAnsi="Arial" w:cs="Arial"/>
          <w:sz w:val="22"/>
        </w:rPr>
        <w:t>compete</w:t>
      </w:r>
      <w:r w:rsidRPr="00CE2F2F">
        <w:rPr>
          <w:rFonts w:ascii="Arial" w:hAnsi="Arial" w:cs="Arial"/>
          <w:sz w:val="22"/>
        </w:rPr>
        <w:t xml:space="preserve"> in the UK grocery market</w:t>
      </w:r>
      <w:r w:rsidR="00440BE9" w:rsidRPr="00CE2F2F">
        <w:rPr>
          <w:rFonts w:ascii="Arial" w:hAnsi="Arial" w:cs="Arial"/>
          <w:sz w:val="22"/>
          <w:lang w:val="en-US"/>
        </w:rPr>
        <w:t xml:space="preserve"> (Liu, 2023)</w:t>
      </w:r>
      <w:r w:rsidRPr="00CE2F2F">
        <w:rPr>
          <w:rFonts w:ascii="Arial" w:hAnsi="Arial" w:cs="Arial"/>
          <w:sz w:val="22"/>
        </w:rPr>
        <w:t xml:space="preserve">. Customer loyalty and market trust </w:t>
      </w:r>
      <w:r w:rsidR="00A00861" w:rsidRPr="00CE2F2F">
        <w:rPr>
          <w:rFonts w:ascii="Arial" w:hAnsi="Arial" w:cs="Arial"/>
          <w:sz w:val="22"/>
        </w:rPr>
        <w:t>are also solidified,</w:t>
      </w:r>
      <w:r w:rsidRPr="00CE2F2F">
        <w:rPr>
          <w:rFonts w:ascii="Arial" w:hAnsi="Arial" w:cs="Arial"/>
          <w:sz w:val="22"/>
        </w:rPr>
        <w:t xml:space="preserve"> with its brand value over £6.8 billion. With digital sales almost tripling from 2021 to </w:t>
      </w:r>
      <w:r w:rsidR="00A00861" w:rsidRPr="00CE2F2F">
        <w:rPr>
          <w:rFonts w:ascii="Arial" w:hAnsi="Arial" w:cs="Arial"/>
          <w:sz w:val="22"/>
        </w:rPr>
        <w:t>nearly</w:t>
      </w:r>
      <w:r w:rsidRPr="00CE2F2F">
        <w:rPr>
          <w:rFonts w:ascii="Arial" w:hAnsi="Arial" w:cs="Arial"/>
          <w:sz w:val="22"/>
        </w:rPr>
        <w:t xml:space="preserve"> 18% of total revenue in 2023, the company’s robust retail infrastructure is based on a very extensive physical store </w:t>
      </w:r>
      <w:r w:rsidRPr="00CE2F2F">
        <w:rPr>
          <w:rFonts w:ascii="Arial" w:hAnsi="Arial" w:cs="Arial"/>
          <w:sz w:val="22"/>
        </w:rPr>
        <w:lastRenderedPageBreak/>
        <w:t>network with more than 1,400 locations. Supply chain efficiency is increased by tangible resources like its automated distribution centres</w:t>
      </w:r>
      <w:r w:rsidR="00A00861" w:rsidRPr="00CE2F2F">
        <w:rPr>
          <w:rFonts w:ascii="Arial" w:hAnsi="Arial" w:cs="Arial"/>
          <w:sz w:val="22"/>
        </w:rPr>
        <w:t>,</w:t>
      </w:r>
      <w:r w:rsidRPr="00CE2F2F">
        <w:rPr>
          <w:rFonts w:ascii="Arial" w:hAnsi="Arial" w:cs="Arial"/>
          <w:sz w:val="22"/>
        </w:rPr>
        <w:t xml:space="preserve"> which shorten delivery times and lower operating costs</w:t>
      </w:r>
      <w:r w:rsidR="00440BE9" w:rsidRPr="00CE2F2F">
        <w:rPr>
          <w:rFonts w:ascii="Arial" w:hAnsi="Arial" w:cs="Arial"/>
          <w:sz w:val="22"/>
          <w:lang w:val="en-US"/>
        </w:rPr>
        <w:t xml:space="preserve"> (Li et al., 2023)</w:t>
      </w:r>
      <w:r w:rsidRPr="00CE2F2F">
        <w:rPr>
          <w:rFonts w:ascii="Arial" w:hAnsi="Arial" w:cs="Arial"/>
          <w:sz w:val="22"/>
        </w:rPr>
        <w:t xml:space="preserve">. </w:t>
      </w:r>
    </w:p>
    <w:p w14:paraId="0A0043BA" w14:textId="31F576CA" w:rsidR="006222C9" w:rsidRPr="00CE2F2F" w:rsidRDefault="003B3DBA" w:rsidP="00736765">
      <w:pPr>
        <w:rPr>
          <w:rFonts w:ascii="Arial" w:hAnsi="Arial" w:cs="Arial"/>
          <w:sz w:val="22"/>
        </w:rPr>
      </w:pPr>
      <w:r w:rsidRPr="00CE2F2F">
        <w:rPr>
          <w:rFonts w:ascii="Arial" w:hAnsi="Arial" w:cs="Arial"/>
          <w:sz w:val="22"/>
        </w:rPr>
        <w:t>As a result</w:t>
      </w:r>
      <w:r w:rsidR="00A00861" w:rsidRPr="00CE2F2F">
        <w:rPr>
          <w:rFonts w:ascii="Arial" w:hAnsi="Arial" w:cs="Arial"/>
          <w:sz w:val="22"/>
        </w:rPr>
        <w:t>,</w:t>
      </w:r>
      <w:r w:rsidRPr="00CE2F2F">
        <w:rPr>
          <w:rFonts w:ascii="Arial" w:hAnsi="Arial" w:cs="Arial"/>
          <w:sz w:val="22"/>
        </w:rPr>
        <w:t xml:space="preserve"> the company’s investment in demand forecasting based on AI has reduced </w:t>
      </w:r>
      <w:r w:rsidR="00A00861" w:rsidRPr="00CE2F2F">
        <w:rPr>
          <w:rFonts w:ascii="Arial" w:hAnsi="Arial" w:cs="Arial"/>
          <w:sz w:val="22"/>
        </w:rPr>
        <w:t>stockouts</w:t>
      </w:r>
      <w:r w:rsidRPr="00CE2F2F">
        <w:rPr>
          <w:rFonts w:ascii="Arial" w:hAnsi="Arial" w:cs="Arial"/>
          <w:sz w:val="22"/>
        </w:rPr>
        <w:t xml:space="preserve"> and decreased food waste by 11% </w:t>
      </w:r>
      <w:r w:rsidR="00A00861" w:rsidRPr="00CE2F2F">
        <w:rPr>
          <w:rFonts w:ascii="Arial" w:hAnsi="Arial" w:cs="Arial"/>
          <w:sz w:val="22"/>
        </w:rPr>
        <w:t>yearly</w:t>
      </w:r>
      <w:r w:rsidRPr="00CE2F2F">
        <w:rPr>
          <w:rFonts w:ascii="Arial" w:hAnsi="Arial" w:cs="Arial"/>
          <w:sz w:val="22"/>
        </w:rPr>
        <w:t xml:space="preserve">. Sainsbury’s also has major </w:t>
      </w:r>
      <w:r w:rsidR="00A00861" w:rsidRPr="00CE2F2F">
        <w:rPr>
          <w:rFonts w:ascii="Arial" w:hAnsi="Arial" w:cs="Arial"/>
          <w:sz w:val="22"/>
        </w:rPr>
        <w:t>intellectual</w:t>
      </w:r>
      <w:r w:rsidRPr="00CE2F2F">
        <w:rPr>
          <w:rFonts w:ascii="Arial" w:hAnsi="Arial" w:cs="Arial"/>
          <w:sz w:val="22"/>
        </w:rPr>
        <w:t xml:space="preserve"> property in logistics and retail technology, including a customer data analytics platform to make promos and retention more personal</w:t>
      </w:r>
      <w:r w:rsidR="00440BE9" w:rsidRPr="00CE2F2F">
        <w:rPr>
          <w:rFonts w:ascii="Arial" w:hAnsi="Arial" w:cs="Arial"/>
          <w:sz w:val="22"/>
          <w:lang w:val="en-US"/>
        </w:rPr>
        <w:t xml:space="preserve"> (Jones et al., 2025)</w:t>
      </w:r>
      <w:r w:rsidRPr="00CE2F2F">
        <w:rPr>
          <w:rFonts w:ascii="Arial" w:hAnsi="Arial" w:cs="Arial"/>
          <w:sz w:val="22"/>
        </w:rPr>
        <w:t xml:space="preserve">. Still, the last mile remains out of the control of online sellers, as they rely on </w:t>
      </w:r>
      <w:r w:rsidR="00A00861" w:rsidRPr="00CE2F2F">
        <w:rPr>
          <w:rFonts w:ascii="Arial" w:hAnsi="Arial" w:cs="Arial"/>
          <w:sz w:val="22"/>
        </w:rPr>
        <w:t>third-party</w:t>
      </w:r>
      <w:r w:rsidRPr="00CE2F2F">
        <w:rPr>
          <w:rFonts w:ascii="Arial" w:hAnsi="Arial" w:cs="Arial"/>
          <w:sz w:val="22"/>
        </w:rPr>
        <w:t xml:space="preserve"> delivery services. In addition, although it still has a stable financial position, with </w:t>
      </w:r>
      <w:r w:rsidR="00440BE9" w:rsidRPr="00CE2F2F">
        <w:rPr>
          <w:rFonts w:ascii="Arial" w:hAnsi="Arial" w:cs="Arial"/>
          <w:sz w:val="22"/>
        </w:rPr>
        <w:t xml:space="preserve">an </w:t>
      </w:r>
      <w:r w:rsidRPr="00CE2F2F">
        <w:rPr>
          <w:rFonts w:ascii="Arial" w:hAnsi="Arial" w:cs="Arial"/>
          <w:sz w:val="22"/>
        </w:rPr>
        <w:t xml:space="preserve">annual revenue </w:t>
      </w:r>
      <w:r w:rsidR="00A00861" w:rsidRPr="00CE2F2F">
        <w:rPr>
          <w:rFonts w:ascii="Arial" w:hAnsi="Arial" w:cs="Arial"/>
          <w:sz w:val="22"/>
        </w:rPr>
        <w:t>of more than</w:t>
      </w:r>
      <w:r w:rsidRPr="00CE2F2F">
        <w:rPr>
          <w:rFonts w:ascii="Arial" w:hAnsi="Arial" w:cs="Arial"/>
          <w:sz w:val="22"/>
        </w:rPr>
        <w:t xml:space="preserve"> £30 billion, its net profit margin of 1.6</w:t>
      </w:r>
      <w:r w:rsidR="00A00861" w:rsidRPr="00CE2F2F">
        <w:rPr>
          <w:rFonts w:ascii="Arial" w:hAnsi="Arial" w:cs="Arial"/>
          <w:sz w:val="22"/>
        </w:rPr>
        <w:t>% is lower than Tesco’s 3.3</w:t>
      </w:r>
      <w:r w:rsidR="00A00861" w:rsidRPr="00CE2F2F">
        <w:rPr>
          <w:rFonts w:ascii="Arial" w:hAnsi="Arial" w:cs="Arial"/>
          <w:sz w:val="22"/>
          <w:lang w:val="en-US"/>
        </w:rPr>
        <w:t>%</w:t>
      </w:r>
      <w:r w:rsidR="00A00861" w:rsidRPr="00CE2F2F">
        <w:rPr>
          <w:rFonts w:ascii="Arial" w:hAnsi="Arial" w:cs="Arial"/>
          <w:sz w:val="22"/>
        </w:rPr>
        <w:t>, resulting from fewer</w:t>
      </w:r>
      <w:r w:rsidRPr="00CE2F2F">
        <w:rPr>
          <w:rFonts w:ascii="Arial" w:hAnsi="Arial" w:cs="Arial"/>
          <w:sz w:val="22"/>
        </w:rPr>
        <w:t xml:space="preserve"> cost efficiencies</w:t>
      </w:r>
      <w:r w:rsidR="00440BE9" w:rsidRPr="00CE2F2F">
        <w:rPr>
          <w:rFonts w:ascii="Arial" w:hAnsi="Arial" w:cs="Arial"/>
          <w:sz w:val="22"/>
          <w:lang w:val="en-US"/>
        </w:rPr>
        <w:t xml:space="preserve"> (Hartfield, 2024)</w:t>
      </w:r>
      <w:r w:rsidRPr="00CE2F2F">
        <w:rPr>
          <w:rFonts w:ascii="Arial" w:hAnsi="Arial" w:cs="Arial"/>
          <w:sz w:val="22"/>
        </w:rPr>
        <w:t>.</w:t>
      </w:r>
    </w:p>
    <w:p w14:paraId="3E0A38AA" w14:textId="77777777" w:rsidR="00492590" w:rsidRPr="00736765" w:rsidRDefault="00492590" w:rsidP="00736765">
      <w:pPr>
        <w:keepNext/>
        <w:jc w:val="center"/>
        <w:rPr>
          <w:color w:val="03080D"/>
        </w:rPr>
      </w:pPr>
      <w:r w:rsidRPr="00736765">
        <w:rPr>
          <w:noProof/>
          <w:color w:val="03080D"/>
        </w:rPr>
        <w:drawing>
          <wp:inline distT="0" distB="0" distL="0" distR="0" wp14:anchorId="32807597" wp14:editId="24F910BA">
            <wp:extent cx="5257800" cy="3244850"/>
            <wp:effectExtent l="0" t="0" r="0" b="0"/>
            <wp:docPr id="1072423761" name="Picture 3"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troduction to Resource-Based View Method with Templates"/>
                    <pic:cNvPicPr>
                      <a:picLocks noChangeAspect="1" noChangeArrowheads="1"/>
                    </pic:cNvPicPr>
                  </pic:nvPicPr>
                  <pic:blipFill rotWithShape="1">
                    <a:blip r:embed="rId10">
                      <a:extLst>
                        <a:ext uri="{28A0092B-C50C-407E-A947-70E740481C1C}">
                          <a14:useLocalDpi xmlns:a14="http://schemas.microsoft.com/office/drawing/2010/main" val="0"/>
                        </a:ext>
                      </a:extLst>
                    </a:blip>
                    <a:srcRect l="13782" t="24863" r="11217" b="30255"/>
                    <a:stretch/>
                  </pic:blipFill>
                  <pic:spPr bwMode="auto">
                    <a:xfrm>
                      <a:off x="0" y="0"/>
                      <a:ext cx="5257800" cy="3244850"/>
                    </a:xfrm>
                    <a:prstGeom prst="rect">
                      <a:avLst/>
                    </a:prstGeom>
                    <a:noFill/>
                    <a:ln>
                      <a:noFill/>
                    </a:ln>
                    <a:extLst>
                      <a:ext uri="{53640926-AAD7-44D8-BBD7-CCE9431645EC}">
                        <a14:shadowObscured xmlns:a14="http://schemas.microsoft.com/office/drawing/2010/main"/>
                      </a:ext>
                    </a:extLst>
                  </pic:spPr>
                </pic:pic>
              </a:graphicData>
            </a:graphic>
          </wp:inline>
        </w:drawing>
      </w:r>
    </w:p>
    <w:p w14:paraId="106D0AA2" w14:textId="5A987BCE" w:rsidR="00492590" w:rsidRPr="00736765" w:rsidRDefault="00492590" w:rsidP="00736765">
      <w:pPr>
        <w:pStyle w:val="Caption"/>
        <w:spacing w:line="360" w:lineRule="auto"/>
        <w:jc w:val="center"/>
        <w:rPr>
          <w:color w:val="03080D"/>
        </w:rPr>
      </w:pPr>
      <w:r w:rsidRPr="00736765">
        <w:rPr>
          <w:color w:val="03080D"/>
        </w:rPr>
        <w:t xml:space="preserve">Figure </w:t>
      </w:r>
      <w:r w:rsidRPr="00736765">
        <w:rPr>
          <w:color w:val="03080D"/>
        </w:rPr>
        <w:fldChar w:fldCharType="begin"/>
      </w:r>
      <w:r w:rsidRPr="00736765">
        <w:rPr>
          <w:color w:val="03080D"/>
        </w:rPr>
        <w:instrText xml:space="preserve"> SEQ Figure \* ARABIC </w:instrText>
      </w:r>
      <w:r w:rsidRPr="00736765">
        <w:rPr>
          <w:color w:val="03080D"/>
        </w:rPr>
        <w:fldChar w:fldCharType="separate"/>
      </w:r>
      <w:r w:rsidRPr="00736765">
        <w:rPr>
          <w:noProof/>
          <w:color w:val="03080D"/>
        </w:rPr>
        <w:t>3</w:t>
      </w:r>
      <w:r w:rsidRPr="00736765">
        <w:rPr>
          <w:color w:val="03080D"/>
        </w:rPr>
        <w:fldChar w:fldCharType="end"/>
      </w:r>
      <w:r w:rsidRPr="00736765">
        <w:rPr>
          <w:color w:val="03080D"/>
        </w:rPr>
        <w:t xml:space="preserve"> Resource-Based View Method</w:t>
      </w:r>
    </w:p>
    <w:p w14:paraId="4732E3D4" w14:textId="0C65BB17" w:rsidR="006222C9" w:rsidRPr="00613750" w:rsidRDefault="006222C9" w:rsidP="00736765">
      <w:pPr>
        <w:pStyle w:val="Heading2"/>
        <w:rPr>
          <w:rFonts w:ascii="Arial" w:hAnsi="Arial" w:cs="Arial"/>
          <w:i w:val="0"/>
          <w:iCs/>
          <w:sz w:val="22"/>
          <w:szCs w:val="22"/>
        </w:rPr>
      </w:pPr>
      <w:bookmarkStart w:id="12" w:name="_Toc192978949"/>
      <w:r w:rsidRPr="00613750">
        <w:rPr>
          <w:rFonts w:ascii="Arial" w:hAnsi="Arial" w:cs="Arial"/>
          <w:i w:val="0"/>
          <w:iCs/>
          <w:sz w:val="22"/>
          <w:szCs w:val="22"/>
        </w:rPr>
        <w:t>Value Chain Analysis</w:t>
      </w:r>
      <w:bookmarkEnd w:id="12"/>
    </w:p>
    <w:p w14:paraId="672B2D01" w14:textId="2A3973E4" w:rsidR="006222C9" w:rsidRPr="00CE2F2F" w:rsidRDefault="003B3DBA" w:rsidP="00736765">
      <w:pPr>
        <w:rPr>
          <w:rFonts w:ascii="Arial" w:hAnsi="Arial" w:cs="Arial"/>
          <w:sz w:val="22"/>
        </w:rPr>
      </w:pPr>
      <w:r w:rsidRPr="00CE2F2F">
        <w:rPr>
          <w:rFonts w:ascii="Arial" w:hAnsi="Arial" w:cs="Arial"/>
          <w:sz w:val="22"/>
        </w:rPr>
        <w:t xml:space="preserve">Strategic supplier partnerships in Sainsbury’s inbound logistics </w:t>
      </w:r>
      <w:r w:rsidR="00A00861" w:rsidRPr="00CE2F2F">
        <w:rPr>
          <w:rFonts w:ascii="Arial" w:hAnsi="Arial" w:cs="Arial"/>
          <w:sz w:val="22"/>
        </w:rPr>
        <w:t>help offset the rising cost of post-Brexit import tariffs</w:t>
      </w:r>
      <w:r w:rsidR="00440BE9" w:rsidRPr="00CE2F2F">
        <w:rPr>
          <w:rFonts w:ascii="Arial" w:hAnsi="Arial" w:cs="Arial"/>
          <w:sz w:val="22"/>
          <w:lang w:val="en-US"/>
        </w:rPr>
        <w:t xml:space="preserve"> (</w:t>
      </w:r>
      <w:proofErr w:type="spellStart"/>
      <w:r w:rsidR="00440BE9" w:rsidRPr="00CE2F2F">
        <w:rPr>
          <w:rFonts w:ascii="Arial" w:hAnsi="Arial" w:cs="Arial"/>
          <w:sz w:val="22"/>
          <w:lang w:val="en-US"/>
        </w:rPr>
        <w:t>Grashuis</w:t>
      </w:r>
      <w:proofErr w:type="spellEnd"/>
      <w:r w:rsidR="00440BE9" w:rsidRPr="00CE2F2F">
        <w:rPr>
          <w:rFonts w:ascii="Arial" w:hAnsi="Arial" w:cs="Arial"/>
          <w:sz w:val="22"/>
          <w:lang w:val="en-US"/>
        </w:rPr>
        <w:t xml:space="preserve"> and </w:t>
      </w:r>
      <w:proofErr w:type="spellStart"/>
      <w:r w:rsidR="00440BE9" w:rsidRPr="00CE2F2F">
        <w:rPr>
          <w:rFonts w:ascii="Arial" w:hAnsi="Arial" w:cs="Arial"/>
          <w:sz w:val="22"/>
          <w:lang w:val="en-US"/>
        </w:rPr>
        <w:t>Hakelius</w:t>
      </w:r>
      <w:proofErr w:type="spellEnd"/>
      <w:r w:rsidR="00440BE9" w:rsidRPr="00CE2F2F">
        <w:rPr>
          <w:rFonts w:ascii="Arial" w:hAnsi="Arial" w:cs="Arial"/>
          <w:sz w:val="22"/>
          <w:lang w:val="en-US"/>
        </w:rPr>
        <w:t>, 2023)</w:t>
      </w:r>
      <w:r w:rsidRPr="00CE2F2F">
        <w:rPr>
          <w:rFonts w:ascii="Arial" w:hAnsi="Arial" w:cs="Arial"/>
          <w:sz w:val="22"/>
        </w:rPr>
        <w:t xml:space="preserve">. </w:t>
      </w:r>
      <w:r w:rsidR="00B1427B" w:rsidRPr="00CE2F2F">
        <w:rPr>
          <w:rFonts w:ascii="Arial" w:hAnsi="Arial" w:cs="Arial"/>
          <w:sz w:val="22"/>
        </w:rPr>
        <w:t>Automating</w:t>
      </w:r>
      <w:r w:rsidR="00A00861" w:rsidRPr="00CE2F2F">
        <w:rPr>
          <w:rFonts w:ascii="Arial" w:hAnsi="Arial" w:cs="Arial"/>
          <w:sz w:val="22"/>
        </w:rPr>
        <w:t xml:space="preserve"> warehouses and route optimisation will reduce</w:t>
      </w:r>
      <w:r w:rsidRPr="00CE2F2F">
        <w:rPr>
          <w:rFonts w:ascii="Arial" w:hAnsi="Arial" w:cs="Arial"/>
          <w:sz w:val="22"/>
        </w:rPr>
        <w:t xml:space="preserve"> distribution costs by 5% in 2023 through investment. It has also reduced operational expenses in operations, store refurbishments, and </w:t>
      </w:r>
      <w:r w:rsidR="00A00861" w:rsidRPr="00CE2F2F">
        <w:rPr>
          <w:rFonts w:ascii="Arial" w:hAnsi="Arial" w:cs="Arial"/>
          <w:sz w:val="22"/>
        </w:rPr>
        <w:t>energy-efficient</w:t>
      </w:r>
      <w:r w:rsidRPr="00CE2F2F">
        <w:rPr>
          <w:rFonts w:ascii="Arial" w:hAnsi="Arial" w:cs="Arial"/>
          <w:sz w:val="22"/>
        </w:rPr>
        <w:t xml:space="preserve"> technologies. Nevertheless, rising labour costs, which are being caused by the 7% hike in the minimum wage, </w:t>
      </w:r>
      <w:r w:rsidRPr="00CE2F2F">
        <w:rPr>
          <w:rFonts w:ascii="Arial" w:hAnsi="Arial" w:cs="Arial"/>
          <w:sz w:val="22"/>
        </w:rPr>
        <w:lastRenderedPageBreak/>
        <w:t xml:space="preserve">are a challenge. </w:t>
      </w:r>
      <w:r w:rsidR="00A00861" w:rsidRPr="00CE2F2F">
        <w:rPr>
          <w:rFonts w:ascii="Arial" w:hAnsi="Arial" w:cs="Arial"/>
          <w:sz w:val="22"/>
        </w:rPr>
        <w:t>Using</w:t>
      </w:r>
      <w:r w:rsidRPr="00CE2F2F">
        <w:rPr>
          <w:rFonts w:ascii="Arial" w:hAnsi="Arial" w:cs="Arial"/>
          <w:sz w:val="22"/>
        </w:rPr>
        <w:t xml:space="preserve"> sandbox data to set up the Nectar loyalty program with 18 million active users allows its marketing and sales strategy to promote </w:t>
      </w:r>
      <w:r w:rsidR="00A00861" w:rsidRPr="00CE2F2F">
        <w:rPr>
          <w:rFonts w:ascii="Arial" w:hAnsi="Arial" w:cs="Arial"/>
          <w:sz w:val="22"/>
        </w:rPr>
        <w:t>data-driven and increase basket size by 12</w:t>
      </w:r>
      <w:r w:rsidR="00A00861" w:rsidRPr="00CE2F2F">
        <w:rPr>
          <w:rFonts w:ascii="Arial" w:hAnsi="Arial" w:cs="Arial"/>
          <w:sz w:val="22"/>
          <w:lang w:val="en-US"/>
        </w:rPr>
        <w:t>%</w:t>
      </w:r>
      <w:r w:rsidRPr="00CE2F2F">
        <w:rPr>
          <w:rFonts w:ascii="Arial" w:hAnsi="Arial" w:cs="Arial"/>
          <w:sz w:val="22"/>
        </w:rPr>
        <w:t xml:space="preserve"> for frequent users</w:t>
      </w:r>
      <w:r w:rsidR="00440BE9" w:rsidRPr="00CE2F2F">
        <w:rPr>
          <w:rFonts w:ascii="Arial" w:hAnsi="Arial" w:cs="Arial"/>
          <w:sz w:val="22"/>
          <w:lang w:val="en-US"/>
        </w:rPr>
        <w:t xml:space="preserve"> (Do et al., 2023)</w:t>
      </w:r>
      <w:r w:rsidRPr="00CE2F2F">
        <w:rPr>
          <w:rFonts w:ascii="Arial" w:hAnsi="Arial" w:cs="Arial"/>
          <w:sz w:val="22"/>
        </w:rPr>
        <w:t>. Sainsbury’s is a key differentiator for their customer service</w:t>
      </w:r>
      <w:r w:rsidR="00A00861" w:rsidRPr="00CE2F2F">
        <w:rPr>
          <w:rFonts w:ascii="Arial" w:hAnsi="Arial" w:cs="Arial"/>
          <w:sz w:val="22"/>
        </w:rPr>
        <w:t>, which has gone on to have same-day delivery in over 500 stores,</w:t>
      </w:r>
      <w:r w:rsidRPr="00CE2F2F">
        <w:rPr>
          <w:rFonts w:ascii="Arial" w:hAnsi="Arial" w:cs="Arial"/>
          <w:sz w:val="22"/>
        </w:rPr>
        <w:t xml:space="preserve"> making for a convenience proposition.</w:t>
      </w:r>
    </w:p>
    <w:p w14:paraId="25E60455" w14:textId="77777777" w:rsidR="00492590" w:rsidRDefault="00492590" w:rsidP="00736765">
      <w:pPr>
        <w:keepNext/>
        <w:ind w:firstLine="0"/>
        <w:jc w:val="center"/>
      </w:pPr>
      <w:r>
        <w:rPr>
          <w:noProof/>
        </w:rPr>
        <w:drawing>
          <wp:inline distT="0" distB="0" distL="0" distR="0" wp14:anchorId="74BB9BEE" wp14:editId="16B44577">
            <wp:extent cx="5326380" cy="2812684"/>
            <wp:effectExtent l="76200" t="76200" r="121920" b="121285"/>
            <wp:docPr id="939878092" name="Picture 4"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lue Chain Analysis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55786" cy="28282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A1618" w14:textId="1B126A21" w:rsidR="00492590" w:rsidRPr="00492590" w:rsidRDefault="00492590" w:rsidP="00736765">
      <w:pPr>
        <w:pStyle w:val="Caption"/>
        <w:spacing w:line="360" w:lineRule="auto"/>
        <w:ind w:firstLine="0"/>
        <w:jc w:val="center"/>
        <w:rPr>
          <w:color w:val="000000" w:themeColor="text1"/>
        </w:rPr>
      </w:pPr>
      <w:r w:rsidRPr="00492590">
        <w:rPr>
          <w:color w:val="000000" w:themeColor="text1"/>
        </w:rPr>
        <w:t xml:space="preserve">Figure </w:t>
      </w:r>
      <w:r w:rsidRPr="00492590">
        <w:rPr>
          <w:color w:val="000000" w:themeColor="text1"/>
        </w:rPr>
        <w:fldChar w:fldCharType="begin"/>
      </w:r>
      <w:r w:rsidRPr="00492590">
        <w:rPr>
          <w:color w:val="000000" w:themeColor="text1"/>
        </w:rPr>
        <w:instrText xml:space="preserve"> SEQ Figure \* ARABIC </w:instrText>
      </w:r>
      <w:r w:rsidRPr="00492590">
        <w:rPr>
          <w:color w:val="000000" w:themeColor="text1"/>
        </w:rPr>
        <w:fldChar w:fldCharType="separate"/>
      </w:r>
      <w:r>
        <w:rPr>
          <w:noProof/>
          <w:color w:val="000000" w:themeColor="text1"/>
        </w:rPr>
        <w:t>4</w:t>
      </w:r>
      <w:r w:rsidRPr="00492590">
        <w:rPr>
          <w:color w:val="000000" w:themeColor="text1"/>
        </w:rPr>
        <w:fldChar w:fldCharType="end"/>
      </w:r>
      <w:r w:rsidRPr="00492590">
        <w:rPr>
          <w:color w:val="000000" w:themeColor="text1"/>
        </w:rPr>
        <w:t xml:space="preserve"> Value Chain Analysis</w:t>
      </w:r>
    </w:p>
    <w:p w14:paraId="7E6A62F1" w14:textId="705C0457" w:rsidR="006222C9" w:rsidRPr="00613750" w:rsidRDefault="006222C9" w:rsidP="00736765">
      <w:pPr>
        <w:pStyle w:val="Heading2"/>
        <w:rPr>
          <w:rFonts w:ascii="Arial" w:hAnsi="Arial" w:cs="Arial"/>
          <w:i w:val="0"/>
          <w:iCs/>
          <w:sz w:val="22"/>
          <w:szCs w:val="22"/>
        </w:rPr>
      </w:pPr>
      <w:bookmarkStart w:id="13" w:name="_Toc192978950"/>
      <w:r w:rsidRPr="00613750">
        <w:rPr>
          <w:rFonts w:ascii="Arial" w:hAnsi="Arial" w:cs="Arial"/>
          <w:i w:val="0"/>
          <w:iCs/>
          <w:sz w:val="22"/>
          <w:szCs w:val="22"/>
        </w:rPr>
        <w:t>SWOT Analysis</w:t>
      </w:r>
      <w:bookmarkEnd w:id="13"/>
    </w:p>
    <w:p w14:paraId="3E0F0420" w14:textId="7A9DD8F1" w:rsidR="00444411" w:rsidRPr="00CE2F2F" w:rsidRDefault="00A00861" w:rsidP="00736765">
      <w:pPr>
        <w:rPr>
          <w:rFonts w:ascii="Arial" w:hAnsi="Arial" w:cs="Arial"/>
          <w:sz w:val="22"/>
        </w:rPr>
      </w:pPr>
      <w:r w:rsidRPr="00CE2F2F">
        <w:rPr>
          <w:rFonts w:ascii="Arial" w:hAnsi="Arial" w:cs="Arial"/>
          <w:sz w:val="22"/>
        </w:rPr>
        <w:t>The strengths of Sainsbury’s are its strong brand reputation, extensive store network,</w:t>
      </w:r>
      <w:r w:rsidR="003B3DBA" w:rsidRPr="00CE2F2F">
        <w:rPr>
          <w:rFonts w:ascii="Arial" w:hAnsi="Arial" w:cs="Arial"/>
          <w:sz w:val="22"/>
        </w:rPr>
        <w:t xml:space="preserve"> and advanced supply chain technology</w:t>
      </w:r>
      <w:r w:rsidR="00440BE9" w:rsidRPr="00CE2F2F">
        <w:rPr>
          <w:rFonts w:ascii="Arial" w:hAnsi="Arial" w:cs="Arial"/>
          <w:sz w:val="22"/>
          <w:lang w:val="en-US"/>
        </w:rPr>
        <w:t xml:space="preserve"> (de Boer and Chin, 2025)</w:t>
      </w:r>
      <w:r w:rsidR="003B3DBA" w:rsidRPr="00CE2F2F">
        <w:rPr>
          <w:rFonts w:ascii="Arial" w:hAnsi="Arial" w:cs="Arial"/>
          <w:sz w:val="22"/>
        </w:rPr>
        <w:t xml:space="preserve">. The problem is its </w:t>
      </w:r>
      <w:r w:rsidRPr="00CE2F2F">
        <w:rPr>
          <w:rFonts w:ascii="Arial" w:hAnsi="Arial" w:cs="Arial"/>
          <w:sz w:val="22"/>
        </w:rPr>
        <w:t>relatively</w:t>
      </w:r>
      <w:r w:rsidR="003B3DBA" w:rsidRPr="00CE2F2F">
        <w:rPr>
          <w:rFonts w:ascii="Arial" w:hAnsi="Arial" w:cs="Arial"/>
          <w:sz w:val="22"/>
        </w:rPr>
        <w:t xml:space="preserve"> lower profitability and vulnerability to price competition. There are opportunities to extend </w:t>
      </w:r>
      <w:r w:rsidRPr="00CE2F2F">
        <w:rPr>
          <w:rFonts w:ascii="Arial" w:hAnsi="Arial" w:cs="Arial"/>
          <w:sz w:val="22"/>
        </w:rPr>
        <w:t xml:space="preserve">plant-based product lines as the demand for vegan products in the </w:t>
      </w:r>
      <w:r w:rsidR="003B3DBA" w:rsidRPr="00CE2F2F">
        <w:rPr>
          <w:rFonts w:ascii="Arial" w:hAnsi="Arial" w:cs="Arial"/>
          <w:sz w:val="22"/>
        </w:rPr>
        <w:t xml:space="preserve">UK has been growing by 11% p.a. Similar improvements should be </w:t>
      </w:r>
      <w:r w:rsidRPr="00CE2F2F">
        <w:rPr>
          <w:rFonts w:ascii="Arial" w:hAnsi="Arial" w:cs="Arial"/>
          <w:sz w:val="22"/>
        </w:rPr>
        <w:t xml:space="preserve">made in its margins through further digitisation of its supply chain and </w:t>
      </w:r>
      <w:r w:rsidR="003B3DBA" w:rsidRPr="00CE2F2F">
        <w:rPr>
          <w:rFonts w:ascii="Arial" w:hAnsi="Arial" w:cs="Arial"/>
          <w:sz w:val="22"/>
        </w:rPr>
        <w:t>AI efficiency. Aggressive expansion of discount retailers, rising inflation and higher supplier costs could lead to erosion of competitive advantage if they are left unmanaged strategically</w:t>
      </w:r>
      <w:r w:rsidR="00440BE9" w:rsidRPr="00CE2F2F">
        <w:rPr>
          <w:rFonts w:ascii="Arial" w:hAnsi="Arial" w:cs="Arial"/>
          <w:sz w:val="22"/>
          <w:lang w:val="en-US"/>
        </w:rPr>
        <w:t xml:space="preserve"> (Coyle and </w:t>
      </w:r>
      <w:proofErr w:type="spellStart"/>
      <w:r w:rsidR="00440BE9" w:rsidRPr="00CE2F2F">
        <w:rPr>
          <w:rFonts w:ascii="Arial" w:hAnsi="Arial" w:cs="Arial"/>
          <w:sz w:val="22"/>
          <w:lang w:val="en-US"/>
        </w:rPr>
        <w:t>Gamberi</w:t>
      </w:r>
      <w:proofErr w:type="spellEnd"/>
      <w:r w:rsidR="00440BE9" w:rsidRPr="00CE2F2F">
        <w:rPr>
          <w:rFonts w:ascii="Arial" w:hAnsi="Arial" w:cs="Arial"/>
          <w:sz w:val="22"/>
          <w:lang w:val="en-US"/>
        </w:rPr>
        <w:t>, 2024)</w:t>
      </w:r>
      <w:r w:rsidR="003B3DBA" w:rsidRPr="00CE2F2F">
        <w:rPr>
          <w:rFonts w:ascii="Arial" w:hAnsi="Arial" w:cs="Arial"/>
          <w:sz w:val="22"/>
        </w:rPr>
        <w:t>.</w:t>
      </w:r>
    </w:p>
    <w:p w14:paraId="597C9EE3" w14:textId="77777777" w:rsidR="00492590" w:rsidRDefault="00492590" w:rsidP="00736765">
      <w:pPr>
        <w:keepNext/>
        <w:jc w:val="center"/>
      </w:pPr>
      <w:r>
        <w:rPr>
          <w:noProof/>
        </w:rPr>
        <w:lastRenderedPageBreak/>
        <w:drawing>
          <wp:inline distT="0" distB="0" distL="0" distR="0" wp14:anchorId="4D659205" wp14:editId="573895E9">
            <wp:extent cx="3770690" cy="3371850"/>
            <wp:effectExtent l="76200" t="76200" r="115570" b="114300"/>
            <wp:docPr id="51725244" name="Picture 5" descr="SWOT Analysis | Free Guide - Rocket Lawy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 Free Guide - Rocket Lawyer U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927" t="13140" r="13568" b="13889"/>
                    <a:stretch/>
                  </pic:blipFill>
                  <pic:spPr bwMode="auto">
                    <a:xfrm>
                      <a:off x="0" y="0"/>
                      <a:ext cx="3795123" cy="33936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2113A5F" w14:textId="4FE3DAE2" w:rsidR="00492590" w:rsidRPr="00492590" w:rsidRDefault="00492590" w:rsidP="00736765">
      <w:pPr>
        <w:pStyle w:val="Caption"/>
        <w:spacing w:line="360" w:lineRule="auto"/>
        <w:jc w:val="center"/>
        <w:rPr>
          <w:color w:val="000000" w:themeColor="text1"/>
          <w:lang w:val="en-US"/>
        </w:rPr>
      </w:pPr>
      <w:r w:rsidRPr="00492590">
        <w:rPr>
          <w:color w:val="000000" w:themeColor="text1"/>
        </w:rPr>
        <w:t xml:space="preserve">Figure </w:t>
      </w:r>
      <w:r w:rsidRPr="00492590">
        <w:rPr>
          <w:color w:val="000000" w:themeColor="text1"/>
        </w:rPr>
        <w:fldChar w:fldCharType="begin"/>
      </w:r>
      <w:r w:rsidRPr="00492590">
        <w:rPr>
          <w:color w:val="000000" w:themeColor="text1"/>
        </w:rPr>
        <w:instrText xml:space="preserve"> SEQ Figure \* ARABIC </w:instrText>
      </w:r>
      <w:r w:rsidRPr="00492590">
        <w:rPr>
          <w:color w:val="000000" w:themeColor="text1"/>
        </w:rPr>
        <w:fldChar w:fldCharType="separate"/>
      </w:r>
      <w:r w:rsidRPr="00492590">
        <w:rPr>
          <w:noProof/>
          <w:color w:val="000000" w:themeColor="text1"/>
        </w:rPr>
        <w:t>5</w:t>
      </w:r>
      <w:r w:rsidRPr="00492590">
        <w:rPr>
          <w:color w:val="000000" w:themeColor="text1"/>
        </w:rPr>
        <w:fldChar w:fldCharType="end"/>
      </w:r>
      <w:r w:rsidRPr="00492590">
        <w:rPr>
          <w:color w:val="000000" w:themeColor="text1"/>
        </w:rPr>
        <w:t xml:space="preserve"> SWOT Analysis</w:t>
      </w:r>
    </w:p>
    <w:p w14:paraId="7F8B8A0D" w14:textId="53E73213" w:rsidR="0054701E" w:rsidRPr="00CE2F2F" w:rsidRDefault="0054701E" w:rsidP="00736765">
      <w:pPr>
        <w:pStyle w:val="Heading1"/>
        <w:rPr>
          <w:rFonts w:ascii="Arial" w:hAnsi="Arial" w:cs="Arial"/>
          <w:i w:val="0"/>
          <w:iCs/>
        </w:rPr>
      </w:pPr>
      <w:bookmarkStart w:id="14" w:name="_Toc192978951"/>
      <w:r w:rsidRPr="00CE2F2F">
        <w:rPr>
          <w:rFonts w:ascii="Arial" w:hAnsi="Arial" w:cs="Arial"/>
          <w:i w:val="0"/>
          <w:iCs/>
        </w:rPr>
        <w:t xml:space="preserve">Strategy Formulation </w:t>
      </w:r>
      <w:r w:rsidR="00440BE9" w:rsidRPr="00CE2F2F">
        <w:rPr>
          <w:rFonts w:ascii="Arial" w:hAnsi="Arial" w:cs="Arial"/>
          <w:i w:val="0"/>
          <w:iCs/>
        </w:rPr>
        <w:t>and</w:t>
      </w:r>
      <w:r w:rsidRPr="00CE2F2F">
        <w:rPr>
          <w:rFonts w:ascii="Arial" w:hAnsi="Arial" w:cs="Arial"/>
          <w:i w:val="0"/>
          <w:iCs/>
        </w:rPr>
        <w:t xml:space="preserve"> Competitive Positioning</w:t>
      </w:r>
      <w:bookmarkEnd w:id="14"/>
    </w:p>
    <w:p w14:paraId="273BFE86" w14:textId="07D978FA" w:rsidR="0054701E" w:rsidRPr="00CE2F2F" w:rsidRDefault="0054701E" w:rsidP="00736765">
      <w:pPr>
        <w:pStyle w:val="Heading2"/>
        <w:rPr>
          <w:rFonts w:ascii="Arial" w:hAnsi="Arial" w:cs="Arial"/>
          <w:sz w:val="22"/>
          <w:szCs w:val="22"/>
        </w:rPr>
      </w:pPr>
      <w:bookmarkStart w:id="15" w:name="_Toc192978952"/>
      <w:r w:rsidRPr="00CE2F2F">
        <w:rPr>
          <w:rFonts w:ascii="Arial" w:hAnsi="Arial" w:cs="Arial"/>
          <w:sz w:val="22"/>
          <w:szCs w:val="22"/>
        </w:rPr>
        <w:t>Current Strategic Positioning</w:t>
      </w:r>
      <w:bookmarkEnd w:id="15"/>
    </w:p>
    <w:p w14:paraId="6D5BFA7A" w14:textId="453AFA79" w:rsidR="003B3DBA" w:rsidRPr="00CE2F2F" w:rsidRDefault="003B3DBA" w:rsidP="00736765">
      <w:pPr>
        <w:rPr>
          <w:rFonts w:ascii="Arial" w:hAnsi="Arial" w:cs="Arial"/>
          <w:sz w:val="22"/>
        </w:rPr>
      </w:pPr>
      <w:r w:rsidRPr="00CE2F2F">
        <w:rPr>
          <w:rFonts w:ascii="Arial" w:hAnsi="Arial" w:cs="Arial"/>
          <w:sz w:val="22"/>
        </w:rPr>
        <w:t xml:space="preserve">A hybrid strategy has been adopted by Sainsbury’s, which </w:t>
      </w:r>
      <w:r w:rsidR="00A00861" w:rsidRPr="00CE2F2F">
        <w:rPr>
          <w:rFonts w:ascii="Arial" w:hAnsi="Arial" w:cs="Arial"/>
          <w:sz w:val="22"/>
        </w:rPr>
        <w:t>combines</w:t>
      </w:r>
      <w:r w:rsidRPr="00CE2F2F">
        <w:rPr>
          <w:rFonts w:ascii="Arial" w:hAnsi="Arial" w:cs="Arial"/>
          <w:sz w:val="22"/>
        </w:rPr>
        <w:t xml:space="preserve"> cost leadership and differentiation</w:t>
      </w:r>
      <w:r w:rsidR="00A00861" w:rsidRPr="00CE2F2F">
        <w:rPr>
          <w:rFonts w:ascii="Arial" w:hAnsi="Arial" w:cs="Arial"/>
          <w:sz w:val="22"/>
        </w:rPr>
        <w:t xml:space="preserve"> and is</w:t>
      </w:r>
      <w:r w:rsidRPr="00CE2F2F">
        <w:rPr>
          <w:rFonts w:ascii="Arial" w:hAnsi="Arial" w:cs="Arial"/>
          <w:sz w:val="22"/>
        </w:rPr>
        <w:t xml:space="preserve"> consistent with Porter’s Generic Strategies</w:t>
      </w:r>
      <w:r w:rsidR="00440BE9" w:rsidRPr="00CE2F2F">
        <w:rPr>
          <w:rFonts w:ascii="Arial" w:hAnsi="Arial" w:cs="Arial"/>
          <w:sz w:val="22"/>
        </w:rPr>
        <w:t xml:space="preserve"> </w:t>
      </w:r>
      <w:r w:rsidR="00440BE9" w:rsidRPr="00CE2F2F">
        <w:rPr>
          <w:rFonts w:ascii="Arial" w:hAnsi="Arial" w:cs="Arial"/>
          <w:sz w:val="22"/>
          <w:lang w:val="en-US"/>
        </w:rPr>
        <w:t>(</w:t>
      </w:r>
      <w:proofErr w:type="spellStart"/>
      <w:r w:rsidR="00440BE9" w:rsidRPr="00CE2F2F">
        <w:rPr>
          <w:rFonts w:ascii="Arial" w:hAnsi="Arial" w:cs="Arial"/>
          <w:sz w:val="22"/>
          <w:lang w:val="en-US"/>
        </w:rPr>
        <w:t>Sahidi</w:t>
      </w:r>
      <w:proofErr w:type="spellEnd"/>
      <w:r w:rsidR="00440BE9" w:rsidRPr="00CE2F2F">
        <w:rPr>
          <w:rFonts w:ascii="Arial" w:hAnsi="Arial" w:cs="Arial"/>
          <w:sz w:val="22"/>
          <w:lang w:val="en-US"/>
        </w:rPr>
        <w:t xml:space="preserve"> and Nadda, 2025)</w:t>
      </w:r>
      <w:r w:rsidRPr="00CE2F2F">
        <w:rPr>
          <w:rFonts w:ascii="Arial" w:hAnsi="Arial" w:cs="Arial"/>
          <w:sz w:val="22"/>
        </w:rPr>
        <w:t xml:space="preserve">. Aldi Price Match, covering more than 300 essential products, is a </w:t>
      </w:r>
      <w:r w:rsidR="00A00861" w:rsidRPr="00CE2F2F">
        <w:rPr>
          <w:rFonts w:ascii="Arial" w:hAnsi="Arial" w:cs="Arial"/>
          <w:sz w:val="22"/>
        </w:rPr>
        <w:t>price-competitive</w:t>
      </w:r>
      <w:r w:rsidRPr="00CE2F2F">
        <w:rPr>
          <w:rFonts w:ascii="Arial" w:hAnsi="Arial" w:cs="Arial"/>
          <w:sz w:val="22"/>
        </w:rPr>
        <w:t xml:space="preserve"> commitment, responding to the growing share of the discount retailer market. </w:t>
      </w:r>
      <w:r w:rsidR="00B1427B" w:rsidRPr="00CE2F2F">
        <w:rPr>
          <w:rFonts w:ascii="Arial" w:hAnsi="Arial" w:cs="Arial"/>
          <w:sz w:val="22"/>
        </w:rPr>
        <w:t>However, Sainsbury’s also differentiates itself through high-quality,</w:t>
      </w:r>
      <w:r w:rsidR="00A00861" w:rsidRPr="00CE2F2F">
        <w:rPr>
          <w:rFonts w:ascii="Arial" w:hAnsi="Arial" w:cs="Arial"/>
          <w:sz w:val="22"/>
        </w:rPr>
        <w:t xml:space="preserve"> own-brand products,</w:t>
      </w:r>
      <w:r w:rsidRPr="00CE2F2F">
        <w:rPr>
          <w:rFonts w:ascii="Arial" w:hAnsi="Arial" w:cs="Arial"/>
          <w:sz w:val="22"/>
        </w:rPr>
        <w:t xml:space="preserve"> which account for 52</w:t>
      </w:r>
      <w:r w:rsidR="00B1427B" w:rsidRPr="00CE2F2F">
        <w:rPr>
          <w:rFonts w:ascii="Arial" w:hAnsi="Arial" w:cs="Arial"/>
          <w:sz w:val="22"/>
        </w:rPr>
        <w:t>%</w:t>
      </w:r>
      <w:r w:rsidRPr="00CE2F2F">
        <w:rPr>
          <w:rFonts w:ascii="Arial" w:hAnsi="Arial" w:cs="Arial"/>
          <w:sz w:val="22"/>
        </w:rPr>
        <w:t xml:space="preserve"> of total sales</w:t>
      </w:r>
      <w:r w:rsidR="00440BE9" w:rsidRPr="00CE2F2F">
        <w:rPr>
          <w:rFonts w:ascii="Arial" w:hAnsi="Arial" w:cs="Arial"/>
          <w:sz w:val="22"/>
        </w:rPr>
        <w:t xml:space="preserve"> </w:t>
      </w:r>
      <w:r w:rsidR="00440BE9" w:rsidRPr="00CE2F2F">
        <w:rPr>
          <w:rFonts w:ascii="Arial" w:hAnsi="Arial" w:cs="Arial"/>
          <w:sz w:val="22"/>
          <w:lang w:val="en-US"/>
        </w:rPr>
        <w:t>(</w:t>
      </w:r>
      <w:proofErr w:type="spellStart"/>
      <w:r w:rsidR="00440BE9" w:rsidRPr="00CE2F2F">
        <w:rPr>
          <w:rFonts w:ascii="Arial" w:hAnsi="Arial" w:cs="Arial"/>
          <w:sz w:val="22"/>
          <w:lang w:val="en-US"/>
        </w:rPr>
        <w:t>Grashuis</w:t>
      </w:r>
      <w:proofErr w:type="spellEnd"/>
      <w:r w:rsidR="00440BE9" w:rsidRPr="00CE2F2F">
        <w:rPr>
          <w:rFonts w:ascii="Arial" w:hAnsi="Arial" w:cs="Arial"/>
          <w:sz w:val="22"/>
          <w:lang w:val="en-US"/>
        </w:rPr>
        <w:t xml:space="preserve"> and </w:t>
      </w:r>
      <w:proofErr w:type="spellStart"/>
      <w:r w:rsidR="00440BE9" w:rsidRPr="00CE2F2F">
        <w:rPr>
          <w:rFonts w:ascii="Arial" w:hAnsi="Arial" w:cs="Arial"/>
          <w:sz w:val="22"/>
          <w:lang w:val="en-US"/>
        </w:rPr>
        <w:t>Hakelius</w:t>
      </w:r>
      <w:proofErr w:type="spellEnd"/>
      <w:r w:rsidR="00440BE9" w:rsidRPr="00CE2F2F">
        <w:rPr>
          <w:rFonts w:ascii="Arial" w:hAnsi="Arial" w:cs="Arial"/>
          <w:sz w:val="22"/>
          <w:lang w:val="en-US"/>
        </w:rPr>
        <w:t>, 2023)</w:t>
      </w:r>
      <w:r w:rsidRPr="00CE2F2F">
        <w:rPr>
          <w:rFonts w:ascii="Arial" w:hAnsi="Arial" w:cs="Arial"/>
          <w:sz w:val="22"/>
        </w:rPr>
        <w:t xml:space="preserve">. Its differentiation approach is shown by an 8% </w:t>
      </w:r>
      <w:r w:rsidR="00A00861" w:rsidRPr="00CE2F2F">
        <w:rPr>
          <w:rFonts w:ascii="Arial" w:hAnsi="Arial" w:cs="Arial"/>
          <w:sz w:val="22"/>
        </w:rPr>
        <w:t>year-on-year</w:t>
      </w:r>
      <w:r w:rsidRPr="00CE2F2F">
        <w:rPr>
          <w:rFonts w:ascii="Arial" w:hAnsi="Arial" w:cs="Arial"/>
          <w:sz w:val="22"/>
        </w:rPr>
        <w:t xml:space="preserve"> growth in its premium Taste the Difference range.</w:t>
      </w:r>
    </w:p>
    <w:p w14:paraId="710946A5" w14:textId="14564027" w:rsidR="0054701E" w:rsidRPr="00CE2F2F" w:rsidRDefault="00736765" w:rsidP="00736765">
      <w:pPr>
        <w:rPr>
          <w:rFonts w:ascii="Arial" w:hAnsi="Arial" w:cs="Arial"/>
          <w:sz w:val="22"/>
        </w:rPr>
      </w:pPr>
      <w:r w:rsidRPr="00CE2F2F">
        <w:rPr>
          <w:rFonts w:ascii="Arial" w:hAnsi="Arial" w:cs="Arial"/>
          <w:sz w:val="22"/>
        </w:rPr>
        <w:t>Therefore</w:t>
      </w:r>
      <w:r w:rsidR="003B3DBA" w:rsidRPr="00CE2F2F">
        <w:rPr>
          <w:rFonts w:ascii="Arial" w:hAnsi="Arial" w:cs="Arial"/>
          <w:sz w:val="22"/>
        </w:rPr>
        <w:t>, Sainsbury’s is positioned as a hybrid in the Strategy Clock model, balancing perceived value and cost efficiency</w:t>
      </w:r>
      <w:r w:rsidR="00440BE9" w:rsidRPr="00CE2F2F">
        <w:rPr>
          <w:rFonts w:ascii="Arial" w:hAnsi="Arial" w:cs="Arial"/>
          <w:sz w:val="22"/>
        </w:rPr>
        <w:t xml:space="preserve"> </w:t>
      </w:r>
      <w:r w:rsidR="00440BE9" w:rsidRPr="00CE2F2F">
        <w:rPr>
          <w:rFonts w:ascii="Arial" w:hAnsi="Arial" w:cs="Arial"/>
          <w:sz w:val="22"/>
          <w:lang w:val="en-US"/>
        </w:rPr>
        <w:t>(Solanki et al., 2024)</w:t>
      </w:r>
      <w:r w:rsidR="003B3DBA" w:rsidRPr="00CE2F2F">
        <w:rPr>
          <w:rFonts w:ascii="Arial" w:hAnsi="Arial" w:cs="Arial"/>
          <w:sz w:val="22"/>
        </w:rPr>
        <w:t xml:space="preserve">. </w:t>
      </w:r>
      <w:r w:rsidR="00A00861" w:rsidRPr="00CE2F2F">
        <w:rPr>
          <w:rFonts w:ascii="Arial" w:hAnsi="Arial" w:cs="Arial"/>
          <w:sz w:val="22"/>
        </w:rPr>
        <w:t xml:space="preserve">Price-matched customers are attracted </w:t>
      </w:r>
      <w:r w:rsidR="00B1427B" w:rsidRPr="00CE2F2F">
        <w:rPr>
          <w:rFonts w:ascii="Arial" w:hAnsi="Arial" w:cs="Arial"/>
          <w:sz w:val="22"/>
        </w:rPr>
        <w:t>by</w:t>
      </w:r>
      <w:r w:rsidR="00A00861" w:rsidRPr="00CE2F2F">
        <w:rPr>
          <w:rFonts w:ascii="Arial" w:hAnsi="Arial" w:cs="Arial"/>
          <w:sz w:val="22"/>
        </w:rPr>
        <w:t xml:space="preserve"> price, but middle-income</w:t>
      </w:r>
      <w:r w:rsidR="003B3DBA" w:rsidRPr="00CE2F2F">
        <w:rPr>
          <w:rFonts w:ascii="Arial" w:hAnsi="Arial" w:cs="Arial"/>
          <w:sz w:val="22"/>
        </w:rPr>
        <w:t xml:space="preserve"> group shoppers are loyal because of superior product quality and service. Yet, Sainsbury’s position is under threat from Aldi and Lidl’s aggressive expansion</w:t>
      </w:r>
      <w:r w:rsidR="00A00861" w:rsidRPr="00CE2F2F">
        <w:rPr>
          <w:rFonts w:ascii="Arial" w:hAnsi="Arial" w:cs="Arial"/>
          <w:sz w:val="22"/>
        </w:rPr>
        <w:t>,</w:t>
      </w:r>
      <w:r w:rsidR="003B3DBA" w:rsidRPr="00CE2F2F">
        <w:rPr>
          <w:rFonts w:ascii="Arial" w:hAnsi="Arial" w:cs="Arial"/>
          <w:sz w:val="22"/>
        </w:rPr>
        <w:t xml:space="preserve"> which now controls over 18% of the UK grocery market, and Sainsbury’s is forced </w:t>
      </w:r>
      <w:r w:rsidR="00A00861" w:rsidRPr="00CE2F2F">
        <w:rPr>
          <w:rFonts w:ascii="Arial" w:hAnsi="Arial" w:cs="Arial"/>
          <w:sz w:val="22"/>
        </w:rPr>
        <w:t>to refine its pricing and product strategies continuously</w:t>
      </w:r>
      <w:r w:rsidR="00440BE9" w:rsidRPr="00CE2F2F">
        <w:rPr>
          <w:rFonts w:ascii="Arial" w:hAnsi="Arial" w:cs="Arial"/>
          <w:sz w:val="22"/>
        </w:rPr>
        <w:t xml:space="preserve"> </w:t>
      </w:r>
      <w:r w:rsidR="00440BE9" w:rsidRPr="00CE2F2F">
        <w:rPr>
          <w:rFonts w:ascii="Arial" w:hAnsi="Arial" w:cs="Arial"/>
          <w:sz w:val="22"/>
          <w:lang w:val="en-US"/>
        </w:rPr>
        <w:t>(Carruthers et al., 2023)</w:t>
      </w:r>
      <w:r w:rsidR="003B3DBA" w:rsidRPr="00CE2F2F">
        <w:rPr>
          <w:rFonts w:ascii="Arial" w:hAnsi="Arial" w:cs="Arial"/>
          <w:sz w:val="22"/>
        </w:rPr>
        <w:t>.</w:t>
      </w:r>
    </w:p>
    <w:p w14:paraId="0BE81F9B" w14:textId="1C899AEB" w:rsidR="0054701E" w:rsidRPr="00CE2F2F" w:rsidRDefault="0054701E" w:rsidP="00736765">
      <w:pPr>
        <w:pStyle w:val="Heading2"/>
        <w:rPr>
          <w:rFonts w:ascii="Arial" w:hAnsi="Arial" w:cs="Arial"/>
          <w:sz w:val="22"/>
          <w:szCs w:val="22"/>
        </w:rPr>
      </w:pPr>
      <w:bookmarkStart w:id="16" w:name="_Toc192978953"/>
      <w:r w:rsidRPr="00CE2F2F">
        <w:rPr>
          <w:rFonts w:ascii="Arial" w:hAnsi="Arial" w:cs="Arial"/>
          <w:sz w:val="22"/>
          <w:szCs w:val="22"/>
        </w:rPr>
        <w:lastRenderedPageBreak/>
        <w:t>Growth Strategies (Ansoff’s Matrix)</w:t>
      </w:r>
      <w:bookmarkEnd w:id="16"/>
    </w:p>
    <w:p w14:paraId="70AEE9A7" w14:textId="77777777" w:rsidR="00440BE9" w:rsidRPr="00CE2F2F" w:rsidRDefault="003B3DBA" w:rsidP="00736765">
      <w:pPr>
        <w:rPr>
          <w:rFonts w:ascii="Arial" w:hAnsi="Arial" w:cs="Arial"/>
          <w:sz w:val="22"/>
        </w:rPr>
      </w:pPr>
      <w:r w:rsidRPr="00CE2F2F">
        <w:rPr>
          <w:rFonts w:ascii="Arial" w:hAnsi="Arial" w:cs="Arial"/>
          <w:sz w:val="22"/>
        </w:rPr>
        <w:t>Aggressive price-matching, promotions, and loyalty incentives through the Nectar card, which helped Sainsbury’s retain 12% of customers in 2023, show that market penetration is still Sainsbury’s main strategy</w:t>
      </w:r>
      <w:r w:rsidR="00440BE9" w:rsidRPr="00CE2F2F">
        <w:rPr>
          <w:rFonts w:ascii="Arial" w:hAnsi="Arial" w:cs="Arial"/>
          <w:sz w:val="22"/>
        </w:rPr>
        <w:t xml:space="preserve"> </w:t>
      </w:r>
      <w:r w:rsidR="00440BE9" w:rsidRPr="00CE2F2F">
        <w:rPr>
          <w:rFonts w:ascii="Arial" w:hAnsi="Arial" w:cs="Arial"/>
          <w:sz w:val="22"/>
          <w:lang w:val="en-US"/>
        </w:rPr>
        <w:t>(Borrero, 2023)</w:t>
      </w:r>
      <w:r w:rsidRPr="00CE2F2F">
        <w:rPr>
          <w:rFonts w:ascii="Arial" w:hAnsi="Arial" w:cs="Arial"/>
          <w:sz w:val="22"/>
        </w:rPr>
        <w:t>. It is also at the digital transformation</w:t>
      </w:r>
      <w:r w:rsidR="00A00861" w:rsidRPr="00CE2F2F">
        <w:rPr>
          <w:rFonts w:ascii="Arial" w:hAnsi="Arial" w:cs="Arial"/>
          <w:sz w:val="22"/>
        </w:rPr>
        <w:t>, with the shares in online grocery sales growing 23</w:t>
      </w:r>
      <w:r w:rsidR="00440BE9" w:rsidRPr="00CE2F2F">
        <w:rPr>
          <w:rFonts w:ascii="Arial" w:hAnsi="Arial" w:cs="Arial"/>
          <w:sz w:val="22"/>
        </w:rPr>
        <w:t>%</w:t>
      </w:r>
      <w:r w:rsidR="00A00861" w:rsidRPr="00CE2F2F">
        <w:rPr>
          <w:rFonts w:ascii="Arial" w:hAnsi="Arial" w:cs="Arial"/>
          <w:sz w:val="22"/>
        </w:rPr>
        <w:t xml:space="preserve"> in five years,</w:t>
      </w:r>
      <w:r w:rsidRPr="00CE2F2F">
        <w:rPr>
          <w:rFonts w:ascii="Arial" w:hAnsi="Arial" w:cs="Arial"/>
          <w:sz w:val="22"/>
        </w:rPr>
        <w:t xml:space="preserve"> creating the need for increased investment in e-commerce infrastructure. Sainsbury’s is also focusing on product development, </w:t>
      </w:r>
      <w:r w:rsidR="00A00861" w:rsidRPr="00CE2F2F">
        <w:rPr>
          <w:rFonts w:ascii="Arial" w:hAnsi="Arial" w:cs="Arial"/>
          <w:sz w:val="22"/>
        </w:rPr>
        <w:t>particularly</w:t>
      </w:r>
      <w:r w:rsidRPr="00CE2F2F">
        <w:rPr>
          <w:rFonts w:ascii="Arial" w:hAnsi="Arial" w:cs="Arial"/>
          <w:sz w:val="22"/>
        </w:rPr>
        <w:t xml:space="preserve"> on the sustainable and plant-based categories</w:t>
      </w:r>
      <w:r w:rsidR="00A00861" w:rsidRPr="00CE2F2F">
        <w:rPr>
          <w:rFonts w:ascii="Arial" w:hAnsi="Arial" w:cs="Arial"/>
          <w:sz w:val="22"/>
        </w:rPr>
        <w:t>, and</w:t>
      </w:r>
      <w:r w:rsidRPr="00CE2F2F">
        <w:rPr>
          <w:rFonts w:ascii="Arial" w:hAnsi="Arial" w:cs="Arial"/>
          <w:sz w:val="22"/>
        </w:rPr>
        <w:t xml:space="preserve"> it has continued to add to its Plant Pioneers range in response to the 11% year-on-year demand growth in vegan products</w:t>
      </w:r>
      <w:r w:rsidR="00440BE9" w:rsidRPr="00CE2F2F">
        <w:rPr>
          <w:rFonts w:ascii="Arial" w:hAnsi="Arial" w:cs="Arial"/>
          <w:sz w:val="22"/>
        </w:rPr>
        <w:t xml:space="preserve"> </w:t>
      </w:r>
      <w:r w:rsidR="00440BE9" w:rsidRPr="00CE2F2F">
        <w:rPr>
          <w:rFonts w:ascii="Arial" w:hAnsi="Arial" w:cs="Arial"/>
          <w:sz w:val="22"/>
          <w:lang w:val="en-US"/>
        </w:rPr>
        <w:t>(Liu, 2023)</w:t>
      </w:r>
      <w:r w:rsidRPr="00CE2F2F">
        <w:rPr>
          <w:rFonts w:ascii="Arial" w:hAnsi="Arial" w:cs="Arial"/>
          <w:sz w:val="22"/>
        </w:rPr>
        <w:t xml:space="preserve">. </w:t>
      </w:r>
    </w:p>
    <w:p w14:paraId="5FD0600A" w14:textId="401F6B79" w:rsidR="0054701E" w:rsidRPr="00CE2F2F" w:rsidRDefault="003B3DBA" w:rsidP="00736765">
      <w:pPr>
        <w:rPr>
          <w:rFonts w:ascii="Arial" w:hAnsi="Arial" w:cs="Arial"/>
          <w:sz w:val="22"/>
        </w:rPr>
      </w:pPr>
      <w:r w:rsidRPr="00CE2F2F">
        <w:rPr>
          <w:rFonts w:ascii="Arial" w:hAnsi="Arial" w:cs="Arial"/>
          <w:sz w:val="22"/>
        </w:rPr>
        <w:t xml:space="preserve">Changing consumer </w:t>
      </w:r>
      <w:r w:rsidR="00A00861" w:rsidRPr="00CE2F2F">
        <w:rPr>
          <w:rFonts w:ascii="Arial" w:hAnsi="Arial" w:cs="Arial"/>
          <w:sz w:val="22"/>
        </w:rPr>
        <w:t>lifestyles</w:t>
      </w:r>
      <w:r w:rsidRPr="00CE2F2F">
        <w:rPr>
          <w:rFonts w:ascii="Arial" w:hAnsi="Arial" w:cs="Arial"/>
          <w:sz w:val="22"/>
        </w:rPr>
        <w:t xml:space="preserve"> also </w:t>
      </w:r>
      <w:r w:rsidR="00A00861" w:rsidRPr="00CE2F2F">
        <w:rPr>
          <w:rFonts w:ascii="Arial" w:hAnsi="Arial" w:cs="Arial"/>
          <w:sz w:val="22"/>
        </w:rPr>
        <w:t>demand</w:t>
      </w:r>
      <w:r w:rsidRPr="00CE2F2F">
        <w:rPr>
          <w:rFonts w:ascii="Arial" w:hAnsi="Arial" w:cs="Arial"/>
          <w:sz w:val="22"/>
        </w:rPr>
        <w:t xml:space="preserve"> increased investment in ready-meals and convenience products.</w:t>
      </w:r>
      <w:r w:rsidR="00440BE9" w:rsidRPr="00CE2F2F">
        <w:rPr>
          <w:rFonts w:ascii="Arial" w:hAnsi="Arial" w:cs="Arial"/>
          <w:sz w:val="22"/>
        </w:rPr>
        <w:t xml:space="preserve"> </w:t>
      </w:r>
      <w:r w:rsidRPr="00CE2F2F">
        <w:rPr>
          <w:rFonts w:ascii="Arial" w:hAnsi="Arial" w:cs="Arial"/>
          <w:sz w:val="22"/>
        </w:rPr>
        <w:t xml:space="preserve">Sainsbury’s on-demand grocery delivery development, partnering with Deliveroo and Uber Eats, is a market development </w:t>
      </w:r>
      <w:r w:rsidR="00440BE9" w:rsidRPr="00CE2F2F">
        <w:rPr>
          <w:rFonts w:ascii="Arial" w:hAnsi="Arial" w:cs="Arial"/>
          <w:sz w:val="22"/>
        </w:rPr>
        <w:t>for expansion into these rapid fulfilment services (de Boer and Chin, 2025). Despite diversification, there are no major moves beyond the company's</w:t>
      </w:r>
      <w:r w:rsidRPr="00CE2F2F">
        <w:rPr>
          <w:rFonts w:ascii="Arial" w:hAnsi="Arial" w:cs="Arial"/>
          <w:sz w:val="22"/>
        </w:rPr>
        <w:t xml:space="preserve"> core grocery and retail business. Nevertheless, Sainsbury’s Bank, part of the company’s financial services division, has 1.8 million active customers and is an area in which the company could potentially expand if it is effectively integrated into the wider retail ecosystem</w:t>
      </w:r>
      <w:r w:rsidR="00440BE9" w:rsidRPr="00CE2F2F">
        <w:rPr>
          <w:rFonts w:ascii="Arial" w:hAnsi="Arial" w:cs="Arial"/>
          <w:sz w:val="22"/>
        </w:rPr>
        <w:t xml:space="preserve"> </w:t>
      </w:r>
      <w:r w:rsidR="00440BE9" w:rsidRPr="00CE2F2F">
        <w:rPr>
          <w:rFonts w:ascii="Arial" w:hAnsi="Arial" w:cs="Arial"/>
          <w:sz w:val="22"/>
          <w:lang w:val="en-US"/>
        </w:rPr>
        <w:t xml:space="preserve">(Coyle and </w:t>
      </w:r>
      <w:proofErr w:type="spellStart"/>
      <w:r w:rsidR="00440BE9" w:rsidRPr="00CE2F2F">
        <w:rPr>
          <w:rFonts w:ascii="Arial" w:hAnsi="Arial" w:cs="Arial"/>
          <w:sz w:val="22"/>
          <w:lang w:val="en-US"/>
        </w:rPr>
        <w:t>Gamberi</w:t>
      </w:r>
      <w:proofErr w:type="spellEnd"/>
      <w:r w:rsidR="00440BE9" w:rsidRPr="00CE2F2F">
        <w:rPr>
          <w:rFonts w:ascii="Arial" w:hAnsi="Arial" w:cs="Arial"/>
          <w:sz w:val="22"/>
          <w:lang w:val="en-US"/>
        </w:rPr>
        <w:t>, 2024)</w:t>
      </w:r>
      <w:r w:rsidRPr="00CE2F2F">
        <w:rPr>
          <w:rFonts w:ascii="Arial" w:hAnsi="Arial" w:cs="Arial"/>
          <w:sz w:val="22"/>
        </w:rPr>
        <w:t>.</w:t>
      </w:r>
    </w:p>
    <w:p w14:paraId="5801574B" w14:textId="4A8F9CC8" w:rsidR="0054701E" w:rsidRPr="00CE2F2F" w:rsidRDefault="0054701E" w:rsidP="00736765">
      <w:pPr>
        <w:pStyle w:val="Heading2"/>
        <w:rPr>
          <w:rFonts w:ascii="Arial" w:hAnsi="Arial" w:cs="Arial"/>
          <w:sz w:val="22"/>
          <w:szCs w:val="22"/>
        </w:rPr>
      </w:pPr>
      <w:bookmarkStart w:id="17" w:name="_Toc192978954"/>
      <w:r w:rsidRPr="00CE2F2F">
        <w:rPr>
          <w:rFonts w:ascii="Arial" w:hAnsi="Arial" w:cs="Arial"/>
          <w:sz w:val="22"/>
          <w:szCs w:val="22"/>
        </w:rPr>
        <w:t xml:space="preserve">Mergers </w:t>
      </w:r>
      <w:r w:rsidR="00440BE9" w:rsidRPr="00CE2F2F">
        <w:rPr>
          <w:rFonts w:ascii="Arial" w:hAnsi="Arial" w:cs="Arial"/>
          <w:sz w:val="22"/>
          <w:szCs w:val="22"/>
        </w:rPr>
        <w:t>and</w:t>
      </w:r>
      <w:r w:rsidRPr="00CE2F2F">
        <w:rPr>
          <w:rFonts w:ascii="Arial" w:hAnsi="Arial" w:cs="Arial"/>
          <w:sz w:val="22"/>
          <w:szCs w:val="22"/>
        </w:rPr>
        <w:t xml:space="preserve"> Acquisitions (</w:t>
      </w:r>
      <w:proofErr w:type="spellStart"/>
      <w:r w:rsidRPr="00CE2F2F">
        <w:rPr>
          <w:rFonts w:ascii="Arial" w:hAnsi="Arial" w:cs="Arial"/>
          <w:sz w:val="22"/>
          <w:szCs w:val="22"/>
        </w:rPr>
        <w:t>M</w:t>
      </w:r>
      <w:r w:rsidR="00440BE9" w:rsidRPr="00CE2F2F">
        <w:rPr>
          <w:rFonts w:ascii="Arial" w:hAnsi="Arial" w:cs="Arial"/>
          <w:sz w:val="22"/>
          <w:szCs w:val="22"/>
        </w:rPr>
        <w:t>and</w:t>
      </w:r>
      <w:r w:rsidRPr="00CE2F2F">
        <w:rPr>
          <w:rFonts w:ascii="Arial" w:hAnsi="Arial" w:cs="Arial"/>
          <w:sz w:val="22"/>
          <w:szCs w:val="22"/>
        </w:rPr>
        <w:t>A</w:t>
      </w:r>
      <w:proofErr w:type="spellEnd"/>
      <w:r w:rsidRPr="00CE2F2F">
        <w:rPr>
          <w:rFonts w:ascii="Arial" w:hAnsi="Arial" w:cs="Arial"/>
          <w:sz w:val="22"/>
          <w:szCs w:val="22"/>
        </w:rPr>
        <w:t>)</w:t>
      </w:r>
      <w:bookmarkEnd w:id="17"/>
    </w:p>
    <w:p w14:paraId="2FE20AE3" w14:textId="25DA5E07" w:rsidR="0054701E" w:rsidRPr="00CE2F2F" w:rsidRDefault="003B3DBA" w:rsidP="00736765">
      <w:pPr>
        <w:rPr>
          <w:rFonts w:ascii="Arial" w:hAnsi="Arial" w:cs="Arial"/>
          <w:sz w:val="22"/>
        </w:rPr>
      </w:pPr>
      <w:r w:rsidRPr="00CE2F2F">
        <w:rPr>
          <w:rFonts w:ascii="Arial" w:hAnsi="Arial" w:cs="Arial"/>
          <w:sz w:val="22"/>
        </w:rPr>
        <w:t xml:space="preserve">In 2019, </w:t>
      </w:r>
      <w:proofErr w:type="gramStart"/>
      <w:r w:rsidRPr="00CE2F2F">
        <w:rPr>
          <w:rFonts w:ascii="Arial" w:hAnsi="Arial" w:cs="Arial"/>
          <w:sz w:val="22"/>
        </w:rPr>
        <w:t>in an attempt to</w:t>
      </w:r>
      <w:proofErr w:type="gramEnd"/>
      <w:r w:rsidRPr="00CE2F2F">
        <w:rPr>
          <w:rFonts w:ascii="Arial" w:hAnsi="Arial" w:cs="Arial"/>
          <w:sz w:val="22"/>
        </w:rPr>
        <w:t xml:space="preserve"> merge with Asda, Sainsbury’s put forward a deal priced at £7.3bn, which was blocked after </w:t>
      </w:r>
      <w:r w:rsidR="00A00861" w:rsidRPr="00CE2F2F">
        <w:rPr>
          <w:rFonts w:ascii="Arial" w:hAnsi="Arial" w:cs="Arial"/>
          <w:sz w:val="22"/>
        </w:rPr>
        <w:t>action by the Competition and Markets Authority (CMA)</w:t>
      </w:r>
      <w:r w:rsidRPr="00CE2F2F">
        <w:rPr>
          <w:rFonts w:ascii="Arial" w:hAnsi="Arial" w:cs="Arial"/>
          <w:sz w:val="22"/>
        </w:rPr>
        <w:t xml:space="preserve"> on fears of reduced consumer choice and an increase in prices</w:t>
      </w:r>
      <w:r w:rsidR="00440BE9" w:rsidRPr="00CE2F2F">
        <w:rPr>
          <w:rFonts w:ascii="Arial" w:hAnsi="Arial" w:cs="Arial"/>
          <w:sz w:val="22"/>
        </w:rPr>
        <w:t xml:space="preserve"> </w:t>
      </w:r>
      <w:r w:rsidR="00440BE9" w:rsidRPr="00CE2F2F">
        <w:rPr>
          <w:rFonts w:ascii="Arial" w:hAnsi="Arial" w:cs="Arial"/>
          <w:sz w:val="22"/>
          <w:lang w:val="en-US"/>
        </w:rPr>
        <w:t>(Jones et al., 2025)</w:t>
      </w:r>
      <w:r w:rsidRPr="00CE2F2F">
        <w:rPr>
          <w:rFonts w:ascii="Arial" w:hAnsi="Arial" w:cs="Arial"/>
          <w:sz w:val="22"/>
        </w:rPr>
        <w:t xml:space="preserve">. While such a setback will prevent immediate expansion, major </w:t>
      </w:r>
      <w:proofErr w:type="spellStart"/>
      <w:r w:rsidRPr="00CE2F2F">
        <w:rPr>
          <w:rFonts w:ascii="Arial" w:hAnsi="Arial" w:cs="Arial"/>
          <w:sz w:val="22"/>
        </w:rPr>
        <w:t>M</w:t>
      </w:r>
      <w:r w:rsidR="00440BE9" w:rsidRPr="00CE2F2F">
        <w:rPr>
          <w:rFonts w:ascii="Arial" w:hAnsi="Arial" w:cs="Arial"/>
          <w:sz w:val="22"/>
        </w:rPr>
        <w:t>and</w:t>
      </w:r>
      <w:r w:rsidRPr="00CE2F2F">
        <w:rPr>
          <w:rFonts w:ascii="Arial" w:hAnsi="Arial" w:cs="Arial"/>
          <w:sz w:val="22"/>
        </w:rPr>
        <w:t>A</w:t>
      </w:r>
      <w:proofErr w:type="spellEnd"/>
      <w:r w:rsidRPr="00CE2F2F">
        <w:rPr>
          <w:rFonts w:ascii="Arial" w:hAnsi="Arial" w:cs="Arial"/>
          <w:sz w:val="22"/>
        </w:rPr>
        <w:t xml:space="preserve"> activity may arise from </w:t>
      </w:r>
      <w:r w:rsidR="00A00861" w:rsidRPr="00CE2F2F">
        <w:rPr>
          <w:rFonts w:ascii="Arial" w:hAnsi="Arial" w:cs="Arial"/>
          <w:sz w:val="22"/>
        </w:rPr>
        <w:t xml:space="preserve">acquiring technology-focused grocery platforms or regional convenience stores </w:t>
      </w:r>
      <w:r w:rsidRPr="00CE2F2F">
        <w:rPr>
          <w:rFonts w:ascii="Arial" w:hAnsi="Arial" w:cs="Arial"/>
          <w:sz w:val="22"/>
        </w:rPr>
        <w:t xml:space="preserve">to improve digital capabilities and geographic reach. The </w:t>
      </w:r>
      <w:r w:rsidR="00A00861" w:rsidRPr="00CE2F2F">
        <w:rPr>
          <w:rFonts w:ascii="Arial" w:hAnsi="Arial" w:cs="Arial"/>
          <w:sz w:val="22"/>
        </w:rPr>
        <w:t xml:space="preserve">retail sector's consolidation can grow, and strategic acquisitions may </w:t>
      </w:r>
      <w:r w:rsidR="00A87963" w:rsidRPr="00CE2F2F">
        <w:rPr>
          <w:rFonts w:ascii="Arial" w:hAnsi="Arial" w:cs="Arial"/>
          <w:sz w:val="22"/>
        </w:rPr>
        <w:t>be</w:t>
      </w:r>
      <w:r w:rsidR="00A00861" w:rsidRPr="00CE2F2F">
        <w:rPr>
          <w:rFonts w:ascii="Arial" w:hAnsi="Arial" w:cs="Arial"/>
          <w:sz w:val="22"/>
        </w:rPr>
        <w:t xml:space="preserve"> an important lever for long-term</w:t>
      </w:r>
      <w:r w:rsidRPr="00CE2F2F">
        <w:rPr>
          <w:rFonts w:ascii="Arial" w:hAnsi="Arial" w:cs="Arial"/>
          <w:sz w:val="22"/>
        </w:rPr>
        <w:t xml:space="preserve"> competitiveness</w:t>
      </w:r>
      <w:r w:rsidR="00440BE9" w:rsidRPr="00CE2F2F">
        <w:rPr>
          <w:rFonts w:ascii="Arial" w:hAnsi="Arial" w:cs="Arial"/>
          <w:sz w:val="22"/>
        </w:rPr>
        <w:t xml:space="preserve"> </w:t>
      </w:r>
      <w:r w:rsidR="00440BE9" w:rsidRPr="00CE2F2F">
        <w:rPr>
          <w:rFonts w:ascii="Arial" w:hAnsi="Arial" w:cs="Arial"/>
          <w:sz w:val="22"/>
          <w:lang w:val="en-US"/>
        </w:rPr>
        <w:t>(Li et al., 2023)</w:t>
      </w:r>
      <w:r w:rsidRPr="00CE2F2F">
        <w:rPr>
          <w:rFonts w:ascii="Arial" w:hAnsi="Arial" w:cs="Arial"/>
          <w:sz w:val="22"/>
        </w:rPr>
        <w:t>.</w:t>
      </w:r>
    </w:p>
    <w:p w14:paraId="7BD60092" w14:textId="7D3AFF99" w:rsidR="00632646" w:rsidRPr="00CE2F2F" w:rsidRDefault="00632646" w:rsidP="00736765">
      <w:pPr>
        <w:pStyle w:val="Heading1"/>
        <w:rPr>
          <w:rFonts w:ascii="Arial" w:hAnsi="Arial" w:cs="Arial"/>
          <w:sz w:val="22"/>
          <w:szCs w:val="22"/>
        </w:rPr>
      </w:pPr>
      <w:bookmarkStart w:id="18" w:name="_Toc192978955"/>
      <w:r w:rsidRPr="00CE2F2F">
        <w:rPr>
          <w:rFonts w:ascii="Arial" w:hAnsi="Arial" w:cs="Arial"/>
          <w:sz w:val="22"/>
          <w:szCs w:val="22"/>
        </w:rPr>
        <w:t xml:space="preserve">Sustainability </w:t>
      </w:r>
      <w:r w:rsidR="00440BE9" w:rsidRPr="00CE2F2F">
        <w:rPr>
          <w:rFonts w:ascii="Arial" w:hAnsi="Arial" w:cs="Arial"/>
          <w:sz w:val="22"/>
          <w:szCs w:val="22"/>
        </w:rPr>
        <w:t>and</w:t>
      </w:r>
      <w:r w:rsidRPr="00CE2F2F">
        <w:rPr>
          <w:rFonts w:ascii="Arial" w:hAnsi="Arial" w:cs="Arial"/>
          <w:sz w:val="22"/>
          <w:szCs w:val="22"/>
        </w:rPr>
        <w:t xml:space="preserve"> Strategic Recommendations</w:t>
      </w:r>
      <w:bookmarkEnd w:id="18"/>
    </w:p>
    <w:p w14:paraId="5BE0D913" w14:textId="1BD1C244" w:rsidR="00632646" w:rsidRPr="00CE2F2F" w:rsidRDefault="00632646" w:rsidP="00736765">
      <w:pPr>
        <w:pStyle w:val="Heading2"/>
        <w:rPr>
          <w:rFonts w:ascii="Arial" w:hAnsi="Arial" w:cs="Arial"/>
          <w:sz w:val="22"/>
          <w:szCs w:val="22"/>
        </w:rPr>
      </w:pPr>
      <w:bookmarkStart w:id="19" w:name="_Toc192978956"/>
      <w:r w:rsidRPr="00CE2F2F">
        <w:rPr>
          <w:rFonts w:ascii="Arial" w:hAnsi="Arial" w:cs="Arial"/>
          <w:sz w:val="22"/>
          <w:szCs w:val="22"/>
        </w:rPr>
        <w:t>Sustainability Initiatives and Strategic Implications</w:t>
      </w:r>
      <w:bookmarkEnd w:id="19"/>
    </w:p>
    <w:p w14:paraId="4EFCD636" w14:textId="2459A743" w:rsidR="00632646" w:rsidRPr="00CE2F2F" w:rsidRDefault="003B3DBA" w:rsidP="00736765">
      <w:pPr>
        <w:rPr>
          <w:rFonts w:ascii="Arial" w:hAnsi="Arial" w:cs="Arial"/>
          <w:sz w:val="22"/>
        </w:rPr>
      </w:pPr>
      <w:r w:rsidRPr="00CE2F2F">
        <w:rPr>
          <w:rFonts w:ascii="Arial" w:hAnsi="Arial" w:cs="Arial"/>
          <w:sz w:val="22"/>
        </w:rPr>
        <w:t>In the context of becoming Net Zero by 2040 – a decade ahead of the UK government’s 2050 target – Sainsbury’s has made several sustainability commitments</w:t>
      </w:r>
      <w:r w:rsidR="00FE12D9" w:rsidRPr="00CE2F2F">
        <w:rPr>
          <w:rFonts w:ascii="Arial" w:hAnsi="Arial" w:cs="Arial"/>
          <w:sz w:val="22"/>
          <w:lang w:val="en-US"/>
        </w:rPr>
        <w:t xml:space="preserve"> (Rusanen, 2023)</w:t>
      </w:r>
      <w:r w:rsidRPr="00CE2F2F">
        <w:rPr>
          <w:rFonts w:ascii="Arial" w:hAnsi="Arial" w:cs="Arial"/>
          <w:sz w:val="22"/>
        </w:rPr>
        <w:t>. Since 2005, the company has cut carbon emissions by 47%</w:t>
      </w:r>
      <w:r w:rsidR="00A00861" w:rsidRPr="00CE2F2F">
        <w:rPr>
          <w:rFonts w:ascii="Arial" w:hAnsi="Arial" w:cs="Arial"/>
          <w:sz w:val="22"/>
        </w:rPr>
        <w:t xml:space="preserve"> and </w:t>
      </w:r>
      <w:r w:rsidR="00B1427B" w:rsidRPr="00CE2F2F">
        <w:rPr>
          <w:rFonts w:ascii="Arial" w:hAnsi="Arial" w:cs="Arial"/>
          <w:sz w:val="22"/>
        </w:rPr>
        <w:t>continues investing</w:t>
      </w:r>
      <w:r w:rsidR="00A00861" w:rsidRPr="00CE2F2F">
        <w:rPr>
          <w:rFonts w:ascii="Arial" w:hAnsi="Arial" w:cs="Arial"/>
          <w:sz w:val="22"/>
        </w:rPr>
        <w:t xml:space="preserve"> in solar panels, energy-efficient</w:t>
      </w:r>
      <w:r w:rsidRPr="00CE2F2F">
        <w:rPr>
          <w:rFonts w:ascii="Arial" w:hAnsi="Arial" w:cs="Arial"/>
          <w:sz w:val="22"/>
        </w:rPr>
        <w:t xml:space="preserve"> refrigeration and fleet electrification. </w:t>
      </w:r>
      <w:r w:rsidR="00A00861" w:rsidRPr="00CE2F2F">
        <w:rPr>
          <w:rFonts w:ascii="Arial" w:hAnsi="Arial" w:cs="Arial"/>
          <w:sz w:val="22"/>
        </w:rPr>
        <w:t>However</w:t>
      </w:r>
      <w:r w:rsidRPr="00CE2F2F">
        <w:rPr>
          <w:rFonts w:ascii="Arial" w:hAnsi="Arial" w:cs="Arial"/>
          <w:sz w:val="22"/>
        </w:rPr>
        <w:t>, supply chain emissions remain a hurdle, as more than 95</w:t>
      </w:r>
      <w:r w:rsidR="00A00861" w:rsidRPr="00CE2F2F">
        <w:rPr>
          <w:rFonts w:ascii="Arial" w:hAnsi="Arial" w:cs="Arial"/>
          <w:sz w:val="22"/>
          <w:lang w:val="en-US"/>
        </w:rPr>
        <w:t>%</w:t>
      </w:r>
      <w:r w:rsidRPr="00CE2F2F">
        <w:rPr>
          <w:rFonts w:ascii="Arial" w:hAnsi="Arial" w:cs="Arial"/>
          <w:sz w:val="22"/>
        </w:rPr>
        <w:t xml:space="preserve"> of its carbon footprint is from suppliers, and stronger partnerships are </w:t>
      </w:r>
      <w:r w:rsidRPr="00CE2F2F">
        <w:rPr>
          <w:rFonts w:ascii="Arial" w:hAnsi="Arial" w:cs="Arial"/>
          <w:sz w:val="22"/>
        </w:rPr>
        <w:lastRenderedPageBreak/>
        <w:t xml:space="preserve">needed there for emission reductions. However, Sainsbury’s has promised to make 100% of its plastic packaging recyclable by 2025, but only 61% of </w:t>
      </w:r>
      <w:r w:rsidR="00A00861" w:rsidRPr="00CE2F2F">
        <w:rPr>
          <w:rFonts w:ascii="Arial" w:hAnsi="Arial" w:cs="Arial"/>
          <w:sz w:val="22"/>
        </w:rPr>
        <w:t>its</w:t>
      </w:r>
      <w:r w:rsidRPr="00CE2F2F">
        <w:rPr>
          <w:rFonts w:ascii="Arial" w:hAnsi="Arial" w:cs="Arial"/>
          <w:sz w:val="22"/>
        </w:rPr>
        <w:t xml:space="preserve"> plastic packaging was achieved as of 2023</w:t>
      </w:r>
      <w:r w:rsidR="00FE12D9" w:rsidRPr="00CE2F2F">
        <w:rPr>
          <w:rFonts w:ascii="Arial" w:hAnsi="Arial" w:cs="Arial"/>
          <w:sz w:val="22"/>
          <w:lang w:val="en-US"/>
        </w:rPr>
        <w:t xml:space="preserve"> (</w:t>
      </w:r>
      <w:proofErr w:type="spellStart"/>
      <w:r w:rsidR="00FE12D9" w:rsidRPr="00CE2F2F">
        <w:rPr>
          <w:rFonts w:ascii="Arial" w:hAnsi="Arial" w:cs="Arial"/>
          <w:sz w:val="22"/>
          <w:lang w:val="en-US"/>
        </w:rPr>
        <w:t>Rop</w:t>
      </w:r>
      <w:proofErr w:type="spellEnd"/>
      <w:r w:rsidR="00FE12D9" w:rsidRPr="00CE2F2F">
        <w:rPr>
          <w:rFonts w:ascii="Arial" w:hAnsi="Arial" w:cs="Arial"/>
          <w:sz w:val="22"/>
          <w:lang w:val="en-US"/>
        </w:rPr>
        <w:t>, 2023)</w:t>
      </w:r>
      <w:r w:rsidRPr="00CE2F2F">
        <w:rPr>
          <w:rFonts w:ascii="Arial" w:hAnsi="Arial" w:cs="Arial"/>
          <w:sz w:val="22"/>
        </w:rPr>
        <w:t xml:space="preserve">. Sainsbury’s </w:t>
      </w:r>
      <w:proofErr w:type="gramStart"/>
      <w:r w:rsidRPr="00CE2F2F">
        <w:rPr>
          <w:rFonts w:ascii="Arial" w:hAnsi="Arial" w:cs="Arial"/>
          <w:sz w:val="22"/>
        </w:rPr>
        <w:t>hasn’t</w:t>
      </w:r>
      <w:proofErr w:type="gramEnd"/>
      <w:r w:rsidRPr="00CE2F2F">
        <w:rPr>
          <w:rFonts w:ascii="Arial" w:hAnsi="Arial" w:cs="Arial"/>
          <w:sz w:val="22"/>
        </w:rPr>
        <w:t xml:space="preserve"> gone as far as </w:t>
      </w:r>
      <w:r w:rsidR="00A00861" w:rsidRPr="00CE2F2F">
        <w:rPr>
          <w:rFonts w:ascii="Arial" w:hAnsi="Arial" w:cs="Arial"/>
          <w:sz w:val="22"/>
        </w:rPr>
        <w:t>competitor</w:t>
      </w:r>
      <w:r w:rsidRPr="00CE2F2F">
        <w:rPr>
          <w:rFonts w:ascii="Arial" w:hAnsi="Arial" w:cs="Arial"/>
          <w:sz w:val="22"/>
        </w:rPr>
        <w:t xml:space="preserve"> Tesco, </w:t>
      </w:r>
      <w:r w:rsidR="00A00861" w:rsidRPr="00CE2F2F">
        <w:rPr>
          <w:rFonts w:ascii="Arial" w:hAnsi="Arial" w:cs="Arial"/>
          <w:sz w:val="22"/>
        </w:rPr>
        <w:t>which has</w:t>
      </w:r>
      <w:r w:rsidRPr="00CE2F2F">
        <w:rPr>
          <w:rFonts w:ascii="Arial" w:hAnsi="Arial" w:cs="Arial"/>
          <w:sz w:val="22"/>
        </w:rPr>
        <w:t xml:space="preserve"> adopted reusable packaging schemes that Sainsbury’s has yet </w:t>
      </w:r>
      <w:r w:rsidR="00A00861" w:rsidRPr="00CE2F2F">
        <w:rPr>
          <w:rFonts w:ascii="Arial" w:hAnsi="Arial" w:cs="Arial"/>
          <w:sz w:val="22"/>
        </w:rPr>
        <w:t>to adopt fully</w:t>
      </w:r>
      <w:r w:rsidRPr="00CE2F2F">
        <w:rPr>
          <w:rFonts w:ascii="Arial" w:hAnsi="Arial" w:cs="Arial"/>
          <w:sz w:val="22"/>
        </w:rPr>
        <w:t>.</w:t>
      </w:r>
    </w:p>
    <w:p w14:paraId="54B2BF7D" w14:textId="2F4D063C" w:rsidR="00632646" w:rsidRPr="00613750" w:rsidRDefault="00632646" w:rsidP="00736765">
      <w:pPr>
        <w:pStyle w:val="Heading2"/>
        <w:rPr>
          <w:rFonts w:ascii="Arial" w:hAnsi="Arial" w:cs="Arial"/>
          <w:i w:val="0"/>
          <w:iCs/>
          <w:sz w:val="22"/>
          <w:szCs w:val="22"/>
        </w:rPr>
      </w:pPr>
      <w:bookmarkStart w:id="20" w:name="_Toc192978957"/>
      <w:r w:rsidRPr="00613750">
        <w:rPr>
          <w:rFonts w:ascii="Arial" w:hAnsi="Arial" w:cs="Arial"/>
          <w:i w:val="0"/>
          <w:iCs/>
          <w:sz w:val="22"/>
          <w:szCs w:val="22"/>
        </w:rPr>
        <w:t>Strategic Recommendations</w:t>
      </w:r>
      <w:bookmarkEnd w:id="20"/>
    </w:p>
    <w:p w14:paraId="27978675" w14:textId="65ACB0E7" w:rsidR="00D938D2" w:rsidRDefault="003B3DBA" w:rsidP="00736765">
      <w:pPr>
        <w:rPr>
          <w:rFonts w:ascii="Arial" w:hAnsi="Arial" w:cs="Arial"/>
          <w:sz w:val="22"/>
        </w:rPr>
      </w:pPr>
      <w:proofErr w:type="gramStart"/>
      <w:r w:rsidRPr="00CE2F2F">
        <w:rPr>
          <w:rFonts w:ascii="Arial" w:hAnsi="Arial" w:cs="Arial"/>
          <w:sz w:val="22"/>
        </w:rPr>
        <w:t>In order to</w:t>
      </w:r>
      <w:proofErr w:type="gramEnd"/>
      <w:r w:rsidRPr="00CE2F2F">
        <w:rPr>
          <w:rFonts w:ascii="Arial" w:hAnsi="Arial" w:cs="Arial"/>
          <w:sz w:val="22"/>
        </w:rPr>
        <w:t xml:space="preserve"> remain competitive, Sainsbury’s should increase its speed of transition to a fully sustainable supply chain by incorporating supplier carbon reduction targets into its procurement policies</w:t>
      </w:r>
      <w:r w:rsidR="00FE12D9" w:rsidRPr="00CE2F2F">
        <w:rPr>
          <w:rFonts w:ascii="Arial" w:hAnsi="Arial" w:cs="Arial"/>
          <w:sz w:val="22"/>
          <w:lang w:val="en-US"/>
        </w:rPr>
        <w:t xml:space="preserve"> (Yang et al., 2023)</w:t>
      </w:r>
      <w:r w:rsidRPr="00CE2F2F">
        <w:rPr>
          <w:rFonts w:ascii="Arial" w:hAnsi="Arial" w:cs="Arial"/>
          <w:sz w:val="22"/>
        </w:rPr>
        <w:t xml:space="preserve">. Further </w:t>
      </w:r>
      <w:r w:rsidR="00A00861" w:rsidRPr="00CE2F2F">
        <w:rPr>
          <w:rFonts w:ascii="Arial" w:hAnsi="Arial" w:cs="Arial"/>
          <w:sz w:val="22"/>
        </w:rPr>
        <w:t>product offerings can be differentiated by</w:t>
      </w:r>
      <w:r w:rsidRPr="00CE2F2F">
        <w:rPr>
          <w:rFonts w:ascii="Arial" w:hAnsi="Arial" w:cs="Arial"/>
          <w:sz w:val="22"/>
        </w:rPr>
        <w:t xml:space="preserve"> expanding its partnerships with ethical and </w:t>
      </w:r>
      <w:r w:rsidR="00A00861" w:rsidRPr="00CE2F2F">
        <w:rPr>
          <w:rFonts w:ascii="Arial" w:hAnsi="Arial" w:cs="Arial"/>
          <w:sz w:val="22"/>
        </w:rPr>
        <w:t>Fairtrade-certified suppliers</w:t>
      </w:r>
      <w:r w:rsidRPr="00CE2F2F">
        <w:rPr>
          <w:rFonts w:ascii="Arial" w:hAnsi="Arial" w:cs="Arial"/>
          <w:sz w:val="22"/>
        </w:rPr>
        <w:t xml:space="preserve"> in premium categories. Due to Sainsbury’s limited global presence, </w:t>
      </w:r>
      <w:r w:rsidR="00A00861" w:rsidRPr="00CE2F2F">
        <w:rPr>
          <w:rFonts w:ascii="Arial" w:hAnsi="Arial" w:cs="Arial"/>
          <w:sz w:val="22"/>
        </w:rPr>
        <w:t xml:space="preserve">it has the </w:t>
      </w:r>
      <w:r w:rsidRPr="00CE2F2F">
        <w:rPr>
          <w:rFonts w:ascii="Arial" w:hAnsi="Arial" w:cs="Arial"/>
          <w:sz w:val="22"/>
        </w:rPr>
        <w:t xml:space="preserve">potential to generate new revenue streams </w:t>
      </w:r>
      <w:r w:rsidR="00A00861" w:rsidRPr="00CE2F2F">
        <w:rPr>
          <w:rFonts w:ascii="Arial" w:hAnsi="Arial" w:cs="Arial"/>
          <w:sz w:val="22"/>
        </w:rPr>
        <w:t>by expanding its</w:t>
      </w:r>
      <w:r w:rsidRPr="00CE2F2F">
        <w:rPr>
          <w:rFonts w:ascii="Arial" w:hAnsi="Arial" w:cs="Arial"/>
          <w:sz w:val="22"/>
        </w:rPr>
        <w:t xml:space="preserve"> online operations into </w:t>
      </w:r>
      <w:r w:rsidR="00A00861" w:rsidRPr="00CE2F2F">
        <w:rPr>
          <w:rFonts w:ascii="Arial" w:hAnsi="Arial" w:cs="Arial"/>
          <w:sz w:val="22"/>
        </w:rPr>
        <w:t>high-growth</w:t>
      </w:r>
      <w:r w:rsidRPr="00CE2F2F">
        <w:rPr>
          <w:rFonts w:ascii="Arial" w:hAnsi="Arial" w:cs="Arial"/>
          <w:sz w:val="22"/>
        </w:rPr>
        <w:t xml:space="preserve"> European markets</w:t>
      </w:r>
      <w:r w:rsidR="00A00861" w:rsidRPr="00CE2F2F">
        <w:rPr>
          <w:rFonts w:ascii="Arial" w:hAnsi="Arial" w:cs="Arial"/>
          <w:sz w:val="22"/>
        </w:rPr>
        <w:t xml:space="preserve"> and reducing</w:t>
      </w:r>
      <w:r w:rsidRPr="00CE2F2F">
        <w:rPr>
          <w:rFonts w:ascii="Arial" w:hAnsi="Arial" w:cs="Arial"/>
          <w:sz w:val="22"/>
        </w:rPr>
        <w:t xml:space="preserve"> risk by partnering with some of the regional players in the market and riding on the wave of e-commerce growth trends. Moving towards circular economy initiatives like deposit return schemes for packaging will enable better customer engagement while the government </w:t>
      </w:r>
      <w:r w:rsidR="00A00861" w:rsidRPr="00CE2F2F">
        <w:rPr>
          <w:rFonts w:ascii="Arial" w:hAnsi="Arial" w:cs="Arial"/>
          <w:sz w:val="22"/>
        </w:rPr>
        <w:t>directs environmental policies to bring</w:t>
      </w:r>
      <w:r w:rsidRPr="00CE2F2F">
        <w:rPr>
          <w:rFonts w:ascii="Arial" w:hAnsi="Arial" w:cs="Arial"/>
          <w:sz w:val="22"/>
        </w:rPr>
        <w:t xml:space="preserve"> together producers of products that people use</w:t>
      </w:r>
      <w:r w:rsidR="00FE12D9" w:rsidRPr="00CE2F2F">
        <w:rPr>
          <w:rFonts w:ascii="Arial" w:hAnsi="Arial" w:cs="Arial"/>
          <w:sz w:val="22"/>
          <w:lang w:val="en-US"/>
        </w:rPr>
        <w:t xml:space="preserve"> (Rusanen, 2023)</w:t>
      </w:r>
      <w:r w:rsidRPr="00CE2F2F">
        <w:rPr>
          <w:rFonts w:ascii="Arial" w:hAnsi="Arial" w:cs="Arial"/>
          <w:sz w:val="22"/>
        </w:rPr>
        <w:t xml:space="preserve">. Sainsbury’s position as a leader in sustainable grocery retail can </w:t>
      </w:r>
      <w:r w:rsidR="00A00861" w:rsidRPr="00CE2F2F">
        <w:rPr>
          <w:rFonts w:ascii="Arial" w:hAnsi="Arial" w:cs="Arial"/>
          <w:sz w:val="22"/>
        </w:rPr>
        <w:t>future-proof its market share and increase long-term</w:t>
      </w:r>
      <w:r w:rsidRPr="00CE2F2F">
        <w:rPr>
          <w:rFonts w:ascii="Arial" w:hAnsi="Arial" w:cs="Arial"/>
          <w:sz w:val="22"/>
        </w:rPr>
        <w:t xml:space="preserve"> profitability.</w:t>
      </w:r>
    </w:p>
    <w:p w14:paraId="7AD7FC37" w14:textId="77777777" w:rsidR="00613750" w:rsidRDefault="00613750" w:rsidP="00736765">
      <w:pPr>
        <w:rPr>
          <w:rFonts w:ascii="Arial" w:hAnsi="Arial" w:cs="Arial"/>
          <w:sz w:val="22"/>
        </w:rPr>
      </w:pPr>
    </w:p>
    <w:p w14:paraId="066695D4" w14:textId="77777777" w:rsidR="00613750" w:rsidRDefault="00613750" w:rsidP="00736765">
      <w:pPr>
        <w:rPr>
          <w:rFonts w:ascii="Arial" w:hAnsi="Arial" w:cs="Arial"/>
          <w:sz w:val="22"/>
        </w:rPr>
      </w:pPr>
    </w:p>
    <w:p w14:paraId="3CEAC192" w14:textId="77777777" w:rsidR="00613750" w:rsidRDefault="00613750" w:rsidP="00736765">
      <w:pPr>
        <w:rPr>
          <w:rFonts w:ascii="Arial" w:hAnsi="Arial" w:cs="Arial"/>
          <w:sz w:val="22"/>
        </w:rPr>
      </w:pPr>
    </w:p>
    <w:p w14:paraId="4EE20704" w14:textId="77777777" w:rsidR="00613750" w:rsidRPr="00CE2F2F" w:rsidRDefault="00613750" w:rsidP="00736765">
      <w:pPr>
        <w:rPr>
          <w:rFonts w:ascii="Arial" w:hAnsi="Arial" w:cs="Arial"/>
          <w:sz w:val="22"/>
          <w:lang w:val="en-US"/>
        </w:rPr>
      </w:pPr>
    </w:p>
    <w:p w14:paraId="76F563C3" w14:textId="2E900838" w:rsidR="00DC57F5" w:rsidRPr="00613750" w:rsidRDefault="00FB4A48" w:rsidP="00736765">
      <w:pPr>
        <w:pStyle w:val="Heading1"/>
        <w:rPr>
          <w:rFonts w:ascii="Arial" w:hAnsi="Arial" w:cs="Arial"/>
          <w:i w:val="0"/>
          <w:iCs/>
          <w:sz w:val="22"/>
          <w:szCs w:val="22"/>
        </w:rPr>
      </w:pPr>
      <w:bookmarkStart w:id="21" w:name="_Toc192978958"/>
      <w:r w:rsidRPr="00613750">
        <w:rPr>
          <w:rFonts w:ascii="Arial" w:hAnsi="Arial" w:cs="Arial"/>
          <w:i w:val="0"/>
          <w:iCs/>
          <w:sz w:val="22"/>
          <w:szCs w:val="22"/>
        </w:rPr>
        <w:t>Conclusion</w:t>
      </w:r>
      <w:bookmarkEnd w:id="21"/>
    </w:p>
    <w:bookmarkEnd w:id="4"/>
    <w:p w14:paraId="2FAE5D7E" w14:textId="7FA583BC" w:rsidR="00632646" w:rsidRPr="00CE2F2F" w:rsidRDefault="00DF279E" w:rsidP="00736765">
      <w:pPr>
        <w:rPr>
          <w:rFonts w:ascii="Arial" w:hAnsi="Arial" w:cs="Arial"/>
          <w:sz w:val="22"/>
        </w:rPr>
      </w:pPr>
      <w:r w:rsidRPr="00CE2F2F">
        <w:rPr>
          <w:rFonts w:ascii="Arial" w:hAnsi="Arial" w:cs="Arial"/>
          <w:sz w:val="22"/>
        </w:rPr>
        <w:t>Concluded that t</w:t>
      </w:r>
      <w:r w:rsidR="003B3DBA" w:rsidRPr="00CE2F2F">
        <w:rPr>
          <w:rFonts w:ascii="Arial" w:hAnsi="Arial" w:cs="Arial"/>
          <w:sz w:val="22"/>
        </w:rPr>
        <w:t xml:space="preserve">his report has critically reviewed Sainsbury’s strategic positioning, internal capabilities, competitive environment and sustainability efforts. However, the company operates in a highly competitive UK grocery market in which discounters </w:t>
      </w:r>
      <w:r w:rsidR="00A00861" w:rsidRPr="00CE2F2F">
        <w:rPr>
          <w:rFonts w:ascii="Arial" w:hAnsi="Arial" w:cs="Arial"/>
          <w:sz w:val="22"/>
        </w:rPr>
        <w:t>pressure consumers, change what they buy, and challenge the economy</w:t>
      </w:r>
      <w:r w:rsidR="003B3DBA" w:rsidRPr="00CE2F2F">
        <w:rPr>
          <w:rFonts w:ascii="Arial" w:hAnsi="Arial" w:cs="Arial"/>
          <w:sz w:val="22"/>
        </w:rPr>
        <w:t xml:space="preserve">. Market resilience is </w:t>
      </w:r>
      <w:r w:rsidR="00A00861" w:rsidRPr="00CE2F2F">
        <w:rPr>
          <w:rFonts w:ascii="Arial" w:hAnsi="Arial" w:cs="Arial"/>
          <w:sz w:val="22"/>
        </w:rPr>
        <w:t>achieved through its hybrid cost leadership and differentiation strategy,</w:t>
      </w:r>
      <w:r w:rsidR="003B3DBA" w:rsidRPr="00CE2F2F">
        <w:rPr>
          <w:rFonts w:ascii="Arial" w:hAnsi="Arial" w:cs="Arial"/>
          <w:sz w:val="22"/>
        </w:rPr>
        <w:t xml:space="preserve"> but profitability is an issue. However, </w:t>
      </w:r>
      <w:r w:rsidR="00A00861" w:rsidRPr="00CE2F2F">
        <w:rPr>
          <w:rFonts w:ascii="Arial" w:hAnsi="Arial" w:cs="Arial"/>
          <w:sz w:val="22"/>
        </w:rPr>
        <w:t xml:space="preserve">with its robust supply chain, digital transformation, and good </w:t>
      </w:r>
      <w:r w:rsidR="003B3DBA" w:rsidRPr="00CE2F2F">
        <w:rPr>
          <w:rFonts w:ascii="Arial" w:hAnsi="Arial" w:cs="Arial"/>
          <w:sz w:val="22"/>
        </w:rPr>
        <w:t xml:space="preserve">brand equity, Sainsbury’s strengths are still threatened by rising operational costs and supply chain vulnerabilities. According to industry trends, sustainability initiatives such as carbon reduction and waste management are also </w:t>
      </w:r>
      <w:r w:rsidR="00A00861" w:rsidRPr="00CE2F2F">
        <w:rPr>
          <w:rFonts w:ascii="Arial" w:hAnsi="Arial" w:cs="Arial"/>
          <w:sz w:val="22"/>
        </w:rPr>
        <w:t>progressing, so the process should</w:t>
      </w:r>
      <w:r w:rsidR="003B3DBA" w:rsidRPr="00CE2F2F">
        <w:rPr>
          <w:rFonts w:ascii="Arial" w:hAnsi="Arial" w:cs="Arial"/>
          <w:sz w:val="22"/>
        </w:rPr>
        <w:t xml:space="preserve"> continue </w:t>
      </w:r>
      <w:r w:rsidR="00A00861" w:rsidRPr="00CE2F2F">
        <w:rPr>
          <w:rFonts w:ascii="Arial" w:hAnsi="Arial" w:cs="Arial"/>
          <w:sz w:val="22"/>
        </w:rPr>
        <w:t xml:space="preserve">to adapt to </w:t>
      </w:r>
      <w:r w:rsidR="003B3DBA" w:rsidRPr="00CE2F2F">
        <w:rPr>
          <w:rFonts w:ascii="Arial" w:hAnsi="Arial" w:cs="Arial"/>
          <w:sz w:val="22"/>
        </w:rPr>
        <w:t xml:space="preserve">sustainable packaging and effective </w:t>
      </w:r>
      <w:r w:rsidR="003B3DBA" w:rsidRPr="00CE2F2F">
        <w:rPr>
          <w:rFonts w:ascii="Arial" w:hAnsi="Arial" w:cs="Arial"/>
          <w:sz w:val="22"/>
        </w:rPr>
        <w:lastRenderedPageBreak/>
        <w:t xml:space="preserve">sourcing. To sustain </w:t>
      </w:r>
      <w:r w:rsidR="00A00861" w:rsidRPr="00CE2F2F">
        <w:rPr>
          <w:rFonts w:ascii="Arial" w:hAnsi="Arial" w:cs="Arial"/>
          <w:sz w:val="22"/>
        </w:rPr>
        <w:t>its competitive advantage, Sainsbury’s must increase its rate of innovation, refine supplier relationships,</w:t>
      </w:r>
      <w:r w:rsidR="003B3DBA" w:rsidRPr="00CE2F2F">
        <w:rPr>
          <w:rFonts w:ascii="Arial" w:hAnsi="Arial" w:cs="Arial"/>
          <w:sz w:val="22"/>
        </w:rPr>
        <w:t xml:space="preserve"> and try out strategic global expansion.</w:t>
      </w:r>
    </w:p>
    <w:p w14:paraId="3F871475" w14:textId="77777777" w:rsidR="000249B8" w:rsidRDefault="000249B8" w:rsidP="00736765">
      <w:pPr>
        <w:ind w:firstLine="0"/>
      </w:pPr>
    </w:p>
    <w:p w14:paraId="2A7067EE" w14:textId="77777777" w:rsidR="00581AB4" w:rsidRDefault="00581AB4" w:rsidP="00736765">
      <w:pPr>
        <w:ind w:firstLine="0"/>
      </w:pPr>
    </w:p>
    <w:p w14:paraId="7F3D273B" w14:textId="77777777" w:rsidR="000249B8" w:rsidRDefault="000249B8" w:rsidP="00736765">
      <w:pPr>
        <w:ind w:firstLine="0"/>
      </w:pPr>
    </w:p>
    <w:p w14:paraId="55D598A6" w14:textId="77777777" w:rsidR="000249B8" w:rsidRDefault="000249B8" w:rsidP="00736765">
      <w:pPr>
        <w:ind w:firstLine="0"/>
      </w:pPr>
    </w:p>
    <w:p w14:paraId="0D9AB5A0" w14:textId="0605828A" w:rsidR="00861650" w:rsidRDefault="00861650" w:rsidP="00736765">
      <w:pPr>
        <w:ind w:firstLine="0"/>
      </w:pPr>
    </w:p>
    <w:p w14:paraId="2B47DBA2" w14:textId="77777777" w:rsidR="00D938D2" w:rsidRDefault="00D938D2" w:rsidP="00736765">
      <w:pPr>
        <w:ind w:firstLine="0"/>
      </w:pPr>
    </w:p>
    <w:p w14:paraId="6AE5BED9" w14:textId="124BCE1A" w:rsidR="001D7B63" w:rsidRDefault="001D7B63" w:rsidP="00736765">
      <w:pPr>
        <w:spacing w:before="0" w:after="200"/>
        <w:ind w:firstLine="0"/>
        <w:jc w:val="left"/>
        <w:rPr>
          <w:rFonts w:eastAsiaTheme="majorEastAsia" w:cstheme="majorBidi"/>
          <w:b/>
          <w:szCs w:val="32"/>
        </w:rPr>
      </w:pPr>
      <w:bookmarkStart w:id="22" w:name="_Toc110252969"/>
    </w:p>
    <w:p w14:paraId="789EF83A" w14:textId="05A5C980" w:rsidR="0007455A" w:rsidRDefault="0007455A">
      <w:pPr>
        <w:spacing w:before="0" w:after="200" w:line="276" w:lineRule="auto"/>
        <w:ind w:firstLine="0"/>
        <w:jc w:val="left"/>
        <w:rPr>
          <w:rFonts w:eastAsiaTheme="majorEastAsia" w:cstheme="majorBidi"/>
          <w:b/>
          <w:szCs w:val="32"/>
        </w:rPr>
      </w:pPr>
      <w:bookmarkStart w:id="23" w:name="_Toc192978959"/>
    </w:p>
    <w:p w14:paraId="7EAB403F" w14:textId="77777777" w:rsidR="0007455A" w:rsidRDefault="0007455A">
      <w:pPr>
        <w:spacing w:before="0" w:after="200" w:line="276" w:lineRule="auto"/>
        <w:ind w:firstLine="0"/>
        <w:jc w:val="left"/>
        <w:rPr>
          <w:rFonts w:eastAsiaTheme="majorEastAsia" w:cstheme="majorBidi"/>
          <w:b/>
          <w:szCs w:val="32"/>
        </w:rPr>
      </w:pPr>
      <w:r>
        <w:rPr>
          <w:i/>
        </w:rPr>
        <w:br w:type="page"/>
      </w:r>
    </w:p>
    <w:p w14:paraId="0336842F" w14:textId="442FF3DD" w:rsidR="008B49C9" w:rsidRDefault="00123662" w:rsidP="00736765">
      <w:pPr>
        <w:pStyle w:val="Heading1"/>
        <w:numPr>
          <w:ilvl w:val="0"/>
          <w:numId w:val="0"/>
        </w:numPr>
        <w:ind w:left="432"/>
        <w:jc w:val="center"/>
        <w:rPr>
          <w:i w:val="0"/>
        </w:rPr>
      </w:pPr>
      <w:r w:rsidRPr="00A8737C">
        <w:rPr>
          <w:i w:val="0"/>
        </w:rPr>
        <w:lastRenderedPageBreak/>
        <w:t>References</w:t>
      </w:r>
      <w:bookmarkEnd w:id="22"/>
      <w:bookmarkEnd w:id="23"/>
    </w:p>
    <w:p w14:paraId="56135D4F" w14:textId="77777777" w:rsidR="00440BE9" w:rsidRDefault="00440BE9" w:rsidP="00736765">
      <w:pPr>
        <w:ind w:left="720" w:hanging="720"/>
      </w:pPr>
      <w:r w:rsidRPr="00440BE9">
        <w:t>Borrero, J.D., 2023. Agri-food Cooperatives’ Online Marketing: Evaluation of the Strategies Utilized by Spanish and UK Food Retailers Pre-and Post-COVID-19 Pandemic. </w:t>
      </w:r>
      <w:r w:rsidRPr="00440BE9">
        <w:rPr>
          <w:i/>
          <w:iCs/>
        </w:rPr>
        <w:t xml:space="preserve">CIRIEC-España, </w:t>
      </w:r>
      <w:proofErr w:type="spellStart"/>
      <w:r w:rsidRPr="00440BE9">
        <w:rPr>
          <w:i/>
          <w:iCs/>
        </w:rPr>
        <w:t>revista</w:t>
      </w:r>
      <w:proofErr w:type="spellEnd"/>
      <w:r w:rsidRPr="00440BE9">
        <w:rPr>
          <w:i/>
          <w:iCs/>
        </w:rPr>
        <w:t xml:space="preserve"> de </w:t>
      </w:r>
      <w:proofErr w:type="spellStart"/>
      <w:r w:rsidRPr="00440BE9">
        <w:rPr>
          <w:i/>
          <w:iCs/>
        </w:rPr>
        <w:t>economía</w:t>
      </w:r>
      <w:proofErr w:type="spellEnd"/>
      <w:r w:rsidRPr="00440BE9">
        <w:rPr>
          <w:i/>
          <w:iCs/>
        </w:rPr>
        <w:t xml:space="preserve"> </w:t>
      </w:r>
      <w:proofErr w:type="spellStart"/>
      <w:r w:rsidRPr="00440BE9">
        <w:rPr>
          <w:i/>
          <w:iCs/>
        </w:rPr>
        <w:t>pública</w:t>
      </w:r>
      <w:proofErr w:type="spellEnd"/>
      <w:r w:rsidRPr="00440BE9">
        <w:rPr>
          <w:i/>
          <w:iCs/>
        </w:rPr>
        <w:t xml:space="preserve">, social y </w:t>
      </w:r>
      <w:proofErr w:type="spellStart"/>
      <w:r w:rsidRPr="00440BE9">
        <w:rPr>
          <w:i/>
          <w:iCs/>
        </w:rPr>
        <w:t>cooperativa</w:t>
      </w:r>
      <w:proofErr w:type="spellEnd"/>
      <w:r w:rsidRPr="00440BE9">
        <w:t>, (107), pp.169-195.</w:t>
      </w:r>
    </w:p>
    <w:p w14:paraId="3FEF86F3" w14:textId="77777777" w:rsidR="00440BE9" w:rsidRDefault="00440BE9" w:rsidP="00736765">
      <w:pPr>
        <w:ind w:left="720" w:hanging="720"/>
      </w:pPr>
      <w:r w:rsidRPr="00440BE9">
        <w:t>Carruthers, T.R., Huynh, Q.C., Hordyk, A.R., Newman, D., Smith, A.D., Sainsbury, K.J., Stokes, K., Morison, A., Agnew, D., Parma, A. and Sobrino, I., 2023. Method evaluation and risk assessment: a framework for evaluating management strategies for data‐limited fisheries. </w:t>
      </w:r>
      <w:r w:rsidRPr="00440BE9">
        <w:rPr>
          <w:i/>
          <w:iCs/>
        </w:rPr>
        <w:t>Fish and Fisheries</w:t>
      </w:r>
      <w:r w:rsidRPr="00440BE9">
        <w:t>, </w:t>
      </w:r>
      <w:r w:rsidRPr="00440BE9">
        <w:rPr>
          <w:i/>
          <w:iCs/>
        </w:rPr>
        <w:t>24</w:t>
      </w:r>
      <w:r w:rsidRPr="00440BE9">
        <w:t>(2), pp.279-296.</w:t>
      </w:r>
    </w:p>
    <w:p w14:paraId="6318FDA7" w14:textId="77777777" w:rsidR="00440BE9" w:rsidRDefault="00440BE9" w:rsidP="00736765">
      <w:pPr>
        <w:ind w:left="720" w:hanging="720"/>
      </w:pPr>
      <w:r w:rsidRPr="00440BE9">
        <w:t xml:space="preserve">Coyle, D. and </w:t>
      </w:r>
      <w:proofErr w:type="spellStart"/>
      <w:r w:rsidRPr="00440BE9">
        <w:t>Gamberi</w:t>
      </w:r>
      <w:proofErr w:type="spellEnd"/>
      <w:r w:rsidRPr="00440BE9">
        <w:t>, L., 2024. A real options approach to data valuation. </w:t>
      </w:r>
      <w:r w:rsidRPr="00440BE9">
        <w:rPr>
          <w:i/>
          <w:iCs/>
        </w:rPr>
        <w:t>Business Economics</w:t>
      </w:r>
      <w:r w:rsidRPr="00440BE9">
        <w:t>, pp.1-8.</w:t>
      </w:r>
    </w:p>
    <w:p w14:paraId="50C7E6A7" w14:textId="77777777" w:rsidR="00440BE9" w:rsidRDefault="00440BE9" w:rsidP="00736765">
      <w:pPr>
        <w:ind w:left="720" w:hanging="720"/>
      </w:pPr>
      <w:r w:rsidRPr="00440BE9">
        <w:t>de Boer, E. and Chin, X.Y., 2025. Loyalty Program Currency Valuation, Articulation, and Monetization. In </w:t>
      </w:r>
      <w:r w:rsidRPr="00440BE9">
        <w:rPr>
          <w:i/>
          <w:iCs/>
        </w:rPr>
        <w:t>Loyalty Programs and the Currency Effect: A Comprehensive Guide to Realizing the Power of Points</w:t>
      </w:r>
      <w:r w:rsidRPr="00440BE9">
        <w:t> (pp. 157-173). Cham: Springer Nature Switzerland.</w:t>
      </w:r>
    </w:p>
    <w:p w14:paraId="1FE87F98" w14:textId="77777777" w:rsidR="00440BE9" w:rsidRDefault="00440BE9" w:rsidP="00736765">
      <w:pPr>
        <w:ind w:left="720" w:hanging="720"/>
      </w:pPr>
      <w:r w:rsidRPr="00440BE9">
        <w:t>Do, B., Nguyen, N., Nguyen, H. and Jiang, X., 2023. Examining ecological strategies adopted by agricultural exporting firms in an emerging country. </w:t>
      </w:r>
      <w:r w:rsidRPr="00440BE9">
        <w:rPr>
          <w:i/>
          <w:iCs/>
        </w:rPr>
        <w:t>British Food Journal</w:t>
      </w:r>
      <w:r w:rsidRPr="00440BE9">
        <w:t>, </w:t>
      </w:r>
      <w:r w:rsidRPr="00440BE9">
        <w:rPr>
          <w:i/>
          <w:iCs/>
        </w:rPr>
        <w:t>125</w:t>
      </w:r>
      <w:r w:rsidRPr="00440BE9">
        <w:t>(3), pp.1008-1025.</w:t>
      </w:r>
    </w:p>
    <w:p w14:paraId="3573A56A" w14:textId="77777777" w:rsidR="00440BE9" w:rsidRDefault="00440BE9" w:rsidP="00736765">
      <w:pPr>
        <w:ind w:left="720" w:hanging="720"/>
      </w:pPr>
      <w:proofErr w:type="spellStart"/>
      <w:r w:rsidRPr="00440BE9">
        <w:t>Grashuis</w:t>
      </w:r>
      <w:proofErr w:type="spellEnd"/>
      <w:r w:rsidRPr="00440BE9">
        <w:t xml:space="preserve">, J. and </w:t>
      </w:r>
      <w:proofErr w:type="spellStart"/>
      <w:r w:rsidRPr="00440BE9">
        <w:t>Hakelius</w:t>
      </w:r>
      <w:proofErr w:type="spellEnd"/>
      <w:r w:rsidRPr="00440BE9">
        <w:t>, K., 2023. Pricing strategies of corporations and consumer co-operatives in the food retail sector: Evidence from England, Sweden, and the Netherlands. </w:t>
      </w:r>
      <w:r w:rsidRPr="00440BE9">
        <w:rPr>
          <w:i/>
          <w:iCs/>
        </w:rPr>
        <w:t>Journal of Co-operative Organization and Management</w:t>
      </w:r>
      <w:r w:rsidRPr="00440BE9">
        <w:t>, </w:t>
      </w:r>
      <w:r w:rsidRPr="00440BE9">
        <w:rPr>
          <w:i/>
          <w:iCs/>
        </w:rPr>
        <w:t>11</w:t>
      </w:r>
      <w:r w:rsidRPr="00440BE9">
        <w:t>(1), p.100204.</w:t>
      </w:r>
    </w:p>
    <w:p w14:paraId="309D9A04" w14:textId="77777777" w:rsidR="00440BE9" w:rsidRDefault="00440BE9" w:rsidP="00736765">
      <w:pPr>
        <w:ind w:left="720" w:hanging="720"/>
      </w:pPr>
      <w:r w:rsidRPr="00440BE9">
        <w:t>Hartfield, T.R., 2024. Overcoming Data Barriers: Strategies for New Entrants to Achieve Differentiation in the UK Food Retail Market. </w:t>
      </w:r>
      <w:r w:rsidRPr="00440BE9">
        <w:rPr>
          <w:i/>
          <w:iCs/>
        </w:rPr>
        <w:t>Journal of World Economy</w:t>
      </w:r>
      <w:r w:rsidRPr="00440BE9">
        <w:t>, </w:t>
      </w:r>
      <w:r w:rsidRPr="00440BE9">
        <w:rPr>
          <w:i/>
          <w:iCs/>
        </w:rPr>
        <w:t>3</w:t>
      </w:r>
      <w:r w:rsidRPr="00440BE9">
        <w:t>(3), pp.68-83.</w:t>
      </w:r>
    </w:p>
    <w:p w14:paraId="5A0CA4F6" w14:textId="327F1946" w:rsidR="00440BE9" w:rsidRDefault="00440BE9" w:rsidP="00736765">
      <w:pPr>
        <w:ind w:left="720" w:hanging="720"/>
      </w:pPr>
      <w:r w:rsidRPr="00440BE9">
        <w:t xml:space="preserve">Jones, G.G., Lopes, T.D.S., </w:t>
      </w:r>
      <w:proofErr w:type="spellStart"/>
      <w:r w:rsidRPr="00440BE9">
        <w:t>Pananond</w:t>
      </w:r>
      <w:proofErr w:type="spellEnd"/>
      <w:r w:rsidRPr="00440BE9">
        <w:t xml:space="preserve">, P., van </w:t>
      </w:r>
      <w:proofErr w:type="spellStart"/>
      <w:r w:rsidRPr="00440BE9">
        <w:t>Tulder</w:t>
      </w:r>
      <w:proofErr w:type="spellEnd"/>
      <w:r w:rsidRPr="00440BE9">
        <w:t>, R., Sinkovics, N. and Sinkovics, R.R., 2025. Transitioning from responsible and reactive to deeply responsible and proactive international business. </w:t>
      </w:r>
      <w:r w:rsidRPr="00440BE9">
        <w:rPr>
          <w:i/>
          <w:iCs/>
        </w:rPr>
        <w:t>Critical Perspectives on International Business</w:t>
      </w:r>
      <w:r w:rsidRPr="00440BE9">
        <w:t>, </w:t>
      </w:r>
      <w:r w:rsidRPr="00440BE9">
        <w:rPr>
          <w:i/>
          <w:iCs/>
        </w:rPr>
        <w:t>21</w:t>
      </w:r>
      <w:r w:rsidRPr="00440BE9">
        <w:t>(2), pp.196-225.</w:t>
      </w:r>
    </w:p>
    <w:p w14:paraId="32215207" w14:textId="3DD69ED8" w:rsidR="00440BE9" w:rsidRDefault="00440BE9" w:rsidP="00736765">
      <w:pPr>
        <w:ind w:left="720" w:hanging="720"/>
      </w:pPr>
      <w:r w:rsidRPr="00440BE9">
        <w:lastRenderedPageBreak/>
        <w:t>Li, L., Wang, Y. and Zhang, Y.Y., 2023. A critical examination of M</w:t>
      </w:r>
      <w:r>
        <w:t>and</w:t>
      </w:r>
      <w:r w:rsidRPr="00440BE9">
        <w:t>S's current strategic and marketing position, as well as potential sustainable competitive marketing strategies. </w:t>
      </w:r>
      <w:r w:rsidRPr="00440BE9">
        <w:rPr>
          <w:i/>
          <w:iCs/>
        </w:rPr>
        <w:t>International Journal of Science and Business</w:t>
      </w:r>
      <w:r w:rsidRPr="00440BE9">
        <w:t>, </w:t>
      </w:r>
      <w:r w:rsidRPr="00440BE9">
        <w:rPr>
          <w:i/>
          <w:iCs/>
        </w:rPr>
        <w:t>18</w:t>
      </w:r>
      <w:r w:rsidRPr="00440BE9">
        <w:t>(1), pp.108-117.</w:t>
      </w:r>
    </w:p>
    <w:p w14:paraId="43549628" w14:textId="77777777" w:rsidR="00440BE9" w:rsidRDefault="00440BE9" w:rsidP="00736765">
      <w:pPr>
        <w:ind w:left="720" w:hanging="720"/>
      </w:pPr>
      <w:r w:rsidRPr="00440BE9">
        <w:t>Liu, R., 2023. Multi-Perspective Analysis of the Sustainable Transformation of Multinational Companies. </w:t>
      </w:r>
      <w:r w:rsidRPr="00440BE9">
        <w:rPr>
          <w:i/>
          <w:iCs/>
        </w:rPr>
        <w:t>Journal of Progress in Engineering and Physical Science</w:t>
      </w:r>
      <w:r w:rsidRPr="00440BE9">
        <w:t>, </w:t>
      </w:r>
      <w:r w:rsidRPr="00440BE9">
        <w:rPr>
          <w:i/>
          <w:iCs/>
        </w:rPr>
        <w:t>2</w:t>
      </w:r>
      <w:r w:rsidRPr="00440BE9">
        <w:t>(2), pp.59-65.</w:t>
      </w:r>
    </w:p>
    <w:p w14:paraId="1F115E8A" w14:textId="13208CD2" w:rsidR="00440BE9" w:rsidRDefault="00440BE9" w:rsidP="00736765">
      <w:pPr>
        <w:ind w:left="720" w:hanging="720"/>
      </w:pPr>
      <w:r w:rsidRPr="00440BE9">
        <w:t>Ndlovu, S.G., 2024. Private label brands vs national brands: new battle fronts and future competition. </w:t>
      </w:r>
      <w:r w:rsidRPr="00440BE9">
        <w:rPr>
          <w:i/>
          <w:iCs/>
        </w:rPr>
        <w:t xml:space="preserve">Cogent Business </w:t>
      </w:r>
      <w:r>
        <w:rPr>
          <w:i/>
          <w:iCs/>
        </w:rPr>
        <w:t>and</w:t>
      </w:r>
      <w:r w:rsidRPr="00440BE9">
        <w:rPr>
          <w:i/>
          <w:iCs/>
        </w:rPr>
        <w:t xml:space="preserve"> Management</w:t>
      </w:r>
      <w:r w:rsidRPr="00440BE9">
        <w:t>, </w:t>
      </w:r>
      <w:r w:rsidRPr="00440BE9">
        <w:rPr>
          <w:i/>
          <w:iCs/>
        </w:rPr>
        <w:t>11</w:t>
      </w:r>
      <w:r w:rsidRPr="00440BE9">
        <w:t>(1), p.2321877.</w:t>
      </w:r>
    </w:p>
    <w:p w14:paraId="78649E15" w14:textId="0C8C8D52" w:rsidR="00440BE9" w:rsidRDefault="00440BE9" w:rsidP="00736765">
      <w:pPr>
        <w:ind w:left="720" w:hanging="720"/>
      </w:pPr>
      <w:proofErr w:type="spellStart"/>
      <w:r w:rsidRPr="00440BE9">
        <w:t>Osiyevskyy</w:t>
      </w:r>
      <w:proofErr w:type="spellEnd"/>
      <w:r w:rsidRPr="00440BE9">
        <w:t xml:space="preserve">, O., </w:t>
      </w:r>
      <w:proofErr w:type="spellStart"/>
      <w:r w:rsidRPr="00440BE9">
        <w:t>Umantsiv</w:t>
      </w:r>
      <w:proofErr w:type="spellEnd"/>
      <w:r w:rsidRPr="00440BE9">
        <w:t xml:space="preserve">, Y. and </w:t>
      </w:r>
      <w:proofErr w:type="spellStart"/>
      <w:r w:rsidRPr="00440BE9">
        <w:t>Kavun</w:t>
      </w:r>
      <w:proofErr w:type="spellEnd"/>
      <w:r w:rsidRPr="00440BE9">
        <w:t>, O., 2024. Strategy for striking the omnichannel balance in Retail 4.0. </w:t>
      </w:r>
      <w:r w:rsidRPr="00440BE9">
        <w:rPr>
          <w:i/>
          <w:iCs/>
        </w:rPr>
        <w:t xml:space="preserve">Strategy </w:t>
      </w:r>
      <w:r>
        <w:rPr>
          <w:i/>
          <w:iCs/>
        </w:rPr>
        <w:t>and</w:t>
      </w:r>
      <w:r w:rsidRPr="00440BE9">
        <w:rPr>
          <w:i/>
          <w:iCs/>
        </w:rPr>
        <w:t xml:space="preserve"> Leadership</w:t>
      </w:r>
      <w:r w:rsidRPr="00440BE9">
        <w:t>, </w:t>
      </w:r>
      <w:r w:rsidRPr="00440BE9">
        <w:rPr>
          <w:i/>
          <w:iCs/>
        </w:rPr>
        <w:t>52</w:t>
      </w:r>
      <w:r w:rsidRPr="00440BE9">
        <w:t>(3/4), pp.7-19.</w:t>
      </w:r>
    </w:p>
    <w:p w14:paraId="4711968C" w14:textId="77777777" w:rsidR="00440BE9" w:rsidRDefault="00440BE9" w:rsidP="00736765">
      <w:pPr>
        <w:ind w:left="720" w:hanging="720"/>
      </w:pPr>
      <w:proofErr w:type="spellStart"/>
      <w:r w:rsidRPr="00440BE9">
        <w:t>Rop</w:t>
      </w:r>
      <w:proofErr w:type="spellEnd"/>
      <w:r w:rsidRPr="00440BE9">
        <w:t>, F.K., 2023. </w:t>
      </w:r>
      <w:r w:rsidRPr="00440BE9">
        <w:rPr>
          <w:i/>
          <w:iCs/>
        </w:rPr>
        <w:t>Influence of corporate social responsibility on sustainable growth of large supermarkets in Kenya</w:t>
      </w:r>
      <w:r w:rsidRPr="00440BE9">
        <w:t> (Doctoral dissertation).</w:t>
      </w:r>
    </w:p>
    <w:p w14:paraId="08C949B6" w14:textId="77777777" w:rsidR="00440BE9" w:rsidRDefault="00440BE9" w:rsidP="00736765">
      <w:pPr>
        <w:ind w:left="720" w:hanging="720"/>
      </w:pPr>
      <w:r w:rsidRPr="00440BE9">
        <w:t>Rusanen, O., 2023. The importance of resources. </w:t>
      </w:r>
      <w:r w:rsidRPr="00440BE9">
        <w:rPr>
          <w:i/>
          <w:iCs/>
        </w:rPr>
        <w:t>The Red Queen Retail Race: An Innovation Pandemic in the Era of Digitization</w:t>
      </w:r>
      <w:r w:rsidRPr="00440BE9">
        <w:t>, p.13.</w:t>
      </w:r>
    </w:p>
    <w:p w14:paraId="2D1D7E38" w14:textId="77777777" w:rsidR="00440BE9" w:rsidRDefault="00440BE9" w:rsidP="00736765">
      <w:pPr>
        <w:ind w:left="720" w:hanging="720"/>
      </w:pPr>
      <w:proofErr w:type="spellStart"/>
      <w:r w:rsidRPr="00440BE9">
        <w:t>Sahidi</w:t>
      </w:r>
      <w:proofErr w:type="spellEnd"/>
      <w:r w:rsidRPr="00440BE9">
        <w:t>, B. and Nadda, V., 2025. Corporate Governance and Sustainable Development. In </w:t>
      </w:r>
      <w:r w:rsidRPr="00440BE9">
        <w:rPr>
          <w:i/>
          <w:iCs/>
        </w:rPr>
        <w:t>Governance Strategies for Effective Sustainable Development</w:t>
      </w:r>
      <w:r w:rsidRPr="00440BE9">
        <w:t> (pp. 51-64). IGI Global.</w:t>
      </w:r>
    </w:p>
    <w:p w14:paraId="5F7FFF89" w14:textId="77777777" w:rsidR="00440BE9" w:rsidRDefault="00440BE9" w:rsidP="00736765">
      <w:pPr>
        <w:ind w:left="720" w:hanging="720"/>
      </w:pPr>
      <w:r w:rsidRPr="00440BE9">
        <w:t>Samadzadeh, M., 2024. Investigating Successful E-Commerce and Digital Marketing Strategies for Major Supermarkets in the UK.</w:t>
      </w:r>
    </w:p>
    <w:p w14:paraId="4C7B18C4" w14:textId="77777777" w:rsidR="00440BE9" w:rsidRDefault="00440BE9" w:rsidP="00736765">
      <w:pPr>
        <w:ind w:left="720" w:hanging="720"/>
      </w:pPr>
      <w:r w:rsidRPr="00440BE9">
        <w:t xml:space="preserve">Scarr, J.P., Meddings, D.R., </w:t>
      </w:r>
      <w:proofErr w:type="spellStart"/>
      <w:r w:rsidRPr="00440BE9">
        <w:t>Lukaszyk</w:t>
      </w:r>
      <w:proofErr w:type="spellEnd"/>
      <w:r w:rsidRPr="00440BE9">
        <w:t xml:space="preserve">, C., </w:t>
      </w:r>
      <w:proofErr w:type="spellStart"/>
      <w:r w:rsidRPr="00440BE9">
        <w:t>Vincenten</w:t>
      </w:r>
      <w:proofErr w:type="spellEnd"/>
      <w:r w:rsidRPr="00440BE9">
        <w:t xml:space="preserve">, J.A., Rahman, A., Wills, S. and </w:t>
      </w:r>
      <w:proofErr w:type="spellStart"/>
      <w:r w:rsidRPr="00440BE9">
        <w:t>Jagnoor</w:t>
      </w:r>
      <w:proofErr w:type="spellEnd"/>
      <w:r w:rsidRPr="00440BE9">
        <w:t>, J., 2024. A framework for identifying opportunities for multisectoral action for drowning prevention in health and sustainable development agendas: a multimethod approach. </w:t>
      </w:r>
      <w:r w:rsidRPr="00440BE9">
        <w:rPr>
          <w:i/>
          <w:iCs/>
        </w:rPr>
        <w:t>BMJ Global Health</w:t>
      </w:r>
      <w:r w:rsidRPr="00440BE9">
        <w:t>, </w:t>
      </w:r>
      <w:r w:rsidRPr="00440BE9">
        <w:rPr>
          <w:i/>
          <w:iCs/>
        </w:rPr>
        <w:t>9</w:t>
      </w:r>
      <w:r w:rsidRPr="00440BE9">
        <w:t>(8), p.e016125.</w:t>
      </w:r>
    </w:p>
    <w:p w14:paraId="2971E38F" w14:textId="77777777" w:rsidR="00440BE9" w:rsidRDefault="00440BE9" w:rsidP="00736765">
      <w:pPr>
        <w:ind w:left="720" w:hanging="720"/>
      </w:pPr>
      <w:r w:rsidRPr="00440BE9">
        <w:t>Solanki, S., Shah, S. and Hasan, S., 2024, November. The Resilience of UK's Food Retail Supply Chains and Business Strategies. In </w:t>
      </w:r>
      <w:r w:rsidRPr="00440BE9">
        <w:rPr>
          <w:i/>
          <w:iCs/>
        </w:rPr>
        <w:t>2024 IEEE International Conference on Technology Management, Operations and Decisions (ICTMOD)</w:t>
      </w:r>
      <w:r w:rsidRPr="00440BE9">
        <w:t> (pp. 1-5). IEEE.</w:t>
      </w:r>
    </w:p>
    <w:p w14:paraId="1AC97518" w14:textId="7C5DC895" w:rsidR="00077D6B" w:rsidRPr="00FF77A8" w:rsidRDefault="00440BE9" w:rsidP="00736765">
      <w:pPr>
        <w:ind w:left="720" w:hanging="720"/>
      </w:pPr>
      <w:r w:rsidRPr="00440BE9">
        <w:t xml:space="preserve">Yang, M., Chen, L., Wang, J., </w:t>
      </w:r>
      <w:proofErr w:type="spellStart"/>
      <w:r w:rsidRPr="00440BE9">
        <w:t>Msigwa</w:t>
      </w:r>
      <w:proofErr w:type="spellEnd"/>
      <w:r w:rsidRPr="00440BE9">
        <w:t>, G., Osman, A.I., Fawzy, S., Rooney, D.W. and Yap, P.S., 2023. Circular economy strategies for combating climate change and other environmental issues. </w:t>
      </w:r>
      <w:r w:rsidRPr="00440BE9">
        <w:rPr>
          <w:i/>
          <w:iCs/>
        </w:rPr>
        <w:t>Environmental Chemistry Letters</w:t>
      </w:r>
      <w:r w:rsidRPr="00440BE9">
        <w:t>, </w:t>
      </w:r>
      <w:r w:rsidRPr="00440BE9">
        <w:rPr>
          <w:i/>
          <w:iCs/>
        </w:rPr>
        <w:t>21</w:t>
      </w:r>
      <w:r w:rsidRPr="00440BE9">
        <w:t>(1), pp.55-80.</w:t>
      </w:r>
    </w:p>
    <w:sectPr w:rsidR="00077D6B" w:rsidRPr="00FF77A8" w:rsidSect="009A0357">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13277" w14:textId="77777777" w:rsidR="000A745D" w:rsidRDefault="000A745D" w:rsidP="00123662">
      <w:pPr>
        <w:spacing w:before="0" w:after="0" w:line="240" w:lineRule="auto"/>
      </w:pPr>
      <w:r>
        <w:separator/>
      </w:r>
    </w:p>
  </w:endnote>
  <w:endnote w:type="continuationSeparator" w:id="0">
    <w:p w14:paraId="65A7B890" w14:textId="77777777" w:rsidR="000A745D" w:rsidRDefault="000A745D"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759E2" w14:textId="77777777" w:rsidR="000A745D" w:rsidRDefault="000A745D" w:rsidP="00123662">
      <w:pPr>
        <w:spacing w:before="0" w:after="0" w:line="240" w:lineRule="auto"/>
      </w:pPr>
      <w:r>
        <w:separator/>
      </w:r>
    </w:p>
  </w:footnote>
  <w:footnote w:type="continuationSeparator" w:id="0">
    <w:p w14:paraId="0160569C" w14:textId="77777777" w:rsidR="000A745D" w:rsidRDefault="000A745D"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2DA5C399" w14:textId="6C3D33FA" w:rsidR="00EE5682" w:rsidRDefault="00EE5682">
        <w:pPr>
          <w:pStyle w:val="Header"/>
          <w:jc w:val="right"/>
        </w:pPr>
        <w:r>
          <w:t xml:space="preserve">           </w:t>
        </w:r>
        <w:r>
          <w:fldChar w:fldCharType="begin"/>
        </w:r>
        <w:r>
          <w:instrText xml:space="preserve"> PAGE   \* MERGEFORMAT </w:instrText>
        </w:r>
        <w:r>
          <w:fldChar w:fldCharType="separate"/>
        </w:r>
        <w:r w:rsidR="008F767A">
          <w:rPr>
            <w:noProof/>
          </w:rPr>
          <w:t>2</w:t>
        </w:r>
        <w:r>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6"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2134252983">
    <w:abstractNumId w:val="12"/>
  </w:num>
  <w:num w:numId="2" w16cid:durableId="434637043">
    <w:abstractNumId w:val="9"/>
  </w:num>
  <w:num w:numId="3" w16cid:durableId="678239041">
    <w:abstractNumId w:val="21"/>
  </w:num>
  <w:num w:numId="4" w16cid:durableId="1306741710">
    <w:abstractNumId w:val="24"/>
  </w:num>
  <w:num w:numId="5" w16cid:durableId="1134909553">
    <w:abstractNumId w:val="15"/>
  </w:num>
  <w:num w:numId="6" w16cid:durableId="1913538503">
    <w:abstractNumId w:val="13"/>
  </w:num>
  <w:num w:numId="7" w16cid:durableId="1555000495">
    <w:abstractNumId w:val="16"/>
  </w:num>
  <w:num w:numId="8" w16cid:durableId="147209380">
    <w:abstractNumId w:val="22"/>
  </w:num>
  <w:num w:numId="9" w16cid:durableId="1103264391">
    <w:abstractNumId w:val="11"/>
  </w:num>
  <w:num w:numId="10" w16cid:durableId="390933592">
    <w:abstractNumId w:val="26"/>
  </w:num>
  <w:num w:numId="11" w16cid:durableId="350181197">
    <w:abstractNumId w:val="8"/>
  </w:num>
  <w:num w:numId="12" w16cid:durableId="1921479657">
    <w:abstractNumId w:val="19"/>
  </w:num>
  <w:num w:numId="13" w16cid:durableId="760613220">
    <w:abstractNumId w:val="27"/>
  </w:num>
  <w:num w:numId="14" w16cid:durableId="1938751814">
    <w:abstractNumId w:val="7"/>
  </w:num>
  <w:num w:numId="15" w16cid:durableId="228076709">
    <w:abstractNumId w:val="0"/>
  </w:num>
  <w:num w:numId="16" w16cid:durableId="1870797843">
    <w:abstractNumId w:val="10"/>
  </w:num>
  <w:num w:numId="17" w16cid:durableId="1694309582">
    <w:abstractNumId w:val="1"/>
  </w:num>
  <w:num w:numId="18" w16cid:durableId="664894693">
    <w:abstractNumId w:val="4"/>
  </w:num>
  <w:num w:numId="19" w16cid:durableId="1086463595">
    <w:abstractNumId w:val="20"/>
  </w:num>
  <w:num w:numId="20" w16cid:durableId="2072578947">
    <w:abstractNumId w:val="2"/>
  </w:num>
  <w:num w:numId="21" w16cid:durableId="1191725230">
    <w:abstractNumId w:val="28"/>
  </w:num>
  <w:num w:numId="22" w16cid:durableId="92748738">
    <w:abstractNumId w:val="14"/>
  </w:num>
  <w:num w:numId="23" w16cid:durableId="1500003498">
    <w:abstractNumId w:val="23"/>
  </w:num>
  <w:num w:numId="24" w16cid:durableId="2130469176">
    <w:abstractNumId w:val="6"/>
  </w:num>
  <w:num w:numId="25" w16cid:durableId="1230653614">
    <w:abstractNumId w:val="5"/>
  </w:num>
  <w:num w:numId="26" w16cid:durableId="1174802755">
    <w:abstractNumId w:val="25"/>
  </w:num>
  <w:num w:numId="27" w16cid:durableId="734090932">
    <w:abstractNumId w:val="17"/>
  </w:num>
  <w:num w:numId="28" w16cid:durableId="1447577923">
    <w:abstractNumId w:val="29"/>
  </w:num>
  <w:num w:numId="29" w16cid:durableId="1014500049">
    <w:abstractNumId w:val="18"/>
  </w:num>
  <w:num w:numId="30" w16cid:durableId="1068040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47DF"/>
    <w:rsid w:val="000050DA"/>
    <w:rsid w:val="00006E8A"/>
    <w:rsid w:val="00012346"/>
    <w:rsid w:val="00012907"/>
    <w:rsid w:val="00014216"/>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10D7"/>
    <w:rsid w:val="00041D20"/>
    <w:rsid w:val="00045901"/>
    <w:rsid w:val="000509B7"/>
    <w:rsid w:val="00050EDC"/>
    <w:rsid w:val="00050F7F"/>
    <w:rsid w:val="000517FA"/>
    <w:rsid w:val="00051F83"/>
    <w:rsid w:val="00057525"/>
    <w:rsid w:val="00057D0E"/>
    <w:rsid w:val="000634D6"/>
    <w:rsid w:val="000644AE"/>
    <w:rsid w:val="0006659B"/>
    <w:rsid w:val="00074025"/>
    <w:rsid w:val="0007455A"/>
    <w:rsid w:val="00077D6B"/>
    <w:rsid w:val="000806AC"/>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45D"/>
    <w:rsid w:val="000A77D9"/>
    <w:rsid w:val="000B4DFB"/>
    <w:rsid w:val="000B4F15"/>
    <w:rsid w:val="000B7CC3"/>
    <w:rsid w:val="000B7EEE"/>
    <w:rsid w:val="000C18BB"/>
    <w:rsid w:val="000C1DE3"/>
    <w:rsid w:val="000C223E"/>
    <w:rsid w:val="000C423C"/>
    <w:rsid w:val="000C4DB3"/>
    <w:rsid w:val="000D241F"/>
    <w:rsid w:val="000D565B"/>
    <w:rsid w:val="000D70B6"/>
    <w:rsid w:val="000E1D64"/>
    <w:rsid w:val="000E2509"/>
    <w:rsid w:val="000E2A3D"/>
    <w:rsid w:val="000E49B3"/>
    <w:rsid w:val="000E7E03"/>
    <w:rsid w:val="000F0334"/>
    <w:rsid w:val="000F05C1"/>
    <w:rsid w:val="000F3096"/>
    <w:rsid w:val="000F3877"/>
    <w:rsid w:val="000F5FD2"/>
    <w:rsid w:val="000F7C2C"/>
    <w:rsid w:val="00100A35"/>
    <w:rsid w:val="00101221"/>
    <w:rsid w:val="001015EE"/>
    <w:rsid w:val="00102D03"/>
    <w:rsid w:val="00103BD7"/>
    <w:rsid w:val="0010416F"/>
    <w:rsid w:val="0011471F"/>
    <w:rsid w:val="001216B9"/>
    <w:rsid w:val="00123061"/>
    <w:rsid w:val="00123662"/>
    <w:rsid w:val="00124FC9"/>
    <w:rsid w:val="00127E76"/>
    <w:rsid w:val="001307E4"/>
    <w:rsid w:val="00132476"/>
    <w:rsid w:val="001333F1"/>
    <w:rsid w:val="00133E32"/>
    <w:rsid w:val="001340A1"/>
    <w:rsid w:val="00137DB5"/>
    <w:rsid w:val="00140618"/>
    <w:rsid w:val="00142B6F"/>
    <w:rsid w:val="00144978"/>
    <w:rsid w:val="0015316B"/>
    <w:rsid w:val="00155C2E"/>
    <w:rsid w:val="001563BE"/>
    <w:rsid w:val="00160B90"/>
    <w:rsid w:val="00163F65"/>
    <w:rsid w:val="00164383"/>
    <w:rsid w:val="00166A7E"/>
    <w:rsid w:val="001728AE"/>
    <w:rsid w:val="00172B14"/>
    <w:rsid w:val="001732EC"/>
    <w:rsid w:val="00174B81"/>
    <w:rsid w:val="0017782B"/>
    <w:rsid w:val="00180506"/>
    <w:rsid w:val="001844A8"/>
    <w:rsid w:val="00191FA0"/>
    <w:rsid w:val="001936D9"/>
    <w:rsid w:val="0019381C"/>
    <w:rsid w:val="00193FBF"/>
    <w:rsid w:val="00194889"/>
    <w:rsid w:val="001958B8"/>
    <w:rsid w:val="001967AE"/>
    <w:rsid w:val="00197A70"/>
    <w:rsid w:val="001A6473"/>
    <w:rsid w:val="001A6F58"/>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3B2C"/>
    <w:rsid w:val="001D4CE6"/>
    <w:rsid w:val="001D5DEE"/>
    <w:rsid w:val="001D65D3"/>
    <w:rsid w:val="001D7B63"/>
    <w:rsid w:val="001E24C6"/>
    <w:rsid w:val="001E2692"/>
    <w:rsid w:val="001E3508"/>
    <w:rsid w:val="001F0FEE"/>
    <w:rsid w:val="001F156A"/>
    <w:rsid w:val="001F3392"/>
    <w:rsid w:val="001F3942"/>
    <w:rsid w:val="002018DD"/>
    <w:rsid w:val="00201E02"/>
    <w:rsid w:val="002057AE"/>
    <w:rsid w:val="002071BA"/>
    <w:rsid w:val="0020721A"/>
    <w:rsid w:val="00210236"/>
    <w:rsid w:val="002102FD"/>
    <w:rsid w:val="0021075D"/>
    <w:rsid w:val="00211072"/>
    <w:rsid w:val="002113AC"/>
    <w:rsid w:val="00212AFC"/>
    <w:rsid w:val="002257F0"/>
    <w:rsid w:val="00230B20"/>
    <w:rsid w:val="00230CAC"/>
    <w:rsid w:val="00230DBF"/>
    <w:rsid w:val="0023149C"/>
    <w:rsid w:val="00231627"/>
    <w:rsid w:val="00233E01"/>
    <w:rsid w:val="00235C8C"/>
    <w:rsid w:val="00236FF3"/>
    <w:rsid w:val="00237BC9"/>
    <w:rsid w:val="00237E3E"/>
    <w:rsid w:val="00241773"/>
    <w:rsid w:val="002430E2"/>
    <w:rsid w:val="002439E7"/>
    <w:rsid w:val="0024774E"/>
    <w:rsid w:val="00254EC0"/>
    <w:rsid w:val="00260952"/>
    <w:rsid w:val="00260F7B"/>
    <w:rsid w:val="0026180A"/>
    <w:rsid w:val="00262FFF"/>
    <w:rsid w:val="002653AB"/>
    <w:rsid w:val="00265594"/>
    <w:rsid w:val="00265FA5"/>
    <w:rsid w:val="002700D9"/>
    <w:rsid w:val="002717CA"/>
    <w:rsid w:val="00273DE1"/>
    <w:rsid w:val="002748D1"/>
    <w:rsid w:val="002767BD"/>
    <w:rsid w:val="00276A82"/>
    <w:rsid w:val="0028129F"/>
    <w:rsid w:val="00281D56"/>
    <w:rsid w:val="002859AE"/>
    <w:rsid w:val="00290798"/>
    <w:rsid w:val="00295D19"/>
    <w:rsid w:val="00296572"/>
    <w:rsid w:val="002A0FDD"/>
    <w:rsid w:val="002A2181"/>
    <w:rsid w:val="002A29DC"/>
    <w:rsid w:val="002A433E"/>
    <w:rsid w:val="002A775E"/>
    <w:rsid w:val="002B0679"/>
    <w:rsid w:val="002B10AD"/>
    <w:rsid w:val="002B4DB4"/>
    <w:rsid w:val="002C0716"/>
    <w:rsid w:val="002C1967"/>
    <w:rsid w:val="002C2013"/>
    <w:rsid w:val="002C3AB7"/>
    <w:rsid w:val="002C66A3"/>
    <w:rsid w:val="002C7090"/>
    <w:rsid w:val="002C7416"/>
    <w:rsid w:val="002D4E59"/>
    <w:rsid w:val="002E001C"/>
    <w:rsid w:val="002E733C"/>
    <w:rsid w:val="002F050E"/>
    <w:rsid w:val="002F0BB1"/>
    <w:rsid w:val="002F3999"/>
    <w:rsid w:val="002F5F9B"/>
    <w:rsid w:val="002F7A0A"/>
    <w:rsid w:val="00300E12"/>
    <w:rsid w:val="00300EF9"/>
    <w:rsid w:val="00301732"/>
    <w:rsid w:val="0030343E"/>
    <w:rsid w:val="00303CF5"/>
    <w:rsid w:val="00304595"/>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5A42"/>
    <w:rsid w:val="00330919"/>
    <w:rsid w:val="0033170D"/>
    <w:rsid w:val="003323D4"/>
    <w:rsid w:val="003325F5"/>
    <w:rsid w:val="00334DAE"/>
    <w:rsid w:val="00335046"/>
    <w:rsid w:val="00336839"/>
    <w:rsid w:val="00340026"/>
    <w:rsid w:val="00344026"/>
    <w:rsid w:val="00344631"/>
    <w:rsid w:val="003449E2"/>
    <w:rsid w:val="0034528E"/>
    <w:rsid w:val="00345B78"/>
    <w:rsid w:val="0034690F"/>
    <w:rsid w:val="00347805"/>
    <w:rsid w:val="00347AFA"/>
    <w:rsid w:val="00351AE6"/>
    <w:rsid w:val="0035341C"/>
    <w:rsid w:val="0035375D"/>
    <w:rsid w:val="00355A24"/>
    <w:rsid w:val="00355EB9"/>
    <w:rsid w:val="003569CE"/>
    <w:rsid w:val="003604C2"/>
    <w:rsid w:val="00361650"/>
    <w:rsid w:val="003646A0"/>
    <w:rsid w:val="00364AF6"/>
    <w:rsid w:val="00365BCC"/>
    <w:rsid w:val="00366D5F"/>
    <w:rsid w:val="00370764"/>
    <w:rsid w:val="003766AD"/>
    <w:rsid w:val="00381BBA"/>
    <w:rsid w:val="00382EF6"/>
    <w:rsid w:val="00383091"/>
    <w:rsid w:val="00384233"/>
    <w:rsid w:val="003873BE"/>
    <w:rsid w:val="00390232"/>
    <w:rsid w:val="00391E69"/>
    <w:rsid w:val="00392273"/>
    <w:rsid w:val="00394282"/>
    <w:rsid w:val="00395398"/>
    <w:rsid w:val="003A3F99"/>
    <w:rsid w:val="003A4E60"/>
    <w:rsid w:val="003A7409"/>
    <w:rsid w:val="003A74C3"/>
    <w:rsid w:val="003B1700"/>
    <w:rsid w:val="003B3DBA"/>
    <w:rsid w:val="003B4DAF"/>
    <w:rsid w:val="003B589E"/>
    <w:rsid w:val="003B76DE"/>
    <w:rsid w:val="003B7FA9"/>
    <w:rsid w:val="003C064B"/>
    <w:rsid w:val="003C2F7E"/>
    <w:rsid w:val="003C34E1"/>
    <w:rsid w:val="003C405F"/>
    <w:rsid w:val="003C53F9"/>
    <w:rsid w:val="003C5F63"/>
    <w:rsid w:val="003C6F68"/>
    <w:rsid w:val="003D42C1"/>
    <w:rsid w:val="003D61A2"/>
    <w:rsid w:val="003D72A9"/>
    <w:rsid w:val="003D79FE"/>
    <w:rsid w:val="003E1A9A"/>
    <w:rsid w:val="003E1D89"/>
    <w:rsid w:val="003E20F3"/>
    <w:rsid w:val="003E3381"/>
    <w:rsid w:val="003E4A74"/>
    <w:rsid w:val="003E4CF6"/>
    <w:rsid w:val="003F0CDC"/>
    <w:rsid w:val="003F2B98"/>
    <w:rsid w:val="003F2E29"/>
    <w:rsid w:val="003F3AD3"/>
    <w:rsid w:val="003F4024"/>
    <w:rsid w:val="003F6C6E"/>
    <w:rsid w:val="003F6E29"/>
    <w:rsid w:val="0040197F"/>
    <w:rsid w:val="00402C49"/>
    <w:rsid w:val="00405BDE"/>
    <w:rsid w:val="00405CE3"/>
    <w:rsid w:val="00406F4D"/>
    <w:rsid w:val="00407885"/>
    <w:rsid w:val="004129F2"/>
    <w:rsid w:val="0041320B"/>
    <w:rsid w:val="00417B92"/>
    <w:rsid w:val="004204CA"/>
    <w:rsid w:val="004223F0"/>
    <w:rsid w:val="00422FAE"/>
    <w:rsid w:val="00423214"/>
    <w:rsid w:val="00423C62"/>
    <w:rsid w:val="00424E93"/>
    <w:rsid w:val="00425590"/>
    <w:rsid w:val="0043000F"/>
    <w:rsid w:val="00430046"/>
    <w:rsid w:val="00430B61"/>
    <w:rsid w:val="00432D18"/>
    <w:rsid w:val="00432ED7"/>
    <w:rsid w:val="004374AE"/>
    <w:rsid w:val="004375E6"/>
    <w:rsid w:val="0044003A"/>
    <w:rsid w:val="0044095D"/>
    <w:rsid w:val="00440BE9"/>
    <w:rsid w:val="0044128C"/>
    <w:rsid w:val="00442C07"/>
    <w:rsid w:val="00444411"/>
    <w:rsid w:val="004543DF"/>
    <w:rsid w:val="00454E26"/>
    <w:rsid w:val="004557CF"/>
    <w:rsid w:val="004603F1"/>
    <w:rsid w:val="00463B1D"/>
    <w:rsid w:val="00463DF1"/>
    <w:rsid w:val="00465BD8"/>
    <w:rsid w:val="00466920"/>
    <w:rsid w:val="00467759"/>
    <w:rsid w:val="0047271D"/>
    <w:rsid w:val="004728B6"/>
    <w:rsid w:val="00474E8C"/>
    <w:rsid w:val="00476729"/>
    <w:rsid w:val="00476C93"/>
    <w:rsid w:val="004771EA"/>
    <w:rsid w:val="004802AB"/>
    <w:rsid w:val="0048234D"/>
    <w:rsid w:val="00482A1B"/>
    <w:rsid w:val="00483298"/>
    <w:rsid w:val="00483EDE"/>
    <w:rsid w:val="004867E0"/>
    <w:rsid w:val="004918D8"/>
    <w:rsid w:val="00491985"/>
    <w:rsid w:val="00492590"/>
    <w:rsid w:val="004928D6"/>
    <w:rsid w:val="0049344F"/>
    <w:rsid w:val="0049666A"/>
    <w:rsid w:val="004977EB"/>
    <w:rsid w:val="004B0070"/>
    <w:rsid w:val="004B2F71"/>
    <w:rsid w:val="004B5124"/>
    <w:rsid w:val="004B67B6"/>
    <w:rsid w:val="004B7259"/>
    <w:rsid w:val="004C062C"/>
    <w:rsid w:val="004C0FDE"/>
    <w:rsid w:val="004C1C25"/>
    <w:rsid w:val="004C29D7"/>
    <w:rsid w:val="004C36E8"/>
    <w:rsid w:val="004C399C"/>
    <w:rsid w:val="004C5825"/>
    <w:rsid w:val="004C71F4"/>
    <w:rsid w:val="004C786C"/>
    <w:rsid w:val="004D16A1"/>
    <w:rsid w:val="004D23B3"/>
    <w:rsid w:val="004D322B"/>
    <w:rsid w:val="004D3808"/>
    <w:rsid w:val="004D66BA"/>
    <w:rsid w:val="004D7480"/>
    <w:rsid w:val="004E51B9"/>
    <w:rsid w:val="004F04D6"/>
    <w:rsid w:val="004F23E0"/>
    <w:rsid w:val="004F3E6F"/>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B18"/>
    <w:rsid w:val="005241E8"/>
    <w:rsid w:val="005308E7"/>
    <w:rsid w:val="005318E0"/>
    <w:rsid w:val="00532896"/>
    <w:rsid w:val="0053487D"/>
    <w:rsid w:val="00535C92"/>
    <w:rsid w:val="00536502"/>
    <w:rsid w:val="0053650F"/>
    <w:rsid w:val="0053749D"/>
    <w:rsid w:val="00546A07"/>
    <w:rsid w:val="0054701E"/>
    <w:rsid w:val="00551AD1"/>
    <w:rsid w:val="00553BA4"/>
    <w:rsid w:val="00556520"/>
    <w:rsid w:val="005577CA"/>
    <w:rsid w:val="005634AB"/>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96246"/>
    <w:rsid w:val="005A0E84"/>
    <w:rsid w:val="005A24EE"/>
    <w:rsid w:val="005A4394"/>
    <w:rsid w:val="005A43D3"/>
    <w:rsid w:val="005A6618"/>
    <w:rsid w:val="005B0CBB"/>
    <w:rsid w:val="005B2188"/>
    <w:rsid w:val="005B2D01"/>
    <w:rsid w:val="005B36BD"/>
    <w:rsid w:val="005B5AE2"/>
    <w:rsid w:val="005B751F"/>
    <w:rsid w:val="005B7E10"/>
    <w:rsid w:val="005C11D1"/>
    <w:rsid w:val="005C2BAD"/>
    <w:rsid w:val="005D037A"/>
    <w:rsid w:val="005D0B25"/>
    <w:rsid w:val="005D3349"/>
    <w:rsid w:val="005D7735"/>
    <w:rsid w:val="005E0398"/>
    <w:rsid w:val="005E135A"/>
    <w:rsid w:val="005E15BA"/>
    <w:rsid w:val="005E2047"/>
    <w:rsid w:val="005E2FC8"/>
    <w:rsid w:val="005E304B"/>
    <w:rsid w:val="005E5A76"/>
    <w:rsid w:val="005F1142"/>
    <w:rsid w:val="005F56FB"/>
    <w:rsid w:val="005F5922"/>
    <w:rsid w:val="005F7B29"/>
    <w:rsid w:val="00601C6B"/>
    <w:rsid w:val="006023A9"/>
    <w:rsid w:val="00602524"/>
    <w:rsid w:val="00603348"/>
    <w:rsid w:val="00603C56"/>
    <w:rsid w:val="006051BB"/>
    <w:rsid w:val="00605E3C"/>
    <w:rsid w:val="00607F1E"/>
    <w:rsid w:val="00611A09"/>
    <w:rsid w:val="00613750"/>
    <w:rsid w:val="0061485F"/>
    <w:rsid w:val="00615AFB"/>
    <w:rsid w:val="0062048D"/>
    <w:rsid w:val="006219A0"/>
    <w:rsid w:val="006222C9"/>
    <w:rsid w:val="00624F73"/>
    <w:rsid w:val="006253AD"/>
    <w:rsid w:val="0062540F"/>
    <w:rsid w:val="00625FF3"/>
    <w:rsid w:val="00632646"/>
    <w:rsid w:val="00635154"/>
    <w:rsid w:val="00636F54"/>
    <w:rsid w:val="00641667"/>
    <w:rsid w:val="006424B4"/>
    <w:rsid w:val="00643F9A"/>
    <w:rsid w:val="0065058F"/>
    <w:rsid w:val="00650A6C"/>
    <w:rsid w:val="006513A7"/>
    <w:rsid w:val="0065264F"/>
    <w:rsid w:val="00652EF8"/>
    <w:rsid w:val="006534B1"/>
    <w:rsid w:val="00657EB0"/>
    <w:rsid w:val="00660D55"/>
    <w:rsid w:val="006612E6"/>
    <w:rsid w:val="006621A7"/>
    <w:rsid w:val="00662271"/>
    <w:rsid w:val="00663431"/>
    <w:rsid w:val="00663433"/>
    <w:rsid w:val="006657EF"/>
    <w:rsid w:val="00666B14"/>
    <w:rsid w:val="00666EAE"/>
    <w:rsid w:val="00671577"/>
    <w:rsid w:val="00675917"/>
    <w:rsid w:val="00675D1C"/>
    <w:rsid w:val="006769A5"/>
    <w:rsid w:val="006808BC"/>
    <w:rsid w:val="00681D5B"/>
    <w:rsid w:val="00681EB4"/>
    <w:rsid w:val="0068359B"/>
    <w:rsid w:val="00684C05"/>
    <w:rsid w:val="00685176"/>
    <w:rsid w:val="00685694"/>
    <w:rsid w:val="00690216"/>
    <w:rsid w:val="0069482B"/>
    <w:rsid w:val="006951A3"/>
    <w:rsid w:val="00695D86"/>
    <w:rsid w:val="006968CE"/>
    <w:rsid w:val="006A0452"/>
    <w:rsid w:val="006A18F3"/>
    <w:rsid w:val="006A3E13"/>
    <w:rsid w:val="006A68F0"/>
    <w:rsid w:val="006A7DD5"/>
    <w:rsid w:val="006B02D7"/>
    <w:rsid w:val="006B0B50"/>
    <w:rsid w:val="006B4E80"/>
    <w:rsid w:val="006B54E6"/>
    <w:rsid w:val="006C0179"/>
    <w:rsid w:val="006C04F3"/>
    <w:rsid w:val="006C5AFD"/>
    <w:rsid w:val="006C5B46"/>
    <w:rsid w:val="006C70C4"/>
    <w:rsid w:val="006D3001"/>
    <w:rsid w:val="006D3B94"/>
    <w:rsid w:val="006D4411"/>
    <w:rsid w:val="006D4856"/>
    <w:rsid w:val="006D4E76"/>
    <w:rsid w:val="006D5AF7"/>
    <w:rsid w:val="006D6712"/>
    <w:rsid w:val="006E06FE"/>
    <w:rsid w:val="006E0769"/>
    <w:rsid w:val="006E10C5"/>
    <w:rsid w:val="006E4F20"/>
    <w:rsid w:val="006E7B0E"/>
    <w:rsid w:val="006E7B22"/>
    <w:rsid w:val="006F0A75"/>
    <w:rsid w:val="006F1A1A"/>
    <w:rsid w:val="006F1E32"/>
    <w:rsid w:val="006F23FE"/>
    <w:rsid w:val="006F27F0"/>
    <w:rsid w:val="006F5ADF"/>
    <w:rsid w:val="006F7378"/>
    <w:rsid w:val="007009EF"/>
    <w:rsid w:val="007012D0"/>
    <w:rsid w:val="00701F3C"/>
    <w:rsid w:val="007028FD"/>
    <w:rsid w:val="007033A2"/>
    <w:rsid w:val="0070352E"/>
    <w:rsid w:val="00703C6B"/>
    <w:rsid w:val="00704490"/>
    <w:rsid w:val="00704655"/>
    <w:rsid w:val="007078EA"/>
    <w:rsid w:val="00710DA3"/>
    <w:rsid w:val="00711798"/>
    <w:rsid w:val="00712CCD"/>
    <w:rsid w:val="0071314A"/>
    <w:rsid w:val="0071390A"/>
    <w:rsid w:val="00714C35"/>
    <w:rsid w:val="0071670F"/>
    <w:rsid w:val="00716975"/>
    <w:rsid w:val="00717D84"/>
    <w:rsid w:val="007201DF"/>
    <w:rsid w:val="007208D5"/>
    <w:rsid w:val="00721057"/>
    <w:rsid w:val="007256C1"/>
    <w:rsid w:val="00732E31"/>
    <w:rsid w:val="007334D6"/>
    <w:rsid w:val="00734F95"/>
    <w:rsid w:val="00736765"/>
    <w:rsid w:val="007376E3"/>
    <w:rsid w:val="00737C29"/>
    <w:rsid w:val="00746532"/>
    <w:rsid w:val="00753CFD"/>
    <w:rsid w:val="0076226A"/>
    <w:rsid w:val="00764058"/>
    <w:rsid w:val="00765217"/>
    <w:rsid w:val="0076730A"/>
    <w:rsid w:val="00767839"/>
    <w:rsid w:val="00770B3E"/>
    <w:rsid w:val="00771245"/>
    <w:rsid w:val="00774C48"/>
    <w:rsid w:val="00780533"/>
    <w:rsid w:val="00782DBF"/>
    <w:rsid w:val="00783DF0"/>
    <w:rsid w:val="00786200"/>
    <w:rsid w:val="007876DF"/>
    <w:rsid w:val="0079115A"/>
    <w:rsid w:val="007942E9"/>
    <w:rsid w:val="007970BE"/>
    <w:rsid w:val="0079715D"/>
    <w:rsid w:val="007977F4"/>
    <w:rsid w:val="00797A4F"/>
    <w:rsid w:val="007A33C8"/>
    <w:rsid w:val="007A3458"/>
    <w:rsid w:val="007A474D"/>
    <w:rsid w:val="007A583C"/>
    <w:rsid w:val="007A662E"/>
    <w:rsid w:val="007B22EC"/>
    <w:rsid w:val="007B4E49"/>
    <w:rsid w:val="007B5549"/>
    <w:rsid w:val="007B6D4E"/>
    <w:rsid w:val="007B73DA"/>
    <w:rsid w:val="007B77FD"/>
    <w:rsid w:val="007C0160"/>
    <w:rsid w:val="007C06C7"/>
    <w:rsid w:val="007C1E9F"/>
    <w:rsid w:val="007C1F7E"/>
    <w:rsid w:val="007C435F"/>
    <w:rsid w:val="007C4D53"/>
    <w:rsid w:val="007C5326"/>
    <w:rsid w:val="007C7E99"/>
    <w:rsid w:val="007D3526"/>
    <w:rsid w:val="007D65EE"/>
    <w:rsid w:val="007E033F"/>
    <w:rsid w:val="007E4981"/>
    <w:rsid w:val="007E7D88"/>
    <w:rsid w:val="007F03AB"/>
    <w:rsid w:val="007F0873"/>
    <w:rsid w:val="007F6436"/>
    <w:rsid w:val="007F68C7"/>
    <w:rsid w:val="007F6BB6"/>
    <w:rsid w:val="007F746F"/>
    <w:rsid w:val="00800B58"/>
    <w:rsid w:val="00801C05"/>
    <w:rsid w:val="00801E79"/>
    <w:rsid w:val="008020EB"/>
    <w:rsid w:val="0080223F"/>
    <w:rsid w:val="0080433E"/>
    <w:rsid w:val="0080551D"/>
    <w:rsid w:val="00806B76"/>
    <w:rsid w:val="00807B25"/>
    <w:rsid w:val="00810E4E"/>
    <w:rsid w:val="0081187C"/>
    <w:rsid w:val="00812286"/>
    <w:rsid w:val="008146AC"/>
    <w:rsid w:val="0081591D"/>
    <w:rsid w:val="00815BE1"/>
    <w:rsid w:val="008173DA"/>
    <w:rsid w:val="00817F8C"/>
    <w:rsid w:val="00823019"/>
    <w:rsid w:val="00823A10"/>
    <w:rsid w:val="00823F66"/>
    <w:rsid w:val="00824D0F"/>
    <w:rsid w:val="008273B9"/>
    <w:rsid w:val="00831216"/>
    <w:rsid w:val="0083151F"/>
    <w:rsid w:val="008325E6"/>
    <w:rsid w:val="008346BE"/>
    <w:rsid w:val="008358C6"/>
    <w:rsid w:val="008445FD"/>
    <w:rsid w:val="00845B53"/>
    <w:rsid w:val="008467A1"/>
    <w:rsid w:val="00846FF2"/>
    <w:rsid w:val="00850608"/>
    <w:rsid w:val="00851BCA"/>
    <w:rsid w:val="00853F66"/>
    <w:rsid w:val="00854222"/>
    <w:rsid w:val="00854328"/>
    <w:rsid w:val="008544FB"/>
    <w:rsid w:val="00857356"/>
    <w:rsid w:val="00861650"/>
    <w:rsid w:val="00861B2D"/>
    <w:rsid w:val="00862FE0"/>
    <w:rsid w:val="00863EB9"/>
    <w:rsid w:val="0086542D"/>
    <w:rsid w:val="00865F50"/>
    <w:rsid w:val="00867604"/>
    <w:rsid w:val="0087110B"/>
    <w:rsid w:val="008724C2"/>
    <w:rsid w:val="0087577A"/>
    <w:rsid w:val="0087600E"/>
    <w:rsid w:val="008768C7"/>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49C9"/>
    <w:rsid w:val="008B6611"/>
    <w:rsid w:val="008B7980"/>
    <w:rsid w:val="008C414C"/>
    <w:rsid w:val="008C424C"/>
    <w:rsid w:val="008C4B81"/>
    <w:rsid w:val="008C5AC8"/>
    <w:rsid w:val="008C6624"/>
    <w:rsid w:val="008C695E"/>
    <w:rsid w:val="008C6D0D"/>
    <w:rsid w:val="008C711A"/>
    <w:rsid w:val="008D11D6"/>
    <w:rsid w:val="008D12D8"/>
    <w:rsid w:val="008D19DE"/>
    <w:rsid w:val="008D4384"/>
    <w:rsid w:val="008D5BE9"/>
    <w:rsid w:val="008D74CC"/>
    <w:rsid w:val="008D7CA1"/>
    <w:rsid w:val="008E52D5"/>
    <w:rsid w:val="008F033F"/>
    <w:rsid w:val="008F0CDF"/>
    <w:rsid w:val="008F5A12"/>
    <w:rsid w:val="008F728A"/>
    <w:rsid w:val="008F767A"/>
    <w:rsid w:val="009000C4"/>
    <w:rsid w:val="00900A24"/>
    <w:rsid w:val="009031D7"/>
    <w:rsid w:val="00904D75"/>
    <w:rsid w:val="0090638E"/>
    <w:rsid w:val="00906CEF"/>
    <w:rsid w:val="009110A4"/>
    <w:rsid w:val="00911DF9"/>
    <w:rsid w:val="00912723"/>
    <w:rsid w:val="00916D35"/>
    <w:rsid w:val="00917ABB"/>
    <w:rsid w:val="00921570"/>
    <w:rsid w:val="0092190E"/>
    <w:rsid w:val="00921FA7"/>
    <w:rsid w:val="00927350"/>
    <w:rsid w:val="00927404"/>
    <w:rsid w:val="0093139D"/>
    <w:rsid w:val="009336ED"/>
    <w:rsid w:val="0093585B"/>
    <w:rsid w:val="0094002B"/>
    <w:rsid w:val="00940138"/>
    <w:rsid w:val="00940AC7"/>
    <w:rsid w:val="00941C0B"/>
    <w:rsid w:val="009439D4"/>
    <w:rsid w:val="00944D94"/>
    <w:rsid w:val="009467DD"/>
    <w:rsid w:val="00951741"/>
    <w:rsid w:val="0095429E"/>
    <w:rsid w:val="0095532B"/>
    <w:rsid w:val="00961D97"/>
    <w:rsid w:val="0096428D"/>
    <w:rsid w:val="00965492"/>
    <w:rsid w:val="00965E02"/>
    <w:rsid w:val="00970F11"/>
    <w:rsid w:val="00971F7B"/>
    <w:rsid w:val="00973757"/>
    <w:rsid w:val="00973BCF"/>
    <w:rsid w:val="0097651C"/>
    <w:rsid w:val="00980373"/>
    <w:rsid w:val="00981F48"/>
    <w:rsid w:val="00982310"/>
    <w:rsid w:val="00985B55"/>
    <w:rsid w:val="0098644E"/>
    <w:rsid w:val="00987B8A"/>
    <w:rsid w:val="00991C0C"/>
    <w:rsid w:val="00992C05"/>
    <w:rsid w:val="00995D31"/>
    <w:rsid w:val="009A0357"/>
    <w:rsid w:val="009A107E"/>
    <w:rsid w:val="009A20D2"/>
    <w:rsid w:val="009A3366"/>
    <w:rsid w:val="009A413E"/>
    <w:rsid w:val="009A47B8"/>
    <w:rsid w:val="009A4F06"/>
    <w:rsid w:val="009A5141"/>
    <w:rsid w:val="009A5EBE"/>
    <w:rsid w:val="009B3E18"/>
    <w:rsid w:val="009B5A8A"/>
    <w:rsid w:val="009B7555"/>
    <w:rsid w:val="009B75D2"/>
    <w:rsid w:val="009C030E"/>
    <w:rsid w:val="009C2D1C"/>
    <w:rsid w:val="009C2E76"/>
    <w:rsid w:val="009C6870"/>
    <w:rsid w:val="009C6980"/>
    <w:rsid w:val="009C6F37"/>
    <w:rsid w:val="009C7F4C"/>
    <w:rsid w:val="009D1DE7"/>
    <w:rsid w:val="009D3C1A"/>
    <w:rsid w:val="009D4459"/>
    <w:rsid w:val="009D53DE"/>
    <w:rsid w:val="009D707D"/>
    <w:rsid w:val="009E0360"/>
    <w:rsid w:val="009E1700"/>
    <w:rsid w:val="009E2946"/>
    <w:rsid w:val="009E2A6B"/>
    <w:rsid w:val="009E48BB"/>
    <w:rsid w:val="009E5039"/>
    <w:rsid w:val="009E577C"/>
    <w:rsid w:val="009E7F24"/>
    <w:rsid w:val="009F1731"/>
    <w:rsid w:val="009F3831"/>
    <w:rsid w:val="009F3996"/>
    <w:rsid w:val="009F3F1F"/>
    <w:rsid w:val="009F6D9F"/>
    <w:rsid w:val="009F720B"/>
    <w:rsid w:val="00A002F6"/>
    <w:rsid w:val="00A00861"/>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6801"/>
    <w:rsid w:val="00A17491"/>
    <w:rsid w:val="00A21294"/>
    <w:rsid w:val="00A31247"/>
    <w:rsid w:val="00A404C8"/>
    <w:rsid w:val="00A40773"/>
    <w:rsid w:val="00A46CEA"/>
    <w:rsid w:val="00A47B1B"/>
    <w:rsid w:val="00A500D2"/>
    <w:rsid w:val="00A53475"/>
    <w:rsid w:val="00A54415"/>
    <w:rsid w:val="00A57FD7"/>
    <w:rsid w:val="00A60302"/>
    <w:rsid w:val="00A62133"/>
    <w:rsid w:val="00A6267A"/>
    <w:rsid w:val="00A63E5B"/>
    <w:rsid w:val="00A70579"/>
    <w:rsid w:val="00A70D15"/>
    <w:rsid w:val="00A7134B"/>
    <w:rsid w:val="00A7315B"/>
    <w:rsid w:val="00A756D7"/>
    <w:rsid w:val="00A762F5"/>
    <w:rsid w:val="00A77001"/>
    <w:rsid w:val="00A81A36"/>
    <w:rsid w:val="00A81B31"/>
    <w:rsid w:val="00A83A9B"/>
    <w:rsid w:val="00A83B44"/>
    <w:rsid w:val="00A85EBE"/>
    <w:rsid w:val="00A869CF"/>
    <w:rsid w:val="00A87878"/>
    <w:rsid w:val="00A87963"/>
    <w:rsid w:val="00A90520"/>
    <w:rsid w:val="00A92524"/>
    <w:rsid w:val="00A92EC0"/>
    <w:rsid w:val="00A934DE"/>
    <w:rsid w:val="00A97A11"/>
    <w:rsid w:val="00AA1774"/>
    <w:rsid w:val="00AA1D08"/>
    <w:rsid w:val="00AC3717"/>
    <w:rsid w:val="00AD0D7E"/>
    <w:rsid w:val="00AD2C27"/>
    <w:rsid w:val="00AD4D4E"/>
    <w:rsid w:val="00AE3352"/>
    <w:rsid w:val="00AE6383"/>
    <w:rsid w:val="00AE65CB"/>
    <w:rsid w:val="00AE6B22"/>
    <w:rsid w:val="00AF07F6"/>
    <w:rsid w:val="00AF0AA3"/>
    <w:rsid w:val="00AF17FA"/>
    <w:rsid w:val="00AF1E0A"/>
    <w:rsid w:val="00AF2971"/>
    <w:rsid w:val="00AF347F"/>
    <w:rsid w:val="00AF5522"/>
    <w:rsid w:val="00AF6759"/>
    <w:rsid w:val="00AF6F00"/>
    <w:rsid w:val="00AF7A31"/>
    <w:rsid w:val="00AF7CC6"/>
    <w:rsid w:val="00B031E5"/>
    <w:rsid w:val="00B04C34"/>
    <w:rsid w:val="00B124F7"/>
    <w:rsid w:val="00B1427B"/>
    <w:rsid w:val="00B16185"/>
    <w:rsid w:val="00B16927"/>
    <w:rsid w:val="00B20593"/>
    <w:rsid w:val="00B21D3A"/>
    <w:rsid w:val="00B22B0C"/>
    <w:rsid w:val="00B23477"/>
    <w:rsid w:val="00B23972"/>
    <w:rsid w:val="00B248A9"/>
    <w:rsid w:val="00B25096"/>
    <w:rsid w:val="00B257D8"/>
    <w:rsid w:val="00B25FE8"/>
    <w:rsid w:val="00B26813"/>
    <w:rsid w:val="00B27595"/>
    <w:rsid w:val="00B30DC9"/>
    <w:rsid w:val="00B3398D"/>
    <w:rsid w:val="00B33C96"/>
    <w:rsid w:val="00B348C4"/>
    <w:rsid w:val="00B36A3A"/>
    <w:rsid w:val="00B36FE8"/>
    <w:rsid w:val="00B426B1"/>
    <w:rsid w:val="00B42FB2"/>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80909"/>
    <w:rsid w:val="00B80F99"/>
    <w:rsid w:val="00B81917"/>
    <w:rsid w:val="00B827A0"/>
    <w:rsid w:val="00B82B7B"/>
    <w:rsid w:val="00B82DBE"/>
    <w:rsid w:val="00B85495"/>
    <w:rsid w:val="00B866BF"/>
    <w:rsid w:val="00B90051"/>
    <w:rsid w:val="00B90745"/>
    <w:rsid w:val="00B92D58"/>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96F"/>
    <w:rsid w:val="00BC25E4"/>
    <w:rsid w:val="00BC2952"/>
    <w:rsid w:val="00BC32AF"/>
    <w:rsid w:val="00BC4929"/>
    <w:rsid w:val="00BC5678"/>
    <w:rsid w:val="00BD1212"/>
    <w:rsid w:val="00BD402F"/>
    <w:rsid w:val="00BD67DF"/>
    <w:rsid w:val="00BD7DDA"/>
    <w:rsid w:val="00BE3102"/>
    <w:rsid w:val="00BE4B15"/>
    <w:rsid w:val="00BE62CC"/>
    <w:rsid w:val="00BE7A96"/>
    <w:rsid w:val="00BF291E"/>
    <w:rsid w:val="00BF2C11"/>
    <w:rsid w:val="00BF5CC1"/>
    <w:rsid w:val="00BF619B"/>
    <w:rsid w:val="00BF65E3"/>
    <w:rsid w:val="00BF68C3"/>
    <w:rsid w:val="00BF6A0C"/>
    <w:rsid w:val="00BF6CD7"/>
    <w:rsid w:val="00C0009A"/>
    <w:rsid w:val="00C02418"/>
    <w:rsid w:val="00C040BF"/>
    <w:rsid w:val="00C04E1B"/>
    <w:rsid w:val="00C06A73"/>
    <w:rsid w:val="00C101AF"/>
    <w:rsid w:val="00C1354A"/>
    <w:rsid w:val="00C143E0"/>
    <w:rsid w:val="00C16719"/>
    <w:rsid w:val="00C17315"/>
    <w:rsid w:val="00C1795D"/>
    <w:rsid w:val="00C21456"/>
    <w:rsid w:val="00C21D79"/>
    <w:rsid w:val="00C244BB"/>
    <w:rsid w:val="00C26946"/>
    <w:rsid w:val="00C279C5"/>
    <w:rsid w:val="00C30C9C"/>
    <w:rsid w:val="00C32D62"/>
    <w:rsid w:val="00C337F0"/>
    <w:rsid w:val="00C341D2"/>
    <w:rsid w:val="00C37693"/>
    <w:rsid w:val="00C413A4"/>
    <w:rsid w:val="00C41CA2"/>
    <w:rsid w:val="00C43143"/>
    <w:rsid w:val="00C4568A"/>
    <w:rsid w:val="00C47011"/>
    <w:rsid w:val="00C4716D"/>
    <w:rsid w:val="00C509BB"/>
    <w:rsid w:val="00C516D8"/>
    <w:rsid w:val="00C51E56"/>
    <w:rsid w:val="00C530DF"/>
    <w:rsid w:val="00C552AB"/>
    <w:rsid w:val="00C60A6C"/>
    <w:rsid w:val="00C61753"/>
    <w:rsid w:val="00C627AE"/>
    <w:rsid w:val="00C6420E"/>
    <w:rsid w:val="00C64E53"/>
    <w:rsid w:val="00C66F33"/>
    <w:rsid w:val="00C67703"/>
    <w:rsid w:val="00C6794B"/>
    <w:rsid w:val="00C70AD2"/>
    <w:rsid w:val="00C70CCC"/>
    <w:rsid w:val="00C72AFE"/>
    <w:rsid w:val="00C72D50"/>
    <w:rsid w:val="00C75BD1"/>
    <w:rsid w:val="00C7636B"/>
    <w:rsid w:val="00C769FD"/>
    <w:rsid w:val="00C76A74"/>
    <w:rsid w:val="00C76C7A"/>
    <w:rsid w:val="00C76C96"/>
    <w:rsid w:val="00C76CA8"/>
    <w:rsid w:val="00C76DB7"/>
    <w:rsid w:val="00C77BB2"/>
    <w:rsid w:val="00C803A8"/>
    <w:rsid w:val="00C805EA"/>
    <w:rsid w:val="00C8129E"/>
    <w:rsid w:val="00C8192E"/>
    <w:rsid w:val="00C8253C"/>
    <w:rsid w:val="00C95481"/>
    <w:rsid w:val="00C96C63"/>
    <w:rsid w:val="00C97F62"/>
    <w:rsid w:val="00CA03C7"/>
    <w:rsid w:val="00CA14F9"/>
    <w:rsid w:val="00CA3401"/>
    <w:rsid w:val="00CB0242"/>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2F6B"/>
    <w:rsid w:val="00CD3C44"/>
    <w:rsid w:val="00CD4E02"/>
    <w:rsid w:val="00CD4ED9"/>
    <w:rsid w:val="00CE077F"/>
    <w:rsid w:val="00CE296F"/>
    <w:rsid w:val="00CE2E13"/>
    <w:rsid w:val="00CE2F2F"/>
    <w:rsid w:val="00CE2FB7"/>
    <w:rsid w:val="00CE47BA"/>
    <w:rsid w:val="00CF1A29"/>
    <w:rsid w:val="00CF2B97"/>
    <w:rsid w:val="00CF4B4B"/>
    <w:rsid w:val="00D019AC"/>
    <w:rsid w:val="00D0341D"/>
    <w:rsid w:val="00D03BA9"/>
    <w:rsid w:val="00D05FF7"/>
    <w:rsid w:val="00D06538"/>
    <w:rsid w:val="00D065C6"/>
    <w:rsid w:val="00D078FC"/>
    <w:rsid w:val="00D07B36"/>
    <w:rsid w:val="00D127D5"/>
    <w:rsid w:val="00D133B8"/>
    <w:rsid w:val="00D13672"/>
    <w:rsid w:val="00D145A9"/>
    <w:rsid w:val="00D200A6"/>
    <w:rsid w:val="00D21C7B"/>
    <w:rsid w:val="00D248CB"/>
    <w:rsid w:val="00D249CE"/>
    <w:rsid w:val="00D30633"/>
    <w:rsid w:val="00D35FAD"/>
    <w:rsid w:val="00D37170"/>
    <w:rsid w:val="00D425C4"/>
    <w:rsid w:val="00D4464F"/>
    <w:rsid w:val="00D50E22"/>
    <w:rsid w:val="00D6109C"/>
    <w:rsid w:val="00D61A97"/>
    <w:rsid w:val="00D7208B"/>
    <w:rsid w:val="00D72107"/>
    <w:rsid w:val="00D73EF3"/>
    <w:rsid w:val="00D7425C"/>
    <w:rsid w:val="00D765DA"/>
    <w:rsid w:val="00D8003C"/>
    <w:rsid w:val="00D84D00"/>
    <w:rsid w:val="00D85975"/>
    <w:rsid w:val="00D91EB4"/>
    <w:rsid w:val="00D92190"/>
    <w:rsid w:val="00D938D2"/>
    <w:rsid w:val="00D93C2C"/>
    <w:rsid w:val="00D95BBC"/>
    <w:rsid w:val="00DA04EB"/>
    <w:rsid w:val="00DA072F"/>
    <w:rsid w:val="00DA5BE0"/>
    <w:rsid w:val="00DA617C"/>
    <w:rsid w:val="00DA6979"/>
    <w:rsid w:val="00DA7D17"/>
    <w:rsid w:val="00DB2330"/>
    <w:rsid w:val="00DB5CE4"/>
    <w:rsid w:val="00DB64FF"/>
    <w:rsid w:val="00DB745B"/>
    <w:rsid w:val="00DC276D"/>
    <w:rsid w:val="00DC3070"/>
    <w:rsid w:val="00DC3315"/>
    <w:rsid w:val="00DC57F5"/>
    <w:rsid w:val="00DD1298"/>
    <w:rsid w:val="00DD39C3"/>
    <w:rsid w:val="00DD3C54"/>
    <w:rsid w:val="00DD65A0"/>
    <w:rsid w:val="00DD73D2"/>
    <w:rsid w:val="00DE2507"/>
    <w:rsid w:val="00DE3A53"/>
    <w:rsid w:val="00DE5A17"/>
    <w:rsid w:val="00DE6EBC"/>
    <w:rsid w:val="00DE77FB"/>
    <w:rsid w:val="00DF0A85"/>
    <w:rsid w:val="00DF279E"/>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3122A"/>
    <w:rsid w:val="00E31D82"/>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2F6C"/>
    <w:rsid w:val="00E73247"/>
    <w:rsid w:val="00E74D85"/>
    <w:rsid w:val="00E85113"/>
    <w:rsid w:val="00E87AB5"/>
    <w:rsid w:val="00E912D9"/>
    <w:rsid w:val="00E912F2"/>
    <w:rsid w:val="00E921F2"/>
    <w:rsid w:val="00E943C5"/>
    <w:rsid w:val="00E952E7"/>
    <w:rsid w:val="00E95D46"/>
    <w:rsid w:val="00EA104D"/>
    <w:rsid w:val="00EA48A6"/>
    <w:rsid w:val="00EA7ED9"/>
    <w:rsid w:val="00EB1902"/>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35FD"/>
    <w:rsid w:val="00ED5216"/>
    <w:rsid w:val="00ED62E3"/>
    <w:rsid w:val="00ED6535"/>
    <w:rsid w:val="00EE5682"/>
    <w:rsid w:val="00EE7474"/>
    <w:rsid w:val="00EE75D3"/>
    <w:rsid w:val="00EE7BBC"/>
    <w:rsid w:val="00EF0684"/>
    <w:rsid w:val="00EF1570"/>
    <w:rsid w:val="00EF28E2"/>
    <w:rsid w:val="00EF3269"/>
    <w:rsid w:val="00EF4064"/>
    <w:rsid w:val="00EF49C9"/>
    <w:rsid w:val="00EF5D50"/>
    <w:rsid w:val="00EF758A"/>
    <w:rsid w:val="00F014B5"/>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3BB9"/>
    <w:rsid w:val="00F34156"/>
    <w:rsid w:val="00F35B4F"/>
    <w:rsid w:val="00F40AA5"/>
    <w:rsid w:val="00F413CF"/>
    <w:rsid w:val="00F41529"/>
    <w:rsid w:val="00F43B4A"/>
    <w:rsid w:val="00F450F6"/>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4DAC"/>
    <w:rsid w:val="00FA0017"/>
    <w:rsid w:val="00FA0BB6"/>
    <w:rsid w:val="00FA0DA2"/>
    <w:rsid w:val="00FA0E72"/>
    <w:rsid w:val="00FA18ED"/>
    <w:rsid w:val="00FA24C9"/>
    <w:rsid w:val="00FA4324"/>
    <w:rsid w:val="00FA6DD2"/>
    <w:rsid w:val="00FA78F4"/>
    <w:rsid w:val="00FA7987"/>
    <w:rsid w:val="00FB3562"/>
    <w:rsid w:val="00FB4A48"/>
    <w:rsid w:val="00FB6B03"/>
    <w:rsid w:val="00FC0082"/>
    <w:rsid w:val="00FC2B01"/>
    <w:rsid w:val="00FC4510"/>
    <w:rsid w:val="00FC4679"/>
    <w:rsid w:val="00FC6504"/>
    <w:rsid w:val="00FD729B"/>
    <w:rsid w:val="00FE03E3"/>
    <w:rsid w:val="00FE0AEA"/>
    <w:rsid w:val="00FE12D9"/>
    <w:rsid w:val="00FE1B6C"/>
    <w:rsid w:val="00FE4AEB"/>
    <w:rsid w:val="00FE4BBD"/>
    <w:rsid w:val="00FF25C0"/>
    <w:rsid w:val="00FF6089"/>
    <w:rsid w:val="00FF66AD"/>
    <w:rsid w:val="00FF7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765"/>
    <w:pPr>
      <w:spacing w:before="160" w:after="160" w:line="36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40197F"/>
    <w:pPr>
      <w:tabs>
        <w:tab w:val="left" w:pos="426"/>
        <w:tab w:val="right" w:leader="dot" w:pos="9350"/>
      </w:tabs>
      <w:spacing w:after="100"/>
      <w:ind w:firstLine="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Caption">
    <w:name w:val="caption"/>
    <w:basedOn w:val="Normal"/>
    <w:next w:val="Normal"/>
    <w:uiPriority w:val="35"/>
    <w:unhideWhenUsed/>
    <w:qFormat/>
    <w:rsid w:val="00492590"/>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07957749">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246425806">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62367327">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2947656">
      <w:bodyDiv w:val="1"/>
      <w:marLeft w:val="0"/>
      <w:marRight w:val="0"/>
      <w:marTop w:val="0"/>
      <w:marBottom w:val="0"/>
      <w:divBdr>
        <w:top w:val="none" w:sz="0" w:space="0" w:color="auto"/>
        <w:left w:val="none" w:sz="0" w:space="0" w:color="auto"/>
        <w:bottom w:val="none" w:sz="0" w:space="0" w:color="auto"/>
        <w:right w:val="none" w:sz="0" w:space="0" w:color="auto"/>
      </w:divBdr>
    </w:div>
    <w:div w:id="470515247">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36553927">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13904633">
      <w:bodyDiv w:val="1"/>
      <w:marLeft w:val="0"/>
      <w:marRight w:val="0"/>
      <w:marTop w:val="0"/>
      <w:marBottom w:val="0"/>
      <w:divBdr>
        <w:top w:val="none" w:sz="0" w:space="0" w:color="auto"/>
        <w:left w:val="none" w:sz="0" w:space="0" w:color="auto"/>
        <w:bottom w:val="none" w:sz="0" w:space="0" w:color="auto"/>
        <w:right w:val="none" w:sz="0" w:space="0" w:color="auto"/>
      </w:divBdr>
    </w:div>
    <w:div w:id="618800884">
      <w:bodyDiv w:val="1"/>
      <w:marLeft w:val="0"/>
      <w:marRight w:val="0"/>
      <w:marTop w:val="0"/>
      <w:marBottom w:val="0"/>
      <w:divBdr>
        <w:top w:val="none" w:sz="0" w:space="0" w:color="auto"/>
        <w:left w:val="none" w:sz="0" w:space="0" w:color="auto"/>
        <w:bottom w:val="none" w:sz="0" w:space="0" w:color="auto"/>
        <w:right w:val="none" w:sz="0" w:space="0" w:color="auto"/>
      </w:divBdr>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13044986">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36111518">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0576378">
      <w:bodyDiv w:val="1"/>
      <w:marLeft w:val="0"/>
      <w:marRight w:val="0"/>
      <w:marTop w:val="0"/>
      <w:marBottom w:val="0"/>
      <w:divBdr>
        <w:top w:val="none" w:sz="0" w:space="0" w:color="auto"/>
        <w:left w:val="none" w:sz="0" w:space="0" w:color="auto"/>
        <w:bottom w:val="none" w:sz="0" w:space="0" w:color="auto"/>
        <w:right w:val="none" w:sz="0" w:space="0" w:color="auto"/>
      </w:divBdr>
    </w:div>
    <w:div w:id="907152158">
      <w:bodyDiv w:val="1"/>
      <w:marLeft w:val="0"/>
      <w:marRight w:val="0"/>
      <w:marTop w:val="0"/>
      <w:marBottom w:val="0"/>
      <w:divBdr>
        <w:top w:val="none" w:sz="0" w:space="0" w:color="auto"/>
        <w:left w:val="none" w:sz="0" w:space="0" w:color="auto"/>
        <w:bottom w:val="none" w:sz="0" w:space="0" w:color="auto"/>
        <w:right w:val="none" w:sz="0" w:space="0" w:color="auto"/>
      </w:divBdr>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252543347">
      <w:bodyDiv w:val="1"/>
      <w:marLeft w:val="0"/>
      <w:marRight w:val="0"/>
      <w:marTop w:val="0"/>
      <w:marBottom w:val="0"/>
      <w:divBdr>
        <w:top w:val="none" w:sz="0" w:space="0" w:color="auto"/>
        <w:left w:val="none" w:sz="0" w:space="0" w:color="auto"/>
        <w:bottom w:val="none" w:sz="0" w:space="0" w:color="auto"/>
        <w:right w:val="none" w:sz="0" w:space="0" w:color="auto"/>
      </w:divBdr>
    </w:div>
    <w:div w:id="1275483603">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8332752">
      <w:bodyDiv w:val="1"/>
      <w:marLeft w:val="0"/>
      <w:marRight w:val="0"/>
      <w:marTop w:val="0"/>
      <w:marBottom w:val="0"/>
      <w:divBdr>
        <w:top w:val="none" w:sz="0" w:space="0" w:color="auto"/>
        <w:left w:val="none" w:sz="0" w:space="0" w:color="auto"/>
        <w:bottom w:val="none" w:sz="0" w:space="0" w:color="auto"/>
        <w:right w:val="none" w:sz="0" w:space="0" w:color="auto"/>
      </w:divBdr>
    </w:div>
    <w:div w:id="1525023977">
      <w:bodyDiv w:val="1"/>
      <w:marLeft w:val="0"/>
      <w:marRight w:val="0"/>
      <w:marTop w:val="0"/>
      <w:marBottom w:val="0"/>
      <w:divBdr>
        <w:top w:val="none" w:sz="0" w:space="0" w:color="auto"/>
        <w:left w:val="none" w:sz="0" w:space="0" w:color="auto"/>
        <w:bottom w:val="none" w:sz="0" w:space="0" w:color="auto"/>
        <w:right w:val="none" w:sz="0" w:space="0" w:color="auto"/>
      </w:divBdr>
    </w:div>
    <w:div w:id="1545363684">
      <w:bodyDiv w:val="1"/>
      <w:marLeft w:val="0"/>
      <w:marRight w:val="0"/>
      <w:marTop w:val="0"/>
      <w:marBottom w:val="0"/>
      <w:divBdr>
        <w:top w:val="none" w:sz="0" w:space="0" w:color="auto"/>
        <w:left w:val="none" w:sz="0" w:space="0" w:color="auto"/>
        <w:bottom w:val="none" w:sz="0" w:space="0" w:color="auto"/>
        <w:right w:val="none" w:sz="0" w:space="0" w:color="auto"/>
      </w:divBdr>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62876848">
      <w:bodyDiv w:val="1"/>
      <w:marLeft w:val="0"/>
      <w:marRight w:val="0"/>
      <w:marTop w:val="0"/>
      <w:marBottom w:val="0"/>
      <w:divBdr>
        <w:top w:val="none" w:sz="0" w:space="0" w:color="auto"/>
        <w:left w:val="none" w:sz="0" w:space="0" w:color="auto"/>
        <w:bottom w:val="none" w:sz="0" w:space="0" w:color="auto"/>
        <w:right w:val="none" w:sz="0" w:space="0" w:color="auto"/>
      </w:divBdr>
    </w:div>
    <w:div w:id="1797985078">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09081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3140</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Blaglosov</dc:creator>
  <cp:lastModifiedBy>Madalina Blaglosov</cp:lastModifiedBy>
  <cp:revision>2</cp:revision>
  <dcterms:created xsi:type="dcterms:W3CDTF">2025-03-19T18:07:00Z</dcterms:created>
  <dcterms:modified xsi:type="dcterms:W3CDTF">2025-03-19T18:07:00Z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