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12A0F" w14:textId="4B5D685D" w:rsidR="00FE14D6" w:rsidRDefault="00FE14D6" w:rsidP="00FE14D6">
      <w:pPr>
        <w:spacing w:line="360" w:lineRule="auto"/>
      </w:pPr>
      <w:r w:rsidRPr="003A6287">
        <w:t xml:space="preserve">The life-course approach </w:t>
      </w:r>
      <w:r w:rsidR="00A42064">
        <w:t>look</w:t>
      </w:r>
      <w:r w:rsidR="005573E6">
        <w:t>s</w:t>
      </w:r>
      <w:r w:rsidR="00A42064">
        <w:t xml:space="preserve"> at </w:t>
      </w:r>
      <w:r>
        <w:t>both social factors and health across various</w:t>
      </w:r>
      <w:r w:rsidRPr="003A6287">
        <w:t xml:space="preserve"> stages of life, </w:t>
      </w:r>
      <w:r w:rsidR="005573E6">
        <w:t>highlighting</w:t>
      </w:r>
      <w:r w:rsidRPr="003A6287">
        <w:t xml:space="preserve"> that all phases of an individual’s life are closely connected</w:t>
      </w:r>
      <w:r w:rsidR="006305F4">
        <w:t xml:space="preserve">. </w:t>
      </w:r>
      <w:r w:rsidRPr="003A6287">
        <w:t xml:space="preserve">This approach </w:t>
      </w:r>
      <w:r w:rsidR="006305F4">
        <w:t>relates to</w:t>
      </w:r>
      <w:r>
        <w:t xml:space="preserve"> </w:t>
      </w:r>
      <w:r w:rsidR="008A1BA9">
        <w:t xml:space="preserve">an </w:t>
      </w:r>
      <w:r>
        <w:t>important</w:t>
      </w:r>
      <w:r w:rsidRPr="003A6287">
        <w:t xml:space="preserve"> part of policy frameworks aimed at improving health outcomes and reducing inequalities, and it is </w:t>
      </w:r>
      <w:r w:rsidR="008A1BA9">
        <w:t>central</w:t>
      </w:r>
      <w:r w:rsidRPr="003A6287">
        <w:t xml:space="preserve"> to the implementation of Health 2020 and the 2030 Agenda</w:t>
      </w:r>
      <w:r>
        <w:t xml:space="preserve"> (World Health Organisation, 2021). </w:t>
      </w:r>
    </w:p>
    <w:p w14:paraId="01C335E2" w14:textId="61249544" w:rsidR="006F496C" w:rsidRDefault="006F496C" w:rsidP="006F496C">
      <w:pPr>
        <w:spacing w:line="360" w:lineRule="auto"/>
      </w:pPr>
      <w:r w:rsidRPr="006F496C">
        <w:t xml:space="preserve">The aim of this report is to apply the life course approach to critically examine how adverse childhood experiences (ACEs) and family dysfunction can influence wellbeing later in life. The report </w:t>
      </w:r>
      <w:r>
        <w:t xml:space="preserve">will </w:t>
      </w:r>
      <w:r w:rsidRPr="006F496C">
        <w:t>consider the biological, psychological, social, educational, and economic impacts of these early experiences.</w:t>
      </w:r>
    </w:p>
    <w:p w14:paraId="4C07FD6E" w14:textId="77777777" w:rsidR="00500544" w:rsidRDefault="008C2ECD" w:rsidP="006F04C6">
      <w:pPr>
        <w:spacing w:line="360" w:lineRule="auto"/>
      </w:pPr>
      <w:r w:rsidRPr="00A808A3">
        <w:t xml:space="preserve">According to </w:t>
      </w:r>
      <w:r w:rsidR="00F56DC2" w:rsidRPr="00A808A3">
        <w:t xml:space="preserve">Shonkoff </w:t>
      </w:r>
      <w:r w:rsidR="00F56DC2" w:rsidRPr="00A808A3">
        <w:rPr>
          <w:i/>
          <w:iCs/>
        </w:rPr>
        <w:t>et al</w:t>
      </w:r>
      <w:r w:rsidR="00173DF5" w:rsidRPr="00A808A3">
        <w:rPr>
          <w:i/>
          <w:iCs/>
        </w:rPr>
        <w:t>.,</w:t>
      </w:r>
      <w:r w:rsidR="00173DF5" w:rsidRPr="00A808A3">
        <w:t xml:space="preserve"> </w:t>
      </w:r>
      <w:r w:rsidR="00F56DC2" w:rsidRPr="00A808A3">
        <w:t xml:space="preserve">(2008), </w:t>
      </w:r>
      <w:r w:rsidRPr="00A808A3">
        <w:t xml:space="preserve">the years of 0 to 5 are </w:t>
      </w:r>
      <w:r w:rsidR="00530420" w:rsidRPr="00A808A3">
        <w:t>particularly</w:t>
      </w:r>
      <w:r w:rsidRPr="00A808A3">
        <w:t xml:space="preserve"> sensitive because this is the time when the brain is more easily affected by positive and negative experiences. The brain is developing in all areas during the early development stages of a child’s life, so a child’s experiences impact how the brain grows. A positive start in life ensures that brain development is healthy. A weaker foundation increases the likelihood of a child having negative experiences in life</w:t>
      </w:r>
      <w:r w:rsidR="002A3008">
        <w:t xml:space="preserve"> (Reding, 2025</w:t>
      </w:r>
      <w:r w:rsidR="00A808A3">
        <w:t>)</w:t>
      </w:r>
      <w:r w:rsidR="00C5010C">
        <w:t xml:space="preserve">. </w:t>
      </w:r>
    </w:p>
    <w:p w14:paraId="08B75825" w14:textId="5580F33C" w:rsidR="00FE14D6" w:rsidRDefault="00FE14D6" w:rsidP="00FE14D6">
      <w:pPr>
        <w:spacing w:line="360" w:lineRule="auto"/>
      </w:pPr>
      <w:r>
        <w:t>Based on the</w:t>
      </w:r>
      <w:r w:rsidRPr="00EF1F45">
        <w:t xml:space="preserve"> life course perspective</w:t>
      </w:r>
      <w:r>
        <w:t>,</w:t>
      </w:r>
      <w:r w:rsidRPr="00EF1F45">
        <w:t xml:space="preserve"> experiences in childhood can impact people throughout their lives</w:t>
      </w:r>
      <w:r>
        <w:t xml:space="preserve"> (Monnat and Chandler, 2015).</w:t>
      </w:r>
      <w:r w:rsidRPr="00EF1F45">
        <w:t xml:space="preserve"> This perspective suggests that disadvantage can be passed from parents to children in many ways, and that early life experiences can harm health in adulthood by creating long-term social and economic challenges (Elder 1998; Hayward and Gorman</w:t>
      </w:r>
      <w:r w:rsidR="00695F91">
        <w:t xml:space="preserve">, </w:t>
      </w:r>
      <w:r w:rsidRPr="00EF1F45">
        <w:t xml:space="preserve">2004). It also explains that stressful experiences during key stages of development can </w:t>
      </w:r>
      <w:r w:rsidR="00C2322D">
        <w:t xml:space="preserve">affect a person </w:t>
      </w:r>
      <w:r w:rsidRPr="00EF1F45">
        <w:t>biologically and affect the body over time (Shonhoff</w:t>
      </w:r>
      <w:r w:rsidR="0002257B">
        <w:t>, Boyce and McEwen,</w:t>
      </w:r>
      <w:r w:rsidRPr="00EF1F45">
        <w:t xml:space="preserve"> 2009). Because childhood is such an important period for growth and development, negative experiences during this time can influence how a person develops and affect</w:t>
      </w:r>
      <w:r w:rsidR="00C2322D">
        <w:t xml:space="preserve">s </w:t>
      </w:r>
      <w:r w:rsidRPr="00EF1F45">
        <w:t>the direction and quality of their later life (Bauldry et al. 2012</w:t>
      </w:r>
      <w:r>
        <w:t>)</w:t>
      </w:r>
      <w:r w:rsidR="000F34E7">
        <w:t xml:space="preserve">. </w:t>
      </w:r>
    </w:p>
    <w:p w14:paraId="2DDAEF7F" w14:textId="4E091871" w:rsidR="006778A9" w:rsidRDefault="00AC34F0" w:rsidP="007C572D">
      <w:pPr>
        <w:spacing w:line="360" w:lineRule="auto"/>
      </w:pPr>
      <w:r w:rsidRPr="00073AA5">
        <w:t>According to Fainsilber-Katz and Woodin (2002</w:t>
      </w:r>
      <w:r w:rsidR="003B3EF2" w:rsidRPr="00073AA5">
        <w:t xml:space="preserve"> cited in Keep your Children Safe</w:t>
      </w:r>
      <w:r w:rsidR="007C572D" w:rsidRPr="00073AA5">
        <w:t>, 2025</w:t>
      </w:r>
      <w:r w:rsidRPr="00073AA5">
        <w:t xml:space="preserve">). </w:t>
      </w:r>
      <w:r w:rsidR="006778A9" w:rsidRPr="00073AA5">
        <w:t>Children from dysfunctional families often adopt and repeat unhealthy social behaviours. One study found that when parents showed hostility, poor communication, and emotional withdrawal during conflict, their children tended to imitate these behaviours with peers, often acting aggressively, demanding, or even bullying others</w:t>
      </w:r>
      <w:r w:rsidR="00924BCF">
        <w:t xml:space="preserve">. </w:t>
      </w:r>
      <w:r w:rsidR="006778A9" w:rsidRPr="00073AA5">
        <w:lastRenderedPageBreak/>
        <w:t>Such children also showed increased aggression toward both peers and authority figure</w:t>
      </w:r>
      <w:r w:rsidR="00924BCF">
        <w:t xml:space="preserve">s </w:t>
      </w:r>
      <w:r w:rsidR="00924BCF" w:rsidRPr="00073AA5">
        <w:t xml:space="preserve">(Fainsilber-Katz and Woodin, 2002 cited in Keep your Children Safe, 2025). </w:t>
      </w:r>
      <w:r w:rsidR="006778A9" w:rsidRPr="00073AA5">
        <w:t xml:space="preserve"> </w:t>
      </w:r>
    </w:p>
    <w:p w14:paraId="5D6EE371" w14:textId="2E761879" w:rsidR="0020423D" w:rsidRDefault="00FE14D6" w:rsidP="0020423D">
      <w:pPr>
        <w:spacing w:line="360" w:lineRule="auto"/>
      </w:pPr>
      <w:r w:rsidRPr="00F51319">
        <w:t>Research on Adverse Childhood Experiences (ACEs)</w:t>
      </w:r>
      <w:r>
        <w:t xml:space="preserve">, </w:t>
      </w:r>
      <w:r w:rsidRPr="00F51319">
        <w:t xml:space="preserve">which include abuse (physical, sexual, emotional) and household </w:t>
      </w:r>
      <w:r>
        <w:t xml:space="preserve">dysfunction </w:t>
      </w:r>
      <w:r w:rsidRPr="00F51319">
        <w:t>such as witnessing domestic violence, parental separation, or living with family members who struggle with mental illness, substance use, or criminal behaviour</w:t>
      </w:r>
      <w:r>
        <w:t xml:space="preserve">, </w:t>
      </w:r>
      <w:r w:rsidRPr="00F51319">
        <w:t xml:space="preserve">shows a clear pattern: the more ACEs a person experiences, the higher their risk of negative outcomes in adulthood. These can include </w:t>
      </w:r>
      <w:r w:rsidR="008036E8">
        <w:t>developing</w:t>
      </w:r>
      <w:r w:rsidR="00042BD8">
        <w:t xml:space="preserve"> </w:t>
      </w:r>
      <w:r w:rsidRPr="00F51319">
        <w:t>chronic diseases such as heart disease, cancer, or obesity</w:t>
      </w:r>
      <w:r w:rsidR="008036E8">
        <w:t>,</w:t>
      </w:r>
      <w:r w:rsidRPr="00F51319">
        <w:t xml:space="preserve"> and even early death </w:t>
      </w:r>
      <w:r w:rsidR="0002257B" w:rsidRPr="0020423D">
        <w:t>(Baglivio, et al., 2014).</w:t>
      </w:r>
      <w:r w:rsidR="0020423D" w:rsidRPr="0020423D">
        <w:t xml:space="preserve"> Research by For</w:t>
      </w:r>
      <w:r w:rsidR="0020423D">
        <w:t>d</w:t>
      </w:r>
      <w:r w:rsidR="0020423D" w:rsidRPr="0020423D">
        <w:t xml:space="preserve"> </w:t>
      </w:r>
      <w:r w:rsidR="0020423D" w:rsidRPr="0020423D">
        <w:rPr>
          <w:i/>
          <w:iCs/>
        </w:rPr>
        <w:t>et al.,</w:t>
      </w:r>
      <w:r w:rsidR="0020423D" w:rsidRPr="0020423D">
        <w:t xml:space="preserve"> (2011) also found a link between </w:t>
      </w:r>
      <w:r w:rsidR="0020423D" w:rsidRPr="00F51319">
        <w:t xml:space="preserve">childhood adversity to unhealthy </w:t>
      </w:r>
      <w:r w:rsidR="0020423D" w:rsidRPr="0020423D">
        <w:t>behaviours</w:t>
      </w:r>
      <w:r w:rsidR="0020423D" w:rsidRPr="00F51319">
        <w:t xml:space="preserve"> and poor physical health later in life. Individuals who experienced childhood maltreatment or family dysfunction are more likely to smoke, use drugs, be physically inactive, eat poorly, misuse alcohol, and engage in risky sexual </w:t>
      </w:r>
      <w:r w:rsidR="0020423D" w:rsidRPr="0020423D">
        <w:t xml:space="preserve">behaviour. </w:t>
      </w:r>
    </w:p>
    <w:p w14:paraId="6520CD98" w14:textId="7A1A0294" w:rsidR="00F82DA4" w:rsidRDefault="0020423D" w:rsidP="00F82DA4">
      <w:pPr>
        <w:spacing w:line="360" w:lineRule="auto"/>
      </w:pPr>
      <w:r w:rsidRPr="00F51319">
        <w:t xml:space="preserve">Mental health consequences of ACEs </w:t>
      </w:r>
      <w:r w:rsidR="000D6EBD">
        <w:t>have also been researched.</w:t>
      </w:r>
      <w:r w:rsidRPr="00F51319">
        <w:t xml:space="preserve"> Higher numbers of ACEs are linked to increased risk of depression, anxiety, hallucinations, panic attacks, </w:t>
      </w:r>
      <w:r w:rsidRPr="005A15B4">
        <w:t xml:space="preserve">suicide attempts, use of psychiatric medication, and mental illness treatment </w:t>
      </w:r>
      <w:r w:rsidR="00D05D16" w:rsidRPr="005A15B4">
        <w:t>(Hughes et al., 2016</w:t>
      </w:r>
      <w:r w:rsidR="005A15B4" w:rsidRPr="005A15B4">
        <w:t>)</w:t>
      </w:r>
      <w:r w:rsidRPr="005A15B4">
        <w:t>.</w:t>
      </w:r>
      <w:r w:rsidRPr="00536ED6">
        <w:t xml:space="preserve"> </w:t>
      </w:r>
      <w:r w:rsidR="00FE14D6" w:rsidRPr="00F51319">
        <w:t xml:space="preserve">A study </w:t>
      </w:r>
      <w:r w:rsidR="0002257B" w:rsidRPr="00536ED6">
        <w:t xml:space="preserve">conducted by Hughes </w:t>
      </w:r>
      <w:r w:rsidR="0002257B" w:rsidRPr="00536ED6">
        <w:rPr>
          <w:i/>
          <w:iCs/>
        </w:rPr>
        <w:t>et al.,</w:t>
      </w:r>
      <w:r w:rsidR="0002257B" w:rsidRPr="00536ED6">
        <w:t xml:space="preserve"> (2016) </w:t>
      </w:r>
      <w:r w:rsidR="00FE14D6" w:rsidRPr="00F51319">
        <w:t xml:space="preserve">looked specifically at how ACEs affect mental health and life satisfaction. Using survey data from 3,885 adults in England, </w:t>
      </w:r>
      <w:r w:rsidR="000D6EBD">
        <w:t>they</w:t>
      </w:r>
      <w:r w:rsidR="00FE14D6" w:rsidRPr="00F51319">
        <w:t xml:space="preserve"> found that nearly half of </w:t>
      </w:r>
      <w:r w:rsidR="001E0002">
        <w:t xml:space="preserve">the </w:t>
      </w:r>
      <w:r w:rsidR="00FE14D6" w:rsidRPr="00F51319">
        <w:t xml:space="preserve">participants had experienced at least one ACE, and over 8% had experienced four or more. </w:t>
      </w:r>
      <w:r w:rsidR="00F82DA4" w:rsidRPr="00F82DA4">
        <w:t xml:space="preserve">People who had </w:t>
      </w:r>
      <w:r w:rsidR="00F82DA4">
        <w:t>ACE</w:t>
      </w:r>
      <w:r w:rsidR="0013096A">
        <w:t>s</w:t>
      </w:r>
      <w:r w:rsidR="00F82DA4" w:rsidRPr="00F82DA4">
        <w:t xml:space="preserve"> tended to report much lower mental well-being and life satisfaction, with the impact growing worse as the number of ACEs increased.</w:t>
      </w:r>
    </w:p>
    <w:p w14:paraId="4C63C42F" w14:textId="58FA08CE" w:rsidR="00873352" w:rsidRDefault="0020423D" w:rsidP="003E0550">
      <w:pPr>
        <w:spacing w:line="360" w:lineRule="auto"/>
      </w:pPr>
      <w:r w:rsidRPr="00536ED6">
        <w:t xml:space="preserve">According to </w:t>
      </w:r>
      <w:r w:rsidRPr="00F51319">
        <w:t xml:space="preserve">Shonkoff </w:t>
      </w:r>
      <w:r w:rsidRPr="00F51319">
        <w:rPr>
          <w:i/>
          <w:iCs/>
        </w:rPr>
        <w:t>et al</w:t>
      </w:r>
      <w:r w:rsidRPr="00536ED6">
        <w:rPr>
          <w:i/>
          <w:iCs/>
        </w:rPr>
        <w:t>.,</w:t>
      </w:r>
      <w:r w:rsidRPr="00536ED6">
        <w:t xml:space="preserve"> (</w:t>
      </w:r>
      <w:r w:rsidRPr="00F51319">
        <w:t>2009)</w:t>
      </w:r>
      <w:r w:rsidRPr="00536ED6">
        <w:t xml:space="preserve"> c</w:t>
      </w:r>
      <w:r w:rsidRPr="00F51319">
        <w:t xml:space="preserve">hronic stress during childhood can </w:t>
      </w:r>
      <w:r w:rsidR="0013096A">
        <w:t>affect</w:t>
      </w:r>
      <w:r w:rsidRPr="00F51319">
        <w:t xml:space="preserve"> the body’s stress-response systems, such as the immune and neuroendocrine systems</w:t>
      </w:r>
      <w:r w:rsidRPr="00536ED6">
        <w:t xml:space="preserve">. </w:t>
      </w:r>
      <w:r w:rsidRPr="00F51319">
        <w:t>This can lead to long-term mental health issues like depression and P</w:t>
      </w:r>
      <w:r w:rsidR="006F6192">
        <w:t xml:space="preserve">ost </w:t>
      </w:r>
      <w:r w:rsidRPr="00F51319">
        <w:t>T</w:t>
      </w:r>
      <w:r w:rsidR="006F6192">
        <w:t xml:space="preserve">raumatic Stress </w:t>
      </w:r>
      <w:r w:rsidRPr="00F51319">
        <w:t>D</w:t>
      </w:r>
      <w:r w:rsidR="006F6192">
        <w:t>isorder (PTSD)</w:t>
      </w:r>
      <w:r w:rsidRPr="00536ED6">
        <w:t xml:space="preserve"> </w:t>
      </w:r>
      <w:r w:rsidRPr="00F51319">
        <w:t>and increase the likelihood of living in economically unstable and stressful environments later in life</w:t>
      </w:r>
      <w:r w:rsidRPr="00536ED6">
        <w:t xml:space="preserve"> </w:t>
      </w:r>
      <w:r w:rsidRPr="00F51319">
        <w:t>(Kendall-Tackett</w:t>
      </w:r>
      <w:r w:rsidRPr="00536ED6">
        <w:t xml:space="preserve">, </w:t>
      </w:r>
      <w:r w:rsidRPr="00F51319">
        <w:t>2002)</w:t>
      </w:r>
      <w:r w:rsidRPr="00536ED6">
        <w:t xml:space="preserve">. </w:t>
      </w:r>
      <w:r w:rsidR="00873352" w:rsidRPr="00873352">
        <w:t xml:space="preserve">Research also suggests childhood adversity can lead to </w:t>
      </w:r>
      <w:r w:rsidR="00DC2591" w:rsidRPr="00C0680B">
        <w:t>“</w:t>
      </w:r>
      <w:r w:rsidR="00873352" w:rsidRPr="00873352">
        <w:t>stress sensitization</w:t>
      </w:r>
      <w:r w:rsidR="00DC2591" w:rsidRPr="00C0680B">
        <w:t xml:space="preserve">”, </w:t>
      </w:r>
      <w:r w:rsidR="00873352" w:rsidRPr="00873352">
        <w:t>a heightened sensitivity to stress. This can lead to stronger and more frequent stress reactions (McLaughlin</w:t>
      </w:r>
      <w:r w:rsidR="001A0719">
        <w:t xml:space="preserve"> et al., </w:t>
      </w:r>
      <w:r w:rsidR="00873352" w:rsidRPr="00873352">
        <w:t>2010), along with a reduced ability to recover from stress or respond to treatment (Heim, Plotsky</w:t>
      </w:r>
      <w:r w:rsidR="001A0719">
        <w:t xml:space="preserve"> and</w:t>
      </w:r>
      <w:r w:rsidR="00873352" w:rsidRPr="00873352">
        <w:t xml:space="preserve"> Nemeroff, 2004</w:t>
      </w:r>
      <w:r w:rsidR="00C0680B">
        <w:t xml:space="preserve"> cited in </w:t>
      </w:r>
      <w:r w:rsidR="003F0720">
        <w:t>Nurius et al., 2015</w:t>
      </w:r>
      <w:r w:rsidR="00873352" w:rsidRPr="00873352">
        <w:t xml:space="preserve">). Over time, this can create a </w:t>
      </w:r>
      <w:r w:rsidR="00873352" w:rsidRPr="00873352">
        <w:lastRenderedPageBreak/>
        <w:t>cycle of increasing stress and emotional strain as individuals transition into adulthood (Hazel</w:t>
      </w:r>
      <w:r w:rsidR="00C0680B">
        <w:t xml:space="preserve"> et al., </w:t>
      </w:r>
      <w:r w:rsidR="00873352" w:rsidRPr="00873352">
        <w:t>2008</w:t>
      </w:r>
      <w:r w:rsidR="003F0720">
        <w:t xml:space="preserve"> cited in Nurius et al., 2015</w:t>
      </w:r>
      <w:r w:rsidR="00873352" w:rsidRPr="00873352">
        <w:t>).</w:t>
      </w:r>
    </w:p>
    <w:p w14:paraId="6BA0267C" w14:textId="0B42C7BB" w:rsidR="00FE14D6" w:rsidRPr="00F51319" w:rsidRDefault="00FE14D6" w:rsidP="00FE14D6">
      <w:pPr>
        <w:spacing w:line="360" w:lineRule="auto"/>
      </w:pPr>
      <w:r w:rsidRPr="00F51319">
        <w:t>According to sociological theories like Merton’s (1938</w:t>
      </w:r>
      <w:r w:rsidR="000F34E7">
        <w:t>, cited in Monnat and Chandler, 2015</w:t>
      </w:r>
      <w:r w:rsidRPr="00F51319">
        <w:t>) concepts of “ritualism” and “retreatism,” children raised in unstable or harmful environments may either withdraw from societal goals or lower their ambitions. Agnew (1999) added that negative experiences, such as abuse or domestic violence, can cause individuals to reject social norms, leading to lower motivation and effort, poorer educational outcomes, and reduced income in adulthood (Covey et al</w:t>
      </w:r>
      <w:r w:rsidR="006E6E46">
        <w:t>,</w:t>
      </w:r>
      <w:r w:rsidRPr="00F51319">
        <w:t xml:space="preserve"> 2013).</w:t>
      </w:r>
    </w:p>
    <w:p w14:paraId="79F15768" w14:textId="78746848" w:rsidR="00FE14D6" w:rsidRPr="00F51319" w:rsidRDefault="002843C8" w:rsidP="00FE14D6">
      <w:pPr>
        <w:spacing w:line="360" w:lineRule="auto"/>
      </w:pPr>
      <w:r>
        <w:t xml:space="preserve">Many </w:t>
      </w:r>
      <w:r w:rsidR="00FE14D6" w:rsidRPr="00F51319">
        <w:t xml:space="preserve">studies </w:t>
      </w:r>
      <w:r>
        <w:t>have found a</w:t>
      </w:r>
      <w:r w:rsidR="00FE14D6" w:rsidRPr="00F51319">
        <w:t xml:space="preserve"> link between childhood abuse and lower educational and economic achievement. Abused children tend to have lower IQ scores (Sadeh et al. 1994), worse academic performance and lower aspirations and motivation</w:t>
      </w:r>
      <w:r w:rsidR="00D93EF3">
        <w:t xml:space="preserve">, </w:t>
      </w:r>
      <w:r w:rsidR="00FE14D6" w:rsidRPr="00F51319">
        <w:t xml:space="preserve">which results in reduced employment prospects, and income (Macmillan 2000). Abuse can also lead to psychological and emotional problems like dissociation, depression, and hostility (Teicher et al. 2006), which can make it harder to succeed in education or the workplace. Harmful </w:t>
      </w:r>
      <w:r w:rsidR="00D93EF3" w:rsidRPr="00F51319">
        <w:t>behaviours</w:t>
      </w:r>
      <w:r w:rsidR="00FE14D6" w:rsidRPr="00F51319">
        <w:t xml:space="preserve"> </w:t>
      </w:r>
      <w:r w:rsidR="00E1280B">
        <w:t>witnessed</w:t>
      </w:r>
      <w:r w:rsidR="00FE14D6" w:rsidRPr="00F51319">
        <w:t xml:space="preserve"> in childhood homes, such as poor communication or substance use, may carry over into adult life and contribute to difficulties in education, employment, or even involvement with the criminal justice system (Baglivio et al. 2014</w:t>
      </w:r>
      <w:r w:rsidR="00D93EF3">
        <w:t>)</w:t>
      </w:r>
      <w:r w:rsidR="0020423D">
        <w:t>.</w:t>
      </w:r>
    </w:p>
    <w:p w14:paraId="2FA2E3BE" w14:textId="6910F9B3" w:rsidR="00FE14D6" w:rsidRDefault="00536ED6" w:rsidP="00FE14D6">
      <w:pPr>
        <w:spacing w:line="360" w:lineRule="auto"/>
      </w:pPr>
      <w:r>
        <w:t xml:space="preserve">From a biological perspective, a study conducted by Puterman </w:t>
      </w:r>
      <w:r w:rsidRPr="00926A74">
        <w:rPr>
          <w:i/>
          <w:iCs/>
        </w:rPr>
        <w:t>et al.,</w:t>
      </w:r>
      <w:r>
        <w:t xml:space="preserve"> (1992 cited in Kluger, 2016)</w:t>
      </w:r>
      <w:r w:rsidR="00FE14D6" w:rsidRPr="00F51319">
        <w:t xml:space="preserve"> explored how ACEs affect biological aging. Researchers examined telomeres</w:t>
      </w:r>
      <w:r w:rsidR="0020423D">
        <w:t xml:space="preserve">, </w:t>
      </w:r>
      <w:r w:rsidR="00FE14D6" w:rsidRPr="00F51319">
        <w:t>protective caps on chromosomes that shorten with age and stress</w:t>
      </w:r>
      <w:r w:rsidR="00FF7640">
        <w:t xml:space="preserve">. </w:t>
      </w:r>
      <w:r w:rsidR="00FE14D6" w:rsidRPr="00F51319">
        <w:t xml:space="preserve">Data from nearly 4,600 adults in the U.S. showed that each additional social stressor in childhood (like abuse or a parent’s addiction) was linked to an 11% increase in the risk of having shorter telomeres. This suggests that childhood trauma may </w:t>
      </w:r>
      <w:r w:rsidR="00E7343A" w:rsidRPr="00F51319">
        <w:t>hasten</w:t>
      </w:r>
      <w:r w:rsidR="00FE14D6" w:rsidRPr="00F51319">
        <w:t xml:space="preserve"> biological aging, even after controlling for other factors like genetics or smoking. The study suggests that early-life </w:t>
      </w:r>
      <w:r w:rsidR="00E7343A" w:rsidRPr="00F51319">
        <w:t>hardship</w:t>
      </w:r>
      <w:r w:rsidR="00FE14D6" w:rsidRPr="00F51319">
        <w:t xml:space="preserve"> may lead to long-term changes in how genes are expressed, contributing to poor health later in life</w:t>
      </w:r>
      <w:r w:rsidR="0020423D">
        <w:t xml:space="preserve"> (Kluger, 2016). </w:t>
      </w:r>
    </w:p>
    <w:p w14:paraId="64058050" w14:textId="77777777" w:rsidR="00DD6938" w:rsidRDefault="00FD1342" w:rsidP="00DD6938">
      <w:pPr>
        <w:spacing w:line="360" w:lineRule="auto"/>
      </w:pPr>
      <w:r w:rsidRPr="00FD1342">
        <w:t xml:space="preserve">The evidence discussed highlights the importance of early intervention in reducing the long-term impact of adverse childhood experiences. According to the UK Government (2025), improving the broader conditions in which people are born, live, and work can </w:t>
      </w:r>
      <w:r w:rsidRPr="00FD1342">
        <w:lastRenderedPageBreak/>
        <w:t>help promote better health outcomes. One effective way to achieve this is through a life course approach.</w:t>
      </w:r>
      <w:r w:rsidR="00603198">
        <w:t xml:space="preserve"> </w:t>
      </w:r>
      <w:r w:rsidRPr="00FD1342">
        <w:t>Unlike approaches that focus only on treating specific diseases at certain life stages, the life course approach looks at how key stages, transitions, and environments shape long-term health and wellbeing. It recognises that a wide range of protective and risk factors influence health over time, and that creating supportive environments can help people maintain their ability to function well throughout life.</w:t>
      </w:r>
      <w:r w:rsidR="00603198">
        <w:t xml:space="preserve"> </w:t>
      </w:r>
      <w:r w:rsidRPr="00FD1342">
        <w:t>By addressing inequalities and improving social and economic conditions early on, especially during childhood, the life course approach offers a way to improve health not just for individuals, but across generations</w:t>
      </w:r>
      <w:r w:rsidR="00603198">
        <w:t xml:space="preserve"> (Public Health England, 2025)</w:t>
      </w:r>
      <w:r w:rsidR="003D5747">
        <w:t xml:space="preserve">. </w:t>
      </w:r>
    </w:p>
    <w:p w14:paraId="263149BE" w14:textId="448E7D36" w:rsidR="00EE3639" w:rsidRDefault="00DD6938" w:rsidP="00EE3639">
      <w:pPr>
        <w:spacing w:line="360" w:lineRule="auto"/>
      </w:pPr>
      <w:r w:rsidRPr="00DD6938">
        <w:t xml:space="preserve">In conclusion, the life course approach helps to </w:t>
      </w:r>
      <w:r w:rsidR="00C33993">
        <w:t>demonstrate</w:t>
      </w:r>
      <w:r w:rsidRPr="00DD6938">
        <w:t xml:space="preserve"> the long-term impact of early negative experiences on future health and wellbeing. It highlights a holistic </w:t>
      </w:r>
      <w:r w:rsidR="00C33993">
        <w:t xml:space="preserve">view </w:t>
      </w:r>
      <w:r w:rsidRPr="00DD6938">
        <w:t>by showing how biological, psychological, social, educational, and economic factors are closely connected throughout a person’s life. Research shows that adverse experiences in childhood</w:t>
      </w:r>
      <w:r>
        <w:t xml:space="preserve">, </w:t>
      </w:r>
      <w:r w:rsidRPr="00DD6938">
        <w:t>such as abuse, neglect, or exposure to family conflict</w:t>
      </w:r>
      <w:r>
        <w:t xml:space="preserve">, </w:t>
      </w:r>
      <w:r w:rsidRPr="00DD6938">
        <w:t>can lead to poorer mental and physical health, lower educational achievement, limited job opportunities, and higher levels of stress in adulthood.</w:t>
      </w:r>
      <w:r w:rsidR="00FF7B87">
        <w:t xml:space="preserve"> </w:t>
      </w:r>
    </w:p>
    <w:p w14:paraId="6CA20CBF" w14:textId="220BC373" w:rsidR="00B82505" w:rsidRDefault="00EE3639" w:rsidP="002D23FA">
      <w:pPr>
        <w:spacing w:line="360" w:lineRule="auto"/>
        <w:rPr>
          <w:b/>
          <w:bCs/>
        </w:rPr>
      </w:pPr>
      <w:r w:rsidRPr="00EE3639">
        <w:t xml:space="preserve">This approach also </w:t>
      </w:r>
      <w:r w:rsidR="00C33993">
        <w:t>shows</w:t>
      </w:r>
      <w:r w:rsidRPr="00EE3639">
        <w:t xml:space="preserve"> the importance of early intervention and support for children and families. </w:t>
      </w:r>
      <w:r w:rsidR="00C31D84">
        <w:t>Enhancing</w:t>
      </w:r>
      <w:r w:rsidR="007C103A">
        <w:t xml:space="preserve"> </w:t>
      </w:r>
      <w:r w:rsidRPr="00EE3639">
        <w:t>the conditions in which children grow up</w:t>
      </w:r>
      <w:r>
        <w:t xml:space="preserve">, </w:t>
      </w:r>
      <w:r w:rsidRPr="00EE3639">
        <w:t xml:space="preserve">through </w:t>
      </w:r>
      <w:r w:rsidR="00C31D84">
        <w:t xml:space="preserve">improved </w:t>
      </w:r>
      <w:r w:rsidRPr="00EE3639">
        <w:t>social policies, access to quality education, and healthcare</w:t>
      </w:r>
      <w:r w:rsidR="007436A6">
        <w:t>,</w:t>
      </w:r>
      <w:r>
        <w:t xml:space="preserve"> </w:t>
      </w:r>
      <w:r w:rsidRPr="00EE3639">
        <w:t xml:space="preserve">can reduce the </w:t>
      </w:r>
      <w:r w:rsidR="007436A6">
        <w:t>long-term</w:t>
      </w:r>
      <w:r w:rsidR="00C31D84">
        <w:t xml:space="preserve"> </w:t>
      </w:r>
      <w:r w:rsidRPr="00EE3639">
        <w:t xml:space="preserve">effects of childhood adversity. </w:t>
      </w:r>
      <w:r w:rsidR="002D23FA">
        <w:t>Therefore, a</w:t>
      </w:r>
      <w:r w:rsidRPr="00EE3639">
        <w:t>pplying the life course approach provides a</w:t>
      </w:r>
      <w:r w:rsidR="002D23FA">
        <w:t>m important</w:t>
      </w:r>
      <w:r w:rsidRPr="00EE3639">
        <w:t xml:space="preserve"> framework for promoting long-term health and reducing inequality</w:t>
      </w:r>
      <w:r w:rsidR="002D23FA">
        <w:t xml:space="preserve">. </w:t>
      </w:r>
    </w:p>
    <w:p w14:paraId="4EC8291B" w14:textId="77777777" w:rsidR="00A550EF" w:rsidRDefault="00A550EF" w:rsidP="00B82505">
      <w:pPr>
        <w:rPr>
          <w:b/>
          <w:bCs/>
        </w:rPr>
      </w:pPr>
    </w:p>
    <w:p w14:paraId="2B01B07D" w14:textId="77777777" w:rsidR="00A550EF" w:rsidRDefault="00A550EF" w:rsidP="00B82505">
      <w:pPr>
        <w:rPr>
          <w:b/>
          <w:bCs/>
        </w:rPr>
      </w:pPr>
    </w:p>
    <w:p w14:paraId="73B5362F" w14:textId="77777777" w:rsidR="00A550EF" w:rsidRDefault="00A550EF" w:rsidP="00B82505">
      <w:pPr>
        <w:rPr>
          <w:b/>
          <w:bCs/>
        </w:rPr>
      </w:pPr>
    </w:p>
    <w:p w14:paraId="576BD76F" w14:textId="77777777" w:rsidR="00A550EF" w:rsidRDefault="00A550EF" w:rsidP="00B82505">
      <w:pPr>
        <w:rPr>
          <w:b/>
          <w:bCs/>
        </w:rPr>
      </w:pPr>
    </w:p>
    <w:p w14:paraId="02FEF0BF" w14:textId="77777777" w:rsidR="00A550EF" w:rsidRDefault="00A550EF" w:rsidP="00B82505">
      <w:pPr>
        <w:rPr>
          <w:b/>
          <w:bCs/>
        </w:rPr>
      </w:pPr>
    </w:p>
    <w:p w14:paraId="3F3DECDD" w14:textId="77777777" w:rsidR="00A550EF" w:rsidRDefault="00A550EF" w:rsidP="00B82505">
      <w:pPr>
        <w:rPr>
          <w:b/>
          <w:bCs/>
        </w:rPr>
      </w:pPr>
    </w:p>
    <w:p w14:paraId="05BB4748" w14:textId="77777777" w:rsidR="00ED3EC6" w:rsidRDefault="00ED3EC6" w:rsidP="00B82505">
      <w:pPr>
        <w:rPr>
          <w:b/>
          <w:bCs/>
        </w:rPr>
      </w:pPr>
    </w:p>
    <w:p w14:paraId="6454CFF9" w14:textId="497019FE" w:rsidR="00536ED6" w:rsidRDefault="00FE14D6" w:rsidP="00B82505">
      <w:pPr>
        <w:rPr>
          <w:b/>
          <w:bCs/>
        </w:rPr>
      </w:pPr>
      <w:r w:rsidRPr="00FE14D6">
        <w:rPr>
          <w:b/>
          <w:bCs/>
        </w:rPr>
        <w:t>References</w:t>
      </w:r>
    </w:p>
    <w:p w14:paraId="2C484A68" w14:textId="77777777" w:rsidR="004942CC" w:rsidRPr="00B82505" w:rsidRDefault="004942CC" w:rsidP="00B82505">
      <w:pPr>
        <w:rPr>
          <w:b/>
          <w:bCs/>
        </w:rPr>
      </w:pPr>
    </w:p>
    <w:p w14:paraId="24BB63F7" w14:textId="77777777" w:rsidR="00536ED6" w:rsidRDefault="00536ED6" w:rsidP="00856460">
      <w:pPr>
        <w:ind w:left="720" w:hanging="720"/>
      </w:pPr>
      <w:r w:rsidRPr="000F34E7">
        <w:t xml:space="preserve">Agnew, R. (1999). </w:t>
      </w:r>
      <w:r>
        <w:t>‘</w:t>
      </w:r>
      <w:r w:rsidRPr="000F34E7">
        <w:t>A general strain theory of community differences in crime rates</w:t>
      </w:r>
      <w:r>
        <w:t xml:space="preserve">’, </w:t>
      </w:r>
      <w:r w:rsidRPr="000F34E7">
        <w:rPr>
          <w:i/>
          <w:iCs/>
        </w:rPr>
        <w:t>Journal of research in crime and delinquency</w:t>
      </w:r>
      <w:r w:rsidRPr="000F34E7">
        <w:t>, </w:t>
      </w:r>
      <w:r w:rsidRPr="000F34E7">
        <w:rPr>
          <w:i/>
          <w:iCs/>
        </w:rPr>
        <w:t>36</w:t>
      </w:r>
      <w:r w:rsidRPr="000F34E7">
        <w:t>(2), 123-155.</w:t>
      </w:r>
      <w:r>
        <w:t xml:space="preserve"> DOI: </w:t>
      </w:r>
      <w:hyperlink r:id="rId7" w:history="1">
        <w:r w:rsidRPr="000F34E7">
          <w:rPr>
            <w:rStyle w:val="Hyperlink"/>
          </w:rPr>
          <w:t>https://doi.org/10.1177/00224278990360020</w:t>
        </w:r>
      </w:hyperlink>
      <w:r>
        <w:t xml:space="preserve"> </w:t>
      </w:r>
    </w:p>
    <w:p w14:paraId="43F6D2C5" w14:textId="77777777" w:rsidR="00536ED6" w:rsidRDefault="00536ED6" w:rsidP="00856460">
      <w:pPr>
        <w:ind w:left="720" w:hanging="720"/>
      </w:pPr>
      <w:r w:rsidRPr="0002257B">
        <w:t xml:space="preserve">Baglivio, M. T., Epps, N., Swartz, K., Huq, M. S., Sheer, A., &amp; Hardt, N. S. (2014). </w:t>
      </w:r>
      <w:r>
        <w:t>‘</w:t>
      </w:r>
      <w:r w:rsidRPr="0002257B">
        <w:t>The prevalence of adverse childhood experiences (ACE) in the lives of juvenile offenders</w:t>
      </w:r>
      <w:r>
        <w:t>’,</w:t>
      </w:r>
      <w:r w:rsidRPr="0002257B">
        <w:t> </w:t>
      </w:r>
      <w:r w:rsidRPr="0002257B">
        <w:rPr>
          <w:i/>
          <w:iCs/>
        </w:rPr>
        <w:t>Journal of juvenile justice</w:t>
      </w:r>
      <w:r w:rsidRPr="0002257B">
        <w:t>, </w:t>
      </w:r>
      <w:r w:rsidRPr="0002257B">
        <w:rPr>
          <w:i/>
          <w:iCs/>
        </w:rPr>
        <w:t>3</w:t>
      </w:r>
      <w:r w:rsidRPr="0002257B">
        <w:t>(2).</w:t>
      </w:r>
      <w:r>
        <w:t xml:space="preserve"> Available at: </w:t>
      </w:r>
      <w:hyperlink r:id="rId8" w:history="1">
        <w:r w:rsidRPr="0002257B">
          <w:rPr>
            <w:rStyle w:val="Hyperlink"/>
          </w:rPr>
          <w:t>Journal of Juvenile Justice.pdf</w:t>
        </w:r>
      </w:hyperlink>
      <w:r>
        <w:t xml:space="preserve"> (Accessed: 5 June 2025)</w:t>
      </w:r>
    </w:p>
    <w:p w14:paraId="09E55022" w14:textId="77777777" w:rsidR="00536ED6" w:rsidRDefault="00536ED6" w:rsidP="00856460">
      <w:pPr>
        <w:ind w:left="720" w:hanging="720"/>
      </w:pPr>
      <w:r w:rsidRPr="0002257B">
        <w:t>Bauldry, S., Shanahan, M.J., Boardman, J.D., Miech, R.A. and Macmillan, R</w:t>
      </w:r>
      <w:r>
        <w:t xml:space="preserve"> (</w:t>
      </w:r>
      <w:r w:rsidRPr="0002257B">
        <w:t>2012</w:t>
      </w:r>
      <w:r>
        <w:t>).</w:t>
      </w:r>
      <w:r w:rsidRPr="0002257B">
        <w:t xml:space="preserve"> </w:t>
      </w:r>
      <w:r>
        <w:t>‘</w:t>
      </w:r>
      <w:r w:rsidRPr="0002257B">
        <w:t>A life course model of self-rated health through adolescence and young adulthood</w:t>
      </w:r>
      <w:r>
        <w:t>’,</w:t>
      </w:r>
      <w:r w:rsidRPr="0002257B">
        <w:t> </w:t>
      </w:r>
      <w:r w:rsidRPr="0002257B">
        <w:rPr>
          <w:i/>
          <w:iCs/>
        </w:rPr>
        <w:t>Social science &amp; medicine</w:t>
      </w:r>
      <w:r w:rsidRPr="0002257B">
        <w:t>, </w:t>
      </w:r>
      <w:r w:rsidRPr="0002257B">
        <w:rPr>
          <w:i/>
          <w:iCs/>
        </w:rPr>
        <w:t>75</w:t>
      </w:r>
      <w:r w:rsidRPr="0002257B">
        <w:t>(7), pp.1311-1320.</w:t>
      </w:r>
      <w:r>
        <w:t xml:space="preserve"> DOI: </w:t>
      </w:r>
      <w:hyperlink r:id="rId9" w:tgtFrame="_blank" w:tooltip="Persistent link using digital object identifier" w:history="1">
        <w:r w:rsidRPr="0002257B">
          <w:rPr>
            <w:rStyle w:val="Hyperlink"/>
          </w:rPr>
          <w:t>https://doi.org/10.1016/j.socscimed.2012.05.017</w:t>
        </w:r>
      </w:hyperlink>
      <w:r>
        <w:t xml:space="preserve"> </w:t>
      </w:r>
    </w:p>
    <w:p w14:paraId="3D3FEDA9" w14:textId="77777777" w:rsidR="00536ED6" w:rsidRDefault="00536ED6" w:rsidP="00856460">
      <w:pPr>
        <w:ind w:left="720" w:hanging="720"/>
      </w:pPr>
      <w:r w:rsidRPr="008C2ECD">
        <w:t xml:space="preserve">Covey, H. C., Menard, S., &amp; Franzese, R. J. (2013). </w:t>
      </w:r>
      <w:r w:rsidRPr="00D93EF3">
        <w:t>‚Effects of adolescent physical abuse, exposure to neighborhood violence, and witnessing parental violence on adult socioeconomic status</w:t>
      </w:r>
      <w:r>
        <w:t xml:space="preserve">’, </w:t>
      </w:r>
      <w:r w:rsidRPr="00D93EF3">
        <w:rPr>
          <w:i/>
          <w:iCs/>
        </w:rPr>
        <w:t>Child maltreatment</w:t>
      </w:r>
      <w:r w:rsidRPr="00D93EF3">
        <w:t>, </w:t>
      </w:r>
      <w:r w:rsidRPr="00D93EF3">
        <w:rPr>
          <w:i/>
          <w:iCs/>
        </w:rPr>
        <w:t>18</w:t>
      </w:r>
      <w:r w:rsidRPr="00D93EF3">
        <w:t>(2), 85-97.</w:t>
      </w:r>
      <w:r>
        <w:t xml:space="preserve"> DOI: </w:t>
      </w:r>
      <w:hyperlink r:id="rId10" w:history="1">
        <w:r w:rsidRPr="00C05494">
          <w:rPr>
            <w:rStyle w:val="Hyperlink"/>
          </w:rPr>
          <w:t>https://doi.org/10.1177/10775595134779</w:t>
        </w:r>
      </w:hyperlink>
      <w:r>
        <w:t xml:space="preserve"> </w:t>
      </w:r>
    </w:p>
    <w:p w14:paraId="588D46E8" w14:textId="77777777" w:rsidR="00536ED6" w:rsidRDefault="00536ED6" w:rsidP="00856460">
      <w:pPr>
        <w:ind w:left="720" w:hanging="720"/>
      </w:pPr>
      <w:r w:rsidRPr="00FE14D6">
        <w:t xml:space="preserve">Elder, G. H. (1994). </w:t>
      </w:r>
      <w:r>
        <w:t>‘</w:t>
      </w:r>
      <w:r w:rsidRPr="00FE14D6">
        <w:t>Time, Human Agency, and Social Change: Perspectives on the Life Course</w:t>
      </w:r>
      <w:r>
        <w:t xml:space="preserve">’, </w:t>
      </w:r>
      <w:r w:rsidRPr="00FE14D6">
        <w:rPr>
          <w:i/>
          <w:iCs/>
        </w:rPr>
        <w:t>Social Psychology Quarterly</w:t>
      </w:r>
      <w:r w:rsidRPr="00FE14D6">
        <w:t>, </w:t>
      </w:r>
      <w:r w:rsidRPr="00FE14D6">
        <w:rPr>
          <w:i/>
          <w:iCs/>
        </w:rPr>
        <w:t>57</w:t>
      </w:r>
      <w:r w:rsidRPr="00FE14D6">
        <w:t>(1), 4–15.</w:t>
      </w:r>
      <w:r>
        <w:t xml:space="preserve"> DOI: </w:t>
      </w:r>
      <w:r w:rsidRPr="00FE14D6">
        <w:t xml:space="preserve"> </w:t>
      </w:r>
      <w:hyperlink r:id="rId11" w:history="1">
        <w:r w:rsidRPr="00C05494">
          <w:rPr>
            <w:rStyle w:val="Hyperlink"/>
          </w:rPr>
          <w:t>https://doi.org/10.2307/2786971</w:t>
        </w:r>
      </w:hyperlink>
      <w:r>
        <w:t xml:space="preserve"> </w:t>
      </w:r>
    </w:p>
    <w:p w14:paraId="3EE61C4E" w14:textId="77777777" w:rsidR="00536ED6" w:rsidRDefault="00536ED6" w:rsidP="00856460">
      <w:pPr>
        <w:ind w:left="720" w:hanging="720"/>
      </w:pPr>
      <w:r w:rsidRPr="00FE14D6">
        <w:t>Hayward, M.D</w:t>
      </w:r>
      <w:r>
        <w:t xml:space="preserve"> and </w:t>
      </w:r>
      <w:r w:rsidRPr="00FE14D6">
        <w:t>Gorma</w:t>
      </w:r>
      <w:r>
        <w:t>, B. K (2004). ‘</w:t>
      </w:r>
      <w:r w:rsidRPr="00FE14D6">
        <w:t>The long arm of childhood: The influence of early-life social conditions on men’s mortality</w:t>
      </w:r>
      <w:r>
        <w:t>’,</w:t>
      </w:r>
      <w:r w:rsidRPr="00FE14D6">
        <w:t> </w:t>
      </w:r>
      <w:r w:rsidRPr="00FE14D6">
        <w:rPr>
          <w:i/>
          <w:iCs/>
        </w:rPr>
        <w:t>Demography</w:t>
      </w:r>
      <w:r w:rsidRPr="00FE14D6">
        <w:t xml:space="preserve"> 41, 87–107 </w:t>
      </w:r>
      <w:r>
        <w:t xml:space="preserve">DOI: </w:t>
      </w:r>
      <w:hyperlink r:id="rId12" w:history="1">
        <w:r w:rsidRPr="00C05494">
          <w:rPr>
            <w:rStyle w:val="Hyperlink"/>
          </w:rPr>
          <w:t>https://doi.org/10.1353/dem.2004.0005</w:t>
        </w:r>
      </w:hyperlink>
    </w:p>
    <w:p w14:paraId="1CD8B700" w14:textId="73930C98" w:rsidR="00536ED6" w:rsidRDefault="00536ED6" w:rsidP="00856460">
      <w:pPr>
        <w:ind w:left="720" w:hanging="720"/>
      </w:pPr>
      <w:r w:rsidRPr="0002257B">
        <w:t>Hughes, K., Lowey, H., Quigg, Z</w:t>
      </w:r>
      <w:r>
        <w:t xml:space="preserve"> and Bellis, A.M (2016)</w:t>
      </w:r>
      <w:r w:rsidRPr="0002257B">
        <w:rPr>
          <w:i/>
          <w:iCs/>
        </w:rPr>
        <w:t>.</w:t>
      </w:r>
      <w:r w:rsidRPr="0002257B">
        <w:t> </w:t>
      </w:r>
      <w:r>
        <w:t>‘</w:t>
      </w:r>
      <w:r w:rsidRPr="0002257B">
        <w:t>Relationships between adverse childhood experiences and adult mental well-being: results from an English national household survey</w:t>
      </w:r>
      <w:r>
        <w:t>’,</w:t>
      </w:r>
      <w:r w:rsidRPr="0002257B">
        <w:t> </w:t>
      </w:r>
      <w:r w:rsidRPr="0002257B">
        <w:rPr>
          <w:i/>
          <w:iCs/>
        </w:rPr>
        <w:t>BMC Public Health</w:t>
      </w:r>
      <w:r w:rsidRPr="0002257B">
        <w:t> </w:t>
      </w:r>
      <w:r w:rsidRPr="0002257B">
        <w:rPr>
          <w:b/>
          <w:bCs/>
        </w:rPr>
        <w:t>16</w:t>
      </w:r>
      <w:r w:rsidRPr="0002257B">
        <w:t>, 222</w:t>
      </w:r>
      <w:r>
        <w:t xml:space="preserve">. DOI: </w:t>
      </w:r>
      <w:hyperlink r:id="rId13" w:history="1">
        <w:r w:rsidR="0026292E" w:rsidRPr="004A111A">
          <w:rPr>
            <w:rStyle w:val="Hyperlink"/>
          </w:rPr>
          <w:t>https://doi.org/10.1186/s12889-016-2906-3</w:t>
        </w:r>
      </w:hyperlink>
    </w:p>
    <w:p w14:paraId="4C17704C" w14:textId="48C6E8FB" w:rsidR="0026292E" w:rsidRPr="00720BC0" w:rsidRDefault="0026292E" w:rsidP="00720BC0">
      <w:pPr>
        <w:ind w:left="720" w:hanging="720"/>
        <w:rPr>
          <w:b/>
          <w:bCs/>
        </w:rPr>
      </w:pPr>
      <w:r>
        <w:t>Keep Your Children Safe (2025)</w:t>
      </w:r>
      <w:r w:rsidRPr="00720BC0">
        <w:rPr>
          <w:i/>
          <w:iCs/>
        </w:rPr>
        <w:t xml:space="preserve"> </w:t>
      </w:r>
      <w:r w:rsidR="00720BC0" w:rsidRPr="00720BC0">
        <w:rPr>
          <w:i/>
          <w:iCs/>
        </w:rPr>
        <w:t>The Effects &amp; Consequences of Dysfunctional Families for Kids</w:t>
      </w:r>
      <w:r w:rsidR="00720BC0">
        <w:rPr>
          <w:b/>
          <w:bCs/>
        </w:rPr>
        <w:t xml:space="preserve">. </w:t>
      </w:r>
      <w:r>
        <w:t xml:space="preserve">Available at: </w:t>
      </w:r>
      <w:hyperlink r:id="rId14" w:history="1">
        <w:r w:rsidRPr="00C05494">
          <w:rPr>
            <w:rStyle w:val="Hyperlink"/>
          </w:rPr>
          <w:t>https://keepyourchildsafe.org/child-abuse/dysfunctional-families/the-effects-consequences-of-dysfunctional-families-for-kids/</w:t>
        </w:r>
      </w:hyperlink>
      <w:r>
        <w:t xml:space="preserve">  (Accessed: </w:t>
      </w:r>
      <w:r w:rsidR="00720BC0">
        <w:t>10 June 2025)</w:t>
      </w:r>
    </w:p>
    <w:p w14:paraId="40F14C99" w14:textId="77777777" w:rsidR="00536ED6" w:rsidRDefault="00536ED6" w:rsidP="00856460">
      <w:pPr>
        <w:ind w:left="720" w:hanging="720"/>
      </w:pPr>
      <w:r w:rsidRPr="00D93EF3">
        <w:t xml:space="preserve">Kendall-Tackett, K. (2002). </w:t>
      </w:r>
      <w:r>
        <w:t>‘</w:t>
      </w:r>
      <w:r w:rsidRPr="00D93EF3">
        <w:t>The health effects of childhood abuse: four pathways by which abuse can influence health</w:t>
      </w:r>
      <w:r>
        <w:t>’,</w:t>
      </w:r>
      <w:r w:rsidRPr="00D93EF3">
        <w:t> </w:t>
      </w:r>
      <w:r w:rsidRPr="00D93EF3">
        <w:rPr>
          <w:i/>
          <w:iCs/>
        </w:rPr>
        <w:t>Child abuse &amp; neglect</w:t>
      </w:r>
      <w:r w:rsidRPr="00D93EF3">
        <w:t>, </w:t>
      </w:r>
      <w:r w:rsidRPr="00D93EF3">
        <w:rPr>
          <w:i/>
          <w:iCs/>
        </w:rPr>
        <w:t>26</w:t>
      </w:r>
      <w:r w:rsidRPr="00D93EF3">
        <w:t>(6-7), 715-729.</w:t>
      </w:r>
      <w:r>
        <w:t xml:space="preserve"> DOI: </w:t>
      </w:r>
      <w:hyperlink r:id="rId15" w:tgtFrame="_blank" w:tooltip="Persistent link using digital object identifier" w:history="1">
        <w:r w:rsidRPr="00D93EF3">
          <w:rPr>
            <w:rStyle w:val="Hyperlink"/>
          </w:rPr>
          <w:t>https://doi.org/10.1016/S0145-2134(02)00343-5</w:t>
        </w:r>
      </w:hyperlink>
      <w:r>
        <w:t xml:space="preserve"> </w:t>
      </w:r>
    </w:p>
    <w:p w14:paraId="04145C02" w14:textId="77777777" w:rsidR="00536ED6" w:rsidRPr="00D93EF3" w:rsidRDefault="00536ED6" w:rsidP="00856460">
      <w:pPr>
        <w:ind w:left="720" w:hanging="720"/>
      </w:pPr>
      <w:r>
        <w:t xml:space="preserve">Kluger, J (2016) </w:t>
      </w:r>
      <w:r w:rsidRPr="00536ED6">
        <w:rPr>
          <w:i/>
          <w:iCs/>
        </w:rPr>
        <w:t>How Childhood Trauma Can Cause Premature Aging.</w:t>
      </w:r>
      <w:r>
        <w:t xml:space="preserve"> Available at: </w:t>
      </w:r>
      <w:hyperlink r:id="rId16" w:history="1">
        <w:r w:rsidRPr="0020423D">
          <w:rPr>
            <w:rStyle w:val="Hyperlink"/>
          </w:rPr>
          <w:t>Childhood Traumas Accelerate Aging | TIME</w:t>
        </w:r>
      </w:hyperlink>
      <w:r>
        <w:t xml:space="preserve"> (Accessed 20 May 2025)</w:t>
      </w:r>
    </w:p>
    <w:p w14:paraId="1C1A64B6" w14:textId="77777777" w:rsidR="00536ED6" w:rsidRPr="003E0550" w:rsidRDefault="00536ED6" w:rsidP="00856460">
      <w:pPr>
        <w:ind w:left="720" w:hanging="720"/>
        <w:rPr>
          <w:lang w:val="fi-FI"/>
        </w:rPr>
      </w:pPr>
      <w:r w:rsidRPr="00D93EF3">
        <w:lastRenderedPageBreak/>
        <w:t xml:space="preserve">Macmillan, R. (2000). </w:t>
      </w:r>
      <w:r>
        <w:t>‘</w:t>
      </w:r>
      <w:r w:rsidRPr="00D93EF3">
        <w:t>Adolescent victimization and income deficits in adulthood: Rethinking the costs of criminal violence from a life</w:t>
      </w:r>
      <w:r w:rsidRPr="00D93EF3">
        <w:rPr>
          <w:rFonts w:ascii="Cambria Math" w:hAnsi="Cambria Math" w:cs="Cambria Math"/>
        </w:rPr>
        <w:t>‐</w:t>
      </w:r>
      <w:r w:rsidRPr="00D93EF3">
        <w:t>course perspective</w:t>
      </w:r>
      <w:r>
        <w:t>’,</w:t>
      </w:r>
      <w:r w:rsidRPr="00D93EF3">
        <w:rPr>
          <w:rFonts w:ascii="Aptos" w:hAnsi="Aptos" w:cs="Aptos"/>
        </w:rPr>
        <w:t> </w:t>
      </w:r>
      <w:r w:rsidRPr="00D93EF3">
        <w:rPr>
          <w:i/>
          <w:iCs/>
        </w:rPr>
        <w:t>Criminol</w:t>
      </w:r>
      <w:r w:rsidRPr="003D5747">
        <w:rPr>
          <w:i/>
          <w:iCs/>
        </w:rPr>
        <w:t>ogy</w:t>
      </w:r>
      <w:r w:rsidRPr="003D5747">
        <w:t>, </w:t>
      </w:r>
      <w:r w:rsidRPr="003D5747">
        <w:rPr>
          <w:i/>
          <w:iCs/>
        </w:rPr>
        <w:t>38</w:t>
      </w:r>
      <w:r w:rsidRPr="003D5747">
        <w:t xml:space="preserve">(2), 553-588. </w:t>
      </w:r>
      <w:r w:rsidRPr="003D5747">
        <w:rPr>
          <w:lang w:val="fi-FI"/>
        </w:rPr>
        <w:t xml:space="preserve">DOI: </w:t>
      </w:r>
      <w:hyperlink r:id="rId17" w:history="1">
        <w:r w:rsidRPr="003D5747">
          <w:rPr>
            <w:rStyle w:val="Hyperlink"/>
            <w:lang w:val="fi-FI"/>
          </w:rPr>
          <w:t>https://doi.org/10.1111/j.1745-9125.2000.tb00899.x</w:t>
        </w:r>
      </w:hyperlink>
    </w:p>
    <w:p w14:paraId="644FCA93" w14:textId="4E4E2AF4" w:rsidR="00051D31" w:rsidRPr="00051D31" w:rsidRDefault="00051D31" w:rsidP="00856460">
      <w:pPr>
        <w:ind w:left="720" w:hanging="720"/>
      </w:pPr>
      <w:r w:rsidRPr="00051D31">
        <w:rPr>
          <w:lang w:val="fi-FI"/>
        </w:rPr>
        <w:t xml:space="preserve">McLaughlin, K. A., Conron, K. J., Koenen, K. C., &amp; Gilman, S. E. (2010). </w:t>
      </w:r>
      <w:r w:rsidR="00926A74">
        <w:t>‘</w:t>
      </w:r>
      <w:r w:rsidRPr="00051D31">
        <w:t>Childhood adversity, adult stressful life events, and risk of past-year psychiatric disorder: a test of the stress sensitization hypothesis in a population-based sample of adults</w:t>
      </w:r>
      <w:r>
        <w:t>’,</w:t>
      </w:r>
      <w:r w:rsidRPr="00051D31">
        <w:t> </w:t>
      </w:r>
      <w:r w:rsidRPr="00051D31">
        <w:rPr>
          <w:i/>
          <w:iCs/>
        </w:rPr>
        <w:t>Psychological medicine</w:t>
      </w:r>
      <w:r w:rsidRPr="00051D31">
        <w:t>, </w:t>
      </w:r>
      <w:r w:rsidRPr="00051D31">
        <w:rPr>
          <w:i/>
          <w:iCs/>
        </w:rPr>
        <w:t>40</w:t>
      </w:r>
      <w:r w:rsidRPr="00051D31">
        <w:t>(10), 1647-1658.</w:t>
      </w:r>
      <w:r w:rsidR="00B82505">
        <w:t xml:space="preserve"> </w:t>
      </w:r>
      <w:r w:rsidR="00B82505" w:rsidRPr="00B82505">
        <w:t>DOI: </w:t>
      </w:r>
      <w:hyperlink r:id="rId18" w:tgtFrame="_blank" w:history="1">
        <w:r w:rsidR="00B82505" w:rsidRPr="00B82505">
          <w:rPr>
            <w:rStyle w:val="Hyperlink"/>
          </w:rPr>
          <w:t>https://doi.org/10.1017/S0033291709992121</w:t>
        </w:r>
      </w:hyperlink>
      <w:r w:rsidR="00B82505">
        <w:t xml:space="preserve"> </w:t>
      </w:r>
    </w:p>
    <w:p w14:paraId="3B96657F" w14:textId="77777777" w:rsidR="00536ED6" w:rsidRDefault="00536ED6" w:rsidP="00856460">
      <w:pPr>
        <w:ind w:left="720" w:hanging="720"/>
      </w:pPr>
      <w:r w:rsidRPr="00FE14D6">
        <w:t>Monnat</w:t>
      </w:r>
      <w:r>
        <w:t>,</w:t>
      </w:r>
      <w:r w:rsidRPr="00FE14D6">
        <w:t xml:space="preserve"> S</w:t>
      </w:r>
      <w:r>
        <w:t xml:space="preserve">. </w:t>
      </w:r>
      <w:r w:rsidRPr="00FE14D6">
        <w:t>M</w:t>
      </w:r>
      <w:r>
        <w:t xml:space="preserve"> and</w:t>
      </w:r>
      <w:r w:rsidRPr="00FE14D6">
        <w:t xml:space="preserve"> Chandler</w:t>
      </w:r>
      <w:r>
        <w:t>,</w:t>
      </w:r>
      <w:r w:rsidRPr="00FE14D6">
        <w:t xml:space="preserve"> R</w:t>
      </w:r>
      <w:r>
        <w:t xml:space="preserve">, </w:t>
      </w:r>
      <w:r w:rsidRPr="00FE14D6">
        <w:t>F</w:t>
      </w:r>
      <w:r>
        <w:t xml:space="preserve"> (2015). ‘</w:t>
      </w:r>
      <w:r w:rsidRPr="00FE14D6">
        <w:t>Long Term Physical Health Consequences of Adverse Childhood Experiences</w:t>
      </w:r>
      <w:r>
        <w:t xml:space="preserve">’, </w:t>
      </w:r>
      <w:r w:rsidRPr="00FE14D6">
        <w:t xml:space="preserve"> </w:t>
      </w:r>
      <w:r w:rsidRPr="00FE14D6">
        <w:rPr>
          <w:i/>
          <w:iCs/>
        </w:rPr>
        <w:t>Sociol Q,</w:t>
      </w:r>
      <w:r>
        <w:t xml:space="preserve"> </w:t>
      </w:r>
      <w:r w:rsidRPr="00FE14D6">
        <w:t xml:space="preserve">56(4):723-752. </w:t>
      </w:r>
      <w:r>
        <w:t xml:space="preserve">DOI: </w:t>
      </w:r>
      <w:r w:rsidRPr="00FE14D6">
        <w:t> </w:t>
      </w:r>
      <w:hyperlink r:id="rId19" w:tgtFrame="_blank" w:history="1">
        <w:r w:rsidRPr="00FE14D6">
          <w:rPr>
            <w:rStyle w:val="Hyperlink"/>
          </w:rPr>
          <w:t>10.1111/tsq.12107</w:t>
        </w:r>
      </w:hyperlink>
      <w:r>
        <w:t xml:space="preserve"> </w:t>
      </w:r>
    </w:p>
    <w:p w14:paraId="271D894B" w14:textId="77777777" w:rsidR="00B8606C" w:rsidRDefault="00D47B0E" w:rsidP="00B8606C">
      <w:pPr>
        <w:ind w:left="720" w:hanging="720"/>
      </w:pPr>
      <w:r w:rsidRPr="00D47B0E">
        <w:t>Nurius</w:t>
      </w:r>
      <w:r>
        <w:t>,</w:t>
      </w:r>
      <w:r w:rsidRPr="00D47B0E">
        <w:t xml:space="preserve"> P</w:t>
      </w:r>
      <w:r>
        <w:t xml:space="preserve">. </w:t>
      </w:r>
      <w:r w:rsidRPr="00D47B0E">
        <w:t>S</w:t>
      </w:r>
      <w:r>
        <w:t>.</w:t>
      </w:r>
      <w:r w:rsidRPr="00D47B0E">
        <w:t>, Green</w:t>
      </w:r>
      <w:r>
        <w:t xml:space="preserve">, </w:t>
      </w:r>
      <w:r w:rsidRPr="00D47B0E">
        <w:t>S</w:t>
      </w:r>
      <w:r>
        <w:t>.</w:t>
      </w:r>
      <w:r w:rsidRPr="00D47B0E">
        <w:t>, Logan-Greene</w:t>
      </w:r>
      <w:r>
        <w:t xml:space="preserve">, </w:t>
      </w:r>
      <w:r w:rsidRPr="00D47B0E">
        <w:t>P</w:t>
      </w:r>
      <w:r>
        <w:t xml:space="preserve"> and </w:t>
      </w:r>
      <w:r w:rsidRPr="00D47B0E">
        <w:t>Borja</w:t>
      </w:r>
      <w:r>
        <w:t>,</w:t>
      </w:r>
      <w:r w:rsidRPr="00D47B0E">
        <w:t xml:space="preserve"> S.</w:t>
      </w:r>
      <w:r w:rsidR="00736844">
        <w:t xml:space="preserve"> (2015)</w:t>
      </w:r>
      <w:r w:rsidRPr="00D47B0E">
        <w:t xml:space="preserve"> </w:t>
      </w:r>
      <w:r w:rsidR="00736844">
        <w:t>‘</w:t>
      </w:r>
      <w:r w:rsidRPr="00D47B0E">
        <w:t>Life course pathways of adverse childhood experiences toward adult psychological well-being: A stress process analysis</w:t>
      </w:r>
      <w:r w:rsidR="00736844">
        <w:t>’,</w:t>
      </w:r>
      <w:r w:rsidRPr="00D47B0E">
        <w:t xml:space="preserve"> </w:t>
      </w:r>
      <w:r w:rsidRPr="00736844">
        <w:rPr>
          <w:i/>
          <w:iCs/>
        </w:rPr>
        <w:t>Child Abuse Negl</w:t>
      </w:r>
      <w:r w:rsidR="00736844" w:rsidRPr="00736844">
        <w:rPr>
          <w:i/>
          <w:iCs/>
        </w:rPr>
        <w:t>ect</w:t>
      </w:r>
      <w:r w:rsidR="00736844">
        <w:t xml:space="preserve">, </w:t>
      </w:r>
      <w:r w:rsidRPr="00D47B0E">
        <w:t xml:space="preserve">45:143-53. </w:t>
      </w:r>
      <w:r w:rsidR="00736844">
        <w:t>DOI</w:t>
      </w:r>
      <w:r w:rsidRPr="00D47B0E">
        <w:t xml:space="preserve">: 10.1016/j.chiabu.2015.03.008. </w:t>
      </w:r>
    </w:p>
    <w:p w14:paraId="685BF557" w14:textId="41838A61" w:rsidR="00C14B83" w:rsidRPr="00B8606C" w:rsidRDefault="00C14B83" w:rsidP="00ED3EC6">
      <w:pPr>
        <w:ind w:left="720" w:hanging="720"/>
      </w:pPr>
      <w:r>
        <w:t>Public Health England (2025</w:t>
      </w:r>
      <w:r w:rsidRPr="00ED3EC6">
        <w:t>)</w:t>
      </w:r>
      <w:r w:rsidR="00B8606C" w:rsidRPr="00ED3EC6">
        <w:t xml:space="preserve"> </w:t>
      </w:r>
      <w:r w:rsidR="00B8606C" w:rsidRPr="00ED3EC6">
        <w:rPr>
          <w:i/>
          <w:iCs/>
        </w:rPr>
        <w:t>Guidance: Health matters: Prevention - a life course approach</w:t>
      </w:r>
      <w:r w:rsidR="00B8606C" w:rsidRPr="00ED3EC6">
        <w:t>. Available at</w:t>
      </w:r>
      <w:r w:rsidR="00B8606C" w:rsidRPr="00B8606C">
        <w:rPr>
          <w:b/>
          <w:bCs/>
        </w:rPr>
        <w:t xml:space="preserve">: </w:t>
      </w:r>
      <w:hyperlink r:id="rId20" w:history="1">
        <w:r w:rsidR="00B8606C" w:rsidRPr="004A111A">
          <w:rPr>
            <w:rStyle w:val="Hyperlink"/>
          </w:rPr>
          <w:t>https://www.gov.uk/government/publications/health-matters-life-course-approach-to-prevention/health-matters-prevention-a-life-course-approach</w:t>
        </w:r>
      </w:hyperlink>
      <w:r w:rsidRPr="00B8606C">
        <w:t xml:space="preserve"> </w:t>
      </w:r>
      <w:r w:rsidR="00B8606C">
        <w:t xml:space="preserve"> (Accessed: </w:t>
      </w:r>
      <w:r w:rsidR="00ED3EC6">
        <w:t>15 June 2025)</w:t>
      </w:r>
    </w:p>
    <w:p w14:paraId="02A12F2D" w14:textId="6EF5C14A" w:rsidR="00A808A3" w:rsidRPr="009D1754" w:rsidRDefault="00A808A3" w:rsidP="009D1754">
      <w:pPr>
        <w:ind w:left="720" w:hanging="720"/>
      </w:pPr>
      <w:r w:rsidRPr="009D1754">
        <w:t xml:space="preserve">Reding, </w:t>
      </w:r>
      <w:r w:rsidR="009D1754" w:rsidRPr="009D1754">
        <w:t>M (</w:t>
      </w:r>
      <w:r w:rsidRPr="009D1754">
        <w:t xml:space="preserve">2025) </w:t>
      </w:r>
      <w:r w:rsidR="009D1754" w:rsidRPr="009D1754">
        <w:rPr>
          <w:i/>
          <w:iCs/>
        </w:rPr>
        <w:t>What are the Child Development Stages?</w:t>
      </w:r>
      <w:r w:rsidR="009D1754">
        <w:rPr>
          <w:i/>
          <w:iCs/>
        </w:rPr>
        <w:t xml:space="preserve"> </w:t>
      </w:r>
      <w:r w:rsidR="009D1754" w:rsidRPr="009D1754">
        <w:t xml:space="preserve">Available at: </w:t>
      </w:r>
      <w:hyperlink r:id="rId21" w:history="1">
        <w:r w:rsidR="009D1754" w:rsidRPr="004A111A">
          <w:rPr>
            <w:rStyle w:val="Hyperlink"/>
          </w:rPr>
          <w:t>https://cpdonline.co.uk/knowledge-base/safeguarding/child-development-stages/</w:t>
        </w:r>
      </w:hyperlink>
      <w:r w:rsidRPr="009D1754">
        <w:t xml:space="preserve">  </w:t>
      </w:r>
      <w:r w:rsidR="009D1754">
        <w:t xml:space="preserve">(Accessed: </w:t>
      </w:r>
      <w:r w:rsidR="00C5010C">
        <w:t>28 June 2025)</w:t>
      </w:r>
    </w:p>
    <w:p w14:paraId="13C088A3" w14:textId="700217AD" w:rsidR="00536ED6" w:rsidRDefault="00536ED6" w:rsidP="00856460">
      <w:pPr>
        <w:ind w:left="720" w:hanging="720"/>
      </w:pPr>
      <w:r w:rsidRPr="00D93EF3">
        <w:t>Sadeh, A., Hayden, R. M., McGuire, J. P., Sachs, H</w:t>
      </w:r>
      <w:r w:rsidR="00A550EF">
        <w:t xml:space="preserve"> and</w:t>
      </w:r>
      <w:r w:rsidRPr="00D93EF3">
        <w:t xml:space="preserve"> Civita, R. (1994). </w:t>
      </w:r>
      <w:r>
        <w:t>‘</w:t>
      </w:r>
      <w:r w:rsidRPr="00D93EF3">
        <w:t>Somatic, cognitive and emotional characteristics of abused children in a psychiatric hospital</w:t>
      </w:r>
      <w:r>
        <w:t>’,</w:t>
      </w:r>
      <w:r w:rsidRPr="00D93EF3">
        <w:t> </w:t>
      </w:r>
      <w:r w:rsidRPr="00D93EF3">
        <w:rPr>
          <w:i/>
          <w:iCs/>
        </w:rPr>
        <w:t>Child Psychiatry and Human Development</w:t>
      </w:r>
      <w:r w:rsidRPr="00D93EF3">
        <w:t>, </w:t>
      </w:r>
      <w:r w:rsidRPr="00D93EF3">
        <w:rPr>
          <w:i/>
          <w:iCs/>
        </w:rPr>
        <w:t>24</w:t>
      </w:r>
      <w:r w:rsidRPr="00D93EF3">
        <w:t>, 191-200.</w:t>
      </w:r>
      <w:r>
        <w:t xml:space="preserve"> DOI: </w:t>
      </w:r>
      <w:hyperlink r:id="rId22" w:history="1">
        <w:r w:rsidRPr="00C05494">
          <w:rPr>
            <w:rStyle w:val="Hyperlink"/>
          </w:rPr>
          <w:t>https://doi.org/10.1007/BF02353196</w:t>
        </w:r>
      </w:hyperlink>
      <w:r>
        <w:t xml:space="preserve"> </w:t>
      </w:r>
    </w:p>
    <w:p w14:paraId="1D1B7041" w14:textId="1303236D" w:rsidR="00536ED6" w:rsidRDefault="00536ED6" w:rsidP="00856460">
      <w:pPr>
        <w:ind w:left="720" w:hanging="720"/>
      </w:pPr>
      <w:r w:rsidRPr="00FE14D6">
        <w:t>Shonkoff</w:t>
      </w:r>
      <w:r>
        <w:t xml:space="preserve">, </w:t>
      </w:r>
      <w:r w:rsidRPr="00FE14D6">
        <w:t>J</w:t>
      </w:r>
      <w:r>
        <w:t>.</w:t>
      </w:r>
      <w:r w:rsidRPr="00FE14D6">
        <w:t>P</w:t>
      </w:r>
      <w:r>
        <w:t>.,</w:t>
      </w:r>
      <w:r w:rsidRPr="00FE14D6">
        <w:t xml:space="preserve"> Boyce</w:t>
      </w:r>
      <w:r>
        <w:t>,</w:t>
      </w:r>
      <w:r w:rsidRPr="00FE14D6">
        <w:t xml:space="preserve"> W</w:t>
      </w:r>
      <w:r>
        <w:t>.</w:t>
      </w:r>
      <w:r w:rsidRPr="00FE14D6">
        <w:t>T</w:t>
      </w:r>
      <w:r>
        <w:t xml:space="preserve"> and</w:t>
      </w:r>
      <w:r w:rsidRPr="00FE14D6">
        <w:t xml:space="preserve"> McEwen</w:t>
      </w:r>
      <w:r>
        <w:t>,</w:t>
      </w:r>
      <w:r w:rsidRPr="00FE14D6">
        <w:t xml:space="preserve"> B</w:t>
      </w:r>
      <w:r>
        <w:t xml:space="preserve">, </w:t>
      </w:r>
      <w:r w:rsidRPr="00FE14D6">
        <w:t>S</w:t>
      </w:r>
      <w:r>
        <w:t xml:space="preserve"> (2009)</w:t>
      </w:r>
      <w:r w:rsidRPr="00FE14D6">
        <w:t xml:space="preserve"> </w:t>
      </w:r>
      <w:r>
        <w:t>‘</w:t>
      </w:r>
      <w:r w:rsidRPr="00FE14D6">
        <w:t>Neuroscience, molecular biology, and the childhood roots of health disparities: building a new framework for health promotion and disease prevention</w:t>
      </w:r>
      <w:r>
        <w:t xml:space="preserve">’, </w:t>
      </w:r>
      <w:r w:rsidRPr="00856460">
        <w:rPr>
          <w:i/>
          <w:iCs/>
        </w:rPr>
        <w:t>JAMA,</w:t>
      </w:r>
      <w:r>
        <w:t xml:space="preserve"> </w:t>
      </w:r>
      <w:r w:rsidRPr="00FE14D6">
        <w:t xml:space="preserve">301(21):2252-9. </w:t>
      </w:r>
      <w:r>
        <w:t>DOI</w:t>
      </w:r>
      <w:r w:rsidRPr="00FE14D6">
        <w:t xml:space="preserve">: 10.1001/jama.2009.754. </w:t>
      </w:r>
    </w:p>
    <w:p w14:paraId="40AE2E80" w14:textId="77777777" w:rsidR="00536ED6" w:rsidRDefault="00536ED6" w:rsidP="00856460">
      <w:pPr>
        <w:ind w:left="720" w:hanging="720"/>
      </w:pPr>
      <w:r w:rsidRPr="00D93EF3">
        <w:t xml:space="preserve">Teicher, M. H., Samson, J. A., Polcari, A., &amp; McGreenery, C. E. (2006). </w:t>
      </w:r>
      <w:r>
        <w:t>‘</w:t>
      </w:r>
      <w:r w:rsidRPr="00D93EF3">
        <w:t>Sticks, stones, and hurtful words: relative effects of various forms of childhood maltreatment</w:t>
      </w:r>
      <w:r>
        <w:t>’,</w:t>
      </w:r>
      <w:r w:rsidRPr="00D93EF3">
        <w:t> </w:t>
      </w:r>
      <w:r w:rsidRPr="00D93EF3">
        <w:rPr>
          <w:i/>
          <w:iCs/>
        </w:rPr>
        <w:t>American journal of psychiatry</w:t>
      </w:r>
      <w:r w:rsidRPr="00D93EF3">
        <w:t>, </w:t>
      </w:r>
      <w:r w:rsidRPr="00D93EF3">
        <w:rPr>
          <w:i/>
          <w:iCs/>
        </w:rPr>
        <w:t>163</w:t>
      </w:r>
      <w:r w:rsidRPr="00D93EF3">
        <w:t>(6), 993-1000</w:t>
      </w:r>
      <w:r>
        <w:t xml:space="preserve">. DOI: </w:t>
      </w:r>
      <w:hyperlink r:id="rId23" w:history="1">
        <w:r w:rsidRPr="00D93EF3">
          <w:rPr>
            <w:rStyle w:val="Hyperlink"/>
          </w:rPr>
          <w:t>https://doi.org/10.1176/ajp.2006.163.6.993</w:t>
        </w:r>
      </w:hyperlink>
      <w:r>
        <w:t xml:space="preserve"> </w:t>
      </w:r>
    </w:p>
    <w:p w14:paraId="753AC9E0" w14:textId="77777777" w:rsidR="00536ED6" w:rsidRDefault="00536ED6" w:rsidP="00856460">
      <w:pPr>
        <w:ind w:left="720" w:hanging="720"/>
      </w:pPr>
      <w:r>
        <w:t xml:space="preserve">World Health Organisation (2021). </w:t>
      </w:r>
      <w:r w:rsidRPr="0002257B">
        <w:rPr>
          <w:i/>
          <w:iCs/>
        </w:rPr>
        <w:t xml:space="preserve">The life-course approach: from theory to practice: case stories from two small countries in Europe. </w:t>
      </w:r>
      <w:r>
        <w:t xml:space="preserve">Available at: </w:t>
      </w:r>
      <w:r w:rsidRPr="003A6287">
        <w:lastRenderedPageBreak/>
        <w:t>https://www.who.int/europe/publications/i/item/9789289053266</w:t>
      </w:r>
      <w:r>
        <w:t xml:space="preserve"> (Accessed: 29 May 2025)</w:t>
      </w:r>
    </w:p>
    <w:sectPr w:rsidR="00536E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28BE7" w14:textId="77777777" w:rsidR="00C505D1" w:rsidRDefault="00C505D1" w:rsidP="008C2ECD">
      <w:pPr>
        <w:spacing w:after="0" w:line="240" w:lineRule="auto"/>
      </w:pPr>
      <w:r>
        <w:separator/>
      </w:r>
    </w:p>
  </w:endnote>
  <w:endnote w:type="continuationSeparator" w:id="0">
    <w:p w14:paraId="247BE6FE" w14:textId="77777777" w:rsidR="00C505D1" w:rsidRDefault="00C505D1" w:rsidP="008C2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41F2A" w14:textId="77777777" w:rsidR="00C505D1" w:rsidRDefault="00C505D1" w:rsidP="008C2ECD">
      <w:pPr>
        <w:spacing w:after="0" w:line="240" w:lineRule="auto"/>
      </w:pPr>
      <w:r>
        <w:separator/>
      </w:r>
    </w:p>
  </w:footnote>
  <w:footnote w:type="continuationSeparator" w:id="0">
    <w:p w14:paraId="0CEEAFE4" w14:textId="77777777" w:rsidR="00C505D1" w:rsidRDefault="00C505D1" w:rsidP="008C2E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83399B"/>
    <w:multiLevelType w:val="multilevel"/>
    <w:tmpl w:val="7C34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1896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D6"/>
    <w:rsid w:val="0002257B"/>
    <w:rsid w:val="00042BD8"/>
    <w:rsid w:val="000448C2"/>
    <w:rsid w:val="00051D31"/>
    <w:rsid w:val="00073AA5"/>
    <w:rsid w:val="00096E44"/>
    <w:rsid w:val="000B0B0C"/>
    <w:rsid w:val="000D6EBD"/>
    <w:rsid w:val="000F34E7"/>
    <w:rsid w:val="00102FEE"/>
    <w:rsid w:val="0013096A"/>
    <w:rsid w:val="00153347"/>
    <w:rsid w:val="00172FED"/>
    <w:rsid w:val="00173DF5"/>
    <w:rsid w:val="00190B95"/>
    <w:rsid w:val="001A0719"/>
    <w:rsid w:val="001B18C6"/>
    <w:rsid w:val="001E0002"/>
    <w:rsid w:val="001F47B1"/>
    <w:rsid w:val="0020423D"/>
    <w:rsid w:val="00252B07"/>
    <w:rsid w:val="0026292E"/>
    <w:rsid w:val="002843C8"/>
    <w:rsid w:val="002A3008"/>
    <w:rsid w:val="002D23FA"/>
    <w:rsid w:val="002D4E16"/>
    <w:rsid w:val="003647EF"/>
    <w:rsid w:val="003B3EF2"/>
    <w:rsid w:val="003C78BB"/>
    <w:rsid w:val="003D5747"/>
    <w:rsid w:val="003E0550"/>
    <w:rsid w:val="003F0720"/>
    <w:rsid w:val="00405139"/>
    <w:rsid w:val="00450FA4"/>
    <w:rsid w:val="00491E22"/>
    <w:rsid w:val="004942CC"/>
    <w:rsid w:val="00500544"/>
    <w:rsid w:val="00530420"/>
    <w:rsid w:val="00536ED6"/>
    <w:rsid w:val="005573E6"/>
    <w:rsid w:val="005849A5"/>
    <w:rsid w:val="005A15B4"/>
    <w:rsid w:val="005E4C3A"/>
    <w:rsid w:val="00603198"/>
    <w:rsid w:val="00615DAF"/>
    <w:rsid w:val="006305F4"/>
    <w:rsid w:val="006778A9"/>
    <w:rsid w:val="00695F91"/>
    <w:rsid w:val="006E6E46"/>
    <w:rsid w:val="006F04C6"/>
    <w:rsid w:val="006F496C"/>
    <w:rsid w:val="006F6192"/>
    <w:rsid w:val="00720017"/>
    <w:rsid w:val="00720BC0"/>
    <w:rsid w:val="00736844"/>
    <w:rsid w:val="007436A6"/>
    <w:rsid w:val="007C103A"/>
    <w:rsid w:val="007C572D"/>
    <w:rsid w:val="007E2AA3"/>
    <w:rsid w:val="008036E8"/>
    <w:rsid w:val="008451A6"/>
    <w:rsid w:val="00856460"/>
    <w:rsid w:val="00873352"/>
    <w:rsid w:val="00880E41"/>
    <w:rsid w:val="00887471"/>
    <w:rsid w:val="008A1BA9"/>
    <w:rsid w:val="008C2ECD"/>
    <w:rsid w:val="00924BCF"/>
    <w:rsid w:val="00926A74"/>
    <w:rsid w:val="00936797"/>
    <w:rsid w:val="009D1754"/>
    <w:rsid w:val="009F46F1"/>
    <w:rsid w:val="00A1128F"/>
    <w:rsid w:val="00A312E2"/>
    <w:rsid w:val="00A42064"/>
    <w:rsid w:val="00A550EF"/>
    <w:rsid w:val="00A5646D"/>
    <w:rsid w:val="00A808A3"/>
    <w:rsid w:val="00AB216F"/>
    <w:rsid w:val="00AC34F0"/>
    <w:rsid w:val="00AC5D34"/>
    <w:rsid w:val="00AD3E33"/>
    <w:rsid w:val="00AF1387"/>
    <w:rsid w:val="00B07B12"/>
    <w:rsid w:val="00B82151"/>
    <w:rsid w:val="00B82505"/>
    <w:rsid w:val="00B8606C"/>
    <w:rsid w:val="00C0680B"/>
    <w:rsid w:val="00C14B83"/>
    <w:rsid w:val="00C21650"/>
    <w:rsid w:val="00C2322D"/>
    <w:rsid w:val="00C31D84"/>
    <w:rsid w:val="00C33993"/>
    <w:rsid w:val="00C5010C"/>
    <w:rsid w:val="00C505D1"/>
    <w:rsid w:val="00C55B36"/>
    <w:rsid w:val="00C61077"/>
    <w:rsid w:val="00C84541"/>
    <w:rsid w:val="00D0020B"/>
    <w:rsid w:val="00D05D16"/>
    <w:rsid w:val="00D47B0E"/>
    <w:rsid w:val="00D93EF3"/>
    <w:rsid w:val="00D96B98"/>
    <w:rsid w:val="00DB3795"/>
    <w:rsid w:val="00DB5A88"/>
    <w:rsid w:val="00DC2591"/>
    <w:rsid w:val="00DD6938"/>
    <w:rsid w:val="00E1280B"/>
    <w:rsid w:val="00E41CD5"/>
    <w:rsid w:val="00E62E9D"/>
    <w:rsid w:val="00E7343A"/>
    <w:rsid w:val="00EB4866"/>
    <w:rsid w:val="00ED3EC6"/>
    <w:rsid w:val="00EE3639"/>
    <w:rsid w:val="00EE4A02"/>
    <w:rsid w:val="00F56DC2"/>
    <w:rsid w:val="00F676DF"/>
    <w:rsid w:val="00F80F6B"/>
    <w:rsid w:val="00F82DA4"/>
    <w:rsid w:val="00FD1342"/>
    <w:rsid w:val="00FE14D6"/>
    <w:rsid w:val="00FF7640"/>
    <w:rsid w:val="00FF7B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CF115C"/>
  <w15:chartTrackingRefBased/>
  <w15:docId w15:val="{3774AA9A-12DC-4805-B654-267ADBE85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4D6"/>
  </w:style>
  <w:style w:type="paragraph" w:styleId="Heading1">
    <w:name w:val="heading 1"/>
    <w:basedOn w:val="Normal"/>
    <w:next w:val="Normal"/>
    <w:link w:val="Heading1Char"/>
    <w:uiPriority w:val="9"/>
    <w:qFormat/>
    <w:rsid w:val="00FE1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1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14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14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14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14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14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14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14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4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14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14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14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14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14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14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14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14D6"/>
    <w:rPr>
      <w:rFonts w:eastAsiaTheme="majorEastAsia" w:cstheme="majorBidi"/>
      <w:color w:val="272727" w:themeColor="text1" w:themeTint="D8"/>
    </w:rPr>
  </w:style>
  <w:style w:type="paragraph" w:styleId="Title">
    <w:name w:val="Title"/>
    <w:basedOn w:val="Normal"/>
    <w:next w:val="Normal"/>
    <w:link w:val="TitleChar"/>
    <w:uiPriority w:val="10"/>
    <w:qFormat/>
    <w:rsid w:val="00FE1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14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14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14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14D6"/>
    <w:pPr>
      <w:spacing w:before="160"/>
      <w:jc w:val="center"/>
    </w:pPr>
    <w:rPr>
      <w:i/>
      <w:iCs/>
      <w:color w:val="404040" w:themeColor="text1" w:themeTint="BF"/>
    </w:rPr>
  </w:style>
  <w:style w:type="character" w:customStyle="1" w:styleId="QuoteChar">
    <w:name w:val="Quote Char"/>
    <w:basedOn w:val="DefaultParagraphFont"/>
    <w:link w:val="Quote"/>
    <w:uiPriority w:val="29"/>
    <w:rsid w:val="00FE14D6"/>
    <w:rPr>
      <w:i/>
      <w:iCs/>
      <w:color w:val="404040" w:themeColor="text1" w:themeTint="BF"/>
    </w:rPr>
  </w:style>
  <w:style w:type="paragraph" w:styleId="ListParagraph">
    <w:name w:val="List Paragraph"/>
    <w:basedOn w:val="Normal"/>
    <w:uiPriority w:val="34"/>
    <w:qFormat/>
    <w:rsid w:val="00FE14D6"/>
    <w:pPr>
      <w:ind w:left="720"/>
      <w:contextualSpacing/>
    </w:pPr>
  </w:style>
  <w:style w:type="character" w:styleId="IntenseEmphasis">
    <w:name w:val="Intense Emphasis"/>
    <w:basedOn w:val="DefaultParagraphFont"/>
    <w:uiPriority w:val="21"/>
    <w:qFormat/>
    <w:rsid w:val="00FE14D6"/>
    <w:rPr>
      <w:i/>
      <w:iCs/>
      <w:color w:val="0F4761" w:themeColor="accent1" w:themeShade="BF"/>
    </w:rPr>
  </w:style>
  <w:style w:type="paragraph" w:styleId="IntenseQuote">
    <w:name w:val="Intense Quote"/>
    <w:basedOn w:val="Normal"/>
    <w:next w:val="Normal"/>
    <w:link w:val="IntenseQuoteChar"/>
    <w:uiPriority w:val="30"/>
    <w:qFormat/>
    <w:rsid w:val="00FE1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14D6"/>
    <w:rPr>
      <w:i/>
      <w:iCs/>
      <w:color w:val="0F4761" w:themeColor="accent1" w:themeShade="BF"/>
    </w:rPr>
  </w:style>
  <w:style w:type="character" w:styleId="IntenseReference">
    <w:name w:val="Intense Reference"/>
    <w:basedOn w:val="DefaultParagraphFont"/>
    <w:uiPriority w:val="32"/>
    <w:qFormat/>
    <w:rsid w:val="00FE14D6"/>
    <w:rPr>
      <w:b/>
      <w:bCs/>
      <w:smallCaps/>
      <w:color w:val="0F4761" w:themeColor="accent1" w:themeShade="BF"/>
      <w:spacing w:val="5"/>
    </w:rPr>
  </w:style>
  <w:style w:type="character" w:styleId="Hyperlink">
    <w:name w:val="Hyperlink"/>
    <w:basedOn w:val="DefaultParagraphFont"/>
    <w:uiPriority w:val="99"/>
    <w:unhideWhenUsed/>
    <w:rsid w:val="00FE14D6"/>
    <w:rPr>
      <w:color w:val="467886" w:themeColor="hyperlink"/>
      <w:u w:val="single"/>
    </w:rPr>
  </w:style>
  <w:style w:type="character" w:styleId="UnresolvedMention">
    <w:name w:val="Unresolved Mention"/>
    <w:basedOn w:val="DefaultParagraphFont"/>
    <w:uiPriority w:val="99"/>
    <w:semiHidden/>
    <w:unhideWhenUsed/>
    <w:rsid w:val="00FE14D6"/>
    <w:rPr>
      <w:color w:val="605E5C"/>
      <w:shd w:val="clear" w:color="auto" w:fill="E1DFDD"/>
    </w:rPr>
  </w:style>
  <w:style w:type="paragraph" w:styleId="Header">
    <w:name w:val="header"/>
    <w:basedOn w:val="Normal"/>
    <w:link w:val="HeaderChar"/>
    <w:uiPriority w:val="99"/>
    <w:unhideWhenUsed/>
    <w:rsid w:val="008C2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ECD"/>
  </w:style>
  <w:style w:type="paragraph" w:styleId="Footer">
    <w:name w:val="footer"/>
    <w:basedOn w:val="Normal"/>
    <w:link w:val="FooterChar"/>
    <w:uiPriority w:val="99"/>
    <w:unhideWhenUsed/>
    <w:rsid w:val="008C2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ECD"/>
  </w:style>
  <w:style w:type="paragraph" w:styleId="NormalWeb">
    <w:name w:val="Normal (Web)"/>
    <w:basedOn w:val="Normal"/>
    <w:uiPriority w:val="99"/>
    <w:semiHidden/>
    <w:unhideWhenUsed/>
    <w:rsid w:val="00880E41"/>
    <w:rPr>
      <w:rFonts w:ascii="Times New Roman" w:hAnsi="Times New Roman" w:cs="Times New Roman"/>
    </w:rPr>
  </w:style>
  <w:style w:type="character" w:styleId="FollowedHyperlink">
    <w:name w:val="FollowedHyperlink"/>
    <w:basedOn w:val="DefaultParagraphFont"/>
    <w:uiPriority w:val="99"/>
    <w:semiHidden/>
    <w:unhideWhenUsed/>
    <w:rsid w:val="002A30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7481">
      <w:bodyDiv w:val="1"/>
      <w:marLeft w:val="0"/>
      <w:marRight w:val="0"/>
      <w:marTop w:val="0"/>
      <w:marBottom w:val="0"/>
      <w:divBdr>
        <w:top w:val="none" w:sz="0" w:space="0" w:color="auto"/>
        <w:left w:val="none" w:sz="0" w:space="0" w:color="auto"/>
        <w:bottom w:val="none" w:sz="0" w:space="0" w:color="auto"/>
        <w:right w:val="none" w:sz="0" w:space="0" w:color="auto"/>
      </w:divBdr>
    </w:div>
    <w:div w:id="252588936">
      <w:bodyDiv w:val="1"/>
      <w:marLeft w:val="0"/>
      <w:marRight w:val="0"/>
      <w:marTop w:val="0"/>
      <w:marBottom w:val="0"/>
      <w:divBdr>
        <w:top w:val="none" w:sz="0" w:space="0" w:color="auto"/>
        <w:left w:val="none" w:sz="0" w:space="0" w:color="auto"/>
        <w:bottom w:val="none" w:sz="0" w:space="0" w:color="auto"/>
        <w:right w:val="none" w:sz="0" w:space="0" w:color="auto"/>
      </w:divBdr>
    </w:div>
    <w:div w:id="295335572">
      <w:bodyDiv w:val="1"/>
      <w:marLeft w:val="0"/>
      <w:marRight w:val="0"/>
      <w:marTop w:val="0"/>
      <w:marBottom w:val="0"/>
      <w:divBdr>
        <w:top w:val="none" w:sz="0" w:space="0" w:color="auto"/>
        <w:left w:val="none" w:sz="0" w:space="0" w:color="auto"/>
        <w:bottom w:val="none" w:sz="0" w:space="0" w:color="auto"/>
        <w:right w:val="none" w:sz="0" w:space="0" w:color="auto"/>
      </w:divBdr>
    </w:div>
    <w:div w:id="319358595">
      <w:bodyDiv w:val="1"/>
      <w:marLeft w:val="0"/>
      <w:marRight w:val="0"/>
      <w:marTop w:val="0"/>
      <w:marBottom w:val="0"/>
      <w:divBdr>
        <w:top w:val="none" w:sz="0" w:space="0" w:color="auto"/>
        <w:left w:val="none" w:sz="0" w:space="0" w:color="auto"/>
        <w:bottom w:val="none" w:sz="0" w:space="0" w:color="auto"/>
        <w:right w:val="none" w:sz="0" w:space="0" w:color="auto"/>
      </w:divBdr>
    </w:div>
    <w:div w:id="358044670">
      <w:bodyDiv w:val="1"/>
      <w:marLeft w:val="0"/>
      <w:marRight w:val="0"/>
      <w:marTop w:val="0"/>
      <w:marBottom w:val="0"/>
      <w:divBdr>
        <w:top w:val="none" w:sz="0" w:space="0" w:color="auto"/>
        <w:left w:val="none" w:sz="0" w:space="0" w:color="auto"/>
        <w:bottom w:val="none" w:sz="0" w:space="0" w:color="auto"/>
        <w:right w:val="none" w:sz="0" w:space="0" w:color="auto"/>
      </w:divBdr>
    </w:div>
    <w:div w:id="404034954">
      <w:bodyDiv w:val="1"/>
      <w:marLeft w:val="0"/>
      <w:marRight w:val="0"/>
      <w:marTop w:val="0"/>
      <w:marBottom w:val="0"/>
      <w:divBdr>
        <w:top w:val="none" w:sz="0" w:space="0" w:color="auto"/>
        <w:left w:val="none" w:sz="0" w:space="0" w:color="auto"/>
        <w:bottom w:val="none" w:sz="0" w:space="0" w:color="auto"/>
        <w:right w:val="none" w:sz="0" w:space="0" w:color="auto"/>
      </w:divBdr>
    </w:div>
    <w:div w:id="404185806">
      <w:bodyDiv w:val="1"/>
      <w:marLeft w:val="0"/>
      <w:marRight w:val="0"/>
      <w:marTop w:val="0"/>
      <w:marBottom w:val="0"/>
      <w:divBdr>
        <w:top w:val="none" w:sz="0" w:space="0" w:color="auto"/>
        <w:left w:val="none" w:sz="0" w:space="0" w:color="auto"/>
        <w:bottom w:val="none" w:sz="0" w:space="0" w:color="auto"/>
        <w:right w:val="none" w:sz="0" w:space="0" w:color="auto"/>
      </w:divBdr>
    </w:div>
    <w:div w:id="540485080">
      <w:bodyDiv w:val="1"/>
      <w:marLeft w:val="0"/>
      <w:marRight w:val="0"/>
      <w:marTop w:val="0"/>
      <w:marBottom w:val="0"/>
      <w:divBdr>
        <w:top w:val="none" w:sz="0" w:space="0" w:color="auto"/>
        <w:left w:val="none" w:sz="0" w:space="0" w:color="auto"/>
        <w:bottom w:val="none" w:sz="0" w:space="0" w:color="auto"/>
        <w:right w:val="none" w:sz="0" w:space="0" w:color="auto"/>
      </w:divBdr>
    </w:div>
    <w:div w:id="670908126">
      <w:bodyDiv w:val="1"/>
      <w:marLeft w:val="0"/>
      <w:marRight w:val="0"/>
      <w:marTop w:val="0"/>
      <w:marBottom w:val="0"/>
      <w:divBdr>
        <w:top w:val="none" w:sz="0" w:space="0" w:color="auto"/>
        <w:left w:val="none" w:sz="0" w:space="0" w:color="auto"/>
        <w:bottom w:val="none" w:sz="0" w:space="0" w:color="auto"/>
        <w:right w:val="none" w:sz="0" w:space="0" w:color="auto"/>
      </w:divBdr>
    </w:div>
    <w:div w:id="680087212">
      <w:bodyDiv w:val="1"/>
      <w:marLeft w:val="0"/>
      <w:marRight w:val="0"/>
      <w:marTop w:val="0"/>
      <w:marBottom w:val="0"/>
      <w:divBdr>
        <w:top w:val="none" w:sz="0" w:space="0" w:color="auto"/>
        <w:left w:val="none" w:sz="0" w:space="0" w:color="auto"/>
        <w:bottom w:val="none" w:sz="0" w:space="0" w:color="auto"/>
        <w:right w:val="none" w:sz="0" w:space="0" w:color="auto"/>
      </w:divBdr>
      <w:divsChild>
        <w:div w:id="1565798197">
          <w:marLeft w:val="0"/>
          <w:marRight w:val="0"/>
          <w:marTop w:val="0"/>
          <w:marBottom w:val="0"/>
          <w:divBdr>
            <w:top w:val="none" w:sz="0" w:space="0" w:color="auto"/>
            <w:left w:val="none" w:sz="0" w:space="0" w:color="auto"/>
            <w:bottom w:val="none" w:sz="0" w:space="0" w:color="auto"/>
            <w:right w:val="none" w:sz="0" w:space="0" w:color="auto"/>
          </w:divBdr>
        </w:div>
      </w:divsChild>
    </w:div>
    <w:div w:id="724255285">
      <w:bodyDiv w:val="1"/>
      <w:marLeft w:val="0"/>
      <w:marRight w:val="0"/>
      <w:marTop w:val="0"/>
      <w:marBottom w:val="0"/>
      <w:divBdr>
        <w:top w:val="none" w:sz="0" w:space="0" w:color="auto"/>
        <w:left w:val="none" w:sz="0" w:space="0" w:color="auto"/>
        <w:bottom w:val="none" w:sz="0" w:space="0" w:color="auto"/>
        <w:right w:val="none" w:sz="0" w:space="0" w:color="auto"/>
      </w:divBdr>
    </w:div>
    <w:div w:id="917717459">
      <w:bodyDiv w:val="1"/>
      <w:marLeft w:val="0"/>
      <w:marRight w:val="0"/>
      <w:marTop w:val="0"/>
      <w:marBottom w:val="0"/>
      <w:divBdr>
        <w:top w:val="none" w:sz="0" w:space="0" w:color="auto"/>
        <w:left w:val="none" w:sz="0" w:space="0" w:color="auto"/>
        <w:bottom w:val="none" w:sz="0" w:space="0" w:color="auto"/>
        <w:right w:val="none" w:sz="0" w:space="0" w:color="auto"/>
      </w:divBdr>
    </w:div>
    <w:div w:id="950166475">
      <w:bodyDiv w:val="1"/>
      <w:marLeft w:val="0"/>
      <w:marRight w:val="0"/>
      <w:marTop w:val="0"/>
      <w:marBottom w:val="0"/>
      <w:divBdr>
        <w:top w:val="none" w:sz="0" w:space="0" w:color="auto"/>
        <w:left w:val="none" w:sz="0" w:space="0" w:color="auto"/>
        <w:bottom w:val="none" w:sz="0" w:space="0" w:color="auto"/>
        <w:right w:val="none" w:sz="0" w:space="0" w:color="auto"/>
      </w:divBdr>
    </w:div>
    <w:div w:id="1217620219">
      <w:bodyDiv w:val="1"/>
      <w:marLeft w:val="0"/>
      <w:marRight w:val="0"/>
      <w:marTop w:val="0"/>
      <w:marBottom w:val="0"/>
      <w:divBdr>
        <w:top w:val="none" w:sz="0" w:space="0" w:color="auto"/>
        <w:left w:val="none" w:sz="0" w:space="0" w:color="auto"/>
        <w:bottom w:val="none" w:sz="0" w:space="0" w:color="auto"/>
        <w:right w:val="none" w:sz="0" w:space="0" w:color="auto"/>
      </w:divBdr>
      <w:divsChild>
        <w:div w:id="1812477023">
          <w:marLeft w:val="0"/>
          <w:marRight w:val="0"/>
          <w:marTop w:val="0"/>
          <w:marBottom w:val="0"/>
          <w:divBdr>
            <w:top w:val="none" w:sz="0" w:space="0" w:color="auto"/>
            <w:left w:val="none" w:sz="0" w:space="0" w:color="auto"/>
            <w:bottom w:val="none" w:sz="0" w:space="0" w:color="auto"/>
            <w:right w:val="none" w:sz="0" w:space="0" w:color="auto"/>
          </w:divBdr>
        </w:div>
      </w:divsChild>
    </w:div>
    <w:div w:id="1223558240">
      <w:bodyDiv w:val="1"/>
      <w:marLeft w:val="0"/>
      <w:marRight w:val="0"/>
      <w:marTop w:val="0"/>
      <w:marBottom w:val="0"/>
      <w:divBdr>
        <w:top w:val="none" w:sz="0" w:space="0" w:color="auto"/>
        <w:left w:val="none" w:sz="0" w:space="0" w:color="auto"/>
        <w:bottom w:val="none" w:sz="0" w:space="0" w:color="auto"/>
        <w:right w:val="none" w:sz="0" w:space="0" w:color="auto"/>
      </w:divBdr>
    </w:div>
    <w:div w:id="1337266760">
      <w:bodyDiv w:val="1"/>
      <w:marLeft w:val="0"/>
      <w:marRight w:val="0"/>
      <w:marTop w:val="0"/>
      <w:marBottom w:val="0"/>
      <w:divBdr>
        <w:top w:val="none" w:sz="0" w:space="0" w:color="auto"/>
        <w:left w:val="none" w:sz="0" w:space="0" w:color="auto"/>
        <w:bottom w:val="none" w:sz="0" w:space="0" w:color="auto"/>
        <w:right w:val="none" w:sz="0" w:space="0" w:color="auto"/>
      </w:divBdr>
    </w:div>
    <w:div w:id="1569345261">
      <w:bodyDiv w:val="1"/>
      <w:marLeft w:val="0"/>
      <w:marRight w:val="0"/>
      <w:marTop w:val="0"/>
      <w:marBottom w:val="0"/>
      <w:divBdr>
        <w:top w:val="none" w:sz="0" w:space="0" w:color="auto"/>
        <w:left w:val="none" w:sz="0" w:space="0" w:color="auto"/>
        <w:bottom w:val="none" w:sz="0" w:space="0" w:color="auto"/>
        <w:right w:val="none" w:sz="0" w:space="0" w:color="auto"/>
      </w:divBdr>
    </w:div>
    <w:div w:id="1715275855">
      <w:bodyDiv w:val="1"/>
      <w:marLeft w:val="0"/>
      <w:marRight w:val="0"/>
      <w:marTop w:val="0"/>
      <w:marBottom w:val="0"/>
      <w:divBdr>
        <w:top w:val="none" w:sz="0" w:space="0" w:color="auto"/>
        <w:left w:val="none" w:sz="0" w:space="0" w:color="auto"/>
        <w:bottom w:val="none" w:sz="0" w:space="0" w:color="auto"/>
        <w:right w:val="none" w:sz="0" w:space="0" w:color="auto"/>
      </w:divBdr>
    </w:div>
    <w:div w:id="1732801034">
      <w:bodyDiv w:val="1"/>
      <w:marLeft w:val="0"/>
      <w:marRight w:val="0"/>
      <w:marTop w:val="0"/>
      <w:marBottom w:val="0"/>
      <w:divBdr>
        <w:top w:val="none" w:sz="0" w:space="0" w:color="auto"/>
        <w:left w:val="none" w:sz="0" w:space="0" w:color="auto"/>
        <w:bottom w:val="none" w:sz="0" w:space="0" w:color="auto"/>
        <w:right w:val="none" w:sz="0" w:space="0" w:color="auto"/>
      </w:divBdr>
    </w:div>
    <w:div w:id="1802111246">
      <w:bodyDiv w:val="1"/>
      <w:marLeft w:val="0"/>
      <w:marRight w:val="0"/>
      <w:marTop w:val="0"/>
      <w:marBottom w:val="0"/>
      <w:divBdr>
        <w:top w:val="none" w:sz="0" w:space="0" w:color="auto"/>
        <w:left w:val="none" w:sz="0" w:space="0" w:color="auto"/>
        <w:bottom w:val="none" w:sz="0" w:space="0" w:color="auto"/>
        <w:right w:val="none" w:sz="0" w:space="0" w:color="auto"/>
      </w:divBdr>
    </w:div>
    <w:div w:id="1802844571">
      <w:bodyDiv w:val="1"/>
      <w:marLeft w:val="0"/>
      <w:marRight w:val="0"/>
      <w:marTop w:val="0"/>
      <w:marBottom w:val="0"/>
      <w:divBdr>
        <w:top w:val="none" w:sz="0" w:space="0" w:color="auto"/>
        <w:left w:val="none" w:sz="0" w:space="0" w:color="auto"/>
        <w:bottom w:val="none" w:sz="0" w:space="0" w:color="auto"/>
        <w:right w:val="none" w:sz="0" w:space="0" w:color="auto"/>
      </w:divBdr>
    </w:div>
    <w:div w:id="2112434578">
      <w:bodyDiv w:val="1"/>
      <w:marLeft w:val="0"/>
      <w:marRight w:val="0"/>
      <w:marTop w:val="0"/>
      <w:marBottom w:val="0"/>
      <w:divBdr>
        <w:top w:val="none" w:sz="0" w:space="0" w:color="auto"/>
        <w:left w:val="none" w:sz="0" w:space="0" w:color="auto"/>
        <w:bottom w:val="none" w:sz="0" w:space="0" w:color="auto"/>
        <w:right w:val="none" w:sz="0" w:space="0" w:color="auto"/>
      </w:divBdr>
    </w:div>
    <w:div w:id="213740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c1.squarespace.com/static/63814a32e86ac444e02b316e/t/6387fa3ce873f17c5522616f/1669855806114/Prevalence_of_ACE.pdf" TargetMode="External"/><Relationship Id="rId13" Type="http://schemas.openxmlformats.org/officeDocument/2006/relationships/hyperlink" Target="https://doi.org/10.1186/s12889-016-2906-3" TargetMode="External"/><Relationship Id="rId18" Type="http://schemas.openxmlformats.org/officeDocument/2006/relationships/hyperlink" Target="https://doi.org/10.1017/S0033291709992121" TargetMode="External"/><Relationship Id="rId3" Type="http://schemas.openxmlformats.org/officeDocument/2006/relationships/settings" Target="settings.xml"/><Relationship Id="rId21" Type="http://schemas.openxmlformats.org/officeDocument/2006/relationships/hyperlink" Target="https://cpdonline.co.uk/knowledge-base/safeguarding/child-development-stages/" TargetMode="External"/><Relationship Id="rId7" Type="http://schemas.openxmlformats.org/officeDocument/2006/relationships/hyperlink" Target="https://doi.org/10.1177/0022427899036002001" TargetMode="External"/><Relationship Id="rId12" Type="http://schemas.openxmlformats.org/officeDocument/2006/relationships/hyperlink" Target="https://doi.org/10.1353/dem.2004.0005" TargetMode="External"/><Relationship Id="rId17" Type="http://schemas.openxmlformats.org/officeDocument/2006/relationships/hyperlink" Target="https://doi.org/10.1111/j.1745-9125.2000.tb00899.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ime.com/4516605/telomeres-aging-childhood/?utm_source" TargetMode="External"/><Relationship Id="rId20" Type="http://schemas.openxmlformats.org/officeDocument/2006/relationships/hyperlink" Target="https://www.gov.uk/government/publications/health-matters-life-course-approach-to-prevention/health-matters-prevention-a-life-course-approa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307/278697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S0145-2134(02)00343-5" TargetMode="External"/><Relationship Id="rId23" Type="http://schemas.openxmlformats.org/officeDocument/2006/relationships/hyperlink" Target="https://doi.org/10.1176/ajp.2006.163.6.993" TargetMode="External"/><Relationship Id="rId10" Type="http://schemas.openxmlformats.org/officeDocument/2006/relationships/hyperlink" Target="https://doi.org/10.1177/10775595134779" TargetMode="External"/><Relationship Id="rId19" Type="http://schemas.openxmlformats.org/officeDocument/2006/relationships/hyperlink" Target="https://doi.org/10.1111/tsq.12107" TargetMode="External"/><Relationship Id="rId4" Type="http://schemas.openxmlformats.org/officeDocument/2006/relationships/webSettings" Target="webSettings.xml"/><Relationship Id="rId9" Type="http://schemas.openxmlformats.org/officeDocument/2006/relationships/hyperlink" Target="https://doi.org/10.1016/j.socscimed.2012.05.017" TargetMode="External"/><Relationship Id="rId14" Type="http://schemas.openxmlformats.org/officeDocument/2006/relationships/hyperlink" Target="https://keepyourchildsafe.org/child-abuse/dysfunctional-families/the-effects-consequences-of-dysfunctional-families-for-kids/" TargetMode="External"/><Relationship Id="rId22" Type="http://schemas.openxmlformats.org/officeDocument/2006/relationships/hyperlink" Target="https://doi.org/10.1007/BF02353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2286</Words>
  <Characters>13035</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Felicity Peacock</cp:lastModifiedBy>
  <cp:revision>2</cp:revision>
  <dcterms:created xsi:type="dcterms:W3CDTF">2025-07-18T13:56:00Z</dcterms:created>
  <dcterms:modified xsi:type="dcterms:W3CDTF">2025-07-18T13:56:00Z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a63ffe58-ae13-4fba-9008-477a10e0b1b8</vt:lpwstr>
  </property>
</Properties>
</file>