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C8CBA3" w14:textId="77777777" w:rsidR="00B71381" w:rsidRDefault="00B71381" w:rsidP="00B71381"/>
    <w:p w14:paraId="5B38FF62" w14:textId="77777777" w:rsidR="00B71381" w:rsidRPr="00A85BFE" w:rsidRDefault="00B71381" w:rsidP="00B71381">
      <w:pPr>
        <w:pStyle w:val="Header"/>
        <w:tabs>
          <w:tab w:val="clear" w:pos="4153"/>
          <w:tab w:val="clear" w:pos="8306"/>
        </w:tabs>
        <w:jc w:val="right"/>
        <w:rPr>
          <w:rFonts w:ascii="Arial" w:hAnsi="Arial" w:cs="Arial"/>
          <w:b/>
          <w:bCs/>
          <w:sz w:val="28"/>
          <w:szCs w:val="28"/>
        </w:rPr>
      </w:pPr>
      <w:r>
        <w:tab/>
      </w:r>
      <w:r w:rsidRPr="00A406E5">
        <w:rPr>
          <w:rFonts w:ascii="Arial" w:hAnsi="Arial" w:cs="Arial"/>
          <w:noProof/>
          <w:lang w:val="en-US" w:eastAsia="en-US"/>
        </w:rPr>
        <w:drawing>
          <wp:anchor distT="0" distB="0" distL="114300" distR="114300" simplePos="0" relativeHeight="251659264" behindDoc="0" locked="0" layoutInCell="1" allowOverlap="1" wp14:anchorId="6E7F718F" wp14:editId="2A346F8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34AA4445" w14:textId="77777777" w:rsidR="00B71381" w:rsidRPr="00A406E5" w:rsidRDefault="00B71381" w:rsidP="00B71381">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B71381" w:rsidRPr="00A406E5" w14:paraId="2B0767D4" w14:textId="77777777" w:rsidTr="003F4D74">
        <w:tc>
          <w:tcPr>
            <w:tcW w:w="8618" w:type="dxa"/>
            <w:shd w:val="clear" w:color="auto" w:fill="C0C0C0"/>
          </w:tcPr>
          <w:p w14:paraId="0309D39A" w14:textId="77777777" w:rsidR="00B71381" w:rsidRPr="00A406E5" w:rsidRDefault="00B71381" w:rsidP="003F4D74">
            <w:pPr>
              <w:pStyle w:val="Heading4"/>
              <w:rPr>
                <w:rFonts w:ascii="Arial" w:hAnsi="Arial" w:cs="Arial"/>
                <w:b/>
                <w:bCs/>
              </w:rPr>
            </w:pPr>
            <w:r w:rsidRPr="6D4D0207">
              <w:rPr>
                <w:rFonts w:ascii="Arial" w:hAnsi="Arial" w:cs="Arial"/>
                <w:b/>
                <w:bCs/>
              </w:rPr>
              <w:t xml:space="preserve">LEVEL 6 ASSESSMENT SPECIFICATION </w:t>
            </w:r>
          </w:p>
        </w:tc>
      </w:tr>
    </w:tbl>
    <w:p w14:paraId="5627024A" w14:textId="77777777" w:rsidR="00B71381" w:rsidRPr="00A406E5" w:rsidRDefault="00B71381" w:rsidP="00B71381">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71381" w:rsidRPr="00A406E5" w14:paraId="7B268938" w14:textId="77777777" w:rsidTr="003F4D74">
        <w:tc>
          <w:tcPr>
            <w:tcW w:w="2093" w:type="dxa"/>
            <w:shd w:val="clear" w:color="auto" w:fill="auto"/>
          </w:tcPr>
          <w:p w14:paraId="318FAC4C"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6FD1AA29"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Nicole Watkins</w:t>
            </w:r>
          </w:p>
        </w:tc>
        <w:tc>
          <w:tcPr>
            <w:tcW w:w="2268" w:type="dxa"/>
            <w:shd w:val="clear" w:color="auto" w:fill="D9D9D9" w:themeFill="background1" w:themeFillShade="D9"/>
          </w:tcPr>
          <w:p w14:paraId="5979DCD5"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3319AD9F"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P138657</w:t>
            </w:r>
          </w:p>
        </w:tc>
      </w:tr>
      <w:tr w:rsidR="00B71381" w:rsidRPr="00A406E5" w14:paraId="73760393" w14:textId="77777777" w:rsidTr="003F4D74">
        <w:tc>
          <w:tcPr>
            <w:tcW w:w="2093" w:type="dxa"/>
            <w:shd w:val="clear" w:color="auto" w:fill="auto"/>
          </w:tcPr>
          <w:p w14:paraId="106B2F18"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7AFA6808"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Secondary PGCE</w:t>
            </w:r>
          </w:p>
        </w:tc>
      </w:tr>
      <w:tr w:rsidR="00B71381" w:rsidRPr="00A406E5" w14:paraId="48740F25" w14:textId="77777777" w:rsidTr="003F4D74">
        <w:tc>
          <w:tcPr>
            <w:tcW w:w="2093" w:type="dxa"/>
            <w:shd w:val="clear" w:color="auto" w:fill="auto"/>
          </w:tcPr>
          <w:p w14:paraId="1174043C"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2AD31F94" w14:textId="77777777" w:rsidR="00B71381" w:rsidRPr="009476C2" w:rsidRDefault="00B71381" w:rsidP="003F4D74">
            <w:pPr>
              <w:spacing w:before="100" w:beforeAutospacing="1" w:after="100" w:afterAutospacing="1"/>
              <w:rPr>
                <w:sz w:val="22"/>
                <w:szCs w:val="22"/>
              </w:rPr>
            </w:pPr>
            <w:r w:rsidRPr="009476C2">
              <w:rPr>
                <w:rFonts w:ascii="Arial" w:hAnsi="Arial" w:cs="Arial"/>
                <w:b/>
                <w:bCs/>
                <w:sz w:val="22"/>
                <w:szCs w:val="22"/>
              </w:rPr>
              <w:t xml:space="preserve">Curriculum Development and Enhancement </w:t>
            </w:r>
          </w:p>
          <w:p w14:paraId="006F49EF" w14:textId="77777777" w:rsidR="00B71381" w:rsidRPr="00A406E5" w:rsidRDefault="00B71381" w:rsidP="003F4D74">
            <w:pPr>
              <w:spacing w:before="120" w:after="120"/>
              <w:jc w:val="both"/>
              <w:rPr>
                <w:rFonts w:ascii="Arial" w:hAnsi="Arial" w:cs="Arial"/>
                <w:b/>
                <w:sz w:val="22"/>
                <w:szCs w:val="22"/>
              </w:rPr>
            </w:pPr>
          </w:p>
        </w:tc>
      </w:tr>
      <w:tr w:rsidR="00B71381" w:rsidRPr="00A406E5" w14:paraId="0EBA4EE4" w14:textId="77777777" w:rsidTr="003F4D74">
        <w:tc>
          <w:tcPr>
            <w:tcW w:w="2093" w:type="dxa"/>
            <w:shd w:val="clear" w:color="auto" w:fill="auto"/>
          </w:tcPr>
          <w:p w14:paraId="2775D68F"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EB50244"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ECSP6004</w:t>
            </w:r>
          </w:p>
        </w:tc>
        <w:tc>
          <w:tcPr>
            <w:tcW w:w="2268" w:type="dxa"/>
            <w:shd w:val="clear" w:color="auto" w:fill="D9D9D9" w:themeFill="background1" w:themeFillShade="D9"/>
          </w:tcPr>
          <w:p w14:paraId="3124CE22" w14:textId="77777777" w:rsidR="00B71381" w:rsidRPr="004D5E9B" w:rsidRDefault="00B71381" w:rsidP="003F4D7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C04C9B0"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100%</w:t>
            </w:r>
          </w:p>
        </w:tc>
      </w:tr>
      <w:tr w:rsidR="00B71381" w:rsidRPr="00A406E5" w14:paraId="534816DB" w14:textId="77777777" w:rsidTr="003F4D74">
        <w:tc>
          <w:tcPr>
            <w:tcW w:w="2093" w:type="dxa"/>
            <w:shd w:val="clear" w:color="auto" w:fill="auto"/>
          </w:tcPr>
          <w:p w14:paraId="1C712E50"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3D0A705B"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hemeFill="background1" w:themeFillShade="D9"/>
          </w:tcPr>
          <w:p w14:paraId="54851CDD"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1B120E8" w14:textId="77777777" w:rsidR="00B71381" w:rsidRPr="00A406E5" w:rsidRDefault="00B71381" w:rsidP="003F4D74">
            <w:pPr>
              <w:spacing w:before="120" w:after="120"/>
              <w:jc w:val="both"/>
              <w:rPr>
                <w:rFonts w:ascii="Arial" w:hAnsi="Arial" w:cs="Arial"/>
                <w:b/>
                <w:sz w:val="22"/>
                <w:szCs w:val="22"/>
              </w:rPr>
            </w:pPr>
          </w:p>
        </w:tc>
      </w:tr>
      <w:tr w:rsidR="00B71381" w:rsidRPr="00A406E5" w14:paraId="6B9D48BA" w14:textId="77777777" w:rsidTr="003F4D74">
        <w:tc>
          <w:tcPr>
            <w:tcW w:w="2093" w:type="dxa"/>
            <w:shd w:val="clear" w:color="auto" w:fill="auto"/>
          </w:tcPr>
          <w:p w14:paraId="0FA1C0B4"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4B6A7781"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Research Study including Ethics Form</w:t>
            </w:r>
          </w:p>
        </w:tc>
        <w:tc>
          <w:tcPr>
            <w:tcW w:w="2268" w:type="dxa"/>
            <w:shd w:val="clear" w:color="auto" w:fill="auto"/>
          </w:tcPr>
          <w:p w14:paraId="4E777FF5"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974A9A7"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10.000 words in total including an Ethics form (to be given in on January 11</w:t>
            </w:r>
            <w:r w:rsidRPr="00A92235">
              <w:rPr>
                <w:rFonts w:ascii="Arial" w:hAnsi="Arial" w:cs="Arial"/>
                <w:b/>
                <w:sz w:val="22"/>
                <w:szCs w:val="22"/>
                <w:vertAlign w:val="superscript"/>
              </w:rPr>
              <w:t>th</w:t>
            </w:r>
            <w:r>
              <w:rPr>
                <w:rFonts w:ascii="Arial" w:hAnsi="Arial" w:cs="Arial"/>
                <w:b/>
                <w:sz w:val="22"/>
                <w:szCs w:val="22"/>
              </w:rPr>
              <w:t xml:space="preserve"> 2019)</w:t>
            </w:r>
          </w:p>
        </w:tc>
      </w:tr>
      <w:tr w:rsidR="00B71381" w:rsidRPr="00A406E5" w14:paraId="69D65389" w14:textId="77777777" w:rsidTr="003F4D74">
        <w:tc>
          <w:tcPr>
            <w:tcW w:w="2093" w:type="dxa"/>
            <w:shd w:val="clear" w:color="auto" w:fill="auto"/>
          </w:tcPr>
          <w:p w14:paraId="0BFBF857"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5C72E351"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May 13</w:t>
            </w:r>
            <w:r w:rsidRPr="009476C2">
              <w:rPr>
                <w:rFonts w:ascii="Arial" w:hAnsi="Arial" w:cs="Arial"/>
                <w:b/>
                <w:sz w:val="22"/>
                <w:szCs w:val="22"/>
                <w:vertAlign w:val="superscript"/>
              </w:rPr>
              <w:t>th</w:t>
            </w:r>
            <w:r>
              <w:rPr>
                <w:rFonts w:ascii="Arial" w:hAnsi="Arial" w:cs="Arial"/>
                <w:b/>
                <w:sz w:val="22"/>
                <w:szCs w:val="22"/>
              </w:rPr>
              <w:t xml:space="preserve"> 2019</w:t>
            </w:r>
          </w:p>
        </w:tc>
        <w:tc>
          <w:tcPr>
            <w:tcW w:w="2268" w:type="dxa"/>
            <w:shd w:val="clear" w:color="auto" w:fill="auto"/>
          </w:tcPr>
          <w:p w14:paraId="3E877FBB"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F3BF296"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June 10</w:t>
            </w:r>
            <w:r w:rsidRPr="009476C2">
              <w:rPr>
                <w:rFonts w:ascii="Arial" w:hAnsi="Arial" w:cs="Arial"/>
                <w:b/>
                <w:sz w:val="22"/>
                <w:szCs w:val="22"/>
                <w:vertAlign w:val="superscript"/>
              </w:rPr>
              <w:t>th</w:t>
            </w:r>
            <w:r>
              <w:rPr>
                <w:rFonts w:ascii="Arial" w:hAnsi="Arial" w:cs="Arial"/>
                <w:b/>
                <w:sz w:val="22"/>
                <w:szCs w:val="22"/>
              </w:rPr>
              <w:t xml:space="preserve"> 2019</w:t>
            </w:r>
          </w:p>
        </w:tc>
      </w:tr>
      <w:tr w:rsidR="00B71381" w:rsidRPr="00A406E5" w14:paraId="378DBAF5" w14:textId="77777777" w:rsidTr="003F4D74">
        <w:tc>
          <w:tcPr>
            <w:tcW w:w="2093" w:type="dxa"/>
            <w:shd w:val="clear" w:color="auto" w:fill="auto"/>
          </w:tcPr>
          <w:p w14:paraId="5E4F901A"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D580D6A" w14:textId="77777777" w:rsidR="00B71381" w:rsidRPr="00A406E5" w:rsidRDefault="00B71381" w:rsidP="003F4D74">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7586D"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2D81AED"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B71381" w:rsidRPr="00A406E5" w14:paraId="41308ACF" w14:textId="77777777" w:rsidTr="003F4D74">
        <w:tc>
          <w:tcPr>
            <w:tcW w:w="2093" w:type="dxa"/>
            <w:shd w:val="clear" w:color="auto" w:fill="auto"/>
          </w:tcPr>
          <w:p w14:paraId="534A2012" w14:textId="77777777" w:rsidR="00B71381" w:rsidRPr="00A406E5" w:rsidRDefault="00B71381" w:rsidP="003F4D74">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5DBD45ED" w14:textId="77777777" w:rsidR="00B71381" w:rsidRPr="00A406E5" w:rsidRDefault="00B71381" w:rsidP="003F4D74">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E4A0EBF" w14:textId="77777777" w:rsidR="00B71381" w:rsidRPr="00A406E5" w:rsidRDefault="00B71381" w:rsidP="00B71381">
      <w:pPr>
        <w:rPr>
          <w:rFonts w:ascii="Arial" w:hAnsi="Arial" w:cs="Arial"/>
          <w:sz w:val="32"/>
        </w:rPr>
      </w:pPr>
    </w:p>
    <w:p w14:paraId="7A24B6A3" w14:textId="77777777" w:rsidR="003925C9" w:rsidRDefault="00B71381"/>
    <w:p w14:paraId="6D7F71CA" w14:textId="77777777" w:rsidR="00F955A0" w:rsidRDefault="00F955A0"/>
    <w:p w14:paraId="4D3D45D9" w14:textId="77777777" w:rsidR="00F955A0" w:rsidRDefault="00F955A0"/>
    <w:p w14:paraId="42AD6C39" w14:textId="77777777" w:rsidR="00F955A0" w:rsidRDefault="00F955A0"/>
    <w:p w14:paraId="121DB11C" w14:textId="77777777" w:rsidR="00F955A0" w:rsidRDefault="00B71381" w:rsidP="00F955A0">
      <w:pPr>
        <w:pStyle w:val="NormalWeb"/>
        <w:jc w:val="center"/>
        <w:rPr>
          <w:rFonts w:asciiTheme="minorHAnsi" w:hAnsiTheme="minorHAnsi" w:cs="Arial"/>
          <w:b/>
          <w:bCs/>
          <w:color w:val="000000" w:themeColor="text1"/>
        </w:rPr>
      </w:pPr>
      <w:r>
        <w:rPr>
          <w:rFonts w:asciiTheme="minorHAnsi" w:hAnsiTheme="minorHAnsi" w:cs="Arial"/>
          <w:b/>
          <w:bCs/>
          <w:color w:val="000000" w:themeColor="text1"/>
        </w:rPr>
        <w:lastRenderedPageBreak/>
        <w:t>A research study into the Gender Gap in P</w:t>
      </w:r>
      <w:r w:rsidR="00F955A0">
        <w:rPr>
          <w:rFonts w:asciiTheme="minorHAnsi" w:hAnsiTheme="minorHAnsi" w:cs="Arial"/>
          <w:b/>
          <w:bCs/>
          <w:color w:val="000000" w:themeColor="text1"/>
        </w:rPr>
        <w:t>erformance: can using competition to motivate male pupils to take interest within the arts, regarding analyzing artists work.</w:t>
      </w:r>
    </w:p>
    <w:p w14:paraId="18202FF4" w14:textId="77777777" w:rsidR="00F955A0" w:rsidRDefault="00F955A0" w:rsidP="00F955A0">
      <w:pPr>
        <w:pStyle w:val="NormalWeb"/>
        <w:jc w:val="center"/>
        <w:rPr>
          <w:rFonts w:asciiTheme="minorHAnsi" w:hAnsiTheme="minorHAnsi" w:cs="Arial"/>
          <w:b/>
          <w:bCs/>
          <w:color w:val="000000" w:themeColor="text1"/>
        </w:rPr>
      </w:pPr>
    </w:p>
    <w:p w14:paraId="25DC60A2" w14:textId="77777777" w:rsidR="00F955A0" w:rsidRDefault="00F955A0" w:rsidP="00F955A0">
      <w:pPr>
        <w:pStyle w:val="paragraph"/>
        <w:spacing w:before="0" w:beforeAutospacing="0" w:after="0" w:afterAutospacing="0"/>
        <w:textAlignment w:val="baseline"/>
        <w:rPr>
          <w:rStyle w:val="eop"/>
        </w:rPr>
      </w:pPr>
      <w:r>
        <w:rPr>
          <w:rStyle w:val="normaltextrun"/>
          <w:rFonts w:asciiTheme="minorHAnsi" w:hAnsiTheme="minorHAnsi" w:cs="Arial"/>
        </w:rPr>
        <w:t>I have chosen to investigate some issues that I found hindering the pupils’ development within school X. these are, why boys are underperforming in comparison to girls</w:t>
      </w:r>
      <w:r>
        <w:rPr>
          <w:rStyle w:val="eop"/>
          <w:rFonts w:asciiTheme="minorHAnsi" w:hAnsiTheme="minorHAnsi" w:cs="Arial"/>
        </w:rPr>
        <w:t xml:space="preserve">, and </w:t>
      </w:r>
      <w:r>
        <w:rPr>
          <w:rStyle w:val="normaltextrun"/>
          <w:rFonts w:asciiTheme="minorHAnsi" w:hAnsiTheme="minorHAnsi" w:cs="Arial"/>
        </w:rPr>
        <w:t>why they do not choose art when they go on to choose their subjects for GCSE. There are so many big named male artist and designs, not even just contemporary, that have been in the eye of the public for generations. My focus is to use a verity of tasks to help motivate and inspire boys to choose the subject as a hope to further a career for themselves, and get involve with the work, whilst increasing their performance in the subject. </w:t>
      </w:r>
      <w:r>
        <w:rPr>
          <w:rStyle w:val="eop"/>
          <w:rFonts w:asciiTheme="minorHAnsi" w:hAnsiTheme="minorHAnsi" w:cs="Arial"/>
        </w:rPr>
        <w:t xml:space="preserve">My goal was to view whether using competition could be beneficial to encourage more of an interaction within the art room, and whether this would help with the written portion of the subject. Through using different techniques such as competition to </w:t>
      </w:r>
      <w:proofErr w:type="spellStart"/>
      <w:r>
        <w:rPr>
          <w:rStyle w:val="eop"/>
          <w:rFonts w:asciiTheme="minorHAnsi" w:hAnsiTheme="minorHAnsi" w:cs="Arial"/>
        </w:rPr>
        <w:t>analyse</w:t>
      </w:r>
      <w:proofErr w:type="spellEnd"/>
      <w:r>
        <w:rPr>
          <w:rStyle w:val="eop"/>
          <w:rFonts w:asciiTheme="minorHAnsi" w:hAnsiTheme="minorHAnsi" w:cs="Arial"/>
        </w:rPr>
        <w:t xml:space="preserve"> a specific artist work, this could not only motivate boys within the art room, correspondingly have the gender performance gap within the department close.</w:t>
      </w:r>
    </w:p>
    <w:p w14:paraId="1273FB26" w14:textId="77777777" w:rsidR="00F955A0" w:rsidRDefault="00F955A0" w:rsidP="00F955A0">
      <w:pPr>
        <w:pStyle w:val="paragraph"/>
        <w:spacing w:before="0" w:beforeAutospacing="0" w:after="0" w:afterAutospacing="0"/>
        <w:textAlignment w:val="baseline"/>
      </w:pPr>
    </w:p>
    <w:p w14:paraId="0676A18C" w14:textId="77777777" w:rsidR="00F955A0" w:rsidRDefault="00F955A0" w:rsidP="00F955A0">
      <w:pPr>
        <w:rPr>
          <w:rFonts w:eastAsiaTheme="minorEastAsia"/>
          <w:color w:val="375623" w:themeColor="accent6" w:themeShade="7F"/>
        </w:rPr>
      </w:pPr>
      <w:r>
        <w:rPr>
          <w:rFonts w:eastAsiaTheme="minorEastAsia"/>
          <w:color w:val="000000" w:themeColor="text1"/>
        </w:rPr>
        <w:t>Some of the literature i studies for this investigation was looking at the role and importance of art and how this can help with resiliance and create a positive mental attutude.</w:t>
      </w:r>
      <w:r>
        <w:rPr>
          <w:rFonts w:eastAsiaTheme="minorEastAsia"/>
          <w:color w:val="375623" w:themeColor="accent6" w:themeShade="7F"/>
        </w:rPr>
        <w:t xml:space="preserve"> </w:t>
      </w:r>
      <w:r>
        <w:rPr>
          <w:rFonts w:eastAsiaTheme="minorEastAsia"/>
        </w:rPr>
        <w:t xml:space="preserve">In the importance of mindset book (2012) Carol Dweck talks about Thomas Edison and his ability to create the device that has had a detrimental impact on our lives as people, the light bulb. the bulb has become a symbol of that single moment when the great solution is realized. The lightbulb was not a single device, but a network of time-consuming moments with a team of inventors. If they are enormous or not, we all have interests that can flourish into abilities. Dweck (2012) refers to these strengths and limitations as mindsets, both fixed and growth. The fixed mindset limits achievement, makes effort undesirable, and leads to inferior learning strategies. Whereas growth can be simplified down to, I may not be able to do it yet. (Dweck, 2012) </w:t>
      </w:r>
    </w:p>
    <w:p w14:paraId="102028F1" w14:textId="77777777" w:rsidR="00F955A0" w:rsidRDefault="00F955A0" w:rsidP="00F955A0">
      <w:pPr>
        <w:pStyle w:val="NormalWeb"/>
        <w:rPr>
          <w:rFonts w:asciiTheme="minorHAnsi" w:hAnsiTheme="minorHAnsi"/>
        </w:rPr>
      </w:pPr>
      <w:r>
        <w:rPr>
          <w:rFonts w:asciiTheme="minorHAnsi" w:eastAsiaTheme="minorEastAsia" w:hAnsiTheme="minorHAnsi" w:cstheme="minorBidi"/>
          <w:color w:val="000000"/>
        </w:rPr>
        <w:t>In understanding that every pupil has his or her own learning style, and what may work for one isn’t guaranteed to work for another</w:t>
      </w:r>
      <w:r>
        <w:rPr>
          <w:rFonts w:asciiTheme="minorHAnsi" w:eastAsiaTheme="minorEastAsia" w:hAnsiTheme="minorHAnsi"/>
          <w:color w:val="000000" w:themeColor="text1"/>
        </w:rPr>
        <w:t xml:space="preserve">. Dylan </w:t>
      </w:r>
      <w:proofErr w:type="spellStart"/>
      <w:r>
        <w:rPr>
          <w:rFonts w:asciiTheme="minorHAnsi" w:eastAsiaTheme="minorEastAsia" w:hAnsiTheme="minorHAnsi"/>
          <w:color w:val="000000" w:themeColor="text1"/>
        </w:rPr>
        <w:t>Wiliam</w:t>
      </w:r>
      <w:proofErr w:type="spellEnd"/>
      <w:r>
        <w:rPr>
          <w:rFonts w:asciiTheme="minorHAnsi" w:eastAsiaTheme="minorEastAsia" w:hAnsiTheme="minorHAnsi"/>
          <w:color w:val="000000" w:themeColor="text1"/>
        </w:rPr>
        <w:t xml:space="preserve"> (2019) examines the investigation between as teachers our understanding concerning what we do in the classroom, and what did the pupils learn, “</w:t>
      </w:r>
      <w:r>
        <w:rPr>
          <w:rFonts w:asciiTheme="minorHAnsi" w:hAnsiTheme="minorHAnsi"/>
          <w:i/>
          <w:iCs/>
        </w:rPr>
        <w:t>everything works somewhere, and nothing works everywhere.”</w:t>
      </w:r>
      <w:r>
        <w:rPr>
          <w:rFonts w:asciiTheme="minorHAnsi" w:hAnsiTheme="minorHAnsi"/>
          <w:iCs/>
        </w:rPr>
        <w:t xml:space="preserve"> (</w:t>
      </w:r>
      <w:proofErr w:type="spellStart"/>
      <w:r>
        <w:rPr>
          <w:rFonts w:asciiTheme="minorHAnsi" w:hAnsiTheme="minorHAnsi"/>
          <w:iCs/>
        </w:rPr>
        <w:t>Marshell</w:t>
      </w:r>
      <w:proofErr w:type="spellEnd"/>
      <w:r>
        <w:rPr>
          <w:rFonts w:asciiTheme="minorHAnsi" w:hAnsiTheme="minorHAnsi"/>
          <w:iCs/>
        </w:rPr>
        <w:t>, 2019)</w:t>
      </w:r>
    </w:p>
    <w:p w14:paraId="3CCF580E" w14:textId="77777777" w:rsidR="00F955A0" w:rsidRDefault="00F955A0" w:rsidP="00F955A0">
      <w:pPr>
        <w:rPr>
          <w:rFonts w:eastAsiaTheme="minorEastAsia"/>
          <w:color w:val="000000"/>
        </w:rPr>
      </w:pPr>
      <w:r>
        <w:rPr>
          <w:rFonts w:eastAsiaTheme="minorEastAsia"/>
          <w:color w:val="000000"/>
        </w:rPr>
        <w:t> This can come down to several factors, such as; brain development, learning abilities, gender. Through my investigation, I chose to consider gender and how the differences within the structure of the brain, the psychological level, and how those can generate different levels of learning </w:t>
      </w:r>
      <w:r>
        <w:rPr>
          <w:rFonts w:eastAsiaTheme="minorEastAsia"/>
          <w:color w:val="000000"/>
          <w:shd w:val="clear" w:color="auto" w:fill="E1E3E6"/>
        </w:rPr>
        <w:t>(Illeris, 2007)</w:t>
      </w:r>
      <w:r>
        <w:rPr>
          <w:rFonts w:eastAsiaTheme="minorEastAsia"/>
          <w:color w:val="000000"/>
        </w:rPr>
        <w:t xml:space="preserve"> in what manner does these factors the alter the results. On a physiological level, girls/ women on average mature more hastily and that boys/men can perform where physical strength is, better than women. This then feeds in to the hegemonic masculine tendency’s that take away from boys feeling as though they can express themselves in their interests without being judged on the level of masculinity (Connell, 2005) </w:t>
      </w:r>
    </w:p>
    <w:p w14:paraId="7971D4E5" w14:textId="77777777" w:rsidR="00F955A0" w:rsidRDefault="00F955A0" w:rsidP="00F955A0">
      <w:pPr>
        <w:rPr>
          <w:rFonts w:eastAsiaTheme="minorEastAsia"/>
        </w:rPr>
      </w:pPr>
      <w:r>
        <w:rPr>
          <w:rFonts w:eastAsiaTheme="minorEastAsia"/>
          <w:color w:val="000000"/>
          <w:shd w:val="clear" w:color="auto" w:fill="E1E3E6"/>
        </w:rPr>
        <w:t xml:space="preserve"> (Butler, 2004)</w:t>
      </w:r>
      <w:r>
        <w:rPr>
          <w:rFonts w:eastAsiaTheme="minorEastAsia"/>
          <w:color w:val="000000"/>
        </w:rPr>
        <w:t> to avoid labeling young people based on appearance or what society believes they should look or behave.  </w:t>
      </w:r>
    </w:p>
    <w:p w14:paraId="1F013DCB" w14:textId="77777777" w:rsidR="00F955A0" w:rsidRDefault="00F955A0" w:rsidP="00F955A0">
      <w:pPr>
        <w:rPr>
          <w:rFonts w:eastAsiaTheme="minorEastAsia"/>
          <w:color w:val="375623" w:themeColor="accent6" w:themeShade="7F"/>
        </w:rPr>
      </w:pPr>
    </w:p>
    <w:p w14:paraId="0DAC5E1B" w14:textId="77777777" w:rsidR="00F955A0" w:rsidRDefault="00F955A0" w:rsidP="00F955A0">
      <w:pPr>
        <w:spacing w:after="240" w:line="340" w:lineRule="atLeast"/>
        <w:rPr>
          <w:rFonts w:eastAsiaTheme="minorEastAsia"/>
        </w:rPr>
      </w:pPr>
      <w:r>
        <w:rPr>
          <w:rFonts w:eastAsiaTheme="minorEastAsia"/>
        </w:rPr>
        <w:t xml:space="preserve">Through investigating how pupils learn and what, some might say, becomes irrelevant when we leave education (McCormick, 2007) my hope was to make it so they were understanding how evaluating a piece of art work, or an artist can then stretch into not only other subjects but also critically analyzing and opening their thought proses to a deeper thinking (Armstrong, n.d.). This is transferred to the classroom and put in to practice (Gershon, 2018) through looking at what activates can better the lessons themselves and help gage the pupils understanding through assessment and questioning. Within the new curriculum (Donaldson, 2015) there is a lot of emphasis on making sure that all young people can benefit from their education, and that it is adapted to fit their personal needs within the system. </w:t>
      </w:r>
    </w:p>
    <w:p w14:paraId="28A2DE9E" w14:textId="77777777" w:rsidR="00F955A0" w:rsidRDefault="00F955A0" w:rsidP="00F955A0">
      <w:pPr>
        <w:rPr>
          <w:rFonts w:eastAsiaTheme="minorEastAsia"/>
          <w:color w:val="000000" w:themeColor="text1"/>
        </w:rPr>
      </w:pPr>
      <w:r>
        <w:rPr>
          <w:rFonts w:eastAsiaTheme="minorEastAsia"/>
          <w:color w:val="000000" w:themeColor="text1"/>
        </w:rPr>
        <w:t xml:space="preserve">A high level of boys are underrepresented in art, and GCSE and underperforming at key stade three according to the estyn (2008) report, boys are more likely to than girls to be identified with special educational needs (SEN),  Seventy percent identified with this are boys. They are more likely to attend special schools, and boys make up almost eighty percent of the pupils excluded from schools. The welsh Assembly Government (2006) launched a report discussing the need to close the gap between the underachievement of boys in comparison to girls. </w:t>
      </w:r>
    </w:p>
    <w:p w14:paraId="0B431EB4" w14:textId="77777777" w:rsidR="00F955A0" w:rsidRDefault="00F955A0" w:rsidP="00F955A0">
      <w:pPr>
        <w:rPr>
          <w:rFonts w:eastAsiaTheme="minorEastAsia"/>
          <w:color w:val="375623" w:themeColor="accent6" w:themeShade="7F"/>
        </w:rPr>
      </w:pPr>
      <w:r>
        <w:rPr>
          <w:rFonts w:eastAsiaTheme="minorEastAsia"/>
        </w:rPr>
        <w:t xml:space="preserve">For this reason, in 2008 Estyn (2008) released a report </w:t>
      </w:r>
      <w:r>
        <w:rPr>
          <w:rFonts w:eastAsiaTheme="minorEastAsia"/>
          <w:i/>
        </w:rPr>
        <w:t>‘closing the gap between boys’ and girls’ attainment in school’</w:t>
      </w:r>
      <w:r>
        <w:rPr>
          <w:rFonts w:eastAsiaTheme="minorEastAsia"/>
        </w:rPr>
        <w:t xml:space="preserve">. 11 schools had been chosen because of their positive comments received in their most recent inspection, this was attributable to the accomplishments of girls overtaking those of boys in all subjects from the National Curriculum (Estyn, 2008) </w:t>
      </w:r>
    </w:p>
    <w:p w14:paraId="28FDA7EC" w14:textId="77777777" w:rsidR="00F955A0" w:rsidRDefault="00F955A0" w:rsidP="00F955A0">
      <w:pPr>
        <w:rPr>
          <w:rFonts w:eastAsiaTheme="minorEastAsia"/>
        </w:rPr>
      </w:pPr>
    </w:p>
    <w:p w14:paraId="261FDBFB" w14:textId="77777777" w:rsidR="00F955A0" w:rsidRDefault="00F955A0" w:rsidP="00F955A0">
      <w:pPr>
        <w:rPr>
          <w:rFonts w:eastAsiaTheme="minorEastAsia"/>
        </w:rPr>
      </w:pPr>
      <w:r>
        <w:rPr>
          <w:rFonts w:eastAsiaTheme="minorEastAsia"/>
        </w:rPr>
        <w:t xml:space="preserve">For the short period that we have pupils in the school environment with us it is imperative that we are teaching them on specific subject components, as well as valuable life skills that will guide them into their future. There are many ways in which art, and art therapy, can be used for either understanding or for helping (Rubin, 1998) </w:t>
      </w:r>
    </w:p>
    <w:p w14:paraId="2F46FE75" w14:textId="77777777" w:rsidR="00F955A0" w:rsidRDefault="00F955A0" w:rsidP="00F955A0">
      <w:pPr>
        <w:rPr>
          <w:rFonts w:eastAsiaTheme="minorEastAsia"/>
        </w:rPr>
      </w:pPr>
      <w:r>
        <w:rPr>
          <w:rFonts w:eastAsiaTheme="minorEastAsia"/>
        </w:rPr>
        <w:t xml:space="preserve">I chose this subject because within the art room pupils have a different style of learning to any other classroom in the school. The environment within the art room has always felt like a safer space for most pupils to feel comfortable and relaxed. In the room pupils are able to escape from isolation through art (Rubin, 1998) This is not necessarily during lesson time, either at lunchtime or break time, it is likely that escape to the art room is the biggest thing. Giving this environment, it is an idea for staff to have the opportunity to discuss stress issues on hand with the pupils so that they feel they can open up to one and other. </w:t>
      </w:r>
    </w:p>
    <w:p w14:paraId="519C92EA" w14:textId="77777777" w:rsidR="00F955A0" w:rsidRDefault="00F955A0" w:rsidP="00F955A0">
      <w:pPr>
        <w:rPr>
          <w:rFonts w:eastAsiaTheme="minorEastAsia"/>
        </w:rPr>
      </w:pPr>
    </w:p>
    <w:p w14:paraId="7EBCEEA0" w14:textId="77777777" w:rsidR="00F955A0" w:rsidRDefault="00F955A0" w:rsidP="00F955A0">
      <w:pPr>
        <w:rPr>
          <w:rFonts w:eastAsiaTheme="minorEastAsia"/>
          <w:color w:val="FF0000"/>
        </w:rPr>
      </w:pPr>
      <w:r>
        <w:rPr>
          <w:rFonts w:eastAsiaTheme="minorEastAsia"/>
          <w:color w:val="000000" w:themeColor="text1"/>
        </w:rPr>
        <w:t xml:space="preserve">A form of art that has the ability to invite boys to participate in the subject is graffiti. The allure and how its understood by those who use it as a form of expression, although what entices most to do so is the act of rebelliousness as it is treated as a crime. It has a masculine identity as it promotes status an respect among male peers </w:t>
      </w:r>
      <w:sdt>
        <w:sdtPr>
          <w:rPr>
            <w:rFonts w:eastAsiaTheme="minorEastAsia"/>
            <w:color w:val="000000" w:themeColor="text1"/>
          </w:rPr>
          <w:id w:val="-1459015612"/>
          <w:citation/>
        </w:sdtPr>
        <w:sdtContent>
          <w:r>
            <w:rPr>
              <w:rFonts w:eastAsiaTheme="minorEastAsia"/>
              <w:color w:val="000000" w:themeColor="text1"/>
            </w:rPr>
            <w:fldChar w:fldCharType="begin"/>
          </w:r>
          <w:r>
            <w:rPr>
              <w:rFonts w:eastAsiaTheme="minorEastAsia"/>
              <w:color w:val="000000" w:themeColor="text1"/>
              <w:lang w:val="en-US"/>
            </w:rPr>
            <w:instrText xml:space="preserve"> CITATION Mar12 \l 1033 </w:instrText>
          </w:r>
          <w:r>
            <w:rPr>
              <w:rFonts w:eastAsiaTheme="minorEastAsia"/>
              <w:color w:val="000000" w:themeColor="text1"/>
            </w:rPr>
            <w:fldChar w:fldCharType="separate"/>
          </w:r>
          <w:r w:rsidRPr="00F955A0">
            <w:rPr>
              <w:rFonts w:eastAsiaTheme="minorEastAsia"/>
              <w:noProof/>
              <w:color w:val="000000" w:themeColor="text1"/>
              <w:lang w:val="en-US"/>
            </w:rPr>
            <w:t>(Martin A. Monto, 2012)</w:t>
          </w:r>
          <w:r>
            <w:rPr>
              <w:rFonts w:eastAsiaTheme="minorEastAsia"/>
              <w:color w:val="000000" w:themeColor="text1"/>
            </w:rPr>
            <w:fldChar w:fldCharType="end"/>
          </w:r>
        </w:sdtContent>
      </w:sdt>
      <w:r>
        <w:rPr>
          <w:rFonts w:eastAsiaTheme="minorEastAsia"/>
          <w:color w:val="000000" w:themeColor="text1"/>
        </w:rPr>
        <w:t xml:space="preserve">. By turning this into a classroom activity it helps to intrigue the boys within the classroom and show how it can be used in a non illegal way that can help them express their creativity, although Monto (2012) does then go on to suggest that this would then impact the internet of girls in the subject as it is a male orianted field, and can cause the promotion of vandalism. </w:t>
      </w:r>
      <w:sdt>
        <w:sdtPr>
          <w:rPr>
            <w:rFonts w:eastAsiaTheme="minorEastAsia"/>
            <w:color w:val="000000" w:themeColor="text1"/>
          </w:rPr>
          <w:id w:val="-1004363396"/>
          <w:citation/>
        </w:sdtPr>
        <w:sdtContent>
          <w:r>
            <w:rPr>
              <w:rFonts w:eastAsiaTheme="minorEastAsia"/>
              <w:color w:val="000000" w:themeColor="text1"/>
            </w:rPr>
            <w:fldChar w:fldCharType="begin"/>
          </w:r>
          <w:r>
            <w:rPr>
              <w:rFonts w:eastAsiaTheme="minorEastAsia"/>
              <w:color w:val="000000" w:themeColor="text1"/>
              <w:lang w:val="en-US"/>
            </w:rPr>
            <w:instrText xml:space="preserve"> CITATION Est16 \l 1033 </w:instrText>
          </w:r>
          <w:r>
            <w:rPr>
              <w:rFonts w:eastAsiaTheme="minorEastAsia"/>
              <w:color w:val="000000" w:themeColor="text1"/>
            </w:rPr>
            <w:fldChar w:fldCharType="separate"/>
          </w:r>
          <w:r w:rsidRPr="00F955A0">
            <w:rPr>
              <w:rFonts w:eastAsiaTheme="minorEastAsia"/>
              <w:noProof/>
              <w:color w:val="000000" w:themeColor="text1"/>
              <w:lang w:val="en-US"/>
            </w:rPr>
            <w:t>(Estyn, 2016)</w:t>
          </w:r>
          <w:r>
            <w:rPr>
              <w:rFonts w:eastAsiaTheme="minorEastAsia"/>
              <w:color w:val="000000" w:themeColor="text1"/>
            </w:rPr>
            <w:fldChar w:fldCharType="end"/>
          </w:r>
        </w:sdtContent>
      </w:sdt>
      <w:r>
        <w:rPr>
          <w:rFonts w:eastAsiaTheme="minorEastAsia"/>
          <w:color w:val="000000" w:themeColor="text1"/>
        </w:rPr>
        <w:t xml:space="preserve"> would like to see schools challenging the gender stereotype and provide more positive role models for boys, this can then oppen a discussion within the classroom and that then includes both genders. Having a discussion over what art is legal and why can then create a social learning environment that all pupils can participate in.</w:t>
      </w:r>
    </w:p>
    <w:p w14:paraId="311B653D" w14:textId="77777777" w:rsidR="00F955A0" w:rsidRDefault="00F955A0" w:rsidP="00F955A0">
      <w:pPr>
        <w:spacing w:after="240" w:line="340" w:lineRule="atLeast"/>
        <w:rPr>
          <w:rFonts w:eastAsiaTheme="minorEastAsia"/>
        </w:rPr>
      </w:pPr>
      <w:r>
        <w:rPr>
          <w:rFonts w:eastAsiaTheme="minorEastAsia"/>
        </w:rPr>
        <w:t xml:space="preserve">Knud Illeris (2007) discusses the notion that humans primarily learn through the brain and central nervous system. Through the tasks, I have created I attempted to combine the both with learning through movement and play. This then connects both pathways of learning Illeris (2007) talks about for the pupils to reach a deeper understanding of the topic we were investigating. </w:t>
      </w:r>
    </w:p>
    <w:p w14:paraId="0307AB68" w14:textId="77777777" w:rsidR="00F955A0" w:rsidRDefault="00F955A0" w:rsidP="00F955A0">
      <w:pPr>
        <w:spacing w:after="240" w:line="340" w:lineRule="atLeast"/>
        <w:rPr>
          <w:rFonts w:eastAsiaTheme="minorEastAsia"/>
        </w:rPr>
      </w:pPr>
      <w:r>
        <w:rPr>
          <w:rFonts w:eastAsiaTheme="minorEastAsia"/>
        </w:rPr>
        <w:t>French philosopher, Rene Descartes (1596-1660) who originated the famous dictum ‘I think therefore I am’ or in Latin ‘</w:t>
      </w:r>
      <w:r>
        <w:rPr>
          <w:rFonts w:eastAsiaTheme="minorEastAsia"/>
          <w:i/>
          <w:iCs/>
        </w:rPr>
        <w:t>cogito ergo sum’</w:t>
      </w:r>
      <w:r>
        <w:rPr>
          <w:rFonts w:eastAsiaTheme="minorEastAsia"/>
        </w:rPr>
        <w:t xml:space="preserve"> foreseeing even in the seventeenth century (Descartes, 1967 [1637]) the understanding we have today of our early development. The exact translation of this meaning has been brought to question numerous times by a variety of pioneers, for example the well know Norwegian historian Arne Naess who looks at philosophy, states that the Latin should rather be ‘I experience’ or ‘I am somewhat aware’ rather than ‘I think’ (Naess, 1963 [1962]). As we move forward and consider tools for example, they have played a fundamental role in development. How tools themselves, we have refined and has led to technological breakthroughs (Illeris, 2007). The goal is then to create a bank of successful exercises that schools could use throught the departments, so that the accomplishments for both boys and girls would be equal and that both were achieving their full potential</w:t>
      </w:r>
      <w:sdt>
        <w:sdtPr>
          <w:rPr>
            <w:rFonts w:eastAsiaTheme="minorEastAsia"/>
          </w:rPr>
          <w:id w:val="1996991286"/>
          <w:citation/>
        </w:sdtPr>
        <w:sdtContent>
          <w:r>
            <w:rPr>
              <w:rFonts w:eastAsiaTheme="minorEastAsia"/>
            </w:rPr>
            <w:fldChar w:fldCharType="begin"/>
          </w:r>
          <w:r>
            <w:rPr>
              <w:rFonts w:eastAsiaTheme="minorEastAsia"/>
              <w:lang w:val="en-US"/>
            </w:rPr>
            <w:instrText xml:space="preserve"> CITATION Est16 \l 1033 </w:instrText>
          </w:r>
          <w:r>
            <w:rPr>
              <w:rFonts w:eastAsiaTheme="minorEastAsia"/>
            </w:rPr>
            <w:fldChar w:fldCharType="separate"/>
          </w:r>
          <w:r>
            <w:rPr>
              <w:rFonts w:eastAsiaTheme="minorEastAsia"/>
              <w:noProof/>
              <w:lang w:val="en-US"/>
            </w:rPr>
            <w:t xml:space="preserve"> </w:t>
          </w:r>
          <w:r w:rsidRPr="00F955A0">
            <w:rPr>
              <w:rFonts w:eastAsiaTheme="minorEastAsia"/>
              <w:noProof/>
              <w:lang w:val="en-US"/>
            </w:rPr>
            <w:t>(Estyn, 2016)</w:t>
          </w:r>
          <w:r>
            <w:rPr>
              <w:rFonts w:eastAsiaTheme="minorEastAsia"/>
            </w:rPr>
            <w:fldChar w:fldCharType="end"/>
          </w:r>
        </w:sdtContent>
      </w:sdt>
      <w:r>
        <w:rPr>
          <w:rFonts w:eastAsiaTheme="minorEastAsia"/>
        </w:rPr>
        <w:t xml:space="preserve"> this would then put the focus on the factorst that were in the schools contrall and how they could close that gap between boys and girls attainments.</w:t>
      </w:r>
    </w:p>
    <w:p w14:paraId="58476AE1" w14:textId="77777777" w:rsidR="00F955A0" w:rsidRDefault="00F955A0" w:rsidP="00F955A0">
      <w:pPr>
        <w:spacing w:after="240" w:line="340" w:lineRule="atLeast"/>
        <w:rPr>
          <w:rFonts w:eastAsiaTheme="minorEastAsia"/>
        </w:rPr>
      </w:pPr>
      <w:r>
        <w:rPr>
          <w:rFonts w:eastAsiaTheme="minorEastAsia"/>
        </w:rPr>
        <w:t xml:space="preserve">Learning is not something that takes place within the single individual, on the contrary, it is a social and societal framework that scaffolds what we learn and how (Illeris, 2007). The different areas that we learn in stretch depending on the circumstance in which we learn, for instance the learning we do in school will be varied to what we are taught in work, this too is different to what we discover in everyday life. Successful futures (Donaldson, 2015) hopes to correct this by using what we learn in school to lay foundations for everyday life and the world outside of the educational system. The learning that is taking place within the school can be considered a social learning experience where interaction is key, I therefore felt using this strategy would be beneficial for the pupils within the investigation. As Illeris (2007) continues by noting, learning to hold your own from and educational standpoint has become an essential prerequisite today, in doing so by having the best of an education you are giving yourself the best chance to have a successful future, excluding limitations and minimizing the risk of uncertainty regarding employment. This is best achieved by providing young learners with the scaffolding. </w:t>
      </w:r>
      <w:r>
        <w:rPr>
          <w:rFonts w:eastAsiaTheme="minorEastAsia"/>
          <w:color w:val="000000" w:themeColor="text1"/>
        </w:rPr>
        <w:t>This is solidified by Dweck (2012) when talking about the team of people used to create the light bulb.</w:t>
      </w:r>
    </w:p>
    <w:p w14:paraId="46DC1920" w14:textId="77777777" w:rsidR="00F955A0" w:rsidRDefault="00F955A0" w:rsidP="00F955A0">
      <w:pPr>
        <w:rPr>
          <w:rFonts w:eastAsiaTheme="minorEastAsia"/>
          <w:color w:val="000000" w:themeColor="text1"/>
        </w:rPr>
      </w:pPr>
      <w:r>
        <w:rPr>
          <w:rFonts w:eastAsiaTheme="minorEastAsia"/>
          <w:color w:val="000000" w:themeColor="text1"/>
        </w:rPr>
        <w:t xml:space="preserve">Dylan Wiliam, and Paul Black (1998) although dated still resinates as a key factor in pupils development. Once given a marc it is belived the useful feedback becomes irrelevant, and the interest within the work becomes obsolete. In saying this the Ntional curriculum (2008) needs grade boundaries to track pupils development and progress, wiliam suggests the use of peer learning within the classroom to engage the pupils and helpm them, with some guidance to teach one and other. </w:t>
      </w:r>
    </w:p>
    <w:p w14:paraId="04BCB3E0" w14:textId="77777777" w:rsidR="00F955A0" w:rsidRDefault="00F955A0" w:rsidP="00F955A0">
      <w:pPr>
        <w:spacing w:after="240" w:line="340" w:lineRule="atLeast"/>
        <w:rPr>
          <w:rFonts w:eastAsiaTheme="minorEastAsia"/>
        </w:rPr>
      </w:pPr>
      <w:r>
        <w:rPr>
          <w:rFonts w:eastAsiaTheme="minorEastAsia"/>
        </w:rPr>
        <w:t xml:space="preserve">my investigation was aimed at key stage three (Government, 2008) pupils due to the nature of the inquiry. This is something that helps build the foundations to what is expected of them when they reach GCSE level, and then in this way will make the process less daunting because of the understanding they have developed (Armstrong, n.d.) in this portion of their educational experience thus far. The national curriculum and design for Wales (2008) identifies three areas for key stage 3 specifically to address understanding, research and making, learn to analyze, compare and evaluate when gathering understanding. Observation, experience and imagination through investigation. can explore, experiment and design along with many other techniques in making. These three points are an umbrella into different areas of the subject and therefore cannot be assessed under the same category as other subjects (Government, 2008). This can be said for most departments. </w:t>
      </w:r>
    </w:p>
    <w:p w14:paraId="564D4448" w14:textId="77777777" w:rsidR="00F955A0" w:rsidRDefault="00F955A0" w:rsidP="00F955A0">
      <w:pPr>
        <w:spacing w:after="240" w:line="340" w:lineRule="atLeast"/>
        <w:rPr>
          <w:rFonts w:eastAsiaTheme="minorEastAsia"/>
        </w:rPr>
      </w:pPr>
      <w:r>
        <w:rPr>
          <w:rFonts w:eastAsiaTheme="minorEastAsia"/>
        </w:rPr>
        <w:t>This brings in to question the fluidity of a school being taught from the lead team down, or whether it is better to be taught from individual departments up. If all departments had been told what they felt would need to improve in their specific subject area that would work across the whole school, this would then fall in line with the new curriculum, successful futures being introduced (Donaldson, 2015). In saying this, this would be met with some subjects failing behind, and the loss of a sense of unity within the school, and conflict between departments. Through working together and having a unity within the school to pupils then get the best education possible given to them. The bulk of change is bringing its processes into reality (Fullan 2007). Within education, it is a cycle of development never ending. Change is inevitable, as a society, people adapt and change to deal with the environment at hand. This is not to say that we should remove the old ways, however it is an opportunity for assets that have been working, what is not, and what needs to be done as this is taken forward. As the health and well-being problem grows, schools need to critically evaluate the current plans they have in place and make the changes where necessary to better support pupils. Fullan (2007) also looks at how moral and intellectual property means. Making a difference in pupils' lives takes a lot of care, commitment and passion. With this, you also need to know how to do this ‘moral purpose and knowledge are the two main drivers of change that stimulate success.’</w:t>
      </w:r>
    </w:p>
    <w:p w14:paraId="6D4168ED" w14:textId="77777777" w:rsidR="00F955A0" w:rsidRDefault="00F955A0" w:rsidP="00F955A0">
      <w:pPr>
        <w:spacing w:after="240" w:line="340" w:lineRule="atLeast"/>
        <w:rPr>
          <w:rFonts w:eastAsiaTheme="minorEastAsia"/>
        </w:rPr>
      </w:pPr>
      <w:r>
        <w:rPr>
          <w:rFonts w:eastAsiaTheme="minorEastAsia"/>
        </w:rPr>
        <w:t>Based on an article by Patricia Armstrong (n.d), former assistant director of the center for teaching, she gives an overview understanding of Benjamin Bloom's taxonomy strand 1956. Bloom's taxonomy was created with four others with the intention of building a framework for categorizing educational aims (Armstrong, n.d.) has six major categories within the scheme, knowledge, understanding, application, synthesis, and evaluation. Pupils need to be building on these categories to achieve maximum learning potential. First, the information must be obtained, then they could understand what they have spread, pupils should be able to do this back to their work, analyze what they have written to evaluation, and then it leads to something new. This is then estimated by skills and abilities, with the understanding that knowledge is needed to be able to apply these skills and abilities. There needs to be more challenge within the work given to the staff that pupils have been given to understand this level of thinking and then to be able to portray that within their work.</w:t>
      </w:r>
    </w:p>
    <w:p w14:paraId="01634616" w14:textId="77777777" w:rsidR="00F955A0" w:rsidRDefault="00F955A0" w:rsidP="00F955A0">
      <w:pPr>
        <w:spacing w:after="240" w:line="340" w:lineRule="atLeast"/>
        <w:rPr>
          <w:rFonts w:eastAsiaTheme="minorEastAsia"/>
        </w:rPr>
      </w:pPr>
      <w:r>
        <w:rPr>
          <w:rFonts w:eastAsiaTheme="minorEastAsia"/>
        </w:rPr>
        <w:t>Every child matters agenda in the UK (HM Government, 2003) highlights the importance within the education system of pupils making a positive contribution, being healthy, staying safe, enjoying and achieving, and achieving economic well-being (McCormick, 2007) with the growing development of technology and the pressures of the work environment it is considered vital that we prepare our pupils within the education system for that many people refer as the ‘real world’. This can only be done through nurture and growth within a safe environment, which I believe is the art room. Through art the pupils have the best chance of being able to express themselves and challenge a different way of thinking in a calm and safe place (Rubin, 1998) from my experience within different school and to narrow down, the class rooms, I have found that most pupils find it comforting being in the art room itself. It is a place where they feel most comfortable and relaxed. Baring this in mind I believe that with the new curriculum successful futures (2015) puts emphasis on the arts and how they will play a fundamental role in how we educate young learners and better them for their adult life and stressful situations. (Donaldson, 2015)</w:t>
      </w:r>
    </w:p>
    <w:p w14:paraId="58846261" w14:textId="77777777" w:rsidR="00F955A0" w:rsidRDefault="00F955A0" w:rsidP="00F955A0">
      <w:pPr>
        <w:spacing w:after="240" w:line="340" w:lineRule="atLeast"/>
        <w:rPr>
          <w:rFonts w:eastAsiaTheme="minorEastAsia"/>
        </w:rPr>
      </w:pPr>
      <w:r>
        <w:rPr>
          <w:rFonts w:eastAsiaTheme="minorEastAsia"/>
        </w:rPr>
        <w:t>By having the pupils use a deeper way of thinking (Armstrong, n.d.) through evaluation themselves a piece of art work I was then able to ask them the question of why they expressed that opinion to a certain piece of artist work. This then opens the pupils to engage in a conversation within the classroom, that can result in a difference of opinion and learning to then except that of others.</w:t>
      </w:r>
    </w:p>
    <w:p w14:paraId="69BEF968" w14:textId="77777777" w:rsidR="00F955A0" w:rsidRDefault="00F955A0" w:rsidP="00F955A0">
      <w:pPr>
        <w:spacing w:after="240" w:line="340" w:lineRule="atLeast"/>
        <w:rPr>
          <w:rFonts w:eastAsiaTheme="minorEastAsia"/>
        </w:rPr>
      </w:pPr>
      <w:r>
        <w:rPr>
          <w:rFonts w:eastAsiaTheme="minorEastAsia"/>
        </w:rPr>
        <w:t xml:space="preserve">The Literacy and Numeracy framework (LNF) talk about wanting young people to be achieved in literacy, reading and writing. Develop substantial reasoning, using number skills, using measuring skills, and using data skills for numeracy (LNF, 2013). Where are Dweck (2012) discusses aiming in the directing of effort rather than ability in pupils' developments. Helping them to understand the importance of taking part and trying rather than giving up purely because they think they cannot (Dweck, 2012) this is then critisied by some as setting the pupils up to fail. Case Western university formed a study showing that the growth mindset does not have a massive weight on the effects of academic achivements </w:t>
      </w:r>
      <w:sdt>
        <w:sdtPr>
          <w:rPr>
            <w:rFonts w:eastAsiaTheme="minorEastAsia"/>
          </w:rPr>
          <w:id w:val="-989482440"/>
          <w:citation/>
        </w:sdtPr>
        <w:sdtContent>
          <w:r>
            <w:rPr>
              <w:rFonts w:eastAsiaTheme="minorEastAsia"/>
            </w:rPr>
            <w:fldChar w:fldCharType="begin"/>
          </w:r>
          <w:r>
            <w:rPr>
              <w:rFonts w:eastAsiaTheme="minorEastAsia"/>
              <w:lang w:val="en-US"/>
            </w:rPr>
            <w:instrText xml:space="preserve"> CITATION Abi18 \l 1033 </w:instrText>
          </w:r>
          <w:r>
            <w:rPr>
              <w:rFonts w:eastAsiaTheme="minorEastAsia"/>
            </w:rPr>
            <w:fldChar w:fldCharType="separate"/>
          </w:r>
          <w:r w:rsidRPr="00F955A0">
            <w:rPr>
              <w:rFonts w:eastAsiaTheme="minorEastAsia"/>
              <w:noProof/>
              <w:lang w:val="en-US"/>
            </w:rPr>
            <w:t>(Beall, 2018)</w:t>
          </w:r>
          <w:r>
            <w:rPr>
              <w:rFonts w:eastAsiaTheme="minorEastAsia"/>
            </w:rPr>
            <w:fldChar w:fldCharType="end"/>
          </w:r>
        </w:sdtContent>
      </w:sdt>
      <w:r>
        <w:rPr>
          <w:rFonts w:eastAsiaTheme="minorEastAsia"/>
        </w:rPr>
        <w:t>.</w:t>
      </w:r>
    </w:p>
    <w:p w14:paraId="5E72EBBD" w14:textId="77777777" w:rsidR="00F955A0" w:rsidRDefault="00F955A0" w:rsidP="00F955A0">
      <w:pPr>
        <w:pStyle w:val="HTMLPreformatted"/>
        <w:rPr>
          <w:rFonts w:asciiTheme="minorHAnsi" w:hAnsiTheme="minorHAnsi"/>
          <w:color w:val="212121"/>
          <w:sz w:val="24"/>
          <w:szCs w:val="24"/>
          <w:lang w:val="en"/>
        </w:rPr>
      </w:pPr>
      <w:r>
        <w:rPr>
          <w:rFonts w:asciiTheme="minorHAnsi" w:hAnsiTheme="minorHAnsi"/>
          <w:color w:val="212121"/>
          <w:sz w:val="24"/>
          <w:szCs w:val="24"/>
          <w:lang w:val="en"/>
        </w:rPr>
        <w:t>Through this investigation I felt it necessary to evaluate first the schools policy and practice. What I have gathered from the improvement plan are the five key points that the department has emerged and have also decided to give detailed attention, which outlined, raising the indicators across all subjects focusing on development in the core subjects and their outcomes (Appendices 1). Although it is important to focus on the core subjects that X school, like many other schools, tends to do. This then means that they tend to lose pupils' effort in the other subjects, fewer academic achievements within those subjects, that are equally important, get left behind because of the pressure they place on those key subject lessons, which granted are vital for the pupils future, nevertheless do not make the child well rounded. Art is needed to help pupils work through their struggles in an open environment (Rubin, 1998). It is then difficult to get pupils involved in any other subject than the core that they emphasize in particular, they may also feel as though they are doing badly in those areas, there is no hope of life after school, that is a lot of stress to put on a young child.</w:t>
      </w:r>
    </w:p>
    <w:p w14:paraId="79CA8D25" w14:textId="77777777" w:rsidR="00F955A0" w:rsidRDefault="00F955A0" w:rsidP="00F955A0">
      <w:pPr>
        <w:pStyle w:val="HTMLPreformatted"/>
        <w:rPr>
          <w:rFonts w:asciiTheme="minorHAnsi" w:hAnsiTheme="minorHAnsi" w:cs="Times"/>
          <w:color w:val="000000" w:themeColor="text1"/>
          <w:sz w:val="24"/>
          <w:szCs w:val="24"/>
        </w:rPr>
      </w:pPr>
      <w:r>
        <w:rPr>
          <w:rFonts w:asciiTheme="minorHAnsi" w:hAnsiTheme="minorHAnsi" w:cs="Times"/>
          <w:color w:val="000000" w:themeColor="text1"/>
          <w:sz w:val="24"/>
          <w:szCs w:val="24"/>
        </w:rPr>
        <w:t>From doing my professional teaching practice in school X I have noticed that within the art room pupils are finding it difficult to learn or retain information regarding artist and artist research. My goal was to enhance the pupils understanding of the artist following the topic.</w:t>
      </w:r>
    </w:p>
    <w:p w14:paraId="6A95BC53" w14:textId="77777777" w:rsidR="00F955A0" w:rsidRDefault="00F955A0" w:rsidP="00F955A0">
      <w:pPr>
        <w:pStyle w:val="HTMLPreformatted"/>
        <w:rPr>
          <w:rFonts w:asciiTheme="minorHAnsi" w:hAnsiTheme="minorHAnsi"/>
          <w:color w:val="212121"/>
          <w:sz w:val="24"/>
          <w:szCs w:val="24"/>
        </w:rPr>
      </w:pPr>
      <w:r>
        <w:rPr>
          <w:rFonts w:asciiTheme="minorHAnsi" w:hAnsiTheme="minorHAnsi" w:cs="Times"/>
          <w:color w:val="000000" w:themeColor="text1"/>
          <w:sz w:val="24"/>
          <w:szCs w:val="24"/>
        </w:rPr>
        <w:t xml:space="preserve"> In school X the head of the department has a sheet that they use to help pupils when writing an analysis of an artist piece of work (appendices 1). It has a list of key words, it answers what is an analysis, sentence starters, the task required of them and the aims and objectives of the task. This was given only if asked and was a lot of black and white writing on one page, this could be to printing cutbacks within the department. Whatever the reason I felt as though it was not used to its full potential in helping the pupils, there could be more. This also shone a light on much of girls in the class outshining most boys when it came to written assignments, through reading the school policy (Appendices 1) I found little to no policies in school X on closing the gender gap within the department. </w:t>
      </w:r>
      <w:r>
        <w:rPr>
          <w:rFonts w:asciiTheme="minorHAnsi" w:eastAsiaTheme="minorEastAsia" w:hAnsiTheme="minorHAnsi"/>
          <w:sz w:val="24"/>
          <w:szCs w:val="24"/>
        </w:rPr>
        <w:t>It is essential that schools not only have a strategic plan, but they follow what is been said. It is all very good to say, 'this is what we intend to do' nerveless if they do not follow what they have said, then there was no point getting the plan in place. A strategic plan not only represents the values ​​held by the staff, it also gives pupils information about what is expected of them. It gives the school a clear focus and drive for the next four years and how to improve pupils' learning experience for the better. It allows staff to set clear goals and targets and to implement strategies to ensure that the targets are met.</w:t>
      </w:r>
    </w:p>
    <w:p w14:paraId="0D66ADF9"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Times"/>
          <w:color w:val="000000" w:themeColor="text1"/>
          <w:lang w:val="en-US"/>
        </w:rPr>
      </w:pPr>
    </w:p>
    <w:p w14:paraId="372CD990"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000000" w:themeColor="text1"/>
          <w:lang w:val="en-US"/>
        </w:rPr>
      </w:pPr>
      <w:r>
        <w:rPr>
          <w:rFonts w:cs="Arial"/>
          <w:bCs/>
          <w:color w:val="000000" w:themeColor="text1"/>
        </w:rPr>
        <w:t>Through using action research this allowes teacher to evaluate their own practice (Kemmis and McTaggert, 2000:595) this is then looking at the pre, and post-test information to measure the impact of the pupils learning based on the methology through having a spectfic intervention. By having the pupils analyse the artwork first, this then allowes me to see what they are capable of without support. This comes with limitations such as factors such as pupils motivation in the subject, timing, and so on impacting the post-test.</w:t>
      </w:r>
      <w:r>
        <w:rPr>
          <w:rFonts w:cs="Arial"/>
          <w:b/>
          <w:bCs/>
          <w:color w:val="000000" w:themeColor="text1"/>
          <w:lang w:val="en-US"/>
        </w:rPr>
        <w:t xml:space="preserve"> </w:t>
      </w:r>
      <w:r>
        <w:rPr>
          <w:rFonts w:cs="Arial"/>
          <w:bCs/>
          <w:color w:val="000000" w:themeColor="text1"/>
          <w:lang w:val="en-US"/>
        </w:rPr>
        <w:t xml:space="preserve">Kumar (2014) specifies that most action research is realising there is a problem, as teacher we then look to how we can make the issue better, or improve the situation. </w:t>
      </w:r>
    </w:p>
    <w:p w14:paraId="4EA33451"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Times"/>
          <w:color w:val="000000" w:themeColor="text1"/>
          <w:lang w:val="en-US"/>
        </w:rPr>
      </w:pPr>
      <w:r>
        <w:rPr>
          <w:rFonts w:cs="Times"/>
          <w:color w:val="000000" w:themeColor="text1"/>
          <w:lang w:val="en-US"/>
        </w:rPr>
        <w:t xml:space="preserve">My methodology within this investigation consisted of a pre-test, intervention, and a post-test. </w:t>
      </w:r>
      <w:r>
        <w:rPr>
          <w:rFonts w:eastAsiaTheme="minorEastAsia"/>
          <w:lang w:val="en-GB"/>
        </w:rPr>
        <w:t>My pre-test was an artist handout and sheet critiquing a specified piece of work from that artist, their role was to read through the information sheet and then answer the questions based on the work.</w:t>
      </w:r>
      <w:r>
        <w:rPr>
          <w:rFonts w:cs="Times"/>
          <w:color w:val="000000" w:themeColor="text1"/>
          <w:lang w:val="en-US"/>
        </w:rPr>
        <w:t xml:space="preserve"> </w:t>
      </w:r>
      <w:r>
        <w:rPr>
          <w:rFonts w:eastAsiaTheme="minorEastAsia"/>
          <w:lang w:val="en-GB"/>
        </w:rPr>
        <w:t>My aim was to gage the level of competency of the pupil's ability to analyse a piece of work by an artist based on the handout the department has created. My aim was to acknowledge key words used when answering the sentence starters provided.</w:t>
      </w:r>
      <w:r>
        <w:rPr>
          <w:rFonts w:cs="Times"/>
          <w:color w:val="000000" w:themeColor="text1"/>
          <w:lang w:val="en-US"/>
        </w:rPr>
        <w:t xml:space="preserve"> </w:t>
      </w:r>
      <w:r>
        <w:rPr>
          <w:lang w:val="en-GB"/>
        </w:rPr>
        <w:t xml:space="preserve">These results varied depending on mood, effort, and interest in to the artist chosen. </w:t>
      </w:r>
      <w:r>
        <w:rPr>
          <w:color w:val="000000" w:themeColor="text1"/>
          <w:lang w:val="en-GB"/>
        </w:rPr>
        <w:t xml:space="preserve">Initially I had a success criteria to assess the testing against however, seeing the results of the pre-test I altered the success criteria to include </w:t>
      </w:r>
      <w:r>
        <w:rPr>
          <w:rFonts w:cs="Times"/>
          <w:color w:val="000000" w:themeColor="text1"/>
        </w:rPr>
        <w:t>the new success criteria that then had a definitive right or wrong answer. This meant that my information was far more difficult to anaslyse.</w:t>
      </w:r>
    </w:p>
    <w:p w14:paraId="661ADA72"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heme="minorEastAsia"/>
          <w:lang w:val="en-GB"/>
        </w:rPr>
      </w:pPr>
      <w:r>
        <w:rPr>
          <w:lang w:val="en-GB"/>
        </w:rPr>
        <w:t xml:space="preserve">For my intervention, </w:t>
      </w:r>
      <w:r>
        <w:rPr>
          <w:rFonts w:eastAsiaTheme="minorEastAsia"/>
          <w:lang w:val="en-GB"/>
        </w:rPr>
        <w:t xml:space="preserve">I created a board game where the pupils would competitively make their way through the board answering questions from the artist handouts, with numeracy to challenge their LNF (2013) understanding. They would have an A3 mat on the table with images of a male artists work that they had recently been analysing, they then using a pack of given to them with dice, counters, and questions provided make their way around the board. If landing on an image of the work, they must then find the correlating question to that image, there were also sum questions to help entice the ones more mathematical inclined </w:t>
      </w:r>
      <w:sdt>
        <w:sdtPr>
          <w:rPr>
            <w:rFonts w:eastAsiaTheme="minorEastAsia"/>
            <w:lang w:val="en-GB"/>
          </w:rPr>
          <w:id w:val="-500585849"/>
          <w:citation/>
        </w:sdtPr>
        <w:sdtContent>
          <w:r>
            <w:rPr>
              <w:rFonts w:eastAsiaTheme="minorEastAsia"/>
              <w:lang w:val="en-GB"/>
            </w:rPr>
            <w:fldChar w:fldCharType="begin"/>
          </w:r>
          <w:r>
            <w:rPr>
              <w:rFonts w:eastAsiaTheme="minorEastAsia"/>
              <w:lang w:val="en-US"/>
            </w:rPr>
            <w:instrText xml:space="preserve"> CITATION Rae08 \l 1033 </w:instrText>
          </w:r>
          <w:r>
            <w:rPr>
              <w:rFonts w:eastAsiaTheme="minorEastAsia"/>
              <w:lang w:val="en-GB"/>
            </w:rPr>
            <w:fldChar w:fldCharType="separate"/>
          </w:r>
          <w:r w:rsidRPr="00F955A0">
            <w:rPr>
              <w:rFonts w:eastAsiaTheme="minorEastAsia"/>
              <w:noProof/>
              <w:lang w:val="en-US"/>
            </w:rPr>
            <w:t>(Connell, 2008)</w:t>
          </w:r>
          <w:r>
            <w:rPr>
              <w:rFonts w:eastAsiaTheme="minorEastAsia"/>
              <w:lang w:val="en-GB"/>
            </w:rPr>
            <w:fldChar w:fldCharType="end"/>
          </w:r>
        </w:sdtContent>
      </w:sdt>
      <w:r>
        <w:rPr>
          <w:rFonts w:eastAsiaTheme="minorEastAsia"/>
          <w:lang w:val="en-GB"/>
        </w:rPr>
        <w:t xml:space="preserve">. The game was a way to grasp all pupils so that everyone could </w:t>
      </w:r>
      <w:r>
        <w:rPr>
          <w:rFonts w:eastAsiaTheme="minorEastAsia"/>
          <w:lang w:val="en-US"/>
        </w:rPr>
        <w:t>play and understand, through working as a team they can help each other to</w:t>
      </w:r>
      <w:r>
        <w:rPr>
          <w:rFonts w:eastAsiaTheme="minorEastAsia"/>
          <w:color w:val="000000" w:themeColor="text1"/>
          <w:lang w:val="en-US"/>
        </w:rPr>
        <w:t xml:space="preserve"> grow and develop. As well as giving the competitive edge to entice both boys and girls </w:t>
      </w:r>
      <w:sdt>
        <w:sdtPr>
          <w:rPr>
            <w:rFonts w:eastAsiaTheme="minorEastAsia"/>
            <w:color w:val="000000" w:themeColor="text1"/>
            <w:lang w:val="en-US"/>
          </w:rPr>
          <w:id w:val="274680620"/>
          <w:citation/>
        </w:sdtPr>
        <w:sdtContent>
          <w:r>
            <w:rPr>
              <w:rFonts w:eastAsiaTheme="minorEastAsia"/>
              <w:color w:val="000000" w:themeColor="text1"/>
              <w:lang w:val="en-US"/>
            </w:rPr>
            <w:fldChar w:fldCharType="begin"/>
          </w:r>
          <w:r>
            <w:rPr>
              <w:rFonts w:eastAsiaTheme="minorEastAsia"/>
              <w:color w:val="000000" w:themeColor="text1"/>
              <w:lang w:val="en-US"/>
            </w:rPr>
            <w:instrText xml:space="preserve"> CITATION Mar12 \l 1033 </w:instrText>
          </w:r>
          <w:r>
            <w:rPr>
              <w:rFonts w:eastAsiaTheme="minorEastAsia"/>
              <w:color w:val="000000" w:themeColor="text1"/>
              <w:lang w:val="en-US"/>
            </w:rPr>
            <w:fldChar w:fldCharType="separate"/>
          </w:r>
          <w:r w:rsidRPr="00F955A0">
            <w:rPr>
              <w:rFonts w:eastAsiaTheme="minorEastAsia"/>
              <w:noProof/>
              <w:color w:val="000000" w:themeColor="text1"/>
              <w:lang w:val="en-US"/>
            </w:rPr>
            <w:t>(Martin A. Monto, 2012)</w:t>
          </w:r>
          <w:r>
            <w:rPr>
              <w:rFonts w:eastAsiaTheme="minorEastAsia"/>
              <w:color w:val="000000" w:themeColor="text1"/>
              <w:lang w:val="en-US"/>
            </w:rPr>
            <w:fldChar w:fldCharType="end"/>
          </w:r>
        </w:sdtContent>
      </w:sdt>
      <w:r>
        <w:rPr>
          <w:rFonts w:eastAsiaTheme="minorEastAsia"/>
          <w:color w:val="FF0000"/>
          <w:lang w:val="en-US"/>
        </w:rPr>
        <w:t xml:space="preserve"> </w:t>
      </w:r>
    </w:p>
    <w:p w14:paraId="2F3B2B25"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40" w:lineRule="atLeast"/>
        <w:rPr>
          <w:rFonts w:eastAsiaTheme="minorEastAsia"/>
          <w:lang w:val="en-GB"/>
        </w:rPr>
      </w:pPr>
      <w:r>
        <w:rPr>
          <w:rFonts w:eastAsiaTheme="minorEastAsia"/>
          <w:lang w:val="en-US"/>
        </w:rPr>
        <w:t xml:space="preserve">When thinking of the groups, try to have mixed ability, and gender, in so that the more able and talented in the group can help the less able through the game. Which would then also give a healthy competitive angle. </w:t>
      </w:r>
    </w:p>
    <w:p w14:paraId="0BF2FB38"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40" w:lineRule="atLeast"/>
        <w:rPr>
          <w:rFonts w:eastAsiaTheme="minorEastAsia"/>
          <w:lang w:val="en-GB"/>
        </w:rPr>
      </w:pPr>
      <w:r>
        <w:rPr>
          <w:rFonts w:eastAsiaTheme="minorEastAsia"/>
          <w:lang w:val="en-US"/>
        </w:rPr>
        <w:t xml:space="preserve">Through investigating how pupils learn and what, some might say, becomes irrelevant when we leave education (McCormick, 2007) my hope was to make it so they were understanding how evaluating a piece of art work, or an artist can then stretch into not only other subjects but also critically analyzing and opening their thought proses to a deeper thinking (Armstrong, </w:t>
      </w:r>
      <w:proofErr w:type="spellStart"/>
      <w:r>
        <w:rPr>
          <w:rFonts w:eastAsiaTheme="minorEastAsia"/>
          <w:lang w:val="en-US"/>
        </w:rPr>
        <w:t>n.d.</w:t>
      </w:r>
      <w:proofErr w:type="spellEnd"/>
      <w:r>
        <w:rPr>
          <w:rFonts w:eastAsiaTheme="minorEastAsia"/>
          <w:lang w:val="en-US"/>
        </w:rPr>
        <w:t>) This is transferred to the classroom and put in to practice (</w:t>
      </w:r>
      <w:proofErr w:type="spellStart"/>
      <w:r>
        <w:rPr>
          <w:rFonts w:eastAsiaTheme="minorEastAsia"/>
          <w:lang w:val="en-US"/>
        </w:rPr>
        <w:t>Gershon</w:t>
      </w:r>
      <w:proofErr w:type="spellEnd"/>
      <w:r>
        <w:rPr>
          <w:rFonts w:eastAsiaTheme="minorEastAsia"/>
          <w:lang w:val="en-US"/>
        </w:rPr>
        <w:t>, 2018) through looking at what activates can better the lessons themselves and help gage the pupils understanding through assessment and questioning. Within the new curriculum (Donaldson, 2015) there is a lot of emphasis on making sure that all young people can benefit from their education, and that it is adapted to fit their personal needs within the system.</w:t>
      </w:r>
      <w:r>
        <w:rPr>
          <w:rFonts w:eastAsiaTheme="minorEastAsia"/>
          <w:lang w:val="en-GB"/>
        </w:rPr>
        <w:t xml:space="preserve"> </w:t>
      </w:r>
      <w:r>
        <w:rPr>
          <w:rFonts w:eastAsia="Calibri" w:cs="Calibri"/>
          <w:color w:val="222222"/>
          <w:lang w:val="en-GB"/>
        </w:rPr>
        <w:t xml:space="preserve">Taking in to consideration the importance of the LNF (2013) I created a game (for my bit in the middle) to encourage pupils in school X to look at learning form a different angle. This way there’s aspects of competitiveness, excitement, enthusiasm, and hopefully they are retaining some of the information. There was a simple premise for the game where as a team within their groups they could help one and other and in doing so the pupils would be enhancing their competences to becoming well rounded learners. This would then appeal to the boys in the class so that they then would then participate within the art lesson </w:t>
      </w:r>
      <w:sdt>
        <w:sdtPr>
          <w:rPr>
            <w:rFonts w:eastAsia="Calibri" w:cs="Calibri"/>
            <w:color w:val="222222"/>
            <w:lang w:val="en-GB"/>
          </w:rPr>
          <w:id w:val="-436057040"/>
          <w:citation/>
        </w:sdtPr>
        <w:sdtContent>
          <w:r>
            <w:rPr>
              <w:rFonts w:eastAsia="Calibri" w:cs="Calibri"/>
              <w:color w:val="222222"/>
              <w:lang w:val="en-GB"/>
            </w:rPr>
            <w:fldChar w:fldCharType="begin"/>
          </w:r>
          <w:r>
            <w:rPr>
              <w:rFonts w:eastAsia="Calibri" w:cs="Calibri"/>
              <w:color w:val="222222"/>
              <w:lang w:val="en-US"/>
            </w:rPr>
            <w:instrText xml:space="preserve"> CITATION RWC05 \l 1033 </w:instrText>
          </w:r>
          <w:r>
            <w:rPr>
              <w:rFonts w:eastAsia="Calibri" w:cs="Calibri"/>
              <w:color w:val="222222"/>
              <w:lang w:val="en-GB"/>
            </w:rPr>
            <w:fldChar w:fldCharType="separate"/>
          </w:r>
          <w:r w:rsidRPr="00F955A0">
            <w:rPr>
              <w:rFonts w:eastAsia="Calibri" w:cs="Calibri"/>
              <w:noProof/>
              <w:color w:val="222222"/>
              <w:lang w:val="en-US"/>
            </w:rPr>
            <w:t>(Connell, 2005)</w:t>
          </w:r>
          <w:r>
            <w:rPr>
              <w:rFonts w:eastAsia="Calibri" w:cs="Calibri"/>
              <w:color w:val="222222"/>
              <w:lang w:val="en-GB"/>
            </w:rPr>
            <w:fldChar w:fldCharType="end"/>
          </w:r>
        </w:sdtContent>
      </w:sdt>
    </w:p>
    <w:p w14:paraId="039C3F7B"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color w:val="1F4D78" w:themeColor="accent5" w:themeShade="7F"/>
          <w:lang w:val="en-GB"/>
        </w:rPr>
      </w:pPr>
      <w:r>
        <w:rPr>
          <w:color w:val="000000" w:themeColor="text1"/>
          <w:lang w:val="en-GB"/>
        </w:rPr>
        <w:t xml:space="preserve">My post-test was based off the intervention. The questions I had made into cards for the game initially, I then created a sheet of paper with space for the pupils to answer with the same questions on that sheet. This was a simple way of gaging whether, or not the intervention had succeeded, and if the pupils could remember the questions well enough to answer the handout. </w:t>
      </w:r>
    </w:p>
    <w:p w14:paraId="1C3C04A3"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color w:val="1F4D78" w:themeColor="accent5" w:themeShade="7F"/>
          <w:lang w:val="en-GB"/>
        </w:rPr>
      </w:pPr>
      <w:r>
        <w:rPr>
          <w:color w:val="000000" w:themeColor="text1"/>
          <w:lang w:val="en-GB"/>
        </w:rPr>
        <w:t xml:space="preserve">The evaluation of the investigation, when looking at the pre-test is, having a variety of images of the artist’s work was useful in helping the pupils to visualise and choose their piece they wanted to analyse, however the extent of each writing piece might have fared to adventurous for the hour lesson and many did not answer the last few questions which effected their overall mark. If I were to do this again I would have the first half of the lesson pupils answering the questions, then the other half, or maybe even in the next lesson I could have the pupils answering the questions as group discussion format </w:t>
      </w:r>
      <w:sdt>
        <w:sdtPr>
          <w:rPr>
            <w:color w:val="000000" w:themeColor="text1"/>
            <w:lang w:val="en-GB"/>
          </w:rPr>
          <w:id w:val="1145010760"/>
          <w:citation/>
        </w:sdtPr>
        <w:sdtContent>
          <w:r>
            <w:rPr>
              <w:color w:val="000000" w:themeColor="text1"/>
              <w:lang w:val="en-GB"/>
            </w:rPr>
            <w:fldChar w:fldCharType="begin"/>
          </w:r>
          <w:r>
            <w:rPr>
              <w:color w:val="000000" w:themeColor="text1"/>
              <w:lang w:val="en-US"/>
            </w:rPr>
            <w:instrText xml:space="preserve"> CITATION Wil98 \l 1033 </w:instrText>
          </w:r>
          <w:r>
            <w:rPr>
              <w:color w:val="000000" w:themeColor="text1"/>
              <w:lang w:val="en-GB"/>
            </w:rPr>
            <w:fldChar w:fldCharType="separate"/>
          </w:r>
          <w:r w:rsidRPr="00F955A0">
            <w:rPr>
              <w:noProof/>
              <w:color w:val="000000" w:themeColor="text1"/>
              <w:lang w:val="en-US"/>
            </w:rPr>
            <w:t>(Wiliam, 1998)</w:t>
          </w:r>
          <w:r>
            <w:rPr>
              <w:color w:val="000000" w:themeColor="text1"/>
              <w:lang w:val="en-GB"/>
            </w:rPr>
            <w:fldChar w:fldCharType="end"/>
          </w:r>
        </w:sdtContent>
      </w:sdt>
      <w:r>
        <w:rPr>
          <w:color w:val="000000" w:themeColor="text1"/>
          <w:lang w:val="en-GB"/>
        </w:rPr>
        <w:t xml:space="preserve"> where the pupils can give their opinions and critique each other’s work as Dylan </w:t>
      </w:r>
      <w:proofErr w:type="spellStart"/>
      <w:r>
        <w:rPr>
          <w:color w:val="000000" w:themeColor="text1"/>
          <w:lang w:val="en-GB"/>
        </w:rPr>
        <w:t>Wiliam</w:t>
      </w:r>
      <w:proofErr w:type="spellEnd"/>
      <w:r>
        <w:rPr>
          <w:color w:val="000000" w:themeColor="text1"/>
          <w:lang w:val="en-GB"/>
        </w:rPr>
        <w:t xml:space="preserve"> (1998) suggests. This would then help the pupils to understand themselves, through discussion how they can evaluate a piece of work by an artist.</w:t>
      </w:r>
    </w:p>
    <w:p w14:paraId="458AA879"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color w:val="1F4D78" w:themeColor="accent5" w:themeShade="7F"/>
          <w:lang w:val="en-GB"/>
        </w:rPr>
      </w:pPr>
    </w:p>
    <w:p w14:paraId="736DF9D4"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lang w:val="en-GB"/>
        </w:rPr>
      </w:pPr>
      <w:r>
        <w:rPr>
          <w:rFonts w:eastAsia="Calibri" w:cs="Calibri"/>
          <w:color w:val="000000" w:themeColor="text1"/>
          <w:lang w:val="en-GB"/>
        </w:rPr>
        <w:t xml:space="preserve">With the intervention, I lost much of the class due to school activities and therefore had to discard a lot of the information to make the investigation truthful. The pupils that I did have found this part different and entertaining, once we had gone through the success criteria as a class and they were left in their groups to continue with the game, it seemed to work. I then circled the class to listen and observe as the game went on, making sure conversation was based on the lesson and not what had happened during break or lunchtime. Asking pupils questions that they had previously answered based on where they landed on the board, most were able to give me the correct answer they had found. Many of the pupils enjoyed the competitive aspect and did not realise that they were in fact learning about the artist </w:t>
      </w:r>
      <w:sdt>
        <w:sdtPr>
          <w:rPr>
            <w:rFonts w:eastAsia="Calibri" w:cs="Calibri"/>
            <w:color w:val="000000" w:themeColor="text1"/>
            <w:lang w:val="en-GB"/>
          </w:rPr>
          <w:id w:val="-9770051"/>
          <w:citation/>
        </w:sdtPr>
        <w:sdtContent>
          <w:r>
            <w:rPr>
              <w:rFonts w:eastAsia="Calibri" w:cs="Calibri"/>
              <w:color w:val="000000" w:themeColor="text1"/>
              <w:lang w:val="en-GB"/>
            </w:rPr>
            <w:fldChar w:fldCharType="begin"/>
          </w:r>
          <w:r>
            <w:rPr>
              <w:rFonts w:eastAsia="Calibri" w:cs="Calibri"/>
              <w:color w:val="000000" w:themeColor="text1"/>
              <w:lang w:val="en-US"/>
            </w:rPr>
            <w:instrText xml:space="preserve"> CITATION Rae08 \l 1033 </w:instrText>
          </w:r>
          <w:r>
            <w:rPr>
              <w:rFonts w:eastAsia="Calibri" w:cs="Calibri"/>
              <w:color w:val="000000" w:themeColor="text1"/>
              <w:lang w:val="en-GB"/>
            </w:rPr>
            <w:fldChar w:fldCharType="separate"/>
          </w:r>
          <w:r w:rsidRPr="00F955A0">
            <w:rPr>
              <w:rFonts w:eastAsia="Calibri" w:cs="Calibri"/>
              <w:noProof/>
              <w:color w:val="000000" w:themeColor="text1"/>
              <w:lang w:val="en-US"/>
            </w:rPr>
            <w:t>(Connell, 2008)</w:t>
          </w:r>
          <w:r>
            <w:rPr>
              <w:rFonts w:eastAsia="Calibri" w:cs="Calibri"/>
              <w:color w:val="000000" w:themeColor="text1"/>
              <w:lang w:val="en-GB"/>
            </w:rPr>
            <w:fldChar w:fldCharType="end"/>
          </w:r>
        </w:sdtContent>
      </w:sdt>
      <w:r>
        <w:rPr>
          <w:rFonts w:eastAsia="Calibri" w:cs="Calibri"/>
          <w:color w:val="000000" w:themeColor="text1"/>
          <w:lang w:val="en-GB"/>
        </w:rPr>
        <w:t xml:space="preserve">. If I were to do this again I would have the pupils write or highlight the correct answers they found from their artist handouts, this would then give reassurance that they were all working together to find the correct answer, and not just one finding the information and feeding this back to the rest of the group. </w:t>
      </w:r>
      <w:sdt>
        <w:sdtPr>
          <w:rPr>
            <w:rFonts w:eastAsia="Calibri" w:cs="Calibri"/>
            <w:color w:val="000000" w:themeColor="text1"/>
            <w:lang w:val="en-GB"/>
          </w:rPr>
          <w:id w:val="1026373861"/>
          <w:citation/>
        </w:sdtPr>
        <w:sdtContent>
          <w:r>
            <w:rPr>
              <w:rFonts w:eastAsia="Calibri" w:cs="Calibri"/>
              <w:color w:val="000000" w:themeColor="text1"/>
              <w:lang w:val="en-GB"/>
            </w:rPr>
            <w:fldChar w:fldCharType="begin"/>
          </w:r>
          <w:r>
            <w:rPr>
              <w:rFonts w:eastAsia="Calibri" w:cs="Calibri"/>
              <w:color w:val="000000" w:themeColor="text1"/>
              <w:lang w:val="en-US"/>
            </w:rPr>
            <w:instrText xml:space="preserve"> CITATION Wil98 \l 1033 </w:instrText>
          </w:r>
          <w:r>
            <w:rPr>
              <w:rFonts w:eastAsia="Calibri" w:cs="Calibri"/>
              <w:color w:val="000000" w:themeColor="text1"/>
              <w:lang w:val="en-GB"/>
            </w:rPr>
            <w:fldChar w:fldCharType="separate"/>
          </w:r>
          <w:r w:rsidRPr="00F955A0">
            <w:rPr>
              <w:rFonts w:eastAsia="Calibri" w:cs="Calibri"/>
              <w:noProof/>
              <w:color w:val="000000" w:themeColor="text1"/>
              <w:lang w:val="en-US"/>
            </w:rPr>
            <w:t>(Wiliam, 1998)</w:t>
          </w:r>
          <w:r>
            <w:rPr>
              <w:rFonts w:eastAsia="Calibri" w:cs="Calibri"/>
              <w:color w:val="000000" w:themeColor="text1"/>
              <w:lang w:val="en-GB"/>
            </w:rPr>
            <w:fldChar w:fldCharType="end"/>
          </w:r>
        </w:sdtContent>
      </w:sdt>
      <w:r>
        <w:rPr>
          <w:rFonts w:eastAsia="Calibri" w:cs="Calibri"/>
          <w:color w:val="000000" w:themeColor="text1"/>
          <w:lang w:val="en-GB"/>
        </w:rPr>
        <w:t xml:space="preserve"> </w:t>
      </w:r>
    </w:p>
    <w:p w14:paraId="5D162BFB"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1F4D78" w:themeColor="accent5" w:themeShade="7F"/>
          <w:lang w:val="en-GB"/>
        </w:rPr>
      </w:pPr>
      <w:r>
        <w:rPr>
          <w:rFonts w:eastAsia="Calibri" w:cs="Calibri"/>
          <w:color w:val="1F4D78" w:themeColor="accent5" w:themeShade="7F"/>
          <w:lang w:val="en-GB"/>
        </w:rPr>
        <w:t xml:space="preserve"> </w:t>
      </w:r>
    </w:p>
    <w:p w14:paraId="36A220AA"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lang w:val="en-GB"/>
        </w:rPr>
      </w:pPr>
      <w:r>
        <w:rPr>
          <w:rFonts w:eastAsia="Calibri" w:cs="Calibri"/>
          <w:color w:val="000000" w:themeColor="text1"/>
          <w:lang w:val="en-GB"/>
        </w:rPr>
        <w:t xml:space="preserve">My post-test, with regards to my intervention seemed to work. I used the questions form the game created to make a handout that the pupils could then answer, the questions were the same, the format of how they were presented was different. I found that the pupils did not realise that they were the same questions form the last lesson because of how they were laid out </w:t>
      </w:r>
      <w:sdt>
        <w:sdtPr>
          <w:rPr>
            <w:rFonts w:eastAsia="Calibri" w:cs="Calibri"/>
            <w:color w:val="000000" w:themeColor="text1"/>
            <w:lang w:val="en-GB"/>
          </w:rPr>
          <w:id w:val="-734010101"/>
          <w:citation/>
        </w:sdtPr>
        <w:sdtContent>
          <w:r>
            <w:rPr>
              <w:rFonts w:eastAsia="Calibri" w:cs="Calibri"/>
              <w:color w:val="000000" w:themeColor="text1"/>
              <w:lang w:val="en-GB"/>
            </w:rPr>
            <w:fldChar w:fldCharType="begin"/>
          </w:r>
          <w:r>
            <w:rPr>
              <w:rFonts w:eastAsia="Calibri" w:cs="Calibri"/>
              <w:color w:val="000000" w:themeColor="text1"/>
              <w:lang w:val="en-US"/>
            </w:rPr>
            <w:instrText xml:space="preserve"> CITATION Hug711 \l 1033 </w:instrText>
          </w:r>
          <w:r>
            <w:rPr>
              <w:rFonts w:eastAsia="Calibri" w:cs="Calibri"/>
              <w:color w:val="000000" w:themeColor="text1"/>
              <w:lang w:val="en-GB"/>
            </w:rPr>
            <w:fldChar w:fldCharType="separate"/>
          </w:r>
          <w:r w:rsidRPr="00F955A0">
            <w:rPr>
              <w:rFonts w:eastAsia="Calibri" w:cs="Calibri"/>
              <w:noProof/>
              <w:color w:val="000000" w:themeColor="text1"/>
              <w:lang w:val="en-US"/>
            </w:rPr>
            <w:t>(Lytton, 1971)</w:t>
          </w:r>
          <w:r>
            <w:rPr>
              <w:rFonts w:eastAsia="Calibri" w:cs="Calibri"/>
              <w:color w:val="000000" w:themeColor="text1"/>
              <w:lang w:val="en-GB"/>
            </w:rPr>
            <w:fldChar w:fldCharType="end"/>
          </w:r>
        </w:sdtContent>
      </w:sdt>
      <w:r>
        <w:rPr>
          <w:rFonts w:eastAsia="Calibri" w:cs="Calibri"/>
          <w:color w:val="000000" w:themeColor="text1"/>
          <w:lang w:val="en-GB"/>
        </w:rPr>
        <w:t xml:space="preserve">. When they saw a sheet of paper with writing and empty spaces the pupils immediately reacted negatively towards the task, this the solidified the notion of needing to create more enticing ways of teaching the pupils and not having them dread, or worry about writing tasks within the classroom. </w:t>
      </w:r>
    </w:p>
    <w:p w14:paraId="04CBE37E"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lang w:val="en-GB"/>
        </w:rPr>
      </w:pPr>
      <w:r>
        <w:rPr>
          <w:rFonts w:eastAsia="Calibri" w:cs="Calibri"/>
          <w:color w:val="000000" w:themeColor="text1"/>
          <w:lang w:val="en-GB"/>
        </w:rPr>
        <w:t xml:space="preserve">The National Curriculum </w:t>
      </w:r>
      <w:sdt>
        <w:sdtPr>
          <w:rPr>
            <w:rFonts w:eastAsia="Calibri" w:cs="Calibri"/>
            <w:color w:val="000000" w:themeColor="text1"/>
            <w:lang w:val="en-GB"/>
          </w:rPr>
          <w:id w:val="793720388"/>
          <w:citation/>
        </w:sdtPr>
        <w:sdtContent>
          <w:r>
            <w:rPr>
              <w:rFonts w:eastAsia="Calibri" w:cs="Calibri"/>
              <w:color w:val="000000" w:themeColor="text1"/>
              <w:lang w:val="en-GB"/>
            </w:rPr>
            <w:fldChar w:fldCharType="begin"/>
          </w:r>
          <w:r>
            <w:rPr>
              <w:rFonts w:eastAsia="Calibri" w:cs="Calibri"/>
              <w:color w:val="000000" w:themeColor="text1"/>
              <w:lang w:val="en-US"/>
            </w:rPr>
            <w:instrText xml:space="preserve"> CITATION Wel131 \l 1033 </w:instrText>
          </w:r>
          <w:r>
            <w:rPr>
              <w:rFonts w:eastAsia="Calibri" w:cs="Calibri"/>
              <w:color w:val="000000" w:themeColor="text1"/>
              <w:lang w:val="en-GB"/>
            </w:rPr>
            <w:fldChar w:fldCharType="separate"/>
          </w:r>
          <w:r w:rsidRPr="00F955A0">
            <w:rPr>
              <w:rFonts w:eastAsia="Calibri" w:cs="Calibri"/>
              <w:noProof/>
              <w:color w:val="000000" w:themeColor="text1"/>
              <w:lang w:val="en-US"/>
            </w:rPr>
            <w:t>(Government, 2013)</w:t>
          </w:r>
          <w:r>
            <w:rPr>
              <w:rFonts w:eastAsia="Calibri" w:cs="Calibri"/>
              <w:color w:val="000000" w:themeColor="text1"/>
              <w:lang w:val="en-GB"/>
            </w:rPr>
            <w:fldChar w:fldCharType="end"/>
          </w:r>
        </w:sdtContent>
      </w:sdt>
      <w:r>
        <w:rPr>
          <w:rFonts w:eastAsia="Calibri" w:cs="Calibri"/>
          <w:color w:val="000000" w:themeColor="text1"/>
          <w:lang w:val="en-GB"/>
        </w:rPr>
        <w:t xml:space="preserve"> outlines the need for literacy and numeracy in all classrooms, however, there must be a way of making it a more enjoyable experience for pupils so that they do not avoid it at all costs.</w:t>
      </w:r>
    </w:p>
    <w:p w14:paraId="1CE30210"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1F4D78" w:themeColor="accent5" w:themeShade="7F"/>
          <w:u w:val="single"/>
          <w:lang w:val="en-GB"/>
        </w:rPr>
      </w:pPr>
    </w:p>
    <w:p w14:paraId="4BD2D682"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lang w:val="en-GB"/>
        </w:rPr>
      </w:pPr>
      <w:r>
        <w:rPr>
          <w:rFonts w:eastAsia="Calibri" w:cs="Calibri"/>
          <w:color w:val="000000" w:themeColor="text1"/>
          <w:lang w:val="en-GB"/>
        </w:rPr>
        <w:t xml:space="preserve">Based on my findings and the results the investigation seemed to work. However, by having un uneven number of pupils willing and able to take part in the investigation, there were 8 boys, and 7 girls. The uncertainties outweigh the confidence within this project.  Because of the unevenness within the boy girl ratio, this then has made gaging the class development difficult, however I could track individual pupils’ development, on average most pupils did far better in the post-test to compare with the pre-test in the first lesson. this includes the boys attaining higher marks </w:t>
      </w:r>
      <w:sdt>
        <w:sdtPr>
          <w:rPr>
            <w:rFonts w:eastAsia="Calibri" w:cs="Calibri"/>
            <w:color w:val="000000" w:themeColor="text1"/>
            <w:lang w:val="en-GB"/>
          </w:rPr>
          <w:id w:val="405965367"/>
          <w:citation/>
        </w:sdtPr>
        <w:sdtContent>
          <w:r>
            <w:rPr>
              <w:rFonts w:eastAsia="Calibri" w:cs="Calibri"/>
              <w:color w:val="000000" w:themeColor="text1"/>
              <w:lang w:val="en-GB"/>
            </w:rPr>
            <w:fldChar w:fldCharType="begin"/>
          </w:r>
          <w:r>
            <w:rPr>
              <w:rFonts w:eastAsia="Calibri" w:cs="Calibri"/>
              <w:color w:val="000000" w:themeColor="text1"/>
              <w:lang w:val="en-US"/>
            </w:rPr>
            <w:instrText xml:space="preserve"> CITATION Est08 \l 1033 </w:instrText>
          </w:r>
          <w:r>
            <w:rPr>
              <w:rFonts w:eastAsia="Calibri" w:cs="Calibri"/>
              <w:color w:val="000000" w:themeColor="text1"/>
              <w:lang w:val="en-GB"/>
            </w:rPr>
            <w:fldChar w:fldCharType="separate"/>
          </w:r>
          <w:r w:rsidRPr="00F955A0">
            <w:rPr>
              <w:rFonts w:eastAsia="Calibri" w:cs="Calibri"/>
              <w:noProof/>
              <w:color w:val="000000" w:themeColor="text1"/>
              <w:lang w:val="en-US"/>
            </w:rPr>
            <w:t>(Estyn, 2008)</w:t>
          </w:r>
          <w:r>
            <w:rPr>
              <w:rFonts w:eastAsia="Calibri" w:cs="Calibri"/>
              <w:color w:val="000000" w:themeColor="text1"/>
              <w:lang w:val="en-GB"/>
            </w:rPr>
            <w:fldChar w:fldCharType="end"/>
          </w:r>
        </w:sdtContent>
      </w:sdt>
      <w:r>
        <w:rPr>
          <w:rFonts w:eastAsia="Calibri" w:cs="Calibri"/>
          <w:color w:val="000000" w:themeColor="text1"/>
          <w:lang w:val="en-GB"/>
        </w:rPr>
        <w:t xml:space="preserve">. </w:t>
      </w:r>
    </w:p>
    <w:p w14:paraId="727C29FE"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lang w:val="en-GB"/>
        </w:rPr>
      </w:pPr>
    </w:p>
    <w:p w14:paraId="2063DD47"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1F4D78" w:themeColor="accent5" w:themeShade="7F"/>
          <w:lang w:val="en-GB"/>
        </w:rPr>
      </w:pPr>
    </w:p>
    <w:p w14:paraId="322CA4C4"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1F4D78" w:themeColor="accent5" w:themeShade="7F"/>
          <w:lang w:val="en-GB"/>
        </w:rPr>
      </w:pPr>
      <w:r>
        <w:rPr>
          <w:noProof/>
          <w:lang w:val="en-US"/>
        </w:rPr>
        <w:drawing>
          <wp:inline distT="0" distB="0" distL="0" distR="0" wp14:anchorId="020B5D24" wp14:editId="0900CFCD">
            <wp:extent cx="5746115" cy="3759200"/>
            <wp:effectExtent l="0" t="0" r="1968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5B9C0FA"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lang w:val="en-GB"/>
        </w:rPr>
      </w:pPr>
    </w:p>
    <w:p w14:paraId="722D257D" w14:textId="77777777" w:rsidR="00B71381" w:rsidRDefault="00B71381"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lang w:val="en-GB"/>
        </w:rPr>
      </w:pPr>
      <w:bookmarkStart w:id="0" w:name="_GoBack"/>
      <w:bookmarkEnd w:id="0"/>
    </w:p>
    <w:p w14:paraId="49041130"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lang w:val="en-GB"/>
        </w:rPr>
      </w:pPr>
      <w:r>
        <w:rPr>
          <w:rFonts w:eastAsia="Calibri" w:cs="Calibri"/>
          <w:color w:val="000000" w:themeColor="text1"/>
          <w:lang w:val="en-GB"/>
        </w:rPr>
        <w:t xml:space="preserve">from the table above you can see that all pupils did better on the post-test. Pupils 1,5,8,9,11,13, and 15 were female. Pupils 2,3,4,6,7,10,12, and 14 were male. </w:t>
      </w:r>
    </w:p>
    <w:p w14:paraId="3C14441E"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1F4D78" w:themeColor="accent5" w:themeShade="7F"/>
          <w:lang w:val="en-GB"/>
        </w:rPr>
      </w:pPr>
      <w:r>
        <w:rPr>
          <w:rFonts w:eastAsia="Calibri" w:cs="Calibri"/>
          <w:color w:val="000000" w:themeColor="text1"/>
          <w:lang w:val="en-GB"/>
        </w:rPr>
        <w:t xml:space="preserve">In my findings, I am lead to believe that either my pre-test was too difficult for many of the pupils, or that the intervention used was a successful way of improving he pupils understanding through the means of using competition and peer learning </w:t>
      </w:r>
      <w:sdt>
        <w:sdtPr>
          <w:rPr>
            <w:rFonts w:eastAsia="Calibri" w:cs="Calibri"/>
            <w:color w:val="000000" w:themeColor="text1"/>
            <w:lang w:val="en-GB"/>
          </w:rPr>
          <w:id w:val="-94402063"/>
          <w:citation/>
        </w:sdtPr>
        <w:sdtContent>
          <w:r>
            <w:rPr>
              <w:rFonts w:eastAsia="Calibri" w:cs="Calibri"/>
              <w:color w:val="000000" w:themeColor="text1"/>
              <w:lang w:val="en-GB"/>
            </w:rPr>
            <w:fldChar w:fldCharType="begin"/>
          </w:r>
          <w:r>
            <w:rPr>
              <w:rFonts w:eastAsia="Calibri" w:cs="Calibri"/>
              <w:color w:val="000000" w:themeColor="text1"/>
              <w:lang w:val="en-US"/>
            </w:rPr>
            <w:instrText xml:space="preserve"> CITATION Wil98 \l 1033 </w:instrText>
          </w:r>
          <w:r>
            <w:rPr>
              <w:rFonts w:eastAsia="Calibri" w:cs="Calibri"/>
              <w:color w:val="000000" w:themeColor="text1"/>
              <w:lang w:val="en-GB"/>
            </w:rPr>
            <w:fldChar w:fldCharType="separate"/>
          </w:r>
          <w:r w:rsidRPr="00F955A0">
            <w:rPr>
              <w:rFonts w:eastAsia="Calibri" w:cs="Calibri"/>
              <w:noProof/>
              <w:color w:val="000000" w:themeColor="text1"/>
              <w:lang w:val="en-US"/>
            </w:rPr>
            <w:t>(Wiliam, 1998)</w:t>
          </w:r>
          <w:r>
            <w:rPr>
              <w:rFonts w:eastAsia="Calibri" w:cs="Calibri"/>
              <w:color w:val="000000" w:themeColor="text1"/>
              <w:lang w:val="en-GB"/>
            </w:rPr>
            <w:fldChar w:fldCharType="end"/>
          </w:r>
        </w:sdtContent>
      </w:sdt>
      <w:r>
        <w:rPr>
          <w:rFonts w:eastAsia="Calibri" w:cs="Calibri"/>
          <w:color w:val="000000" w:themeColor="text1"/>
          <w:lang w:val="en-GB"/>
        </w:rPr>
        <w:t>.</w:t>
      </w:r>
    </w:p>
    <w:p w14:paraId="7085F907"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Cs/>
          <w:color w:val="000000" w:themeColor="text1"/>
        </w:rPr>
      </w:pPr>
      <w:r>
        <w:rPr>
          <w:rFonts w:cs="Arial"/>
          <w:bCs/>
          <w:color w:val="000000" w:themeColor="text1"/>
        </w:rPr>
        <w:t xml:space="preserve">In saying this with regards to my pre-test and post-test the connection between the both is far too vague and because of this the results cannot determine whether the pupils understood the main objective, purely because the main objective was unclear. If the investigation was to hold a greater value with regards to understanding the pupils learning I would have to adjust either the pre, or post-test to gage a clearer outcome.  </w:t>
      </w:r>
    </w:p>
    <w:p w14:paraId="5EAF8258"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Cs/>
          <w:color w:val="000000" w:themeColor="text1"/>
          <w:lang w:val="en-US"/>
        </w:rPr>
      </w:pPr>
      <w:r>
        <w:rPr>
          <w:rFonts w:cs="Arial"/>
          <w:bCs/>
          <w:color w:val="000000" w:themeColor="text1"/>
          <w:lang w:val="en-US"/>
        </w:rPr>
        <w:t xml:space="preserve">In conclusion, I found that through the game created boys were more competitive and so had more drive to answer the questions to gain points </w:t>
      </w:r>
      <w:sdt>
        <w:sdtPr>
          <w:rPr>
            <w:rFonts w:cs="Arial"/>
            <w:bCs/>
            <w:color w:val="000000" w:themeColor="text1"/>
            <w:lang w:val="en-US"/>
          </w:rPr>
          <w:id w:val="158899312"/>
          <w:citation/>
        </w:sdtPr>
        <w:sdtContent>
          <w:r>
            <w:rPr>
              <w:rFonts w:cs="Arial"/>
              <w:bCs/>
              <w:color w:val="000000" w:themeColor="text1"/>
              <w:lang w:val="en-US"/>
            </w:rPr>
            <w:fldChar w:fldCharType="begin"/>
          </w:r>
          <w:r>
            <w:rPr>
              <w:rFonts w:cs="Arial"/>
              <w:bCs/>
              <w:color w:val="000000" w:themeColor="text1"/>
              <w:lang w:val="en-US"/>
            </w:rPr>
            <w:instrText xml:space="preserve"> CITATION Rae08 \l 1033 </w:instrText>
          </w:r>
          <w:r>
            <w:rPr>
              <w:rFonts w:cs="Arial"/>
              <w:bCs/>
              <w:color w:val="000000" w:themeColor="text1"/>
              <w:lang w:val="en-US"/>
            </w:rPr>
            <w:fldChar w:fldCharType="separate"/>
          </w:r>
          <w:r w:rsidRPr="00F955A0">
            <w:rPr>
              <w:rFonts w:cs="Arial"/>
              <w:noProof/>
              <w:color w:val="000000" w:themeColor="text1"/>
              <w:lang w:val="en-US"/>
            </w:rPr>
            <w:t>(Connell, 2008)</w:t>
          </w:r>
          <w:r>
            <w:rPr>
              <w:rFonts w:cs="Arial"/>
              <w:bCs/>
              <w:color w:val="000000" w:themeColor="text1"/>
              <w:lang w:val="en-US"/>
            </w:rPr>
            <w:fldChar w:fldCharType="end"/>
          </w:r>
        </w:sdtContent>
      </w:sdt>
      <w:r>
        <w:rPr>
          <w:rFonts w:cs="Arial"/>
          <w:bCs/>
          <w:color w:val="000000" w:themeColor="text1"/>
          <w:lang w:val="en-US"/>
        </w:rPr>
        <w:t xml:space="preserve"> in knowing this I created mixed groups so that the girls could push the boy’s competitiveness in a productive way. If I were to do this investigation again I would have a variety of groups, for example one group all female, one male, and one mixed to evaluate the development of each group, and if havening that variety in that context if beneficial for development and learning </w:t>
      </w:r>
      <w:sdt>
        <w:sdtPr>
          <w:rPr>
            <w:rFonts w:cs="Arial"/>
            <w:bCs/>
            <w:color w:val="000000" w:themeColor="text1"/>
            <w:lang w:val="en-US"/>
          </w:rPr>
          <w:id w:val="-591701394"/>
          <w:citation/>
        </w:sdtPr>
        <w:sdtContent>
          <w:r>
            <w:rPr>
              <w:rFonts w:cs="Arial"/>
              <w:bCs/>
              <w:color w:val="000000" w:themeColor="text1"/>
              <w:lang w:val="en-US"/>
            </w:rPr>
            <w:fldChar w:fldCharType="begin"/>
          </w:r>
          <w:r>
            <w:rPr>
              <w:rFonts w:cs="Arial"/>
              <w:bCs/>
              <w:color w:val="000000" w:themeColor="text1"/>
              <w:lang w:val="en-US"/>
            </w:rPr>
            <w:instrText xml:space="preserve"> CITATION RWC05 \l 1033 </w:instrText>
          </w:r>
          <w:r>
            <w:rPr>
              <w:rFonts w:cs="Arial"/>
              <w:bCs/>
              <w:color w:val="000000" w:themeColor="text1"/>
              <w:lang w:val="en-US"/>
            </w:rPr>
            <w:fldChar w:fldCharType="separate"/>
          </w:r>
          <w:r w:rsidRPr="00F955A0">
            <w:rPr>
              <w:rFonts w:cs="Arial"/>
              <w:noProof/>
              <w:color w:val="000000" w:themeColor="text1"/>
              <w:lang w:val="en-US"/>
            </w:rPr>
            <w:t>(Connell, 2005)</w:t>
          </w:r>
          <w:r>
            <w:rPr>
              <w:rFonts w:cs="Arial"/>
              <w:bCs/>
              <w:color w:val="000000" w:themeColor="text1"/>
              <w:lang w:val="en-US"/>
            </w:rPr>
            <w:fldChar w:fldCharType="end"/>
          </w:r>
        </w:sdtContent>
      </w:sdt>
      <w:r>
        <w:rPr>
          <w:rFonts w:cs="Arial"/>
          <w:bCs/>
          <w:color w:val="000000" w:themeColor="text1"/>
          <w:lang w:val="en-US"/>
        </w:rPr>
        <w:t xml:space="preserve"> </w:t>
      </w:r>
      <w:r>
        <w:rPr>
          <w:rFonts w:cs="Arial"/>
          <w:color w:val="000000" w:themeColor="text1"/>
          <w:lang w:val="en-US"/>
        </w:rPr>
        <w:t xml:space="preserve">Within the context, it was placed I felt like the investigation did not work. If I were to change either the pre-test, post-test, and the length of lessons in which it was presented to the pupils I feel as though the game aspect of introducing the artist to the pupils was not only innovative and creative. it also gave the pupils an understanding of that artist without realising they were even learning. However, I feel as though there needed to be more time for pupils to discuss after each lesson </w:t>
      </w:r>
      <w:sdt>
        <w:sdtPr>
          <w:rPr>
            <w:rFonts w:cs="Arial"/>
            <w:color w:val="000000" w:themeColor="text1"/>
            <w:lang w:val="en-US"/>
          </w:rPr>
          <w:id w:val="-338319531"/>
          <w:citation/>
        </w:sdtPr>
        <w:sdtContent>
          <w:r>
            <w:rPr>
              <w:rFonts w:cs="Arial"/>
              <w:color w:val="000000" w:themeColor="text1"/>
              <w:lang w:val="en-US"/>
            </w:rPr>
            <w:fldChar w:fldCharType="begin"/>
          </w:r>
          <w:r>
            <w:rPr>
              <w:rFonts w:cs="Arial"/>
              <w:color w:val="000000" w:themeColor="text1"/>
              <w:lang w:val="en-US"/>
            </w:rPr>
            <w:instrText xml:space="preserve"> CITATION Wil98 \l 1033 </w:instrText>
          </w:r>
          <w:r>
            <w:rPr>
              <w:rFonts w:cs="Arial"/>
              <w:color w:val="000000" w:themeColor="text1"/>
              <w:lang w:val="en-US"/>
            </w:rPr>
            <w:fldChar w:fldCharType="separate"/>
          </w:r>
          <w:r w:rsidRPr="00F955A0">
            <w:rPr>
              <w:rFonts w:cs="Arial"/>
              <w:noProof/>
              <w:color w:val="000000" w:themeColor="text1"/>
              <w:lang w:val="en-US"/>
            </w:rPr>
            <w:t>(Wiliam, 1998)</w:t>
          </w:r>
          <w:r>
            <w:rPr>
              <w:rFonts w:cs="Arial"/>
              <w:color w:val="000000" w:themeColor="text1"/>
              <w:lang w:val="en-US"/>
            </w:rPr>
            <w:fldChar w:fldCharType="end"/>
          </w:r>
        </w:sdtContent>
      </w:sdt>
      <w:r>
        <w:rPr>
          <w:rFonts w:cs="Arial"/>
          <w:color w:val="000000" w:themeColor="text1"/>
          <w:lang w:val="en-US"/>
        </w:rPr>
        <w:t xml:space="preserve"> to measure their full understanding of the tasks and the information they had retained. I feel as though the thinking process work not long term </w:t>
      </w:r>
      <w:sdt>
        <w:sdtPr>
          <w:rPr>
            <w:rFonts w:cs="Arial"/>
            <w:color w:val="000000" w:themeColor="text1"/>
            <w:lang w:val="en-US"/>
          </w:rPr>
          <w:id w:val="1185782818"/>
          <w:citation/>
        </w:sdtPr>
        <w:sdtContent>
          <w:r>
            <w:rPr>
              <w:rFonts w:cs="Arial"/>
              <w:color w:val="000000" w:themeColor="text1"/>
              <w:lang w:val="en-US"/>
            </w:rPr>
            <w:fldChar w:fldCharType="begin"/>
          </w:r>
          <w:r>
            <w:rPr>
              <w:rFonts w:cs="Arial"/>
              <w:color w:val="000000" w:themeColor="text1"/>
              <w:lang w:val="en-US"/>
            </w:rPr>
            <w:instrText xml:space="preserve"> CITATION Arm19 \l 1033 </w:instrText>
          </w:r>
          <w:r>
            <w:rPr>
              <w:rFonts w:cs="Arial"/>
              <w:color w:val="000000" w:themeColor="text1"/>
              <w:lang w:val="en-US"/>
            </w:rPr>
            <w:fldChar w:fldCharType="separate"/>
          </w:r>
          <w:r w:rsidRPr="00F955A0">
            <w:rPr>
              <w:rFonts w:cs="Arial"/>
              <w:noProof/>
              <w:color w:val="000000" w:themeColor="text1"/>
              <w:lang w:val="en-US"/>
            </w:rPr>
            <w:t>(Armstrong, n.d.)</w:t>
          </w:r>
          <w:r>
            <w:rPr>
              <w:rFonts w:cs="Arial"/>
              <w:color w:val="000000" w:themeColor="text1"/>
              <w:lang w:val="en-US"/>
            </w:rPr>
            <w:fldChar w:fldCharType="end"/>
          </w:r>
        </w:sdtContent>
      </w:sdt>
      <w:r>
        <w:rPr>
          <w:rFonts w:cs="Arial"/>
          <w:color w:val="000000" w:themeColor="text1"/>
          <w:lang w:val="en-US"/>
        </w:rPr>
        <w:t xml:space="preserve"> but rather short term, in the circumstances they remembered the answer in the moment because they needed to so that they could get the mark and answer the question. Whereas if asked in the coming lessons the same question, perhaps they would not know the answer. By taking what really could have been a series of lessons over a term, and condensing them down to three to four lessons this then takes away from gaging the pupils real understanding of the subject </w:t>
      </w:r>
      <w:sdt>
        <w:sdtPr>
          <w:rPr>
            <w:rFonts w:cs="Arial"/>
            <w:color w:val="000000" w:themeColor="text1"/>
            <w:lang w:val="en-US"/>
          </w:rPr>
          <w:id w:val="375969283"/>
          <w:citation/>
        </w:sdtPr>
        <w:sdtContent>
          <w:r>
            <w:rPr>
              <w:rFonts w:cs="Arial"/>
              <w:color w:val="000000" w:themeColor="text1"/>
              <w:lang w:val="en-US"/>
            </w:rPr>
            <w:fldChar w:fldCharType="begin"/>
          </w:r>
          <w:r>
            <w:rPr>
              <w:rFonts w:cs="Arial"/>
              <w:color w:val="000000" w:themeColor="text1"/>
              <w:lang w:val="en-US"/>
            </w:rPr>
            <w:instrText xml:space="preserve"> CITATION Wel17 \l 1033 </w:instrText>
          </w:r>
          <w:r>
            <w:rPr>
              <w:rFonts w:cs="Arial"/>
              <w:color w:val="000000" w:themeColor="text1"/>
              <w:lang w:val="en-US"/>
            </w:rPr>
            <w:fldChar w:fldCharType="separate"/>
          </w:r>
          <w:r w:rsidRPr="00F955A0">
            <w:rPr>
              <w:rFonts w:cs="Arial"/>
              <w:noProof/>
              <w:color w:val="000000" w:themeColor="text1"/>
              <w:lang w:val="en-US"/>
            </w:rPr>
            <w:t>(Government, 2008)</w:t>
          </w:r>
          <w:r>
            <w:rPr>
              <w:rFonts w:cs="Arial"/>
              <w:color w:val="000000" w:themeColor="text1"/>
              <w:lang w:val="en-US"/>
            </w:rPr>
            <w:fldChar w:fldCharType="end"/>
          </w:r>
        </w:sdtContent>
      </w:sdt>
      <w:r>
        <w:rPr>
          <w:rFonts w:cs="Arial"/>
          <w:color w:val="000000" w:themeColor="text1"/>
          <w:lang w:val="en-US"/>
        </w:rPr>
        <w:t xml:space="preserve">. </w:t>
      </w:r>
      <w:r>
        <w:rPr>
          <w:rFonts w:cs="Arial"/>
          <w:bCs/>
          <w:color w:val="000000" w:themeColor="text1"/>
          <w:lang w:val="en-US"/>
        </w:rPr>
        <w:t xml:space="preserve">With most things creative, like all things really, it is better to have more time rather than less. Through my findings, I have discovered that within art there is never enough time to get all the things desired finished to a high standard. </w:t>
      </w:r>
    </w:p>
    <w:p w14:paraId="0E284D1A"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color w:val="000000" w:themeColor="text1"/>
          <w:lang w:val="en-US"/>
        </w:rPr>
      </w:pPr>
      <w:r>
        <w:rPr>
          <w:rFonts w:cs="Arial"/>
          <w:bCs/>
          <w:color w:val="000000" w:themeColor="text1"/>
          <w:lang w:val="en-US"/>
        </w:rPr>
        <w:t xml:space="preserve">Based on the limitations and the design of the research, I do not know how transferable this is </w:t>
      </w:r>
      <w:r>
        <w:rPr>
          <w:rFonts w:cs="Arial"/>
          <w:color w:val="000000" w:themeColor="text1"/>
          <w:lang w:val="en-US"/>
        </w:rPr>
        <w:t xml:space="preserve">to other subjects, or in other schools. Criticism with peer learning and marking based on Dylan </w:t>
      </w:r>
      <w:proofErr w:type="spellStart"/>
      <w:r>
        <w:rPr>
          <w:rFonts w:cs="Arial"/>
          <w:color w:val="000000" w:themeColor="text1"/>
          <w:lang w:val="en-US"/>
        </w:rPr>
        <w:t>Wiliams</w:t>
      </w:r>
      <w:proofErr w:type="spellEnd"/>
      <w:r>
        <w:rPr>
          <w:rFonts w:cs="Arial"/>
          <w:color w:val="000000" w:themeColor="text1"/>
          <w:lang w:val="en-US"/>
        </w:rPr>
        <w:t xml:space="preserve"> (1998) from walking around the classroom and listening as the pupils played the game, from what I heard they were working together with healthy competition to answer the questions. However, I do not know if as I walked away there would be one pupils doing all the reading feeding the answers to the rest of the group, and therefore defeating the object of all pupils being amerced in the aspects of the game.</w:t>
      </w:r>
    </w:p>
    <w:p w14:paraId="3B229DD6"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Times"/>
          <w:color w:val="000000" w:themeColor="text1"/>
          <w:lang w:val="en-US"/>
        </w:rPr>
      </w:pPr>
      <w:proofErr w:type="spellStart"/>
      <w:r>
        <w:rPr>
          <w:rFonts w:cs="Arial"/>
          <w:bCs/>
          <w:color w:val="000000" w:themeColor="text1"/>
          <w:lang w:val="en-US"/>
        </w:rPr>
        <w:t>Illeris</w:t>
      </w:r>
      <w:proofErr w:type="spellEnd"/>
      <w:r>
        <w:rPr>
          <w:rFonts w:cs="Arial"/>
          <w:bCs/>
          <w:color w:val="000000" w:themeColor="text1"/>
          <w:lang w:val="en-US"/>
        </w:rPr>
        <w:t xml:space="preserve"> (2007) discusses how It is crucial that a child’s brain has developed normally in the areas that play a part to certain aspects of learning, </w:t>
      </w:r>
      <w:proofErr w:type="spellStart"/>
      <w:r>
        <w:rPr>
          <w:rFonts w:cs="Arial"/>
          <w:bCs/>
          <w:color w:val="000000" w:themeColor="text1"/>
          <w:lang w:val="en-US"/>
        </w:rPr>
        <w:t>acalculia</w:t>
      </w:r>
      <w:proofErr w:type="spellEnd"/>
      <w:r>
        <w:rPr>
          <w:rFonts w:cs="Arial"/>
          <w:bCs/>
          <w:color w:val="000000" w:themeColor="text1"/>
          <w:lang w:val="en-US"/>
        </w:rPr>
        <w:t xml:space="preserve">, the ability to perform simple calculations (dictionary) which makes it difficult to integrate questions that relate to the LNF </w:t>
      </w:r>
      <w:sdt>
        <w:sdtPr>
          <w:rPr>
            <w:rFonts w:cs="Arial"/>
            <w:bCs/>
            <w:color w:val="000000" w:themeColor="text1"/>
            <w:lang w:val="en-US"/>
          </w:rPr>
          <w:id w:val="-411543621"/>
          <w:citation/>
        </w:sdtPr>
        <w:sdtContent>
          <w:r>
            <w:rPr>
              <w:rFonts w:cs="Arial"/>
              <w:bCs/>
              <w:color w:val="000000" w:themeColor="text1"/>
              <w:lang w:val="en-US"/>
            </w:rPr>
            <w:fldChar w:fldCharType="begin"/>
          </w:r>
          <w:r>
            <w:rPr>
              <w:rFonts w:cs="Arial"/>
              <w:bCs/>
              <w:color w:val="000000" w:themeColor="text1"/>
              <w:lang w:val="en-US"/>
            </w:rPr>
            <w:instrText xml:space="preserve"> CITATION Wel131 \l 1033 </w:instrText>
          </w:r>
          <w:r>
            <w:rPr>
              <w:rFonts w:cs="Arial"/>
              <w:bCs/>
              <w:color w:val="000000" w:themeColor="text1"/>
              <w:lang w:val="en-US"/>
            </w:rPr>
            <w:fldChar w:fldCharType="separate"/>
          </w:r>
          <w:r w:rsidRPr="00F955A0">
            <w:rPr>
              <w:rFonts w:cs="Arial"/>
              <w:noProof/>
              <w:color w:val="000000" w:themeColor="text1"/>
              <w:lang w:val="en-US"/>
            </w:rPr>
            <w:t>(Government, 2013)</w:t>
          </w:r>
          <w:r>
            <w:rPr>
              <w:rFonts w:cs="Arial"/>
              <w:bCs/>
              <w:color w:val="000000" w:themeColor="text1"/>
              <w:lang w:val="en-US"/>
            </w:rPr>
            <w:fldChar w:fldCharType="end"/>
          </w:r>
        </w:sdtContent>
      </w:sdt>
      <w:r>
        <w:rPr>
          <w:rFonts w:cs="Arial"/>
          <w:bCs/>
          <w:color w:val="000000" w:themeColor="text1"/>
          <w:lang w:val="en-US"/>
        </w:rPr>
        <w:t xml:space="preserve"> if the pupil feels embarrassed for not being able to answer questions that some might find in the group easier. Or a physical problem could hinder a pupils’ ability to concentrate or communicate, the body must be balanced to focus on tasks within the environment rather than these issues taking all their energy to become engaged when they are battling hunger or tiredness </w:t>
      </w:r>
      <w:sdt>
        <w:sdtPr>
          <w:rPr>
            <w:rFonts w:cs="Arial"/>
            <w:bCs/>
            <w:color w:val="000000" w:themeColor="text1"/>
            <w:lang w:val="en-US"/>
          </w:rPr>
          <w:id w:val="1438482825"/>
          <w:citation/>
        </w:sdtPr>
        <w:sdtContent>
          <w:r>
            <w:rPr>
              <w:rFonts w:cs="Arial"/>
              <w:bCs/>
              <w:color w:val="000000" w:themeColor="text1"/>
              <w:lang w:val="en-US"/>
            </w:rPr>
            <w:fldChar w:fldCharType="begin"/>
          </w:r>
          <w:r>
            <w:rPr>
              <w:rFonts w:cs="Arial"/>
              <w:bCs/>
              <w:color w:val="000000" w:themeColor="text1"/>
              <w:lang w:val="en-US"/>
            </w:rPr>
            <w:instrText xml:space="preserve"> CITATION Ill07 \l 1033 </w:instrText>
          </w:r>
          <w:r>
            <w:rPr>
              <w:rFonts w:cs="Arial"/>
              <w:bCs/>
              <w:color w:val="000000" w:themeColor="text1"/>
              <w:lang w:val="en-US"/>
            </w:rPr>
            <w:fldChar w:fldCharType="separate"/>
          </w:r>
          <w:r w:rsidRPr="00F955A0">
            <w:rPr>
              <w:rFonts w:cs="Arial"/>
              <w:noProof/>
              <w:color w:val="000000" w:themeColor="text1"/>
              <w:lang w:val="en-US"/>
            </w:rPr>
            <w:t>(Illeris, 2007)</w:t>
          </w:r>
          <w:r>
            <w:rPr>
              <w:rFonts w:cs="Arial"/>
              <w:bCs/>
              <w:color w:val="000000" w:themeColor="text1"/>
              <w:lang w:val="en-US"/>
            </w:rPr>
            <w:fldChar w:fldCharType="end"/>
          </w:r>
        </w:sdtContent>
      </w:sdt>
      <w:r>
        <w:rPr>
          <w:rFonts w:cs="Arial"/>
          <w:bCs/>
          <w:color w:val="000000" w:themeColor="text1"/>
          <w:lang w:val="en-US"/>
        </w:rPr>
        <w:t xml:space="preserve"> making taking part in the activity stressful rather than a learning experience.</w:t>
      </w:r>
    </w:p>
    <w:p w14:paraId="3A0DE7D8"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Times"/>
          <w:color w:val="000000" w:themeColor="text1"/>
          <w:lang w:val="en-US"/>
        </w:rPr>
      </w:pPr>
      <w:r>
        <w:rPr>
          <w:rFonts w:cs="Arial"/>
          <w:bCs/>
          <w:color w:val="000000" w:themeColor="text1"/>
          <w:lang w:val="en-US"/>
        </w:rPr>
        <w:t xml:space="preserve">We need to consider ethics within our practice and investigation to know that what we are evaluation is ethically sound of any immoralities, and so that the pupils are with safe hands as they are children and the need to be thorough in being accommodation to their needs is vital, especially with their development </w:t>
      </w:r>
      <w:sdt>
        <w:sdtPr>
          <w:rPr>
            <w:rFonts w:cs="Arial"/>
            <w:bCs/>
            <w:color w:val="000000" w:themeColor="text1"/>
            <w:lang w:val="en-US"/>
          </w:rPr>
          <w:id w:val="-1853333560"/>
          <w:citation/>
        </w:sdtPr>
        <w:sdtContent>
          <w:r>
            <w:rPr>
              <w:rFonts w:cs="Arial"/>
              <w:bCs/>
              <w:color w:val="000000" w:themeColor="text1"/>
              <w:lang w:val="en-US"/>
            </w:rPr>
            <w:fldChar w:fldCharType="begin"/>
          </w:r>
          <w:r>
            <w:rPr>
              <w:rFonts w:cs="Arial"/>
              <w:bCs/>
              <w:color w:val="000000" w:themeColor="text1"/>
              <w:lang w:val="en-US"/>
            </w:rPr>
            <w:instrText xml:space="preserve"> CITATION Ill07 \l 1033 </w:instrText>
          </w:r>
          <w:r>
            <w:rPr>
              <w:rFonts w:cs="Arial"/>
              <w:bCs/>
              <w:color w:val="000000" w:themeColor="text1"/>
              <w:lang w:val="en-US"/>
            </w:rPr>
            <w:fldChar w:fldCharType="separate"/>
          </w:r>
          <w:r w:rsidRPr="00F955A0">
            <w:rPr>
              <w:rFonts w:cs="Arial"/>
              <w:noProof/>
              <w:color w:val="000000" w:themeColor="text1"/>
              <w:lang w:val="en-US"/>
            </w:rPr>
            <w:t>(Illeris, 2007)</w:t>
          </w:r>
          <w:r>
            <w:rPr>
              <w:rFonts w:cs="Arial"/>
              <w:bCs/>
              <w:color w:val="000000" w:themeColor="text1"/>
              <w:lang w:val="en-US"/>
            </w:rPr>
            <w:fldChar w:fldCharType="end"/>
          </w:r>
        </w:sdtContent>
      </w:sdt>
      <w:r>
        <w:rPr>
          <w:rFonts w:cs="Arial"/>
          <w:bCs/>
          <w:color w:val="000000" w:themeColor="text1"/>
          <w:lang w:val="en-US"/>
        </w:rPr>
        <w:t>. School X works off a two-week timetable which makes the consistency of the subject lessons difficult and loses a sense of routine within the structure of the weeks, by varying the time of day, lesson, this varies the willingness of the pupils to learn, and or absorb any information given to them.</w:t>
      </w:r>
    </w:p>
    <w:p w14:paraId="42841FC9"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Cs/>
          <w:color w:val="000000" w:themeColor="text1"/>
          <w:lang w:val="en-US"/>
        </w:rPr>
      </w:pPr>
      <w:r>
        <w:rPr>
          <w:rFonts w:cs="Arial"/>
          <w:bCs/>
          <w:color w:val="000000" w:themeColor="text1"/>
          <w:lang w:val="en-US"/>
        </w:rPr>
        <w:t>By being researcher and teacher it is vital knowing where to draw the line when in the classroom (</w:t>
      </w:r>
      <w:proofErr w:type="spellStart"/>
      <w:r>
        <w:rPr>
          <w:rFonts w:cs="Arial"/>
          <w:bCs/>
          <w:color w:val="000000" w:themeColor="text1"/>
          <w:lang w:val="en-US"/>
        </w:rPr>
        <w:t>Bera</w:t>
      </w:r>
      <w:proofErr w:type="spellEnd"/>
      <w:r>
        <w:rPr>
          <w:rFonts w:cs="Arial"/>
          <w:bCs/>
          <w:color w:val="000000" w:themeColor="text1"/>
          <w:lang w:val="en-US"/>
        </w:rPr>
        <w:t>, 2018). By knowing the participants, it is both a positive and negating attribute, it can often lead to the investigation being more flexible and by getting too involved can make the teacher forget the purpose of the research in the first place. The research role should inform our teaching role, be aware by being a teacher and researcher that we do not impose on the pupils. Give them the opportunity to opt out of the investigation either coming to speak to me quietly, after the lesson, or with a not so that it does not indicate a power relationship in any way. This is how some pupils chose to opt out of this investigation within the class, also I was not able to use some findings due to inconsistency within the lesson, for example pupils having sports, or other school activities to attend making for gaps in their work. By choosing one group of pupils as a ‘control class’ this could then give disadvantage to other classes of that year group (</w:t>
      </w:r>
      <w:proofErr w:type="spellStart"/>
      <w:r>
        <w:rPr>
          <w:rFonts w:cs="Arial"/>
          <w:bCs/>
          <w:color w:val="000000" w:themeColor="text1"/>
          <w:lang w:val="en-US"/>
        </w:rPr>
        <w:t>Bera</w:t>
      </w:r>
      <w:proofErr w:type="spellEnd"/>
      <w:r>
        <w:rPr>
          <w:rFonts w:cs="Arial"/>
          <w:bCs/>
          <w:color w:val="000000" w:themeColor="text1"/>
          <w:lang w:val="en-US"/>
        </w:rPr>
        <w:t xml:space="preserve">, 2018) to make this ethically sound the scheme was thought throughout the year group, and only one was choosing to be the study. (Kumar, 2014:136-7) by using a pre, and post-test I can measure a direct measurement of change however my pre-test was too varied for my post-test to have a clear measurement of depth of the pupils understanding. The variation within the study population also varied due to loss of pupils because of unseen circumstances. The dependent variable was then effected by the independent variable, such as change of classroom, and the time of day in which the lesson was thought then effecting the mood of the pupil, and the atmosphere of the room.  </w:t>
      </w:r>
    </w:p>
    <w:p w14:paraId="61C44573"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Cs/>
          <w:color w:val="000000" w:themeColor="text1"/>
          <w:lang w:val="en-US"/>
        </w:rPr>
      </w:pPr>
      <w:r>
        <w:rPr>
          <w:rFonts w:cs="Arial"/>
          <w:bCs/>
          <w:color w:val="000000" w:themeColor="text1"/>
          <w:lang w:val="en-US"/>
        </w:rPr>
        <w:t xml:space="preserve">The timetable in school X was on a two-week basis. I was only able to see the pupils once a week, depending on the timetable it would either be an end of day on a Friday lesson, or at the start of the week before lunch. This meant I had very different attitudes coming in to the lesson and the pupils work ethic was lacking depending on the week. There was no routine within my lessons with the pupils, having this ‘hit or miss.’ aspect of learning meant that the information I was gathering could be affected by the lesson timeslot and this could have influenced the pupil’s abilities that day.  A low percentage of pupils are on free school meals in the school X, although some of the pupils have a challenging background. This can affect their school life due to lack of support, the home life of the individuals, and financial situation leaving pupils to go without food. Some pupils had to be excluded from the investigation due to extracurricular activities within the school. i.e. netball, rugby, and hockey games being held away in various locations meaning that a few pupils were not present for either the pre-test, post-test, or the in the middle bit. </w:t>
      </w:r>
    </w:p>
    <w:p w14:paraId="41A9280A"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1171EA9E"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5A4260DA"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3F8A608A"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3AA663B4"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1C4BB481"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1F58709D"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1EE4EFE8"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Times"/>
          <w:color w:val="000000" w:themeColor="text1"/>
          <w:u w:val="single"/>
          <w:lang w:val="en-US"/>
        </w:rPr>
      </w:pPr>
      <w:r>
        <w:rPr>
          <w:rFonts w:cs="Arial"/>
          <w:b/>
          <w:bCs/>
          <w:color w:val="000000" w:themeColor="text1"/>
          <w:u w:val="single"/>
          <w:lang w:val="en-US"/>
        </w:rPr>
        <w:t xml:space="preserve">Appendices </w:t>
      </w:r>
    </w:p>
    <w:p w14:paraId="4FD46BF3" w14:textId="77777777" w:rsidR="00F955A0" w:rsidRDefault="00F955A0" w:rsidP="00F955A0">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imes New Roman"/>
          <w:lang w:val="en-US"/>
        </w:rPr>
      </w:pPr>
      <w:r>
        <w:rPr>
          <w:rFonts w:eastAsia="Times New Roman" w:cs="Times New Roman"/>
          <w:color w:val="000000"/>
        </w:rPr>
        <w:t>Cynllun ysgol X</w:t>
      </w:r>
      <w:r>
        <w:rPr>
          <w:rFonts w:eastAsia="Times New Roman" w:cs="Times New Roman"/>
          <w:color w:val="000000"/>
          <w:lang w:val="en-GB"/>
        </w:rPr>
        <w:t> (school improvement plan)</w:t>
      </w:r>
    </w:p>
    <w:p w14:paraId="233E2CDC" w14:textId="77777777" w:rsidR="00F955A0" w:rsidRDefault="00F955A0" w:rsidP="00F955A0">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t>Ysfrifennu Dadansoddiad taflen (writing an analysis sheet)</w:t>
      </w:r>
    </w:p>
    <w:p w14:paraId="234BB6C3"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US"/>
        </w:rPr>
      </w:pPr>
    </w:p>
    <w:sdt>
      <w:sdtPr>
        <w:rPr>
          <w:rFonts w:asciiTheme="minorHAnsi" w:eastAsiaTheme="minorHAnsi" w:hAnsiTheme="minorHAnsi" w:cstheme="minorBidi"/>
          <w:b w:val="0"/>
          <w:bCs w:val="0"/>
          <w:color w:val="auto"/>
          <w:sz w:val="24"/>
          <w:szCs w:val="24"/>
          <w:lang w:val="cy-GB" w:bidi="ar-SA"/>
        </w:rPr>
        <w:id w:val="-264930074"/>
        <w:docPartObj>
          <w:docPartGallery w:val="Bibliographies"/>
          <w:docPartUnique/>
        </w:docPartObj>
      </w:sdtPr>
      <w:sdtContent>
        <w:p w14:paraId="2AAF0B37" w14:textId="77777777" w:rsidR="00F955A0" w:rsidRDefault="00F955A0" w:rsidP="00F955A0">
          <w:pPr>
            <w:pStyle w:val="Heading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sz w:val="24"/>
              <w:szCs w:val="24"/>
            </w:rPr>
          </w:pPr>
          <w:r>
            <w:rPr>
              <w:rFonts w:asciiTheme="minorHAnsi" w:hAnsiTheme="minorHAnsi"/>
              <w:sz w:val="24"/>
              <w:szCs w:val="24"/>
            </w:rPr>
            <w:t>Bibliography</w:t>
          </w:r>
        </w:p>
        <w:sdt>
          <w:sdtPr>
            <w:id w:val="111145805"/>
            <w:bibliography/>
          </w:sdtPr>
          <w:sdtContent>
            <w:p w14:paraId="184E158C" w14:textId="77777777" w:rsidR="00F955A0" w:rsidRDefault="00F955A0" w:rsidP="00F955A0">
              <w:pPr>
                <w:pStyle w:val="Bibliography"/>
                <w:rPr>
                  <w:noProof/>
                </w:rPr>
              </w:pPr>
              <w:r>
                <w:fldChar w:fldCharType="begin"/>
              </w:r>
              <w:r>
                <w:instrText xml:space="preserve"> BIBLIOGRAPHY </w:instrText>
              </w:r>
              <w:r>
                <w:fldChar w:fldCharType="separate"/>
              </w:r>
              <w:r>
                <w:rPr>
                  <w:noProof/>
                </w:rPr>
                <w:t xml:space="preserve">Armstrong, P., n.d. </w:t>
              </w:r>
              <w:r>
                <w:rPr>
                  <w:i/>
                  <w:iCs/>
                  <w:noProof/>
                </w:rPr>
                <w:t xml:space="preserve">Bloom's Taxonomy. </w:t>
              </w:r>
              <w:r>
                <w:rPr>
                  <w:noProof/>
                </w:rPr>
                <w:t xml:space="preserve">[Online] </w:t>
              </w:r>
              <w:r>
                <w:rPr>
                  <w:noProof/>
                </w:rPr>
                <w:br/>
                <w:t xml:space="preserve">Available at: </w:t>
              </w:r>
              <w:r>
                <w:rPr>
                  <w:noProof/>
                  <w:u w:val="single"/>
                </w:rPr>
                <w:t>https://cft.vanderbilt.edu/guides-sub-pages/blooms-taxonomy/</w:t>
              </w:r>
              <w:r>
                <w:rPr>
                  <w:noProof/>
                </w:rPr>
                <w:br/>
                <w:t>[Accessed 25 april 2019].</w:t>
              </w:r>
            </w:p>
            <w:p w14:paraId="069D6A2A" w14:textId="77777777" w:rsidR="00F955A0" w:rsidRDefault="00F955A0" w:rsidP="00F955A0">
              <w:pPr>
                <w:pStyle w:val="Bibliography"/>
                <w:rPr>
                  <w:noProof/>
                </w:rPr>
              </w:pPr>
              <w:r>
                <w:rPr>
                  <w:noProof/>
                </w:rPr>
                <w:t xml:space="preserve">Beall, A., 2018. </w:t>
              </w:r>
              <w:r>
                <w:rPr>
                  <w:i/>
                  <w:iCs/>
                  <w:noProof/>
                </w:rPr>
                <w:t xml:space="preserve">The growth minset, which has become hugely popular theory for how we educate our children, might be a psychological mirage. </w:t>
              </w:r>
              <w:r>
                <w:rPr>
                  <w:noProof/>
                </w:rPr>
                <w:t xml:space="preserve">[Online] </w:t>
              </w:r>
              <w:r>
                <w:rPr>
                  <w:noProof/>
                </w:rPr>
                <w:br/>
                <w:t xml:space="preserve">Available at: </w:t>
              </w:r>
              <w:r>
                <w:rPr>
                  <w:noProof/>
                  <w:u w:val="single"/>
                </w:rPr>
                <w:t>https://www.wired.co.uk/article/growth-mindset-education-psychological-theory-children-mirage</w:t>
              </w:r>
              <w:r>
                <w:rPr>
                  <w:noProof/>
                </w:rPr>
                <w:br/>
                <w:t>[Accessed 15 may 2019].</w:t>
              </w:r>
            </w:p>
            <w:p w14:paraId="5FFE799D" w14:textId="77777777" w:rsidR="00F955A0" w:rsidRDefault="00F955A0" w:rsidP="00F955A0">
              <w:pPr>
                <w:pStyle w:val="Bibliography"/>
                <w:rPr>
                  <w:noProof/>
                </w:rPr>
              </w:pPr>
              <w:r>
                <w:rPr>
                  <w:noProof/>
                </w:rPr>
                <w:t xml:space="preserve">Burgess, N. A. a. L., 2015. </w:t>
              </w:r>
              <w:r>
                <w:rPr>
                  <w:i/>
                  <w:iCs/>
                  <w:noProof/>
                </w:rPr>
                <w:t xml:space="preserve">Learning to Teach Art and Design in the Secondary School. </w:t>
              </w:r>
              <w:r>
                <w:rPr>
                  <w:noProof/>
                </w:rPr>
                <w:t>3rd Edition ed. London: Routledge.</w:t>
              </w:r>
            </w:p>
            <w:p w14:paraId="408C6A41" w14:textId="77777777" w:rsidR="00F955A0" w:rsidRDefault="00F955A0" w:rsidP="00F955A0">
              <w:pPr>
                <w:pStyle w:val="Bibliography"/>
                <w:rPr>
                  <w:noProof/>
                </w:rPr>
              </w:pPr>
              <w:r>
                <w:rPr>
                  <w:noProof/>
                </w:rPr>
                <w:t xml:space="preserve">Butler, J., 2004. </w:t>
              </w:r>
              <w:r>
                <w:rPr>
                  <w:i/>
                  <w:iCs/>
                  <w:noProof/>
                </w:rPr>
                <w:t xml:space="preserve">Undoing Gender. </w:t>
              </w:r>
              <w:r>
                <w:rPr>
                  <w:noProof/>
                </w:rPr>
                <w:t>1st Edition ed. New York: Routledge.</w:t>
              </w:r>
            </w:p>
            <w:p w14:paraId="65D520DE" w14:textId="77777777" w:rsidR="00F955A0" w:rsidRDefault="00F955A0" w:rsidP="00F955A0">
              <w:pPr>
                <w:pStyle w:val="Bibliography"/>
                <w:rPr>
                  <w:noProof/>
                </w:rPr>
              </w:pPr>
              <w:r>
                <w:rPr>
                  <w:noProof/>
                </w:rPr>
                <w:t xml:space="preserve">Connell, R., 2008. Masculinity construction and sports in boys' education: a framework for thinking about the issue. In: T. &amp;. F. group, ed. </w:t>
              </w:r>
              <w:r>
                <w:rPr>
                  <w:i/>
                  <w:iCs/>
                  <w:noProof/>
                </w:rPr>
                <w:t xml:space="preserve">Sport, Education and Society. </w:t>
              </w:r>
              <w:r>
                <w:rPr>
                  <w:noProof/>
                </w:rPr>
                <w:t>s.l.:Routledge, pp. 131-145.</w:t>
              </w:r>
            </w:p>
            <w:p w14:paraId="3C5ADC02" w14:textId="77777777" w:rsidR="00F955A0" w:rsidRDefault="00F955A0" w:rsidP="00F955A0">
              <w:pPr>
                <w:pStyle w:val="Bibliography"/>
                <w:rPr>
                  <w:noProof/>
                </w:rPr>
              </w:pPr>
              <w:r>
                <w:rPr>
                  <w:noProof/>
                </w:rPr>
                <w:t xml:space="preserve">Connell, R. W., 2005. Hegemonic Masculinity: Rethinking the Cocept. </w:t>
              </w:r>
              <w:r>
                <w:rPr>
                  <w:i/>
                  <w:iCs/>
                  <w:noProof/>
                </w:rPr>
                <w:t xml:space="preserve">Gender &amp; Society, </w:t>
              </w:r>
              <w:r>
                <w:rPr>
                  <w:noProof/>
                </w:rPr>
                <w:t>6 december, 19(6), pp. 829-859.</w:t>
              </w:r>
            </w:p>
            <w:p w14:paraId="04B72022" w14:textId="77777777" w:rsidR="00F955A0" w:rsidRDefault="00F955A0" w:rsidP="00F955A0">
              <w:pPr>
                <w:pStyle w:val="Bibliography"/>
                <w:rPr>
                  <w:noProof/>
                </w:rPr>
              </w:pPr>
              <w:r>
                <w:rPr>
                  <w:noProof/>
                </w:rPr>
                <w:t xml:space="preserve">Descartes, R., 1967 [1637]. </w:t>
              </w:r>
              <w:r>
                <w:rPr>
                  <w:i/>
                  <w:iCs/>
                  <w:noProof/>
                </w:rPr>
                <w:t xml:space="preserve">The Philosophical Works of Descartes. </w:t>
              </w:r>
              <w:r>
                <w:rPr>
                  <w:noProof/>
                </w:rPr>
                <w:t>3rd reprint ed. Cambridge: UK: Cambridge Unuversity Press.</w:t>
              </w:r>
            </w:p>
            <w:p w14:paraId="00585EF2" w14:textId="77777777" w:rsidR="00F955A0" w:rsidRDefault="00F955A0" w:rsidP="00F955A0">
              <w:pPr>
                <w:pStyle w:val="Bibliography"/>
                <w:rPr>
                  <w:noProof/>
                </w:rPr>
              </w:pPr>
              <w:r>
                <w:rPr>
                  <w:noProof/>
                </w:rPr>
                <w:t xml:space="preserve">Donaldson, P. G., 2015. </w:t>
              </w:r>
              <w:r>
                <w:rPr>
                  <w:i/>
                  <w:iCs/>
                  <w:noProof/>
                </w:rPr>
                <w:t xml:space="preserve">Successful Futures, </w:t>
              </w:r>
              <w:r>
                <w:rPr>
                  <w:noProof/>
                </w:rPr>
                <w:t>wales: Welsh Government .</w:t>
              </w:r>
            </w:p>
            <w:p w14:paraId="593F0BEE" w14:textId="77777777" w:rsidR="00F955A0" w:rsidRDefault="00F955A0" w:rsidP="00F955A0">
              <w:pPr>
                <w:pStyle w:val="Bibliography"/>
                <w:rPr>
                  <w:noProof/>
                </w:rPr>
              </w:pPr>
              <w:r>
                <w:rPr>
                  <w:noProof/>
                </w:rPr>
                <w:t xml:space="preserve">Dweck, C. S., 2012. </w:t>
              </w:r>
              <w:r>
                <w:rPr>
                  <w:i/>
                  <w:iCs/>
                  <w:noProof/>
                </w:rPr>
                <w:t xml:space="preserve">mindset Changing that way you think to fulfil your potential. </w:t>
              </w:r>
              <w:r>
                <w:rPr>
                  <w:noProof/>
                </w:rPr>
                <w:t>2nd Edition ed. London: Robinson.</w:t>
              </w:r>
            </w:p>
            <w:p w14:paraId="62B99522" w14:textId="77777777" w:rsidR="00F955A0" w:rsidRDefault="00F955A0" w:rsidP="00F955A0">
              <w:pPr>
                <w:pStyle w:val="Bibliography"/>
                <w:rPr>
                  <w:noProof/>
                </w:rPr>
              </w:pPr>
              <w:r>
                <w:rPr>
                  <w:noProof/>
                </w:rPr>
                <w:t xml:space="preserve">Estyn, 2008. </w:t>
              </w:r>
              <w:r>
                <w:rPr>
                  <w:i/>
                  <w:iCs/>
                  <w:noProof/>
                </w:rPr>
                <w:t xml:space="preserve">Closing the gap between boys' and girls' attainment in school, </w:t>
              </w:r>
              <w:r>
                <w:rPr>
                  <w:noProof/>
                </w:rPr>
                <w:t>Cardiff: Education and Training in Wales .</w:t>
              </w:r>
            </w:p>
            <w:p w14:paraId="049B2241" w14:textId="77777777" w:rsidR="00F955A0" w:rsidRDefault="00F955A0" w:rsidP="00F955A0">
              <w:pPr>
                <w:pStyle w:val="Bibliography"/>
                <w:rPr>
                  <w:noProof/>
                </w:rPr>
              </w:pPr>
              <w:r>
                <w:rPr>
                  <w:noProof/>
                </w:rPr>
                <w:t xml:space="preserve">Estyn, 2016. </w:t>
              </w:r>
              <w:r>
                <w:rPr>
                  <w:i/>
                  <w:iCs/>
                  <w:noProof/>
                </w:rPr>
                <w:t xml:space="preserve">Best Practice in the Creative arts at Key stages 3 and 4, </w:t>
              </w:r>
              <w:r>
                <w:rPr>
                  <w:noProof/>
                </w:rPr>
                <w:t>Cardiff: Estyn .</w:t>
              </w:r>
            </w:p>
            <w:p w14:paraId="4E7DD67A" w14:textId="77777777" w:rsidR="00F955A0" w:rsidRDefault="00F955A0" w:rsidP="00F955A0">
              <w:pPr>
                <w:pStyle w:val="Bibliography"/>
                <w:rPr>
                  <w:noProof/>
                </w:rPr>
              </w:pPr>
              <w:r>
                <w:rPr>
                  <w:noProof/>
                </w:rPr>
                <w:t xml:space="preserve">framework, w. G. D. c., 2016. </w:t>
              </w:r>
              <w:r>
                <w:rPr>
                  <w:i/>
                  <w:iCs/>
                  <w:noProof/>
                </w:rPr>
                <w:t xml:space="preserve">wales digital competency framework. </w:t>
              </w:r>
              <w:r>
                <w:rPr>
                  <w:noProof/>
                </w:rPr>
                <w:t xml:space="preserve">[Online] </w:t>
              </w:r>
              <w:r>
                <w:rPr>
                  <w:noProof/>
                </w:rPr>
                <w:br/>
                <w:t xml:space="preserve">Available at: </w:t>
              </w:r>
              <w:r>
                <w:rPr>
                  <w:noProof/>
                  <w:u w:val="single"/>
                </w:rPr>
                <w:t>https://learning.gov.wales/docs/learningwales/publications/160831-dcf-guidance-en-v2.pdf</w:t>
              </w:r>
              <w:r>
                <w:rPr>
                  <w:noProof/>
                </w:rPr>
                <w:br/>
                <w:t>[Accessed 17 april 2019].</w:t>
              </w:r>
            </w:p>
            <w:p w14:paraId="4C99EF5F" w14:textId="77777777" w:rsidR="00F955A0" w:rsidRDefault="00F955A0" w:rsidP="00F955A0">
              <w:pPr>
                <w:pStyle w:val="Bibliography"/>
                <w:rPr>
                  <w:noProof/>
                </w:rPr>
              </w:pPr>
              <w:r>
                <w:rPr>
                  <w:noProof/>
                </w:rPr>
                <w:t xml:space="preserve">Gershon, M., 2018. </w:t>
              </w:r>
              <w:r>
                <w:rPr>
                  <w:i/>
                  <w:iCs/>
                  <w:noProof/>
                </w:rPr>
                <w:t xml:space="preserve">How to use Bloom's Taxonomy in the Classroom The Complete Guide. </w:t>
              </w:r>
              <w:r>
                <w:rPr>
                  <w:noProof/>
                </w:rPr>
                <w:t>1st Edition ed. s.l.:Learning Sciences International.</w:t>
              </w:r>
            </w:p>
            <w:p w14:paraId="4880DC50" w14:textId="77777777" w:rsidR="00F955A0" w:rsidRDefault="00F955A0" w:rsidP="00F955A0">
              <w:pPr>
                <w:pStyle w:val="Bibliography"/>
                <w:rPr>
                  <w:noProof/>
                </w:rPr>
              </w:pPr>
              <w:r>
                <w:rPr>
                  <w:noProof/>
                </w:rPr>
                <w:t xml:space="preserve">Government, H., 2003. </w:t>
              </w:r>
              <w:r>
                <w:rPr>
                  <w:i/>
                  <w:iCs/>
                  <w:noProof/>
                </w:rPr>
                <w:t xml:space="preserve">Every Child Matters, </w:t>
              </w:r>
              <w:r>
                <w:rPr>
                  <w:noProof/>
                </w:rPr>
                <w:t>London: HMSO: CM 5860.</w:t>
              </w:r>
            </w:p>
            <w:p w14:paraId="1290C9DF" w14:textId="77777777" w:rsidR="00F955A0" w:rsidRDefault="00F955A0" w:rsidP="00F955A0">
              <w:pPr>
                <w:pStyle w:val="Bibliography"/>
                <w:rPr>
                  <w:noProof/>
                </w:rPr>
              </w:pPr>
              <w:r>
                <w:rPr>
                  <w:noProof/>
                </w:rPr>
                <w:t xml:space="preserve">Government, W., 2013. </w:t>
              </w:r>
              <w:r>
                <w:rPr>
                  <w:i/>
                  <w:iCs/>
                  <w:noProof/>
                </w:rPr>
                <w:t xml:space="preserve">National Literacy and Numeracy Framework. </w:t>
              </w:r>
              <w:r>
                <w:rPr>
                  <w:noProof/>
                </w:rPr>
                <w:t xml:space="preserve">[Online] </w:t>
              </w:r>
              <w:r>
                <w:rPr>
                  <w:noProof/>
                </w:rPr>
                <w:br/>
                <w:t xml:space="preserve">Available at: </w:t>
              </w:r>
              <w:r>
                <w:rPr>
                  <w:noProof/>
                  <w:u w:val="single"/>
                </w:rPr>
                <w:t>https://s3-eu-west-1.amazonaws.com/hwb-live-storage/ce/44/26/0c/4830422ab1e6a190b11feac9/to-support-schools-in-introducing-the-national-literacy-and-numeracy-framework.pdf</w:t>
              </w:r>
              <w:r>
                <w:rPr>
                  <w:noProof/>
                </w:rPr>
                <w:br/>
                <w:t>[Accessed 22 April 2019].</w:t>
              </w:r>
            </w:p>
            <w:p w14:paraId="579D3D90" w14:textId="77777777" w:rsidR="00F955A0" w:rsidRDefault="00F955A0" w:rsidP="00F955A0">
              <w:pPr>
                <w:pStyle w:val="Bibliography"/>
                <w:rPr>
                  <w:noProof/>
                </w:rPr>
              </w:pPr>
              <w:r>
                <w:rPr>
                  <w:noProof/>
                </w:rPr>
                <w:t xml:space="preserve">Government, W., 2018. </w:t>
              </w:r>
              <w:r>
                <w:rPr>
                  <w:i/>
                  <w:iCs/>
                  <w:noProof/>
                </w:rPr>
                <w:t xml:space="preserve">gov.wales. </w:t>
              </w:r>
              <w:r>
                <w:rPr>
                  <w:noProof/>
                </w:rPr>
                <w:t xml:space="preserve">[Online] </w:t>
              </w:r>
              <w:r>
                <w:rPr>
                  <w:noProof/>
                </w:rPr>
                <w:br/>
                <w:t xml:space="preserve">Available at: </w:t>
              </w:r>
              <w:r>
                <w:rPr>
                  <w:noProof/>
                  <w:u w:val="single"/>
                </w:rPr>
                <w:t>https://gov.wales/sites/default/files/consultations/2018-12/consultation-document-draft-additional-learning-needs-code_0.pdf</w:t>
              </w:r>
              <w:r>
                <w:rPr>
                  <w:noProof/>
                </w:rPr>
                <w:br/>
                <w:t>[Accessed 13 May 2019].</w:t>
              </w:r>
            </w:p>
            <w:p w14:paraId="464F9714" w14:textId="77777777" w:rsidR="00F955A0" w:rsidRDefault="00F955A0" w:rsidP="00F955A0">
              <w:pPr>
                <w:pStyle w:val="Bibliography"/>
                <w:rPr>
                  <w:noProof/>
                </w:rPr>
              </w:pPr>
              <w:r>
                <w:rPr>
                  <w:noProof/>
                </w:rPr>
                <w:t xml:space="preserve">Government, W. A., 2006. </w:t>
              </w:r>
              <w:r>
                <w:rPr>
                  <w:i/>
                  <w:iCs/>
                  <w:noProof/>
                </w:rPr>
                <w:t xml:space="preserve">The learning Country: Vision into Action. </w:t>
              </w:r>
              <w:r>
                <w:rPr>
                  <w:noProof/>
                </w:rPr>
                <w:t xml:space="preserve">[Online] </w:t>
              </w:r>
              <w:r>
                <w:rPr>
                  <w:noProof/>
                </w:rPr>
                <w:br/>
                <w:t xml:space="preserve">Available at: </w:t>
              </w:r>
              <w:r>
                <w:rPr>
                  <w:noProof/>
                  <w:u w:val="single"/>
                </w:rPr>
                <w:t>https://dera.ioe.ac.uk/8834/3/A9R3F9F_Redacted.pdf</w:t>
              </w:r>
              <w:r>
                <w:rPr>
                  <w:noProof/>
                </w:rPr>
                <w:br/>
                <w:t>[Accessed 16 April 2019].</w:t>
              </w:r>
            </w:p>
            <w:p w14:paraId="7663A4F7" w14:textId="77777777" w:rsidR="00F955A0" w:rsidRDefault="00F955A0" w:rsidP="00F955A0">
              <w:pPr>
                <w:pStyle w:val="Bibliography"/>
                <w:rPr>
                  <w:noProof/>
                </w:rPr>
              </w:pPr>
              <w:r>
                <w:rPr>
                  <w:noProof/>
                </w:rPr>
                <w:t xml:space="preserve">Government, W. A., 2008. </w:t>
              </w:r>
              <w:r>
                <w:rPr>
                  <w:i/>
                  <w:iCs/>
                  <w:noProof/>
                </w:rPr>
                <w:t xml:space="preserve">Art and design in the National Curriculum for Wales. </w:t>
              </w:r>
              <w:r>
                <w:rPr>
                  <w:noProof/>
                </w:rPr>
                <w:t xml:space="preserve">[Online] </w:t>
              </w:r>
              <w:r>
                <w:rPr>
                  <w:noProof/>
                </w:rPr>
                <w:br/>
                <w:t xml:space="preserve">Available at: </w:t>
              </w:r>
              <w:r>
                <w:rPr>
                  <w:noProof/>
                  <w:u w:val="single"/>
                </w:rPr>
                <w:t>https://s3-eu-west-1.amazonaws.com/hwb-live-storage/bc/07/01/39/22d34f35b10cb1bf2a180ab3/art-and-design-in-the-national-curriculum.pdf</w:t>
              </w:r>
              <w:r>
                <w:rPr>
                  <w:noProof/>
                </w:rPr>
                <w:br/>
                <w:t>[Accessed 30 April 2019].</w:t>
              </w:r>
            </w:p>
            <w:p w14:paraId="67BC9B9A" w14:textId="77777777" w:rsidR="00F955A0" w:rsidRDefault="00F955A0" w:rsidP="00F955A0">
              <w:pPr>
                <w:pStyle w:val="Bibliography"/>
                <w:rPr>
                  <w:noProof/>
                </w:rPr>
              </w:pPr>
              <w:r>
                <w:rPr>
                  <w:noProof/>
                </w:rPr>
                <w:t xml:space="preserve">Illeris, K., 2007. </w:t>
              </w:r>
              <w:r>
                <w:rPr>
                  <w:i/>
                  <w:iCs/>
                  <w:noProof/>
                </w:rPr>
                <w:t xml:space="preserve">How We Learn - Learning and non-learning in school and beyond. </w:t>
              </w:r>
              <w:r>
                <w:rPr>
                  <w:noProof/>
                </w:rPr>
                <w:t>2nd edition ed. Oxon: Routledge.</w:t>
              </w:r>
            </w:p>
            <w:p w14:paraId="49AA5729" w14:textId="77777777" w:rsidR="00F955A0" w:rsidRDefault="00F955A0" w:rsidP="00F955A0">
              <w:pPr>
                <w:pStyle w:val="Bibliography"/>
                <w:rPr>
                  <w:noProof/>
                </w:rPr>
              </w:pPr>
              <w:r>
                <w:rPr>
                  <w:noProof/>
                </w:rPr>
                <w:t xml:space="preserve">Lytton, H., 1971. </w:t>
              </w:r>
              <w:r>
                <w:rPr>
                  <w:i/>
                  <w:iCs/>
                  <w:noProof/>
                </w:rPr>
                <w:t xml:space="preserve">Creativity and Education. </w:t>
              </w:r>
              <w:r>
                <w:rPr>
                  <w:noProof/>
                </w:rPr>
                <w:t>1st edition ed. Great Britain: Routledge &amp; Kegan Paul Ltd.</w:t>
              </w:r>
            </w:p>
            <w:p w14:paraId="26DE8F2C" w14:textId="77777777" w:rsidR="00F955A0" w:rsidRDefault="00F955A0" w:rsidP="00F955A0">
              <w:pPr>
                <w:pStyle w:val="Bibliography"/>
                <w:rPr>
                  <w:noProof/>
                </w:rPr>
              </w:pPr>
              <w:r>
                <w:rPr>
                  <w:noProof/>
                </w:rPr>
                <w:t xml:space="preserve">Marshell, K., 2019. Dylan Wiliam on the Powerful Potential of Formative Assessment. </w:t>
              </w:r>
              <w:r>
                <w:rPr>
                  <w:i/>
                  <w:iCs/>
                  <w:noProof/>
                </w:rPr>
                <w:t xml:space="preserve">International Educator, </w:t>
              </w:r>
              <w:r>
                <w:rPr>
                  <w:noProof/>
                </w:rPr>
                <w:t>febuary , 33(3), pp. 19-24, 2p.</w:t>
              </w:r>
            </w:p>
            <w:p w14:paraId="43274534" w14:textId="77777777" w:rsidR="00F955A0" w:rsidRDefault="00F955A0" w:rsidP="00F955A0">
              <w:pPr>
                <w:pStyle w:val="Bibliography"/>
                <w:rPr>
                  <w:noProof/>
                </w:rPr>
              </w:pPr>
              <w:r>
                <w:rPr>
                  <w:noProof/>
                </w:rPr>
                <w:t xml:space="preserve">Martin A. Monto, J. M. T. L. A., 2012. Boys Doing Art: The Construction of outlaw Masculinity in a Portland, Oregon, Graffiti Crew. </w:t>
              </w:r>
              <w:r>
                <w:rPr>
                  <w:i/>
                  <w:iCs/>
                  <w:noProof/>
                </w:rPr>
                <w:t xml:space="preserve">Journal of Contemporary Ethnography, </w:t>
              </w:r>
              <w:r>
                <w:rPr>
                  <w:noProof/>
                </w:rPr>
                <w:t>3 December, 42(3), pp. 259 - 290.</w:t>
              </w:r>
            </w:p>
            <w:p w14:paraId="5496BAE6" w14:textId="77777777" w:rsidR="00F955A0" w:rsidRDefault="00F955A0" w:rsidP="00F955A0">
              <w:pPr>
                <w:pStyle w:val="Bibliography"/>
                <w:rPr>
                  <w:noProof/>
                </w:rPr>
              </w:pPr>
              <w:r>
                <w:rPr>
                  <w:noProof/>
                </w:rPr>
                <w:t xml:space="preserve">McCormick, M. J. a. R., 2007. </w:t>
              </w:r>
              <w:r>
                <w:rPr>
                  <w:i/>
                  <w:iCs/>
                  <w:noProof/>
                </w:rPr>
                <w:t xml:space="preserve">improving Learning How to Learn. </w:t>
              </w:r>
              <w:r>
                <w:rPr>
                  <w:noProof/>
                </w:rPr>
                <w:t>2nd Edition ed. London: Routledge.</w:t>
              </w:r>
            </w:p>
            <w:p w14:paraId="358CEFAF" w14:textId="77777777" w:rsidR="00F955A0" w:rsidRDefault="00F955A0" w:rsidP="00F955A0">
              <w:pPr>
                <w:pStyle w:val="Bibliography"/>
                <w:rPr>
                  <w:noProof/>
                </w:rPr>
              </w:pPr>
              <w:r>
                <w:rPr>
                  <w:noProof/>
                </w:rPr>
                <w:t xml:space="preserve">Naess, A., 1963 [1962]. </w:t>
              </w:r>
              <w:r>
                <w:rPr>
                  <w:i/>
                  <w:iCs/>
                  <w:noProof/>
                </w:rPr>
                <w:t xml:space="preserve">Filosofiens Historie II - fra middelalder til nyere tid. [The History of Philosophy]. </w:t>
              </w:r>
              <w:r>
                <w:rPr>
                  <w:noProof/>
                </w:rPr>
                <w:t>Copenhagen: OECD.</w:t>
              </w:r>
            </w:p>
            <w:p w14:paraId="7AD3D627" w14:textId="77777777" w:rsidR="00F955A0" w:rsidRDefault="00F955A0" w:rsidP="00F955A0">
              <w:pPr>
                <w:pStyle w:val="Bibliography"/>
                <w:rPr>
                  <w:noProof/>
                </w:rPr>
              </w:pPr>
              <w:r>
                <w:rPr>
                  <w:noProof/>
                </w:rPr>
                <w:t xml:space="preserve">Nuttall, K. A. R. a. D. L., 1994. </w:t>
              </w:r>
              <w:r>
                <w:rPr>
                  <w:i/>
                  <w:iCs/>
                  <w:noProof/>
                </w:rPr>
                <w:t xml:space="preserve">Measuring Quality, Education indicators - united kingdom and international perspective. </w:t>
              </w:r>
              <w:r>
                <w:rPr>
                  <w:noProof/>
                </w:rPr>
                <w:t>1st edition ed. London: Burgess Science press.</w:t>
              </w:r>
            </w:p>
            <w:p w14:paraId="2BCB7E3F" w14:textId="77777777" w:rsidR="00F955A0" w:rsidRDefault="00F955A0" w:rsidP="00F955A0">
              <w:pPr>
                <w:pStyle w:val="Bibliography"/>
                <w:rPr>
                  <w:noProof/>
                </w:rPr>
              </w:pPr>
              <w:r>
                <w:rPr>
                  <w:noProof/>
                </w:rPr>
                <w:t xml:space="preserve">Rubin, J. A., 1998. </w:t>
              </w:r>
              <w:r>
                <w:rPr>
                  <w:i/>
                  <w:iCs/>
                  <w:noProof/>
                </w:rPr>
                <w:t xml:space="preserve">Art Therapy - An introduction. </w:t>
              </w:r>
              <w:r>
                <w:rPr>
                  <w:noProof/>
                </w:rPr>
                <w:t>London: Brunner/Mazel.</w:t>
              </w:r>
            </w:p>
            <w:p w14:paraId="38B6F5E7" w14:textId="77777777" w:rsidR="00F955A0" w:rsidRDefault="00F955A0" w:rsidP="00F955A0">
              <w:pPr>
                <w:pStyle w:val="Bibliography"/>
                <w:rPr>
                  <w:noProof/>
                </w:rPr>
              </w:pPr>
              <w:r>
                <w:rPr>
                  <w:noProof/>
                </w:rPr>
                <w:t xml:space="preserve">tyler J. Burleigh, D. V. M., 2017. Risky prospects and risk aversion tendencies: does competition in the classroom depend on grading practice and knowledge of peer-status?. </w:t>
              </w:r>
              <w:r>
                <w:rPr>
                  <w:i/>
                  <w:iCs/>
                  <w:noProof/>
                </w:rPr>
                <w:t xml:space="preserve">CrossMark, </w:t>
              </w:r>
              <w:r>
                <w:rPr>
                  <w:noProof/>
                </w:rPr>
                <w:t>13 december.</w:t>
              </w:r>
            </w:p>
            <w:p w14:paraId="5E046F8A" w14:textId="77777777" w:rsidR="00F955A0" w:rsidRDefault="00F955A0" w:rsidP="00F955A0">
              <w:pPr>
                <w:pStyle w:val="Bibliography"/>
                <w:rPr>
                  <w:noProof/>
                </w:rPr>
              </w:pPr>
              <w:r>
                <w:rPr>
                  <w:noProof/>
                </w:rPr>
                <w:t xml:space="preserve">Waldfogel, J., 2010. </w:t>
              </w:r>
              <w:r>
                <w:rPr>
                  <w:i/>
                  <w:iCs/>
                  <w:noProof/>
                </w:rPr>
                <w:t xml:space="preserve">What Children Need. </w:t>
              </w:r>
              <w:r>
                <w:rPr>
                  <w:noProof/>
                </w:rPr>
                <w:t>1st edition ed. Harvard: Harvard University Press .</w:t>
              </w:r>
            </w:p>
            <w:p w14:paraId="6B37EC0E" w14:textId="77777777" w:rsidR="00F955A0" w:rsidRDefault="00F955A0" w:rsidP="00F955A0">
              <w:pPr>
                <w:pStyle w:val="Bibliography"/>
                <w:rPr>
                  <w:noProof/>
                </w:rPr>
              </w:pPr>
              <w:r>
                <w:rPr>
                  <w:noProof/>
                </w:rPr>
                <w:t xml:space="preserve">Wiliam, P. B. D., 1998. </w:t>
              </w:r>
              <w:r>
                <w:rPr>
                  <w:i/>
                  <w:iCs/>
                  <w:noProof/>
                </w:rPr>
                <w:t xml:space="preserve">Inside the Black Box: Raising standards through Classroom Assessment. </w:t>
              </w:r>
              <w:r>
                <w:rPr>
                  <w:noProof/>
                </w:rPr>
                <w:t xml:space="preserve">[Online] </w:t>
              </w:r>
              <w:r>
                <w:rPr>
                  <w:noProof/>
                </w:rPr>
                <w:br/>
                <w:t xml:space="preserve">Available at: </w:t>
              </w:r>
              <w:r>
                <w:rPr>
                  <w:noProof/>
                  <w:u w:val="single"/>
                </w:rPr>
                <w:t xml:space="preserve">https://www.rdc.udel.edu/wp-content/uploads/2015/04/InsideBlackBox.pdf </w:t>
              </w:r>
              <w:r>
                <w:rPr>
                  <w:noProof/>
                </w:rPr>
                <w:br/>
                <w:t>[Accessed 15 May 2019].</w:t>
              </w:r>
            </w:p>
            <w:p w14:paraId="5B67B6A4"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b/>
                  <w:bCs/>
                  <w:noProof/>
                </w:rPr>
                <w:fldChar w:fldCharType="end"/>
              </w:r>
            </w:p>
          </w:sdtContent>
        </w:sdt>
      </w:sdtContent>
    </w:sdt>
    <w:p w14:paraId="34D69E9A" w14:textId="77777777" w:rsidR="00F955A0" w:rsidRDefault="00F955A0"/>
    <w:p w14:paraId="288F3870" w14:textId="77777777" w:rsidR="00F955A0" w:rsidRDefault="00F955A0"/>
    <w:p w14:paraId="1974E6E6" w14:textId="77777777" w:rsidR="00F955A0" w:rsidRDefault="00F955A0"/>
    <w:p w14:paraId="34CAC099" w14:textId="77777777" w:rsidR="00F955A0" w:rsidRDefault="00F955A0"/>
    <w:p w14:paraId="614B8C84" w14:textId="77777777" w:rsidR="00F955A0" w:rsidRDefault="00F955A0"/>
    <w:p w14:paraId="2A5A831D" w14:textId="77777777" w:rsidR="00F955A0" w:rsidRDefault="00F955A0"/>
    <w:p w14:paraId="6D64BD3C" w14:textId="77777777" w:rsidR="00F955A0" w:rsidRDefault="00F955A0"/>
    <w:p w14:paraId="4CBC8E7F" w14:textId="77777777" w:rsidR="00F955A0" w:rsidRDefault="00F955A0"/>
    <w:p w14:paraId="78B386F5" w14:textId="77777777" w:rsidR="00F955A0" w:rsidRDefault="00F955A0"/>
    <w:p w14:paraId="1A4D69A1" w14:textId="77777777" w:rsidR="00F955A0" w:rsidRDefault="00F955A0"/>
    <w:p w14:paraId="26DA0C72" w14:textId="77777777" w:rsidR="00F955A0" w:rsidRDefault="00F955A0"/>
    <w:p w14:paraId="161C4BC8" w14:textId="77777777" w:rsidR="00F955A0" w:rsidRDefault="00F955A0"/>
    <w:p w14:paraId="5693ED61" w14:textId="77777777" w:rsidR="00F955A0" w:rsidRDefault="00F955A0"/>
    <w:p w14:paraId="04068526" w14:textId="77777777" w:rsidR="00F955A0" w:rsidRDefault="00F955A0"/>
    <w:p w14:paraId="092EAD4B" w14:textId="77777777" w:rsidR="00F955A0" w:rsidRDefault="00F955A0"/>
    <w:p w14:paraId="5EBAC958" w14:textId="77777777" w:rsidR="00F955A0" w:rsidRDefault="00F955A0"/>
    <w:p w14:paraId="3ECB3087" w14:textId="77777777" w:rsidR="00F955A0" w:rsidRDefault="00F955A0"/>
    <w:p w14:paraId="141172AD" w14:textId="77777777" w:rsidR="00F955A0" w:rsidRDefault="00F955A0"/>
    <w:p w14:paraId="7C692332" w14:textId="77777777" w:rsidR="00F955A0" w:rsidRDefault="00F955A0"/>
    <w:p w14:paraId="687838E3" w14:textId="77777777" w:rsidR="00F955A0" w:rsidRDefault="00F955A0"/>
    <w:p w14:paraId="672B42E4" w14:textId="77777777" w:rsidR="00F955A0" w:rsidRDefault="00F955A0"/>
    <w:p w14:paraId="01B20A49" w14:textId="77777777" w:rsidR="00F955A0" w:rsidRDefault="00F955A0"/>
    <w:p w14:paraId="264143C0" w14:textId="77777777" w:rsidR="00F955A0" w:rsidRDefault="00F955A0"/>
    <w:p w14:paraId="30D0DD31" w14:textId="77777777" w:rsidR="00F955A0" w:rsidRDefault="00F955A0"/>
    <w:p w14:paraId="57C2735F" w14:textId="77777777" w:rsidR="00F955A0" w:rsidRDefault="00F955A0"/>
    <w:sectPr w:rsidR="00F955A0" w:rsidSect="004B736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B04E1D"/>
    <w:multiLevelType w:val="hybridMultilevel"/>
    <w:tmpl w:val="ED80EE0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55A0"/>
    <w:rsid w:val="001A304A"/>
    <w:rsid w:val="003F707A"/>
    <w:rsid w:val="004B7360"/>
    <w:rsid w:val="005910C9"/>
    <w:rsid w:val="006C2B16"/>
    <w:rsid w:val="006E4227"/>
    <w:rsid w:val="009B507F"/>
    <w:rsid w:val="00AA0EE5"/>
    <w:rsid w:val="00B71381"/>
    <w:rsid w:val="00D1680D"/>
    <w:rsid w:val="00F65E6A"/>
    <w:rsid w:val="00F955A0"/>
    <w:rsid w:val="00FB31C0"/>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FB7245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955A0"/>
    <w:rPr>
      <w:lang w:val="cy-GB"/>
    </w:rPr>
  </w:style>
  <w:style w:type="paragraph" w:styleId="Heading1">
    <w:name w:val="heading 1"/>
    <w:basedOn w:val="Normal"/>
    <w:next w:val="Normal"/>
    <w:link w:val="Heading1Char"/>
    <w:uiPriority w:val="9"/>
    <w:qFormat/>
    <w:rsid w:val="00F955A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B7138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7138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5A0"/>
    <w:rPr>
      <w:rFonts w:asciiTheme="majorHAnsi" w:eastAsiaTheme="majorEastAsia" w:hAnsiTheme="majorHAnsi" w:cstheme="majorBidi"/>
      <w:b/>
      <w:bCs/>
      <w:color w:val="2F5496" w:themeColor="accent1" w:themeShade="BF"/>
      <w:sz w:val="28"/>
      <w:szCs w:val="28"/>
      <w:lang w:bidi="en-US"/>
    </w:rPr>
  </w:style>
  <w:style w:type="paragraph" w:styleId="HTMLPreformatted">
    <w:name w:val="HTML Preformatted"/>
    <w:basedOn w:val="Normal"/>
    <w:link w:val="HTMLPreformattedChar"/>
    <w:uiPriority w:val="99"/>
    <w:semiHidden/>
    <w:unhideWhenUsed/>
    <w:rsid w:val="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F955A0"/>
    <w:rPr>
      <w:rFonts w:ascii="Courier New" w:hAnsi="Courier New" w:cs="Courier New"/>
      <w:sz w:val="20"/>
      <w:szCs w:val="20"/>
    </w:rPr>
  </w:style>
  <w:style w:type="paragraph" w:styleId="NormalWeb">
    <w:name w:val="Normal (Web)"/>
    <w:basedOn w:val="Normal"/>
    <w:uiPriority w:val="99"/>
    <w:semiHidden/>
    <w:unhideWhenUsed/>
    <w:rsid w:val="00F955A0"/>
    <w:pPr>
      <w:spacing w:before="100" w:beforeAutospacing="1" w:after="100" w:afterAutospacing="1"/>
    </w:pPr>
    <w:rPr>
      <w:rFonts w:ascii="Times New Roman" w:hAnsi="Times New Roman" w:cs="Times New Roman"/>
      <w:lang w:val="en-US"/>
    </w:rPr>
  </w:style>
  <w:style w:type="paragraph" w:styleId="ListParagraph">
    <w:name w:val="List Paragraph"/>
    <w:basedOn w:val="Normal"/>
    <w:uiPriority w:val="34"/>
    <w:qFormat/>
    <w:rsid w:val="00F955A0"/>
    <w:pPr>
      <w:ind w:left="720"/>
      <w:contextualSpacing/>
    </w:pPr>
  </w:style>
  <w:style w:type="paragraph" w:styleId="Bibliography">
    <w:name w:val="Bibliography"/>
    <w:basedOn w:val="Normal"/>
    <w:next w:val="Normal"/>
    <w:uiPriority w:val="37"/>
    <w:unhideWhenUsed/>
    <w:rsid w:val="00F955A0"/>
  </w:style>
  <w:style w:type="paragraph" w:customStyle="1" w:styleId="paragraph">
    <w:name w:val="paragraph"/>
    <w:basedOn w:val="Normal"/>
    <w:uiPriority w:val="99"/>
    <w:semiHidden/>
    <w:rsid w:val="00F955A0"/>
    <w:pPr>
      <w:spacing w:before="100" w:beforeAutospacing="1" w:after="100" w:afterAutospacing="1"/>
    </w:pPr>
    <w:rPr>
      <w:rFonts w:ascii="Times New Roman" w:hAnsi="Times New Roman" w:cs="Times New Roman"/>
      <w:lang w:val="en-US"/>
    </w:rPr>
  </w:style>
  <w:style w:type="character" w:customStyle="1" w:styleId="normaltextrun">
    <w:name w:val="normaltextrun"/>
    <w:basedOn w:val="DefaultParagraphFont"/>
    <w:rsid w:val="00F955A0"/>
  </w:style>
  <w:style w:type="character" w:customStyle="1" w:styleId="eop">
    <w:name w:val="eop"/>
    <w:basedOn w:val="DefaultParagraphFont"/>
    <w:rsid w:val="00F955A0"/>
  </w:style>
  <w:style w:type="character" w:customStyle="1" w:styleId="apple-converted-space">
    <w:name w:val="apple-converted-space"/>
    <w:basedOn w:val="DefaultParagraphFont"/>
    <w:rsid w:val="00F955A0"/>
  </w:style>
  <w:style w:type="character" w:customStyle="1" w:styleId="spellingerror">
    <w:name w:val="spellingerror"/>
    <w:basedOn w:val="DefaultParagraphFont"/>
    <w:rsid w:val="00F955A0"/>
  </w:style>
  <w:style w:type="character" w:customStyle="1" w:styleId="Heading2Char">
    <w:name w:val="Heading 2 Char"/>
    <w:basedOn w:val="DefaultParagraphFont"/>
    <w:link w:val="Heading2"/>
    <w:uiPriority w:val="9"/>
    <w:semiHidden/>
    <w:rsid w:val="00B71381"/>
    <w:rPr>
      <w:rFonts w:asciiTheme="majorHAnsi" w:eastAsiaTheme="majorEastAsia" w:hAnsiTheme="majorHAnsi" w:cstheme="majorBidi"/>
      <w:color w:val="2F5496" w:themeColor="accent1" w:themeShade="BF"/>
      <w:sz w:val="26"/>
      <w:szCs w:val="26"/>
      <w:lang w:val="cy-GB"/>
    </w:rPr>
  </w:style>
  <w:style w:type="character" w:customStyle="1" w:styleId="Heading4Char">
    <w:name w:val="Heading 4 Char"/>
    <w:basedOn w:val="DefaultParagraphFont"/>
    <w:link w:val="Heading4"/>
    <w:uiPriority w:val="9"/>
    <w:semiHidden/>
    <w:rsid w:val="00B71381"/>
    <w:rPr>
      <w:rFonts w:asciiTheme="majorHAnsi" w:eastAsiaTheme="majorEastAsia" w:hAnsiTheme="majorHAnsi" w:cstheme="majorBidi"/>
      <w:i/>
      <w:iCs/>
      <w:color w:val="2F5496" w:themeColor="accent1" w:themeShade="BF"/>
      <w:lang w:val="cy-GB"/>
    </w:rPr>
  </w:style>
  <w:style w:type="paragraph" w:styleId="Header">
    <w:name w:val="header"/>
    <w:basedOn w:val="Normal"/>
    <w:link w:val="HeaderChar"/>
    <w:rsid w:val="00B71381"/>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B71381"/>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746643">
      <w:bodyDiv w:val="1"/>
      <w:marLeft w:val="0"/>
      <w:marRight w:val="0"/>
      <w:marTop w:val="0"/>
      <w:marBottom w:val="0"/>
      <w:divBdr>
        <w:top w:val="none" w:sz="0" w:space="0" w:color="auto"/>
        <w:left w:val="none" w:sz="0" w:space="0" w:color="auto"/>
        <w:bottom w:val="none" w:sz="0" w:space="0" w:color="auto"/>
        <w:right w:val="none" w:sz="0" w:space="0" w:color="auto"/>
      </w:divBdr>
    </w:div>
    <w:div w:id="85342906">
      <w:bodyDiv w:val="1"/>
      <w:marLeft w:val="0"/>
      <w:marRight w:val="0"/>
      <w:marTop w:val="0"/>
      <w:marBottom w:val="0"/>
      <w:divBdr>
        <w:top w:val="none" w:sz="0" w:space="0" w:color="auto"/>
        <w:left w:val="none" w:sz="0" w:space="0" w:color="auto"/>
        <w:bottom w:val="none" w:sz="0" w:space="0" w:color="auto"/>
        <w:right w:val="none" w:sz="0" w:space="0" w:color="auto"/>
      </w:divBdr>
    </w:div>
    <w:div w:id="336468385">
      <w:bodyDiv w:val="1"/>
      <w:marLeft w:val="0"/>
      <w:marRight w:val="0"/>
      <w:marTop w:val="0"/>
      <w:marBottom w:val="0"/>
      <w:divBdr>
        <w:top w:val="none" w:sz="0" w:space="0" w:color="auto"/>
        <w:left w:val="none" w:sz="0" w:space="0" w:color="auto"/>
        <w:bottom w:val="none" w:sz="0" w:space="0" w:color="auto"/>
        <w:right w:val="none" w:sz="0" w:space="0" w:color="auto"/>
      </w:divBdr>
    </w:div>
    <w:div w:id="371148368">
      <w:bodyDiv w:val="1"/>
      <w:marLeft w:val="0"/>
      <w:marRight w:val="0"/>
      <w:marTop w:val="0"/>
      <w:marBottom w:val="0"/>
      <w:divBdr>
        <w:top w:val="none" w:sz="0" w:space="0" w:color="auto"/>
        <w:left w:val="none" w:sz="0" w:space="0" w:color="auto"/>
        <w:bottom w:val="none" w:sz="0" w:space="0" w:color="auto"/>
        <w:right w:val="none" w:sz="0" w:space="0" w:color="auto"/>
      </w:divBdr>
    </w:div>
    <w:div w:id="385228111">
      <w:bodyDiv w:val="1"/>
      <w:marLeft w:val="0"/>
      <w:marRight w:val="0"/>
      <w:marTop w:val="0"/>
      <w:marBottom w:val="0"/>
      <w:divBdr>
        <w:top w:val="none" w:sz="0" w:space="0" w:color="auto"/>
        <w:left w:val="none" w:sz="0" w:space="0" w:color="auto"/>
        <w:bottom w:val="none" w:sz="0" w:space="0" w:color="auto"/>
        <w:right w:val="none" w:sz="0" w:space="0" w:color="auto"/>
      </w:divBdr>
    </w:div>
    <w:div w:id="389236273">
      <w:bodyDiv w:val="1"/>
      <w:marLeft w:val="0"/>
      <w:marRight w:val="0"/>
      <w:marTop w:val="0"/>
      <w:marBottom w:val="0"/>
      <w:divBdr>
        <w:top w:val="none" w:sz="0" w:space="0" w:color="auto"/>
        <w:left w:val="none" w:sz="0" w:space="0" w:color="auto"/>
        <w:bottom w:val="none" w:sz="0" w:space="0" w:color="auto"/>
        <w:right w:val="none" w:sz="0" w:space="0" w:color="auto"/>
      </w:divBdr>
    </w:div>
    <w:div w:id="593783251">
      <w:bodyDiv w:val="1"/>
      <w:marLeft w:val="0"/>
      <w:marRight w:val="0"/>
      <w:marTop w:val="0"/>
      <w:marBottom w:val="0"/>
      <w:divBdr>
        <w:top w:val="none" w:sz="0" w:space="0" w:color="auto"/>
        <w:left w:val="none" w:sz="0" w:space="0" w:color="auto"/>
        <w:bottom w:val="none" w:sz="0" w:space="0" w:color="auto"/>
        <w:right w:val="none" w:sz="0" w:space="0" w:color="auto"/>
      </w:divBdr>
    </w:div>
    <w:div w:id="812482109">
      <w:bodyDiv w:val="1"/>
      <w:marLeft w:val="0"/>
      <w:marRight w:val="0"/>
      <w:marTop w:val="0"/>
      <w:marBottom w:val="0"/>
      <w:divBdr>
        <w:top w:val="none" w:sz="0" w:space="0" w:color="auto"/>
        <w:left w:val="none" w:sz="0" w:space="0" w:color="auto"/>
        <w:bottom w:val="none" w:sz="0" w:space="0" w:color="auto"/>
        <w:right w:val="none" w:sz="0" w:space="0" w:color="auto"/>
      </w:divBdr>
    </w:div>
    <w:div w:id="816337586">
      <w:bodyDiv w:val="1"/>
      <w:marLeft w:val="0"/>
      <w:marRight w:val="0"/>
      <w:marTop w:val="0"/>
      <w:marBottom w:val="0"/>
      <w:divBdr>
        <w:top w:val="none" w:sz="0" w:space="0" w:color="auto"/>
        <w:left w:val="none" w:sz="0" w:space="0" w:color="auto"/>
        <w:bottom w:val="none" w:sz="0" w:space="0" w:color="auto"/>
        <w:right w:val="none" w:sz="0" w:space="0" w:color="auto"/>
      </w:divBdr>
    </w:div>
    <w:div w:id="891190228">
      <w:bodyDiv w:val="1"/>
      <w:marLeft w:val="0"/>
      <w:marRight w:val="0"/>
      <w:marTop w:val="0"/>
      <w:marBottom w:val="0"/>
      <w:divBdr>
        <w:top w:val="none" w:sz="0" w:space="0" w:color="auto"/>
        <w:left w:val="none" w:sz="0" w:space="0" w:color="auto"/>
        <w:bottom w:val="none" w:sz="0" w:space="0" w:color="auto"/>
        <w:right w:val="none" w:sz="0" w:space="0" w:color="auto"/>
      </w:divBdr>
    </w:div>
    <w:div w:id="980502843">
      <w:bodyDiv w:val="1"/>
      <w:marLeft w:val="0"/>
      <w:marRight w:val="0"/>
      <w:marTop w:val="0"/>
      <w:marBottom w:val="0"/>
      <w:divBdr>
        <w:top w:val="none" w:sz="0" w:space="0" w:color="auto"/>
        <w:left w:val="none" w:sz="0" w:space="0" w:color="auto"/>
        <w:bottom w:val="none" w:sz="0" w:space="0" w:color="auto"/>
        <w:right w:val="none" w:sz="0" w:space="0" w:color="auto"/>
      </w:divBdr>
    </w:div>
    <w:div w:id="1013264020">
      <w:bodyDiv w:val="1"/>
      <w:marLeft w:val="0"/>
      <w:marRight w:val="0"/>
      <w:marTop w:val="0"/>
      <w:marBottom w:val="0"/>
      <w:divBdr>
        <w:top w:val="none" w:sz="0" w:space="0" w:color="auto"/>
        <w:left w:val="none" w:sz="0" w:space="0" w:color="auto"/>
        <w:bottom w:val="none" w:sz="0" w:space="0" w:color="auto"/>
        <w:right w:val="none" w:sz="0" w:space="0" w:color="auto"/>
      </w:divBdr>
    </w:div>
    <w:div w:id="1015305475">
      <w:bodyDiv w:val="1"/>
      <w:marLeft w:val="0"/>
      <w:marRight w:val="0"/>
      <w:marTop w:val="0"/>
      <w:marBottom w:val="0"/>
      <w:divBdr>
        <w:top w:val="none" w:sz="0" w:space="0" w:color="auto"/>
        <w:left w:val="none" w:sz="0" w:space="0" w:color="auto"/>
        <w:bottom w:val="none" w:sz="0" w:space="0" w:color="auto"/>
        <w:right w:val="none" w:sz="0" w:space="0" w:color="auto"/>
      </w:divBdr>
    </w:div>
    <w:div w:id="1020932975">
      <w:bodyDiv w:val="1"/>
      <w:marLeft w:val="0"/>
      <w:marRight w:val="0"/>
      <w:marTop w:val="0"/>
      <w:marBottom w:val="0"/>
      <w:divBdr>
        <w:top w:val="none" w:sz="0" w:space="0" w:color="auto"/>
        <w:left w:val="none" w:sz="0" w:space="0" w:color="auto"/>
        <w:bottom w:val="none" w:sz="0" w:space="0" w:color="auto"/>
        <w:right w:val="none" w:sz="0" w:space="0" w:color="auto"/>
      </w:divBdr>
    </w:div>
    <w:div w:id="1176766607">
      <w:bodyDiv w:val="1"/>
      <w:marLeft w:val="0"/>
      <w:marRight w:val="0"/>
      <w:marTop w:val="0"/>
      <w:marBottom w:val="0"/>
      <w:divBdr>
        <w:top w:val="none" w:sz="0" w:space="0" w:color="auto"/>
        <w:left w:val="none" w:sz="0" w:space="0" w:color="auto"/>
        <w:bottom w:val="none" w:sz="0" w:space="0" w:color="auto"/>
        <w:right w:val="none" w:sz="0" w:space="0" w:color="auto"/>
      </w:divBdr>
    </w:div>
    <w:div w:id="1211189855">
      <w:bodyDiv w:val="1"/>
      <w:marLeft w:val="0"/>
      <w:marRight w:val="0"/>
      <w:marTop w:val="0"/>
      <w:marBottom w:val="0"/>
      <w:divBdr>
        <w:top w:val="none" w:sz="0" w:space="0" w:color="auto"/>
        <w:left w:val="none" w:sz="0" w:space="0" w:color="auto"/>
        <w:bottom w:val="none" w:sz="0" w:space="0" w:color="auto"/>
        <w:right w:val="none" w:sz="0" w:space="0" w:color="auto"/>
      </w:divBdr>
    </w:div>
    <w:div w:id="1393115582">
      <w:bodyDiv w:val="1"/>
      <w:marLeft w:val="0"/>
      <w:marRight w:val="0"/>
      <w:marTop w:val="0"/>
      <w:marBottom w:val="0"/>
      <w:divBdr>
        <w:top w:val="none" w:sz="0" w:space="0" w:color="auto"/>
        <w:left w:val="none" w:sz="0" w:space="0" w:color="auto"/>
        <w:bottom w:val="none" w:sz="0" w:space="0" w:color="auto"/>
        <w:right w:val="none" w:sz="0" w:space="0" w:color="auto"/>
      </w:divBdr>
    </w:div>
    <w:div w:id="1771511436">
      <w:bodyDiv w:val="1"/>
      <w:marLeft w:val="0"/>
      <w:marRight w:val="0"/>
      <w:marTop w:val="0"/>
      <w:marBottom w:val="0"/>
      <w:divBdr>
        <w:top w:val="none" w:sz="0" w:space="0" w:color="auto"/>
        <w:left w:val="none" w:sz="0" w:space="0" w:color="auto"/>
        <w:bottom w:val="none" w:sz="0" w:space="0" w:color="auto"/>
        <w:right w:val="none" w:sz="0" w:space="0" w:color="auto"/>
      </w:divBdr>
    </w:div>
    <w:div w:id="1776558480">
      <w:bodyDiv w:val="1"/>
      <w:marLeft w:val="0"/>
      <w:marRight w:val="0"/>
      <w:marTop w:val="0"/>
      <w:marBottom w:val="0"/>
      <w:divBdr>
        <w:top w:val="none" w:sz="0" w:space="0" w:color="auto"/>
        <w:left w:val="none" w:sz="0" w:space="0" w:color="auto"/>
        <w:bottom w:val="none" w:sz="0" w:space="0" w:color="auto"/>
        <w:right w:val="none" w:sz="0" w:space="0" w:color="auto"/>
      </w:divBdr>
    </w:div>
    <w:div w:id="1806660681">
      <w:bodyDiv w:val="1"/>
      <w:marLeft w:val="0"/>
      <w:marRight w:val="0"/>
      <w:marTop w:val="0"/>
      <w:marBottom w:val="0"/>
      <w:divBdr>
        <w:top w:val="none" w:sz="0" w:space="0" w:color="auto"/>
        <w:left w:val="none" w:sz="0" w:space="0" w:color="auto"/>
        <w:bottom w:val="none" w:sz="0" w:space="0" w:color="auto"/>
        <w:right w:val="none" w:sz="0" w:space="0" w:color="auto"/>
      </w:divBdr>
    </w:div>
    <w:div w:id="1887984654">
      <w:bodyDiv w:val="1"/>
      <w:marLeft w:val="0"/>
      <w:marRight w:val="0"/>
      <w:marTop w:val="0"/>
      <w:marBottom w:val="0"/>
      <w:divBdr>
        <w:top w:val="none" w:sz="0" w:space="0" w:color="auto"/>
        <w:left w:val="none" w:sz="0" w:space="0" w:color="auto"/>
        <w:bottom w:val="none" w:sz="0" w:space="0" w:color="auto"/>
        <w:right w:val="none" w:sz="0" w:space="0" w:color="auto"/>
      </w:divBdr>
    </w:div>
    <w:div w:id="1888374181">
      <w:bodyDiv w:val="1"/>
      <w:marLeft w:val="0"/>
      <w:marRight w:val="0"/>
      <w:marTop w:val="0"/>
      <w:marBottom w:val="0"/>
      <w:divBdr>
        <w:top w:val="none" w:sz="0" w:space="0" w:color="auto"/>
        <w:left w:val="none" w:sz="0" w:space="0" w:color="auto"/>
        <w:bottom w:val="none" w:sz="0" w:space="0" w:color="auto"/>
        <w:right w:val="none" w:sz="0" w:space="0" w:color="auto"/>
      </w:divBdr>
    </w:div>
    <w:div w:id="1997295189">
      <w:bodyDiv w:val="1"/>
      <w:marLeft w:val="0"/>
      <w:marRight w:val="0"/>
      <w:marTop w:val="0"/>
      <w:marBottom w:val="0"/>
      <w:divBdr>
        <w:top w:val="none" w:sz="0" w:space="0" w:color="auto"/>
        <w:left w:val="none" w:sz="0" w:space="0" w:color="auto"/>
        <w:bottom w:val="none" w:sz="0" w:space="0" w:color="auto"/>
        <w:right w:val="none" w:sz="0" w:space="0" w:color="auto"/>
      </w:divBdr>
    </w:div>
    <w:div w:id="21033310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cid:image001.png@01D0EA4A.2BD679A0" TargetMode="External"/><Relationship Id="rId8" Type="http://schemas.openxmlformats.org/officeDocument/2006/relationships/chart" Target="charts/chart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https://uowtsd-my.sharepoint.com/personal/nwatkins_138657_student_uwtsd_ac_uk/Documents/Nicole%20Watkins%20OTF/assignment%203/Assignment%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Overall marks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invertIfNegative val="0"/>
          <c:val>
            <c:numRef>
              <c:f>'[Assignment data.xlsx]Total Average '!$B$3:$B$17</c:f>
              <c:numCache>
                <c:formatCode>0.0%</c:formatCode>
                <c:ptCount val="15"/>
                <c:pt idx="0">
                  <c:v>0.823529411764706</c:v>
                </c:pt>
                <c:pt idx="1">
                  <c:v>0.117647058823529</c:v>
                </c:pt>
                <c:pt idx="2">
                  <c:v>0.294117647058824</c:v>
                </c:pt>
                <c:pt idx="3">
                  <c:v>0.705882352941176</c:v>
                </c:pt>
                <c:pt idx="4">
                  <c:v>0.529411764705882</c:v>
                </c:pt>
                <c:pt idx="5">
                  <c:v>0.176470588235294</c:v>
                </c:pt>
                <c:pt idx="6">
                  <c:v>0.588235294117647</c:v>
                </c:pt>
                <c:pt idx="7">
                  <c:v>0.235294117647059</c:v>
                </c:pt>
                <c:pt idx="8">
                  <c:v>0.294117647058824</c:v>
                </c:pt>
                <c:pt idx="9">
                  <c:v>0.294117647058824</c:v>
                </c:pt>
                <c:pt idx="10">
                  <c:v>0.411764705882353</c:v>
                </c:pt>
                <c:pt idx="11">
                  <c:v>0.529411764705882</c:v>
                </c:pt>
                <c:pt idx="12">
                  <c:v>0.529411764705882</c:v>
                </c:pt>
                <c:pt idx="13">
                  <c:v>0.705882352941176</c:v>
                </c:pt>
                <c:pt idx="14">
                  <c:v>0.705882352941176</c:v>
                </c:pt>
              </c:numCache>
            </c:numRef>
          </c:val>
        </c:ser>
        <c:ser>
          <c:idx val="1"/>
          <c:order val="1"/>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chemeClr>
              </a:solidFill>
              <a:round/>
            </a:ln>
            <a:effectLst/>
          </c:spPr>
          <c:invertIfNegative val="0"/>
          <c:val>
            <c:numRef>
              <c:f>'[Assignment data.xlsx]Total Average '!$C$3:$C$17</c:f>
              <c:numCache>
                <c:formatCode>0%</c:formatCode>
                <c:ptCount val="15"/>
                <c:pt idx="0">
                  <c:v>1.0</c:v>
                </c:pt>
                <c:pt idx="1">
                  <c:v>0.882352941176471</c:v>
                </c:pt>
                <c:pt idx="2">
                  <c:v>1.0</c:v>
                </c:pt>
                <c:pt idx="3">
                  <c:v>0.941176470588235</c:v>
                </c:pt>
                <c:pt idx="4">
                  <c:v>1.0</c:v>
                </c:pt>
                <c:pt idx="5">
                  <c:v>0.882352941176471</c:v>
                </c:pt>
                <c:pt idx="6">
                  <c:v>1.0</c:v>
                </c:pt>
                <c:pt idx="7">
                  <c:v>0.882352941176471</c:v>
                </c:pt>
                <c:pt idx="8">
                  <c:v>0.941176470588235</c:v>
                </c:pt>
                <c:pt idx="9">
                  <c:v>0.941176470588235</c:v>
                </c:pt>
                <c:pt idx="10">
                  <c:v>1.0</c:v>
                </c:pt>
                <c:pt idx="11">
                  <c:v>0.941176470588235</c:v>
                </c:pt>
                <c:pt idx="12">
                  <c:v>1.411764705882353</c:v>
                </c:pt>
                <c:pt idx="13">
                  <c:v>1.352941176470588</c:v>
                </c:pt>
                <c:pt idx="14">
                  <c:v>1.294117647058824</c:v>
                </c:pt>
              </c:numCache>
            </c:numRef>
          </c:val>
        </c:ser>
        <c:dLbls>
          <c:showLegendKey val="0"/>
          <c:showVal val="0"/>
          <c:showCatName val="0"/>
          <c:showSerName val="0"/>
          <c:showPercent val="0"/>
          <c:showBubbleSize val="0"/>
        </c:dLbls>
        <c:gapWidth val="100"/>
        <c:overlap val="-24"/>
        <c:axId val="-1952316064"/>
        <c:axId val="-1952380880"/>
      </c:barChart>
      <c:catAx>
        <c:axId val="-195231606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52380880"/>
        <c:crosses val="autoZero"/>
        <c:auto val="1"/>
        <c:lblAlgn val="ctr"/>
        <c:lblOffset val="100"/>
        <c:noMultiLvlLbl val="0"/>
      </c:catAx>
      <c:valAx>
        <c:axId val="-1952380880"/>
        <c:scaling>
          <c:orientation val="minMax"/>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52316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Mar12</b:Tag>
    <b:SourceType>JournalArticle</b:SourceType>
    <b:Guid>{ECC79AE1-0C4C-074F-BAFA-A7273D4CEBA9}</b:Guid>
    <b:Title>Boys Doing Art: The Construction of outlaw Masculinity in a Portland, Oregon, Graffiti Crew</b:Title>
    <b:Year>2012</b:Year>
    <b:Pages>259 - 290</b:Pages>
    <b:Comments>https://journals.sagepub.com/doi/full/10.1177/0891241612465981 </b:Comments>
    <b:JournalName>Journal of Contemporary Ethnography</b:JournalName>
    <b:Month>December</b:Month>
    <b:Day>3</b:Day>
    <b:Volume>42</b:Volume>
    <b:Issue>3</b:Issue>
    <b:Author>
      <b:Author>
        <b:NameList>
          <b:Person>
            <b:Last>Martin A. Monto</b:Last>
            <b:First>Janna</b:First>
            <b:Middle>Machalek, Terri L. Anderson</b:Middle>
          </b:Person>
        </b:NameList>
      </b:Author>
    </b:Author>
    <b:RefOrder>1</b:RefOrder>
  </b:Source>
  <b:Source>
    <b:Tag>Est16</b:Tag>
    <b:SourceType>Report</b:SourceType>
    <b:Guid>{C953355C-DCB2-064A-95A7-62DC10564630}</b:Guid>
    <b:Title>Best Practice in the Creative arts at Key stages 3 and 4</b:Title>
    <b:Year>2016</b:Year>
    <b:Author>
      <b:Author>
        <b:NameList>
          <b:Person>
            <b:Last>Estyn</b:Last>
          </b:Person>
        </b:NameList>
      </b:Author>
    </b:Author>
    <b:Publisher>Estyn </b:Publisher>
    <b:City>Cardiff</b:City>
    <b:RefOrder>2</b:RefOrder>
  </b:Source>
  <b:Source>
    <b:Tag>Abi18</b:Tag>
    <b:SourceType>DocumentFromInternetSite</b:SourceType>
    <b:Guid>{D760A3B6-1D95-754A-A7D2-6374F766FF45}</b:Guid>
    <b:Author>
      <b:Author>
        <b:NameList>
          <b:Person>
            <b:Last>Beall</b:Last>
            <b:First>Abigail</b:First>
          </b:Person>
        </b:NameList>
      </b:Author>
    </b:Author>
    <b:Title>The growth minset, which has become hugely popular theory for how we educate our children, might be a psychological mirage</b:Title>
    <b:InternetSiteTitle>Weird </b:InternetSiteTitle>
    <b:URL>https://www.wired.co.uk/article/growth-mindset-education-psychological-theory-children-mirage</b:URL>
    <b:Year>2018</b:Year>
    <b:Month>march</b:Month>
    <b:Day>13</b:Day>
    <b:YearAccessed>2019</b:YearAccessed>
    <b:MonthAccessed>may </b:MonthAccessed>
    <b:DayAccessed>15</b:DayAccessed>
    <b:RefOrder>3</b:RefOrder>
  </b:Source>
  <b:Source>
    <b:Tag>Rae08</b:Tag>
    <b:SourceType>BookSection</b:SourceType>
    <b:Guid>{8CF47A93-7E8F-D141-8142-3ADA165597D1}</b:Guid>
    <b:Title>Masculinity construction and sports in boys' education: a framework for thinking about the issue</b:Title>
    <b:Publisher>Routledge</b:Publisher>
    <b:Year>2008</b:Year>
    <b:Pages>131-145</b:Pages>
    <b:Author>
      <b:Author>
        <b:NameList>
          <b:Person>
            <b:Last>Connell</b:Last>
            <b:First>Raewayn</b:First>
          </b:Person>
        </b:NameList>
      </b:Author>
      <b:Editor>
        <b:NameList>
          <b:Person>
            <b:Last>group</b:Last>
            <b:First>Taylor</b:First>
            <b:Middle>&amp; Francis</b:Middle>
          </b:Person>
        </b:NameList>
      </b:Editor>
    </b:Author>
    <b:BookTitle>Sport, Education and Society</b:BookTitle>
    <b:RefOrder>4</b:RefOrder>
  </b:Source>
  <b:Source>
    <b:Tag>RWC05</b:Tag>
    <b:SourceType>JournalArticle</b:SourceType>
    <b:Guid>{128E2A48-057D-D741-BE9B-84F4522C6C0B}</b:Guid>
    <b:Title>Hegemonic Masculinity: Rethinking the Cocept</b:Title>
    <b:Year>2005</b:Year>
    <b:Volume>19</b:Volume>
    <b:Pages>829-859</b:Pages>
    <b:Author>
      <b:Author>
        <b:NameList>
          <b:Person>
            <b:Last>Connell</b:Last>
            <b:First>R.</b:First>
            <b:Middle>W.</b:Middle>
          </b:Person>
        </b:NameList>
      </b:Author>
    </b:Author>
    <b:JournalName>Gender &amp; Society</b:JournalName>
    <b:Month>december</b:Month>
    <b:Day>6</b:Day>
    <b:Issue>6</b:Issue>
    <b:RefOrder>5</b:RefOrder>
  </b:Source>
  <b:Source>
    <b:Tag>Wil98</b:Tag>
    <b:SourceType>DocumentFromInternetSite</b:SourceType>
    <b:Guid>{80A3ED32-216B-BA44-9529-301D084BF0BA}</b:Guid>
    <b:Author>
      <b:Author>
        <b:NameList>
          <b:Person>
            <b:Last>Wiliam</b:Last>
            <b:First>Paul</b:First>
            <b:Middle>Black, Dylan</b:Middle>
          </b:Person>
        </b:NameList>
      </b:Author>
    </b:Author>
    <b:Title>Inside the Black Box: Raising standards through Classroom Assessment</b:Title>
    <b:Year>1998</b:Year>
    <b:Month>October</b:Month>
    <b:Day>1</b:Day>
    <b:URL>https://www.rdc.udel.edu/wp-content/uploads/2015/04/InsideBlackBox.pdf </b:URL>
    <b:YearAccessed>2019</b:YearAccessed>
    <b:MonthAccessed>May</b:MonthAccessed>
    <b:DayAccessed>15</b:DayAccessed>
    <b:RefOrder>6</b:RefOrder>
  </b:Source>
  <b:Source>
    <b:Tag>Hug711</b:Tag>
    <b:SourceType>Book</b:SourceType>
    <b:Guid>{D286401F-AB7D-D14D-8BBB-BC287B95DF5C}</b:Guid>
    <b:Author>
      <b:Author>
        <b:NameList>
          <b:Person>
            <b:Last>Lytton</b:Last>
            <b:First>Hugh</b:First>
          </b:Person>
        </b:NameList>
      </b:Author>
    </b:Author>
    <b:Title>Creativity and Education</b:Title>
    <b:City>Great Britain</b:City>
    <b:Publisher>Routledge &amp; Kegan Paul Ltd</b:Publisher>
    <b:Year>1971</b:Year>
    <b:Edition>1st edition</b:Edition>
    <b:RefOrder>7</b:RefOrder>
  </b:Source>
  <b:Source>
    <b:Tag>Wel131</b:Tag>
    <b:SourceType>DocumentFromInternetSite</b:SourceType>
    <b:Guid>{AA5B1BEB-3906-2344-8F81-718C22225E04}</b:Guid>
    <b:Author>
      <b:Author>
        <b:NameList>
          <b:Person>
            <b:Last>Government</b:Last>
            <b:First>Welsh</b:First>
          </b:Person>
        </b:NameList>
      </b:Author>
    </b:Author>
    <b:Title>National Literacy and Numeracy Framework </b:Title>
    <b:URL>https://s3-eu-west-1.amazonaws.com/hwb-live-storage/ce/44/26/0c/4830422ab1e6a190b11feac9/to-support-schools-in-introducing-the-national-literacy-and-numeracy-framework.pdf</b:URL>
    <b:Year>2013</b:Year>
    <b:Month>march</b:Month>
    <b:Day>1</b:Day>
    <b:YearAccessed>2019</b:YearAccessed>
    <b:MonthAccessed>April</b:MonthAccessed>
    <b:DayAccessed>22</b:DayAccessed>
    <b:RefOrder>8</b:RefOrder>
  </b:Source>
  <b:Source>
    <b:Tag>Est08</b:Tag>
    <b:SourceType>Report</b:SourceType>
    <b:Guid>{7B4F6608-86B7-EA44-98F8-D6963B9C2634}</b:Guid>
    <b:Title>Closing the gap between boys' and girls' attainment in school</b:Title>
    <b:Publisher>Education and Training in Wales </b:Publisher>
    <b:City>Cardiff</b:City>
    <b:Year>2008</b:Year>
    <b:Author>
      <b:Author>
        <b:NameList>
          <b:Person>
            <b:Last>Estyn</b:Last>
          </b:Person>
        </b:NameList>
      </b:Author>
    </b:Author>
    <b:RefOrder>9</b:RefOrder>
  </b:Source>
  <b:Source>
    <b:Tag>Arm19</b:Tag>
    <b:SourceType>DocumentFromInternetSite</b:SourceType>
    <b:Guid>{4D61EFEF-D2D2-584A-B662-8BFE2F8443B5}</b:Guid>
    <b:Author>
      <b:Author>
        <b:NameList>
          <b:Person>
            <b:Last>Armstrong</b:Last>
            <b:First>Patricia</b:First>
          </b:Person>
        </b:NameList>
      </b:Author>
    </b:Author>
    <b:Title>Bloom's Taxonomy</b:Title>
    <b:URL>https://cft.vanderbilt.edu/guides-sub-pages/blooms-taxonomy/</b:URL>
    <b:YearAccessed>2019</b:YearAccessed>
    <b:MonthAccessed>april</b:MonthAccessed>
    <b:DayAccessed>25</b:DayAccessed>
    <b:RefOrder>10</b:RefOrder>
  </b:Source>
  <b:Source>
    <b:Tag>Wel17</b:Tag>
    <b:SourceType>DocumentFromInternetSite</b:SourceType>
    <b:Guid>{5B1C18E6-65BE-5C46-9818-EFF224329C23}</b:Guid>
    <b:Author>
      <b:Author>
        <b:NameList>
          <b:Person>
            <b:Last>Government</b:Last>
            <b:First>Welsh</b:First>
            <b:Middle>Assembly</b:Middle>
          </b:Person>
        </b:NameList>
      </b:Author>
    </b:Author>
    <b:Title>Art and design in the National Curriculum for Wales</b:Title>
    <b:URL>https://s3-eu-west-1.amazonaws.com/hwb-live-storage/bc/07/01/39/22d34f35b10cb1bf2a180ab3/art-and-design-in-the-national-curriculum.pdf</b:URL>
    <b:Year>2008</b:Year>
    <b:YearAccessed>2019</b:YearAccessed>
    <b:MonthAccessed>April</b:MonthAccessed>
    <b:DayAccessed>30</b:DayAccessed>
    <b:Month>January </b:Month>
    <b:RefOrder>11</b:RefOrder>
  </b:Source>
  <b:Source>
    <b:Tag>Ill07</b:Tag>
    <b:SourceType>Book</b:SourceType>
    <b:Guid>{287694A7-AE65-4343-BA85-F5D82AFFBE7C}</b:Guid>
    <b:Author>
      <b:Author>
        <b:NameList>
          <b:Person>
            <b:Last>Illeris</b:Last>
            <b:First>Knud</b:First>
          </b:Person>
        </b:NameList>
      </b:Author>
    </b:Author>
    <b:Title>How We Learn - Learning and non-learning in school and beyond</b:Title>
    <b:Year>2007</b:Year>
    <b:City>Oxon</b:City>
    <b:Publisher>Routledge</b:Publisher>
    <b:Edition>2nd edition </b:Edition>
    <b:RefOrder>12</b:RefOrder>
  </b:Source>
  <b:Source>
    <b:Tag>Mar071</b:Tag>
    <b:SourceType>Book</b:SourceType>
    <b:Guid>{FB8EFC47-56DD-0D45-AD3F-4955949D0B3D}</b:Guid>
    <b:Author>
      <b:Author>
        <b:NameList>
          <b:Person>
            <b:Last>McCormick</b:Last>
            <b:First>Mary</b:First>
            <b:Middle>James and Robert</b:Middle>
          </b:Person>
        </b:NameList>
      </b:Author>
    </b:Author>
    <b:Title>improving Learning How to Learn</b:Title>
    <b:City>London</b:City>
    <b:Publisher>Routledge</b:Publisher>
    <b:Year>2007</b:Year>
    <b:Edition>2nd Edition</b:Edition>
    <b:RefOrder>13</b:RefOrder>
  </b:Source>
  <b:Source>
    <b:Tag>Nic15</b:Tag>
    <b:SourceType>Book</b:SourceType>
    <b:Guid>{785EA6DE-0319-E846-82C2-05C11427678E}</b:Guid>
    <b:Author>
      <b:Author>
        <b:NameList>
          <b:Person>
            <b:Last>Burgess</b:Last>
            <b:First>Nicholas</b:First>
            <b:Middle>Addison and Lesley</b:Middle>
          </b:Person>
        </b:NameList>
      </b:Author>
    </b:Author>
    <b:Title>Learning to Teach Art and Design in the Secondary School</b:Title>
    <b:City>London</b:City>
    <b:Publisher>Routledge</b:Publisher>
    <b:Year>2015</b:Year>
    <b:Edition>3rd Edition</b:Edition>
    <b:RefOrder>14</b:RefOrder>
  </b:Source>
  <b:Source>
    <b:Tag>Car12</b:Tag>
    <b:SourceType>Book</b:SourceType>
    <b:Guid>{5CDE88AA-6B66-7844-8CBA-91BAA65A1E21}</b:Guid>
    <b:Author>
      <b:Author>
        <b:NameList>
          <b:Person>
            <b:Last>Dweck</b:Last>
            <b:First>Carol</b:First>
            <b:Middle>S.</b:Middle>
          </b:Person>
        </b:NameList>
      </b:Author>
    </b:Author>
    <b:Title>mindset Changing that way you think to fulfil your potential </b:Title>
    <b:City>London</b:City>
    <b:Publisher>Robinson</b:Publisher>
    <b:Year>2012</b:Year>
    <b:Edition>2nd Edition</b:Edition>
    <b:RefOrder>15</b:RefOrder>
  </b:Source>
  <b:Source>
    <b:Tag>Jan101</b:Tag>
    <b:SourceType>Book</b:SourceType>
    <b:Guid>{8DC78FDE-775C-8A4A-8D3D-8A8264E666BD}</b:Guid>
    <b:Author>
      <b:Author>
        <b:NameList>
          <b:Person>
            <b:Last>Waldfogel</b:Last>
            <b:First>Jane</b:First>
          </b:Person>
        </b:NameList>
      </b:Author>
    </b:Author>
    <b:Title>What Children Need</b:Title>
    <b:City>Harvard</b:City>
    <b:Publisher>Harvard University Press </b:Publisher>
    <b:Year>2010</b:Year>
    <b:Edition>1st edition</b:Edition>
    <b:RefOrder>16</b:RefOrder>
  </b:Source>
  <b:Source>
    <b:Tag>Kat94</b:Tag>
    <b:SourceType>Book</b:SourceType>
    <b:Guid>{CCC194F5-7806-704C-A158-7FA7ED646C9A}</b:Guid>
    <b:Author>
      <b:Author>
        <b:NameList>
          <b:Person>
            <b:Last>Nuttall</b:Last>
            <b:First>Kathryn</b:First>
            <b:Middle>A Riley and Desmond L</b:Middle>
          </b:Person>
        </b:NameList>
      </b:Author>
    </b:Author>
    <b:Title>Measuring Quality, Education indicators - united kingdom and international perspective</b:Title>
    <b:City>London</b:City>
    <b:Publisher>Burgess Science press</b:Publisher>
    <b:Year>1994</b:Year>
    <b:Edition>1st edition </b:Edition>
    <b:RefOrder>17</b:RefOrder>
  </b:Source>
  <b:Source>
    <b:Tag>wel16</b:Tag>
    <b:SourceType>DocumentFromInternetSite</b:SourceType>
    <b:Guid>{F39419A7-97F5-234F-89C8-9CF6B7E6A972}</b:Guid>
    <b:Author>
      <b:Author>
        <b:NameList>
          <b:Person>
            <b:Last>framework</b:Last>
            <b:First>welsh</b:First>
            <b:Middle>Government Digital competency</b:Middle>
          </b:Person>
        </b:NameList>
      </b:Author>
    </b:Author>
    <b:Title>wales digital competency framework</b:Title>
    <b:URL>https://learning.gov.wales/docs/learningwales/publications/160831-dcf-guidance-en-v2.pdf</b:URL>
    <b:Year>2016</b:Year>
    <b:Month>September </b:Month>
    <b:Day>1</b:Day>
    <b:YearAccessed>2019</b:YearAccessed>
    <b:MonthAccessed>april</b:MonthAccessed>
    <b:DayAccessed>17</b:DayAccessed>
    <b:RefOrder>18</b:RefOrder>
  </b:Source>
  <b:Source>
    <b:Tag>Gov03</b:Tag>
    <b:SourceType>Report</b:SourceType>
    <b:Guid>{07E4B51D-48B8-FE4D-A154-7F7AE30D84E1}</b:Guid>
    <b:Author>
      <b:Author>
        <b:NameList>
          <b:Person>
            <b:Last>Government</b:Last>
            <b:First>HM</b:First>
          </b:Person>
        </b:NameList>
      </b:Author>
    </b:Author>
    <b:Title>Every Child Matters</b:Title>
    <b:Year>2003</b:Year>
    <b:Publisher>CM 5860</b:Publisher>
    <b:City>London: HMSO</b:City>
    <b:RefOrder>19</b:RefOrder>
  </b:Source>
  <b:Source>
    <b:Tag>Pro15</b:Tag>
    <b:SourceType>Report</b:SourceType>
    <b:Guid>{B3F1FA90-4E70-254A-94E9-B6CAC0F829D9}</b:Guid>
    <b:Author>
      <b:Author>
        <b:NameList>
          <b:Person>
            <b:Last>Donaldson</b:Last>
            <b:First>Professor</b:First>
            <b:Middle>Graham</b:Middle>
          </b:Person>
        </b:NameList>
      </b:Author>
    </b:Author>
    <b:Title>Successful Futures</b:Title>
    <b:Publisher>Welsh Government </b:Publisher>
    <b:City>wales</b:City>
    <b:Year>2015</b:Year>
    <b:RefOrder>20</b:RefOrder>
  </b:Source>
  <b:Source>
    <b:Tag>Ger18</b:Tag>
    <b:SourceType>Book</b:SourceType>
    <b:Guid>{AD72926B-263B-3744-B22B-DEFD7890736C}</b:Guid>
    <b:Author>
      <b:Author>
        <b:NameList>
          <b:Person>
            <b:Last>Gershon</b:Last>
            <b:First>Mike</b:First>
          </b:Person>
        </b:NameList>
      </b:Author>
    </b:Author>
    <b:Title>How to use Bloom's Taxonomy in the Classroom The Complete Guide</b:Title>
    <b:Publisher>Learning Sciences International</b:Publisher>
    <b:Year>2018</b:Year>
    <b:Edition>1st Edition</b:Edition>
    <b:RefOrder>21</b:RefOrder>
  </b:Source>
  <b:Source>
    <b:Tag>JAR98</b:Tag>
    <b:SourceType>Book</b:SourceType>
    <b:Guid>{A048106D-C89A-BD47-A5C1-FF78A640CF79}</b:Guid>
    <b:Author>
      <b:Author>
        <b:NameList>
          <b:Person>
            <b:Last>Rubin</b:Last>
            <b:First>J.</b:First>
            <b:Middle>A</b:Middle>
          </b:Person>
        </b:NameList>
      </b:Author>
    </b:Author>
    <b:Title>Art Therapy - An introduction</b:Title>
    <b:City>London</b:City>
    <b:Publisher>Brunner/Mazel</b:Publisher>
    <b:Year>1998</b:Year>
    <b:RefOrder>22</b:RefOrder>
  </b:Source>
  <b:Source>
    <b:Tag>Wel18</b:Tag>
    <b:SourceType>DocumentFromInternetSite</b:SourceType>
    <b:Guid>{5B926F3F-DACB-7645-99BC-A442193BC074}</b:Guid>
    <b:Author>
      <b:Author>
        <b:NameList>
          <b:Person>
            <b:Last>Government</b:Last>
            <b:First>Welsh</b:First>
          </b:Person>
        </b:NameList>
      </b:Author>
    </b:Author>
    <b:Title>gov.wales</b:Title>
    <b:URL>https://gov.wales/sites/default/files/consultations/2018-12/consultation-document-draft-additional-learning-needs-code_0.pdf</b:URL>
    <b:Year>2018</b:Year>
    <b:Month>december</b:Month>
    <b:Day>10</b:Day>
    <b:YearAccessed>2019</b:YearAccessed>
    <b:MonthAccessed>May</b:MonthAccessed>
    <b:DayAccessed>13</b:DayAccessed>
    <b:RefOrder>23</b:RefOrder>
  </b:Source>
  <b:Source>
    <b:Tag>Ren37</b:Tag>
    <b:SourceType>Book</b:SourceType>
    <b:Guid>{6A55452D-20D5-054D-A6BB-8137CC1F9F0F}</b:Guid>
    <b:Author>
      <b:Author>
        <b:NameList>
          <b:Person>
            <b:Last>Descartes</b:Last>
            <b:First>Rene</b:First>
          </b:Person>
        </b:NameList>
      </b:Author>
    </b:Author>
    <b:Title>The Philosophical Works of Descartes</b:Title>
    <b:City>Cambridge</b:City>
    <b:Publisher>UK: Cambridge Unuversity Press</b:Publisher>
    <b:Year>1967 [1637]</b:Year>
    <b:Edition>3rd reprint</b:Edition>
    <b:RefOrder>24</b:RefOrder>
  </b:Source>
  <b:Source>
    <b:Tag>Arn62</b:Tag>
    <b:SourceType>Book</b:SourceType>
    <b:Guid>{DF186D8D-D3C2-5E4E-B6AA-6F4DA1D7A9D2}</b:Guid>
    <b:Author>
      <b:Author>
        <b:NameList>
          <b:Person>
            <b:Last>Naess</b:Last>
            <b:First>Arne</b:First>
          </b:Person>
        </b:NameList>
      </b:Author>
    </b:Author>
    <b:Title>Filosofiens Historie II - fra middelalder til nyere tid. [The History of Philosophy]</b:Title>
    <b:City>Copenhagen</b:City>
    <b:Publisher>OECD</b:Publisher>
    <b:Year>1963 [1962]</b:Year>
    <b:RefOrder>25</b:RefOrder>
  </b:Source>
  <b:Source>
    <b:Tag>Jud04</b:Tag>
    <b:SourceType>Book</b:SourceType>
    <b:Guid>{7A825A93-0DD7-B041-9C0B-EEDABB5D2B47}</b:Guid>
    <b:Author>
      <b:Author>
        <b:NameList>
          <b:Person>
            <b:Last>Butler</b:Last>
            <b:First>Judith</b:First>
          </b:Person>
        </b:NameList>
      </b:Author>
    </b:Author>
    <b:Title>Undoing Gender </b:Title>
    <b:City>New York</b:City>
    <b:Publisher>Routledge</b:Publisher>
    <b:Year>2004</b:Year>
    <b:Edition>1st Edition</b:Edition>
    <b:RefOrder>26</b:RefOrder>
  </b:Source>
  <b:Source>
    <b:Tag>Mar19</b:Tag>
    <b:SourceType>JournalArticle</b:SourceType>
    <b:Guid>{425B4F10-CD34-CB48-B35B-5CEA6F02C13B}</b:Guid>
    <b:Author>
      <b:Author>
        <b:NameList>
          <b:Person>
            <b:Last>Marshell</b:Last>
            <b:First>Kim</b:First>
          </b:Person>
        </b:NameList>
      </b:Author>
    </b:Author>
    <b:Title>Dylan Wiliam on the Powerful Potential of Formative Assessment</b:Title>
    <b:Year>2019</b:Year>
    <b:Volume>33</b:Volume>
    <b:Pages>19-24, 2p</b:Pages>
    <b:JournalName>International Educator</b:JournalName>
    <b:Month>febuary </b:Month>
    <b:Issue>3</b:Issue>
    <b:RefOrder>27</b:RefOrder>
  </b:Source>
  <b:Source>
    <b:Tag>Wel06</b:Tag>
    <b:SourceType>DocumentFromInternetSite</b:SourceType>
    <b:Guid>{EEBD638E-8FCF-724B-838E-653E76E10546}</b:Guid>
    <b:Title>The learning Country: Vision into Action</b:Title>
    <b:Year>2006</b:Year>
    <b:Author>
      <b:Author>
        <b:NameList>
          <b:Person>
            <b:Last>Government</b:Last>
            <b:First>Welsh</b:First>
            <b:Middle>Assembly</b:Middle>
          </b:Person>
        </b:NameList>
      </b:Author>
    </b:Author>
    <b:InternetSiteTitle>University College London</b:InternetSiteTitle>
    <b:URL>https://dera.ioe.ac.uk/8834/3/A9R3F9F_Redacted.pdf</b:URL>
    <b:Month>October </b:Month>
    <b:YearAccessed>2019</b:YearAccessed>
    <b:MonthAccessed>April</b:MonthAccessed>
    <b:DayAccessed>16</b:DayAccessed>
    <b:RefOrder>28</b:RefOrder>
  </b:Source>
  <b:Source>
    <b:Tag>tyl17</b:Tag>
    <b:SourceType>JournalArticle</b:SourceType>
    <b:Guid>{AFC91ADC-8DB3-5E49-AAEB-3163A06EF733}</b:Guid>
    <b:Title>Risky prospects and risk aversion tendencies: does competition in the classroom depend on grading practice and knowledge of peer-status?</b:Title>
    <b:Year>2017</b:Year>
    <b:Month>december</b:Month>
    <b:Day>13</b:Day>
    <b:Author>
      <b:Author>
        <b:NameList>
          <b:Person>
            <b:Last>tyler J. Burleigh</b:Last>
            <b:First>Daniel</b:First>
            <b:Middle>V. Meegan</b:Middle>
          </b:Person>
        </b:NameList>
      </b:Author>
    </b:Author>
    <b:JournalName>CrossMark</b:JournalName>
    <b:Publisher>Springer Science+Business media B.V.</b:Publisher>
    <b:RefOrder>29</b:RefOrder>
  </b:Source>
</b:Sources>
</file>

<file path=customXml/itemProps1.xml><?xml version="1.0" encoding="utf-8"?>
<ds:datastoreItem xmlns:ds="http://schemas.openxmlformats.org/officeDocument/2006/customXml" ds:itemID="{1599474C-09DE-E04A-8FCC-B94962FB7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6248</Words>
  <Characters>35615</Characters>
  <Application>Microsoft Macintosh Word</Application>
  <DocSecurity>0</DocSecurity>
  <Lines>296</Lines>
  <Paragraphs>83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41780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Watkins (P138657)</dc:creator>
  <cp:keywords/>
  <dc:description/>
  <cp:lastModifiedBy>Nicole Watkins (P138657)</cp:lastModifiedBy>
  <cp:revision>1</cp:revision>
  <dcterms:created xsi:type="dcterms:W3CDTF">2019-05-20T19:50:00Z</dcterms:created>
  <dcterms:modified xsi:type="dcterms:W3CDTF">2019-05-20T20:01:00Z</dcterms:modified>
</cp:coreProperties>
</file>